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Calibri"/>
          <w:b w:val="0"/>
          <w:caps w:val="0"/>
          <w:noProof w:val="0"/>
          <w:color w:val="000000"/>
          <w:spacing w:val="0"/>
          <w:sz w:val="24"/>
          <w:szCs w:val="22"/>
          <w:lang w:eastAsia="en-AU"/>
        </w:rPr>
        <w:id w:val="5388617"/>
        <w:docPartObj>
          <w:docPartGallery w:val="Cover Pages"/>
          <w:docPartUnique/>
        </w:docPartObj>
      </w:sdtPr>
      <w:sdtEndPr/>
      <w:sdtContent>
        <w:p w:rsidR="00BD3CD7" w:rsidRPr="004A6CF2" w:rsidRDefault="00856D04" w:rsidP="006607FE">
          <w:pPr>
            <w:pStyle w:val="BusinessUnitName"/>
            <w:framePr w:w="6124" w:h="284" w:hRule="exact" w:vSpace="1276" w:wrap="notBeside" w:vAnchor="page" w:hAnchor="margin" w:y="1146" w:anchorLock="1"/>
          </w:pPr>
          <w:r>
            <w:t>strategy, market vision and innovation</w:t>
          </w:r>
        </w:p>
        <w:p w:rsidR="006F5224" w:rsidRPr="004A6CF2" w:rsidRDefault="00884FFC" w:rsidP="00DA0B35">
          <w:pPr>
            <w:pStyle w:val="CoverTitle"/>
          </w:pPr>
          <w:r w:rsidRPr="004A6CF2">
            <w:rPr>
              <w:noProof/>
            </w:rPr>
            <mc:AlternateContent>
              <mc:Choice Requires="wps">
                <w:drawing>
                  <wp:anchor distT="45720" distB="45720" distL="114300" distR="114300" simplePos="0" relativeHeight="251822592" behindDoc="0" locked="0" layoutInCell="1" allowOverlap="1" wp14:anchorId="77FF479C" wp14:editId="176B25F5">
                    <wp:simplePos x="0" y="0"/>
                    <wp:positionH relativeFrom="margin">
                      <wp:posOffset>-114740</wp:posOffset>
                    </wp:positionH>
                    <wp:positionV relativeFrom="paragraph">
                      <wp:posOffset>390525</wp:posOffset>
                    </wp:positionV>
                    <wp:extent cx="4259580" cy="4800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480060"/>
                            </a:xfrm>
                            <a:prstGeom prst="rect">
                              <a:avLst/>
                            </a:prstGeom>
                            <a:noFill/>
                            <a:ln w="9525">
                              <a:noFill/>
                              <a:miter lim="800000"/>
                              <a:headEnd/>
                              <a:tailEnd/>
                            </a:ln>
                          </wps:spPr>
                          <wps:txbx>
                            <w:txbxContent>
                              <w:p w:rsidR="00293A66" w:rsidRPr="00884FFC" w:rsidRDefault="00293A66">
                                <w:pPr>
                                  <w:rPr>
                                    <w:sz w:val="36"/>
                                  </w:rPr>
                                </w:pPr>
                                <w:r>
                                  <w:rPr>
                                    <w:sz w:val="36"/>
                                  </w:rPr>
                                  <w:t xml:space="preserve">RESEARCH IMPACT EVALUATION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F479C" id="_x0000_t202" coordsize="21600,21600" o:spt="202" path="m,l,21600r21600,l21600,xe">
                    <v:stroke joinstyle="miter"/>
                    <v:path gradientshapeok="t" o:connecttype="rect"/>
                  </v:shapetype>
                  <v:shape id="Text Box 2" o:spid="_x0000_s1026" type="#_x0000_t202" style="position:absolute;margin-left:-9.05pt;margin-top:30.75pt;width:335.4pt;height:37.8pt;z-index:251822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jbCgIAAPQ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" filled="f" stroked="f">
                    <v:textbox>
                      <w:txbxContent>
                        <w:p w:rsidR="00293A66" w:rsidRPr="00884FFC" w:rsidRDefault="00293A66">
                          <w:pPr>
                            <w:rPr>
                              <w:sz w:val="36"/>
                            </w:rPr>
                          </w:pPr>
                          <w:r>
                            <w:rPr>
                              <w:sz w:val="36"/>
                            </w:rPr>
                            <w:t xml:space="preserve">RESEARCH IMPACT EVALUATION </w:t>
                          </w:r>
                        </w:p>
                      </w:txbxContent>
                    </v:textbox>
                    <w10:wrap type="square" anchorx="margin"/>
                  </v:shape>
                </w:pict>
              </mc:Fallback>
            </mc:AlternateContent>
          </w:r>
          <w:r w:rsidR="00042D44" w:rsidRPr="004A6CF2">
            <w:rPr>
              <w:noProof/>
            </w:rPr>
            <mc:AlternateContent>
              <mc:Choice Requires="wpg">
                <w:drawing>
                  <wp:anchor distT="0" distB="0" distL="114300" distR="114300" simplePos="0" relativeHeight="251816448" behindDoc="1" locked="0" layoutInCell="1" allowOverlap="1" wp14:anchorId="049BEC44" wp14:editId="6CC3B262">
                    <wp:simplePos x="0" y="0"/>
                    <wp:positionH relativeFrom="column">
                      <wp:posOffset>-886460</wp:posOffset>
                    </wp:positionH>
                    <wp:positionV relativeFrom="paragraph">
                      <wp:posOffset>-119380</wp:posOffset>
                    </wp:positionV>
                    <wp:extent cx="8095615" cy="1022350"/>
                    <wp:effectExtent l="5080" t="635" r="5080" b="5715"/>
                    <wp:wrapNone/>
                    <wp:docPr id="19"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5615" cy="1022350"/>
                              <a:chOff x="0" y="0"/>
                              <a:chExt cx="80962" cy="10223"/>
                            </a:xfrm>
                          </wpg:grpSpPr>
                          <wpg:grpSp>
                            <wpg:cNvPr id="20" name="Group 20"/>
                            <wpg:cNvGrpSpPr>
                              <a:grpSpLocks/>
                            </wpg:cNvGrpSpPr>
                            <wpg:grpSpPr bwMode="auto">
                              <a:xfrm>
                                <a:off x="0" y="0"/>
                                <a:ext cx="80962" cy="10223"/>
                                <a:chOff x="254" y="226"/>
                                <a:chExt cx="80962" cy="10223"/>
                              </a:xfrm>
                            </wpg:grpSpPr>
                            <wps:wsp>
                              <wps:cNvPr id="21" name="Freeform 21"/>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 name="Group 23"/>
                              <wpg:cNvGrpSpPr>
                                <a:grpSpLocks/>
                              </wpg:cNvGrpSpPr>
                              <wpg:grpSpPr bwMode="auto">
                                <a:xfrm>
                                  <a:off x="9186" y="3326"/>
                                  <a:ext cx="8853" cy="1049"/>
                                  <a:chOff x="6800" y="3263"/>
                                  <a:chExt cx="8851" cy="1047"/>
                                </a:xfrm>
                              </wpg:grpSpPr>
                              <wps:wsp>
                                <wps:cNvPr id="24" name="Freeform 24"/>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27"/>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Oval 36"/>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39"/>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3A66" w:rsidRPr="007367A7" w:rsidRDefault="00293A66" w:rsidP="006C3DCD">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41" name="Picture 4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9BEC44" id="Group 994" o:spid="_x0000_s1027" style="position:absolute;margin-left:-69.8pt;margin-top:-9.4pt;width:637.45pt;height:80.5pt;z-index:-251500032"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">
                    <v:group id="Group 20"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 o:spid="_x0000_s1029"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TxMMA&#10;AADbAAAADwAAAGRycy9kb3ducmV2LnhtbESPT4vCMBTE78J+h/AWvGlqQdGuUZZdFgVR8M9lb8/m&#10;2Rabl9BErd/eCILHYWZ+w0znranFlRpfWVYw6CcgiHOrKy4UHPZ/vTEIH5A11pZJwZ08zGcfnSlm&#10;2t54S9ddKESEsM9QQRmCy6T0eUkGfd864uidbGMwRNkUUjd4i3BTyzRJRtJgxXGhREc/JeXn3cUo&#10;2Ky2waXHX/5fDIfuoPeT86paK9X9bL+/QARqwzv8ai+1gnQA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STxMMAAADbAAAADwAAAAAAAAAAAAAAAACYAgAAZHJzL2Rv&#10;d25yZXYueG1sUEsFBgAAAAAEAAQA9QAAAIgDAAAAAA==&#10;" path="m2488,21v-204,,-204,,-204,c1994,21,1887,107,1808,137v97,81,229,176,470,176c2336,313,2488,313,2488,313v,-292,,-292,,-292m1354,c,,,,,,,157,,157,,157v1524,,1524,,1524,c1709,157,1769,152,1808,137v,,,,,c1808,137,1808,137,1808,137,1710,57,1548,,1354,e" fillcolor="#bfbfbf"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22" o:spid="_x0000_s1030"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Y/sQA&#10;AADbAAAADwAAAGRycy9kb3ducmV2LnhtbESPQWvCQBSE7wX/w/KE3urGVIqkriIRi7di2oPH1+xL&#10;Nm32bchuk/jvu4LQ4zAz3zCb3WRbMVDvG8cKlosEBHHpdMO1gs+P49MahA/IGlvHpOBKHnbb2cMG&#10;M+1GPtNQhFpECPsMFZgQukxKXxqy6BeuI45e5XqLIcq+lrrHMcJtK9MkeZEWG44LBjvKDZU/xa9V&#10;8Pac7If8Un2/V6vxK6/pYExxUOpxPu1fQQSawn/43j5pBWkKt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2P7EAAAA2wAAAA8AAAAAAAAAAAAAAAAAmAIAAGRycy9k&#10;b3ducmV2LnhtbFBLBQYAAAAABAAEAPUAAACJAw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23"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4" o:spid="_x0000_s1032"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wGMMA&#10;AADbAAAADwAAAGRycy9kb3ducmV2LnhtbESPQYvCMBSE74L/ITzBi2i6IlK6TWV3YVE8CFYPHt82&#10;b9ti81KaqPXfG0HwOMzMN0y66k0jrtS52rKCj1kEgriwuuZSwfHwO41BOI+ssbFMCu7kYJUNBykm&#10;2t54T9fclyJA2CWooPK+TaR0RUUG3cy2xMH7t51BH2RXSt3hLcBNI+dRtJQGaw4LFbb0U1Fxzi9G&#10;we7+bfptfmova/LxHx4nZ2lJqfGo//oE4an37/CrvdEK5gt4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hwGMMAAADbAAAADwAAAAAAAAAAAAAAAACYAgAAZHJzL2Rv&#10;d25yZXYueG1sUEsFBgAAAAAEAAQA9QAAAIgDA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25" o:spid="_x0000_s1033"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Cd8MA&#10;AADbAAAADwAAAGRycy9kb3ducmV2LnhtbESP0YrCMBRE3xf2H8IVfBFNFXSlGmUVCis+aLt+wKW5&#10;tsXmpjZRu39vBGEfh5k5wyzXnanFnVpXWVYwHkUgiHOrKy4UnH6T4RyE88gaa8uk4I8crFefH0uM&#10;tX1wSvfMFyJA2MWooPS+iaV0eUkG3cg2xME729agD7ItpG7xEeCmlpMomkmDFYeFEhvalpRfsptR&#10;8JXqDe0PRz+47uQ2Pc2S7OYSpfq97nsBwlPn/8Pv9o9WMJnC6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kCd8MAAADbAAAADwAAAAAAAAAAAAAAAACYAgAAZHJzL2Rv&#10;d25yZXYueG1sUEsFBgAAAAAEAAQA9QAAAIgDA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26" o:spid="_x0000_s1034"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cAMMA&#10;AADbAAAADwAAAGRycy9kb3ducmV2LnhtbESPQYvCMBSE7wv+h/AEL4um66Er1SgqFJQ9uK3+gEfz&#10;bIvNS7eJWv/9RhA8DjPzDbNY9aYRN+pcbVnB1yQCQVxYXXOp4HRMxzMQziNrbCyTggc5WC0HHwtM&#10;tL1zRrfclyJA2CWooPK+TaR0RUUG3cS2xME7286gD7Irpe7wHuCmkdMoiqXBmsNChS1tKyou+dUo&#10;+M70hn4Ov/7zby+32SlO86tLlRoN+/UchKfev8Ov9k4rmM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ucAMMAAADbAAAADwAAAAAAAAAAAAAAAACYAgAAZHJzL2Rv&#10;d25yZXYueG1sUEsFBgAAAAAEAAQA9QAAAIgDA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27" o:spid="_x0000_s1035"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AEMYA&#10;AADbAAAADwAAAGRycy9kb3ducmV2LnhtbESPQWvCQBSE7wX/w/IEL0U35tBKdBVtowg9lGoOHh/Z&#10;ZxKSfRuzq6b++m6h0OMwM98wi1VvGnGjzlWWFUwnEQji3OqKCwXZcTuegXAeWWNjmRR8k4PVcvC0&#10;wETbO3/R7eALESDsElRQet8mUrq8JINuYlvi4J1tZ9AH2RVSd3gPcNPIOIpepMGKw0KJLb2VlNeH&#10;q1FQP9L3S5weL6fn7PyRfW7q3ZRTpUbDfj0H4an3/+G/9l4riF/h90v4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AEMYAAADbAAAADwAAAAAAAAAAAAAAAACYAgAAZHJz&#10;L2Rvd25yZXYueG1sUEsFBgAAAAAEAAQA9QAAAIsDAAAAAA==&#10;" fillcolor="#00313c [3205]" stroked="f"/>
                        <v:shape id="Freeform 28" o:spid="_x0000_s1036"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Mxr4A&#10;AADbAAAADwAAAGRycy9kb3ducmV2LnhtbERPy4rCMBTdD/gP4QqzG1OFEalGEUEQUcEXbi/NtQ02&#10;NyWJWufrJwvB5eG8J7PW1uJBPhjHCvq9DARx4bThUsHpuPwZgQgRWWPtmBS8KMBs2vmaYK7dk/f0&#10;OMRSpBAOOSqoYmxyKUNRkcXQcw1x4q7OW4wJ+lJqj88Ubms5yLKhtGg4NVTY0KKi4na4WwVb/HUm&#10;w9tmfTn/aV+Y5e7saqW+u+18DCJSGz/it3ulFQzS2PQl/QA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OTMa+AAAA2wAAAA8AAAAAAAAAAAAAAAAAmAIAAGRycy9kb3ducmV2&#10;LnhtbFBLBQYAAAAABAAEAPUAAACDAw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29" o:spid="_x0000_s1037"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AecMA&#10;AADbAAAADwAAAGRycy9kb3ducmV2LnhtbESPUWvCQBCE3wX/w7GCb3qp0NqmniKCEAUfjP6AJbdN&#10;0uT2Ym6r6b/vFQp9HGbmG2a1GVyr7tSH2rOBp3kCirjwtubSwPWyn72CCoJssfVMBr4pwGY9Hq0w&#10;tf7BZ7rnUqoI4ZCigUqkS7UORUUOw9x3xNH78L1DibIvte3xEeGu1YskedEOa44LFXa0q6ho8i9n&#10;4JlPx2XWXE/SFMdDmeVy+9TWmOlk2L6DEhrkP/zXzqyBxRv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AecMAAADbAAAADwAAAAAAAAAAAAAAAACYAgAAZHJzL2Rv&#10;d25yZXYueG1sUEsFBgAAAAAEAAQA9QAAAIgDA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30" o:spid="_x0000_s1038"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pdcEA&#10;AADbAAAADwAAAGRycy9kb3ducmV2LnhtbERP3WrCMBS+F/YO4Qy8EU2nTqQzyhAUQRB0PsChOUvr&#10;mpMuibW+vbkQvPz4/herztaiJR8qxwo+RhkI4sLpio2C889mOAcRIrLG2jEpuFOA1fKtt8Bcuxsf&#10;qT1FI1IIhxwVlDE2uZShKMliGLmGOHG/zluMCXojtcdbCre1HGfZTFqsODWU2NC6pOLvdLUK4mE7&#10;2Xya1k8HdfN/yS6Dq9kflOq/d99fICJ18SV+undawSStT1/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qXXBAAAA2wAAAA8AAAAAAAAAAAAAAAAAmAIAAGRycy9kb3du&#10;cmV2LnhtbFBLBQYAAAAABAAEAPUAAACGAw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32" o:spid="_x0000_s1039"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uEcIA&#10;AADbAAAADwAAAGRycy9kb3ducmV2LnhtbESPT4vCMBTE7wt+h/AWvK2piiJdoyxiQbypBa+P5tmW&#10;bV5qk/7RT2+EhT0OM78ZZr0dTCU6alxpWcF0EoEgzqwuOVeQXpKvFQjnkTVWlknBgxxsN6OPNcba&#10;9nyi7uxzEUrYxaig8L6OpXRZQQbdxNbEwbvZxqAPssmlbrAP5aaSsyhaSoMlh4UCa9oVlP2eW6Ng&#10;3rqkm17NfZFGSXdrj71+7nOlxp/DzzcIT4P/D//RBx24Gby/h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K4RwgAAANsAAAAPAAAAAAAAAAAAAAAAAJgCAABkcnMvZG93&#10;bnJldi54bWxQSwUGAAAAAAQABAD1AAAAhwM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33" o:spid="_x0000_s1040"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6scMA&#10;AADbAAAADwAAAGRycy9kb3ducmV2LnhtbESPQUsDMRSE70L/Q3hCbzarW0S2TYuUiqUnbT3o7bF5&#10;3SxuXpbkuV3/vREKPQ4z8w2zXI++UwPF1AY2cD8rQBHXwbbcGPg4vtw9gUqCbLELTAZ+KcF6NblZ&#10;YmXDmd9pOEijMoRThQacSF9pnWpHHtMs9MTZO4XoUbKMjbYRzxnuO/1QFI/aY8t5wWFPG0f19+HH&#10;G+g/h+2b8LZJ0RWvJc7xa5C9MdPb8XkBSmiUa/jS3lkDZQn/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R6scMAAADbAAAADwAAAAAAAAAAAAAAAACYAgAAZHJzL2Rv&#10;d25yZXYueG1sUEsFBgAAAAAEAAQA9QAAAIgDA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36" o:spid="_x0000_s1041"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zVscA&#10;AADbAAAADwAAAGRycy9kb3ducmV2LnhtbESPzWvCQBTE74X+D8sreJG60YJIdCN+pKXQg6g59PjI&#10;vnyQ7NuY3Wrav75bEHocZuY3zGo9mFZcqXe1ZQXTSQSCOLe65lJBdn59XoBwHllja5kUfJODdfL4&#10;sMJY2xsf6XrypQgQdjEqqLzvYildXpFBN7EdcfAK2xv0Qfal1D3eAty0chZFc2mw5rBQYUe7ivLm&#10;9GUUND/p/jJLz5fPcVZ8ZIdt8zblVKnR07BZgvA0+P/wvf2uFbzM4e9L+AE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d81bHAAAA2wAAAA8AAAAAAAAAAAAAAAAAmAIAAGRy&#10;cy9kb3ducmV2LnhtbFBLBQYAAAAABAAEAPUAAACMAwAAAAA=&#10;" fillcolor="#00313c [3205]" stroked="f"/>
                        <v:shape id="Freeform 37" o:spid="_x0000_s1042"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HF8QA&#10;AADbAAAADwAAAGRycy9kb3ducmV2LnhtbESPQWvCQBSE7wX/w/KEXoJutNBKdBVpEQpe2qjo8ZF9&#10;JsHs25B9avz33UKhx2FmvmEWq9416kZdqD0bmIxTUMSFtzWXBva7zWgGKgiyxcYzGXhQgNVy8LTA&#10;zPo7f9Mtl1JFCIcMDVQibaZ1KCpyGMa+JY7e2XcOJcqu1LbDe4S7Rk/T9FU7rDkuVNjSe0XFJb86&#10;A3RKjnU+Sbb7j2R6cruy+RI5GPM87NdzUEK9/If/2p/WwMsb/H6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BxfEAAAA2wAAAA8AAAAAAAAAAAAAAAAAmAIAAGRycy9k&#10;b3ducmV2LnhtbFBLBQYAAAAABAAEAPUAAACJAw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38" o:spid="_x0000_s1043"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uJ8IA&#10;AADbAAAADwAAAGRycy9kb3ducmV2LnhtbERPy4rCMBTdC/MP4Q7MRjRVwY4d0zIIgoIbH5vZXZtr&#10;W2xuShNtx683C8Hl4byXWW9qcafWVZYVTMYRCOLc6ooLBafjevQNwnlkjbVlUvBPDrL0Y7DERNuO&#10;93Q/+EKEEHYJKii9bxIpXV6SQTe2DXHgLrY16ANsC6lb7EK4qeU0iubSYMWhocSGViXl18PNKFgv&#10;4t3wGhe4fZzrftPFf1U8b5T6+ux/f0B46v1b/HJvtIJZGBu+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G4nwgAAANsAAAAPAAAAAAAAAAAAAAAAAJgCAABkcnMvZG93&#10;bnJldi54bWxQSwUGAAAAAAQABAD1AAAAhwM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39"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8znsAA&#10;AADbAAAADwAAAGRycy9kb3ducmV2LnhtbESPT4vCMBTE7wt+h/AEb2vqiqLVKCII9bCH9c/90Tyb&#10;0ualJFmt394sCHscZuY3zHrb21bcyYfasYLJOANBXDpdc6Xgcj58LkCEiKyxdUwKnhRguxl8rDHX&#10;7sE/dD/FSiQIhxwVmBi7XMpQGrIYxq4jTt7NeYsxSV9J7fGR4LaVX1k2lxZrTgsGO9obKpvTr1UQ&#10;Z60r9NX6pvg+9oVp5jsmVGo07HcrEJH6+B9+twutYLqEvy/pB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8znsAAAADbAAAADwAAAAAAAAAAAAAAAACYAgAAZHJzL2Rvd25y&#10;ZXYueG1sUEsFBgAAAAAEAAQA9QAAAIUDA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40" o:spid="_x0000_s1045"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17wA&#10;AADbAAAADwAAAGRycy9kb3ducmV2LnhtbERPzQ7BQBC+S7zDZiRubIkIZYlIiBtaieukO9rSnW26&#10;i3p7e5A4fvn+l+vWVOJFjSstKxgNIxDEmdUl5wou6W4wA+E8ssbKMin4kIP1qttZYqztm8/0Snwu&#10;Qgi7GBUU3texlC4ryKAb2po4cDfbGPQBNrnUDb5DuKnkOIqm0mDJoaHAmrYFZY/kaRQcp8/jbTt/&#10;2Cyp9ye6X1MvbapUv9duFiA8tf4v/rkPWsEkrA9fw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ZeLXvAAAANsAAAAPAAAAAAAAAAAAAAAAAJgCAABkcnMvZG93bnJldi54&#10;bWxQSwUGAAAAAAQABAD1AAAAgQMAAAAA&#10;" adj="-11796480,,5400" path="m476,c186,,79,86,,116v128,73,229,156,470,156c528,272,680,272,680,272,680,,680,,680,l476,xe" fillcolor="#f8f8f8" stroked="f">
                        <v:stroke joinstyle="miter"/>
                        <v:formulas/>
                        <v:path arrowok="t" o:connecttype="custom" o:connectlocs="2147483646,0;0,2147483646;2147483646,2147483646;2147483646,2147483646;2147483646,0;2147483646,0" o:connectangles="0,0,0,0,0,0" textboxrect="0,0,680,272"/>
                        <v:textbox>
                          <w:txbxContent>
                            <w:p w:rsidR="00293A66" w:rsidRPr="007367A7" w:rsidRDefault="00293A66" w:rsidP="006C3DCD">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46" type="#_x0000_t75"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AwyjEAAAA2wAAAA8AAABkcnMvZG93bnJldi54bWxEj0FrAjEUhO+C/yG8Qm+aVYrV1SgiFEpZ&#10;Kdoe9PbcPDdLNy/bTarpvzeFgsdhZr5hFqtoG3GhzteOFYyGGQji0umaKwWfHy+DKQgfkDU2jknB&#10;L3lYLfu9BebaXXlHl32oRIKwz1GBCaHNpfSlIYt+6Fri5J1dZzEk2VVSd3hNcNvIcZZNpMWa04LB&#10;ljaGyq/9j1VwKr6bw8HNJu8mbiMe34rzMxdKPT7E9RxEoBju4f/2q1bwNIK/L+kH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AwyjEAAAA2wAAAA8AAAAAAAAAAAAAAAAA&#10;nwIAAGRycy9kb3ducmV2LnhtbFBLBQYAAAAABAAEAPcAAACQAwAAAAA=&#10;">
                      <v:imagedata r:id="rId9" o:title=""/>
                      <v:path arrowok="t"/>
                    </v:shape>
                  </v:group>
                </w:pict>
              </mc:Fallback>
            </mc:AlternateContent>
          </w:r>
          <w:r w:rsidR="00E8483F" w:rsidRPr="00E8483F">
            <w:t xml:space="preserve">Biomarkers for detection of colorectal cancer </w:t>
          </w:r>
          <w:r w:rsidR="00F62FD1">
            <w:t xml:space="preserve"> </w:t>
          </w:r>
          <w:r w:rsidR="00FA2FAA" w:rsidRPr="004A6CF2">
            <w:t xml:space="preserve"> </w:t>
          </w:r>
        </w:p>
        <w:p w:rsidR="00263D7F" w:rsidRPr="004A6CF2" w:rsidRDefault="004A31BD" w:rsidP="00263D7F">
          <w:pPr>
            <w:pStyle w:val="BodyText"/>
          </w:pPr>
          <w:sdt>
            <w:sdtPr>
              <w:id w:val="220948280"/>
              <w:placeholder>
                <w:docPart w:val="046967C8A3744B5DA0D6167F86CBE84B"/>
              </w:placeholder>
              <w:date w:fullDate="2017-10-01T00:00:00Z">
                <w:dateFormat w:val="MMMM yyyy"/>
                <w:lid w:val="en-AU"/>
                <w:storeMappedDataAs w:val="dateTime"/>
                <w:calendar w:val="gregorian"/>
              </w:date>
            </w:sdtPr>
            <w:sdtEndPr/>
            <w:sdtContent>
              <w:r w:rsidR="000F06DC">
                <w:t>October 2017</w:t>
              </w:r>
            </w:sdtContent>
          </w:sdt>
        </w:p>
        <w:p w:rsidR="00B91098" w:rsidRPr="004A6CF2" w:rsidRDefault="00263D7F" w:rsidP="00263D7F">
          <w:pPr>
            <w:spacing w:after="0"/>
            <w:rPr>
              <w:sz w:val="24"/>
            </w:rPr>
          </w:pPr>
          <w:r w:rsidRPr="004A6CF2">
            <w:t xml:space="preserve"> </w:t>
          </w:r>
          <w:r w:rsidR="00B91098" w:rsidRPr="004A6CF2">
            <w:br w:type="page"/>
          </w:r>
          <w:bookmarkStart w:id="0" w:name="_GoBack"/>
          <w:bookmarkEnd w:id="0"/>
        </w:p>
        <w:p w:rsidR="00BD3CD7" w:rsidRPr="004A6CF2" w:rsidRDefault="00042D44" w:rsidP="009A623D">
          <w:pPr>
            <w:pStyle w:val="BodyText"/>
          </w:pPr>
          <w:r w:rsidRPr="004A6CF2">
            <w:rPr>
              <w:noProof/>
            </w:rPr>
            <w:lastRenderedPageBreak/>
            <mc:AlternateContent>
              <mc:Choice Requires="wpg">
                <w:drawing>
                  <wp:anchor distT="0" distB="0" distL="114300" distR="114300" simplePos="0" relativeHeight="251817472" behindDoc="0" locked="1" layoutInCell="1" allowOverlap="1" wp14:anchorId="2A9F56F5" wp14:editId="3DD7CA7F">
                    <wp:simplePos x="0" y="0"/>
                    <wp:positionH relativeFrom="column">
                      <wp:posOffset>-1245870</wp:posOffset>
                    </wp:positionH>
                    <wp:positionV relativeFrom="page">
                      <wp:posOffset>8954770</wp:posOffset>
                    </wp:positionV>
                    <wp:extent cx="9381490" cy="1239520"/>
                    <wp:effectExtent l="7620" t="1270" r="2540" b="6985"/>
                    <wp:wrapNone/>
                    <wp:docPr id="11" name="Group 1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239520"/>
                              <a:chOff x="-828" y="14243"/>
                              <a:chExt cx="14774" cy="1952"/>
                            </a:xfrm>
                          </wpg:grpSpPr>
                          <wps:wsp>
                            <wps:cNvPr id="13" name="Freeform 13"/>
                            <wps:cNvSpPr>
                              <a:spLocks/>
                            </wps:cNvSpPr>
                            <wps:spPr bwMode="auto">
                              <a:xfrm>
                                <a:off x="-828" y="14243"/>
                                <a:ext cx="3393" cy="976"/>
                              </a:xfrm>
                              <a:custGeom>
                                <a:avLst/>
                                <a:gdLst>
                                  <a:gd name="T0" fmla="*/ 2154555 w 667"/>
                                  <a:gd name="T1" fmla="*/ 532606 h 192"/>
                                  <a:gd name="T2" fmla="*/ 93676 w 667"/>
                                  <a:gd name="T3" fmla="*/ 0 h 192"/>
                                  <a:gd name="T4" fmla="*/ 0 w 667"/>
                                  <a:gd name="T5" fmla="*/ 0 h 192"/>
                                  <a:gd name="T6" fmla="*/ 0 w 667"/>
                                  <a:gd name="T7" fmla="*/ 619760 h 192"/>
                                  <a:gd name="T8" fmla="*/ 865698 w 667"/>
                                  <a:gd name="T9" fmla="*/ 619760 h 192"/>
                                  <a:gd name="T10" fmla="*/ 2154555 w 667"/>
                                  <a:gd name="T11" fmla="*/ 532606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2565" y="14243"/>
                                <a:ext cx="11381" cy="1952"/>
                              </a:xfrm>
                              <a:custGeom>
                                <a:avLst/>
                                <a:gdLst>
                                  <a:gd name="T0" fmla="*/ 2161296 w 2237"/>
                                  <a:gd name="T1" fmla="*/ 0 h 384"/>
                                  <a:gd name="T2" fmla="*/ 0 w 2237"/>
                                  <a:gd name="T3" fmla="*/ 532606 h 384"/>
                                  <a:gd name="T4" fmla="*/ 2135451 w 2237"/>
                                  <a:gd name="T5" fmla="*/ 1239520 h 384"/>
                                  <a:gd name="T6" fmla="*/ 7226935 w 2237"/>
                                  <a:gd name="T7" fmla="*/ 1239520 h 384"/>
                                  <a:gd name="T8" fmla="*/ 7226935 w 2237"/>
                                  <a:gd name="T9" fmla="*/ 0 h 384"/>
                                  <a:gd name="T10" fmla="*/ 2161296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828" y="15610"/>
                                <a:ext cx="11208" cy="224"/>
                              </a:xfrm>
                              <a:custGeom>
                                <a:avLst/>
                                <a:gdLst>
                                  <a:gd name="T0" fmla="*/ 7117080 w 2203"/>
                                  <a:gd name="T1" fmla="*/ 122844 h 44"/>
                                  <a:gd name="T2" fmla="*/ 6648639 w 2203"/>
                                  <a:gd name="T3" fmla="*/ 0 h 44"/>
                                  <a:gd name="T4" fmla="*/ 0 w 2203"/>
                                  <a:gd name="T5" fmla="*/ 0 h 44"/>
                                  <a:gd name="T6" fmla="*/ 0 w 2203"/>
                                  <a:gd name="T7" fmla="*/ 142240 h 44"/>
                                  <a:gd name="T8" fmla="*/ 6823093 w 2203"/>
                                  <a:gd name="T9" fmla="*/ 142240 h 44"/>
                                  <a:gd name="T10" fmla="*/ 7117080 w 2203"/>
                                  <a:gd name="T11" fmla="*/ 122844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0380" y="15610"/>
                                <a:ext cx="3566" cy="447"/>
                              </a:xfrm>
                              <a:custGeom>
                                <a:avLst/>
                                <a:gdLst>
                                  <a:gd name="T0" fmla="*/ 494229 w 701"/>
                                  <a:gd name="T1" fmla="*/ 0 h 88"/>
                                  <a:gd name="T2" fmla="*/ 0 w 701"/>
                                  <a:gd name="T3" fmla="*/ 122569 h 88"/>
                                  <a:gd name="T4" fmla="*/ 487769 w 701"/>
                                  <a:gd name="T5" fmla="*/ 283845 h 88"/>
                                  <a:gd name="T6" fmla="*/ 2264410 w 701"/>
                                  <a:gd name="T7" fmla="*/ 283845 h 88"/>
                                  <a:gd name="T8" fmla="*/ 2264410 w 701"/>
                                  <a:gd name="T9" fmla="*/ 0 h 88"/>
                                  <a:gd name="T10" fmla="*/ 494229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8635" y="15158"/>
                                <a:ext cx="5311" cy="223"/>
                              </a:xfrm>
                              <a:custGeom>
                                <a:avLst/>
                                <a:gdLst>
                                  <a:gd name="T0" fmla="*/ 0 w 1044"/>
                                  <a:gd name="T1" fmla="*/ 22528 h 44"/>
                                  <a:gd name="T2" fmla="*/ 468401 w 1044"/>
                                  <a:gd name="T3" fmla="*/ 141605 h 44"/>
                                  <a:gd name="T4" fmla="*/ 3372485 w 1044"/>
                                  <a:gd name="T5" fmla="*/ 141605 h 44"/>
                                  <a:gd name="T6" fmla="*/ 3372485 w 1044"/>
                                  <a:gd name="T7" fmla="*/ 0 h 44"/>
                                  <a:gd name="T8" fmla="*/ 293962 w 1044"/>
                                  <a:gd name="T9" fmla="*/ 0 h 44"/>
                                  <a:gd name="T10" fmla="*/ 0 w 1044"/>
                                  <a:gd name="T11" fmla="*/ 22528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44" h="44">
                                    <a:moveTo>
                                      <a:pt x="0" y="7"/>
                                    </a:moveTo>
                                    <a:cubicBezTo>
                                      <a:pt x="35" y="27"/>
                                      <a:pt x="83" y="44"/>
                                      <a:pt x="145" y="44"/>
                                    </a:cubicBezTo>
                                    <a:cubicBezTo>
                                      <a:pt x="1044" y="44"/>
                                      <a:pt x="1044" y="44"/>
                                      <a:pt x="1044" y="44"/>
                                    </a:cubicBezTo>
                                    <a:cubicBezTo>
                                      <a:pt x="1044" y="0"/>
                                      <a:pt x="1044" y="0"/>
                                      <a:pt x="1044" y="0"/>
                                    </a:cubicBezTo>
                                    <a:cubicBezTo>
                                      <a:pt x="91" y="0"/>
                                      <a:pt x="91" y="0"/>
                                      <a:pt x="91" y="0"/>
                                    </a:cubicBezTo>
                                    <a:cubicBezTo>
                                      <a:pt x="32" y="0"/>
                                      <a:pt x="12" y="2"/>
                                      <a:pt x="0"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828" y="14939"/>
                                <a:ext cx="9463" cy="442"/>
                              </a:xfrm>
                              <a:custGeom>
                                <a:avLst/>
                                <a:gdLst>
                                  <a:gd name="T0" fmla="*/ 5514716 w 1860"/>
                                  <a:gd name="T1" fmla="*/ 280670 h 87"/>
                                  <a:gd name="T2" fmla="*/ 6009005 w 1860"/>
                                  <a:gd name="T3" fmla="*/ 161305 h 87"/>
                                  <a:gd name="T4" fmla="*/ 5521177 w 1860"/>
                                  <a:gd name="T5" fmla="*/ 0 h 87"/>
                                  <a:gd name="T6" fmla="*/ 0 w 1860"/>
                                  <a:gd name="T7" fmla="*/ 0 h 87"/>
                                  <a:gd name="T8" fmla="*/ 0 w 1860"/>
                                  <a:gd name="T9" fmla="*/ 280670 h 87"/>
                                  <a:gd name="T10" fmla="*/ 5514716 w 1860"/>
                                  <a:gd name="T11" fmla="*/ 280670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AD92A" id="Group 1014" o:spid="_x0000_s1026" alt="background" style="position:absolute;margin-left:-98.1pt;margin-top:705.1pt;width:738.7pt;height:97.6pt;z-index:251817472;mso-position-vertical-relative:page" coordorigin="-828,14243" coordsize="147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">
                    <v:shape id="Freeform 116" o:spid="_x0000_s1027" alt="Background image" style="position:absolute;left:-828;top:14243;width:3393;height:976;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6lsAA&#10;AADbAAAADwAAAGRycy9kb3ducmV2LnhtbERPS4vCMBC+L/gfwgje1lQFWatRiqCst/UFehuasS02&#10;k5Jkte6vN4Kwt/n4njNbtKYWN3K+sqxg0E9AEOdWV1woOOxXn18gfEDWWFsmBQ/ysJh3PmaYanvn&#10;Ld12oRAxhH2KCsoQmlRKn5dk0PdtQxy5i3UGQ4SukNrhPYabWg6TZCwNVhwbSmxoWVJ+3f0aBSN7&#10;Puqs+ltnP4429jRphuPzRqlet82mIAK14V/8dn/rOH8Er1/i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q6lsAAAADbAAAADwAAAAAAAAAAAAAAAACYAgAAZHJzL2Rvd25y&#10;ZXYueG1sUEsFBgAAAAAEAAQA9QAAAIUDAAAAAA==&#10;" path="m667,165c513,77,302,,29,,,,,,,,,192,,192,,192v268,,268,,268,c528,192,612,186,667,165e" fillcolor="#00a9ce [3204]" stroked="f">
                      <v:path arrowok="t" o:connecttype="custom" o:connectlocs="10960128,2707414;476526,0;0,0;0,3150447;4403768,3150447;10960128,2707414" o:connectangles="0,0,0,0,0,0"/>
                    </v:shape>
                    <v:shape id="Freeform 117" o:spid="_x0000_s1028" alt="Background image" style="position:absolute;left:2565;top:14243;width:11381;height:1952;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0vjr0A&#10;AADbAAAADwAAAGRycy9kb3ducmV2LnhtbERPzQrCMAy+C75DieBNO0VEplVUEAVPTsFrWOM2XNOx&#10;Vjd9eisI3vLx/Waxak0pnlS7wrKC0TACQZxaXXCm4HLeDWYgnEfWWFomBS9ysFp2OwuMtW34RM/E&#10;ZyKEsItRQe59FUvp0pwMuqGtiAN3s7VBH2CdSV1jE8JNKcdRNJUGCw4NOVa0zSm9Jw+jYF+dbs1m&#10;fbUJ7Y6j9/R9nWS8V6rfa9dzEJ5a/xf/3Acd5k/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10vjr0AAADbAAAADwAAAAAAAAAAAAAAAACYAgAAZHJzL2Rvd25yZXYu&#10;eG1sUEsFBgAAAAAEAAQA9QAAAIIDAAAAAA==&#10;" path="m669,c262,,112,122,,165,180,268,322,384,661,384v82,,1576,,1576,c2237,,2237,,2237,l669,xe" fillcolor="#00a9ce [3204]" stroked="f">
                      <v:path arrowok="t" o:connecttype="custom" o:connectlocs="10995847,0;0,2707414;10864358,6300893;36767880,6300893;36767880,0;10995847,0" o:connectangles="0,0,0,0,0,0"/>
                    </v:shape>
                    <v:shape id="Freeform 119" o:spid="_x0000_s1029" alt="Background image" style="position:absolute;left:-828;top:15610;width:11208;height:224;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AJ8AA&#10;AADbAAAADwAAAGRycy9kb3ducmV2LnhtbERP24rCMBB9F/yHMIJvNlVWka5RZEERxAcvHzA0s02x&#10;mZQka7t+vREW9m0O5zqrTW8b8SAfascKplkOgrh0uuZKwe26myxBhIissXFMCn4pwGY9HKyw0K7j&#10;Mz0usRIphEOBCkyMbSFlKA1ZDJlriRP37bzFmKCvpPbYpXDbyFmeL6TFmlODwZa+DJX3y49VcDg+&#10;93y+6+l8sdwaf/rQ5ayLSo1H/fYTRKQ+/ov/3Aed5s/h/Us6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lAJ8AAAADbAAAADwAAAAAAAAAAAAAAAACYAgAAZHJzL2Rvd25y&#10;ZXYueG1sUEsFBgAAAAAEAAQA9QAAAIUDAAAAAA==&#10;" path="m2203,38c2169,21,2120,,2058,,,,,,,,,44,,44,,44v2112,,2112,,2112,c2112,44,2193,40,2203,38e" fillcolor="#00313c [3205]" stroked="f">
                      <v:path arrowok="t" o:connecttype="custom" o:connectlocs="36208912,625388;33825668,0;0,0;0,724131;34713221,724131;36208912,625388" o:connectangles="0,0,0,0,0,0"/>
                    </v:shape>
                    <v:shape id="Freeform 120" o:spid="_x0000_s1030" alt="Background image" style="position:absolute;left:10380;top:15610;width:3566;height:447;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GLoA&#10;AADbAAAADwAAAGRycy9kb3ducmV2LnhtbERPzQrCMAy+C75DieBNO0VEplVEEPWozntY4zZc07JW&#10;N9/eCoK3fHy/WW06U4sXNb6yrGAyTkAQ51ZXXCjIrvvRAoQPyBpry6TgTR42635vham2LZ/pdQmF&#10;iCHsU1RQhuBSKX1ekkE/to44cnfbGAwRNoXUDbYx3NRymiRzabDi2FCio11J+ePyNAqMm52ym7tX&#10;192hZdxnCbfHh1LDQbddggjUhb/45z7qOH8O31/iAX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epGLoAAADbAAAADwAAAAAAAAAAAAAAAACYAgAAZHJzL2Rvd25yZXYueG1s&#10;UEsFBgAAAAAEAAQA9QAAAH8DAAAAAA==&#10;" path="m153,c60,,26,28,,38,41,61,74,88,151,88v550,,550,,550,c701,,701,,701,l153,xe" stroked="f">
                      <v:path arrowok="t" o:connecttype="custom" o:connectlocs="2514152,0;0,622595;2481290,1441804;11519096,1441804;11519096,0;2514152,0" o:connectangles="0,0,0,0,0,0"/>
                    </v:shape>
                    <v:shape id="Freeform 121" o:spid="_x0000_s1031" alt="Background image" style="position:absolute;left:8635;top:15158;width:5311;height:223;visibility:visible;mso-wrap-style:square;v-text-anchor:top" coordsize="10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toMMA&#10;AADbAAAADwAAAGRycy9kb3ducmV2LnhtbERPTWvCQBC9C/6HZYTedKNSW6KrFEGRIkJiaT0O2TGJ&#10;zc6G7Fajv94VhN7m8T5ntmhNJc7UuNKyguEgAkGcWV1yruBrv+q/g3AeWWNlmRRcycFi3u3MMNb2&#10;wgmdU5+LEMIuRgWF93UspcsKMugGtiYO3NE2Bn2ATS51g5cQbio5iqKJNFhyaCiwpmVB2W/6ZxQc&#10;tslxddv9+Nd0t0w2+9P6+3M8Uuql135MQXhq/b/46d7oMP8NHr+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7toMMAAADbAAAADwAAAAAAAAAAAAAAAACYAgAAZHJzL2Rv&#10;d25yZXYueG1sUEsFBgAAAAAEAAQA9QAAAIgDAAAAAA==&#10;" path="m,7c35,27,83,44,145,44v899,,899,,899,c1044,,1044,,1044,,91,,91,,91,,32,,12,2,,7e" stroked="f">
                      <v:path arrowok="t" o:connecttype="custom" o:connectlocs="0,114176;2382833,717680;17156387,717680;17156387,0;1495433,0;0,114176" o:connectangles="0,0,0,0,0,0"/>
                    </v:shape>
                    <v:shape id="Freeform 122" o:spid="_x0000_s1032" alt="Background image" style="position:absolute;left:-828;top:14939;width:9463;height:442;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MYA&#10;AADbAAAADwAAAGRycy9kb3ducmV2LnhtbESPQW/CMAyF75P4D5EncRvpOLCtENBAoHFBGmyHcbMa&#10;01ZrnJJkpezX48Ok3Wy95/c+zxa9a1RHIdaeDTyOMlDEhbc1lwY+PzYPz6BiQrbYeCYDV4qwmA/u&#10;Zphbf+E9dYdUKgnhmKOBKqU21zoWFTmMI98Si3bywWGSNZTaBrxIuGv0OMsm2mHN0lBhS6uKiu/D&#10;jzPwEq/p+LVcvy+3u/Pb77ELbrV+MmZ4379OQSXq07/573pr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t+MYAAADbAAAADwAAAAAAAAAAAAAAAACYAgAAZHJz&#10;L2Rvd25yZXYueG1sUEsFBgAAAAAEAAQA9QAAAIsDAAAAAA==&#10;" path="m1707,87v93,,127,-28,153,-37c1819,26,1786,,1709,,,,,,,,,87,,87,,87r1707,xe" stroked="f">
                      <v:path arrowok="t" o:connecttype="custom" o:connectlocs="28056859,1425933;30571621,819504;28089730,0;0,0;0,1425933;28056859,1425933" o:connectangles="0,0,0,0,0,0"/>
                    </v:shape>
                    <w10:wrap anchory="page"/>
                    <w10:anchorlock/>
                  </v:group>
                </w:pict>
              </mc:Fallback>
            </mc:AlternateContent>
          </w:r>
        </w:p>
      </w:sdtContent>
    </w:sdt>
    <w:p w:rsidR="00BD3CD7" w:rsidRPr="004A6CF2" w:rsidRDefault="00BD3CD7" w:rsidP="00D1044D">
      <w:pPr>
        <w:pStyle w:val="Heading1noTOC"/>
      </w:pPr>
      <w:r w:rsidRPr="004A6CF2">
        <w:t>Contents</w:t>
      </w:r>
    </w:p>
    <w:p w:rsidR="007D35EF" w:rsidRDefault="00456271">
      <w:pPr>
        <w:pStyle w:val="TOC2"/>
      </w:pPr>
      <w:r w:rsidRPr="004A6CF2">
        <w:fldChar w:fldCharType="begin"/>
      </w:r>
      <w:r w:rsidR="00BD3CD7" w:rsidRPr="004A6CF2">
        <w:instrText xml:space="preserve"> TOC \h \z \t "Heading 1,2,Heading 2,3,PartTitle,1,Heading 1 Numbered,2,Heading 1 not numbered,2,Heading 2 not numbered,3,Appendix Heading 1,2" </w:instrText>
      </w:r>
      <w:r w:rsidRPr="004A6CF2">
        <w:fldChar w:fldCharType="separate"/>
      </w:r>
    </w:p>
    <w:p w:rsidR="007D35EF" w:rsidRDefault="004A31BD">
      <w:pPr>
        <w:pStyle w:val="TOC2"/>
        <w:rPr>
          <w:rFonts w:asciiTheme="minorHAnsi" w:eastAsiaTheme="minorEastAsia" w:hAnsiTheme="minorHAnsi" w:cstheme="minorBidi"/>
          <w:color w:val="auto"/>
          <w:sz w:val="22"/>
        </w:rPr>
      </w:pPr>
      <w:hyperlink w:anchor="_Toc494707083" w:history="1">
        <w:r w:rsidR="007D35EF" w:rsidRPr="007C663F">
          <w:rPr>
            <w:rStyle w:val="Hyperlink"/>
          </w:rPr>
          <w:t>1</w:t>
        </w:r>
        <w:r w:rsidR="007D35EF">
          <w:rPr>
            <w:rFonts w:asciiTheme="minorHAnsi" w:eastAsiaTheme="minorEastAsia" w:hAnsiTheme="minorHAnsi" w:cstheme="minorBidi"/>
            <w:color w:val="auto"/>
            <w:sz w:val="22"/>
          </w:rPr>
          <w:tab/>
        </w:r>
        <w:r w:rsidR="007D35EF" w:rsidRPr="007C663F">
          <w:rPr>
            <w:rStyle w:val="Hyperlink"/>
          </w:rPr>
          <w:t>Executive Summary</w:t>
        </w:r>
        <w:r w:rsidR="007D35EF">
          <w:rPr>
            <w:webHidden/>
          </w:rPr>
          <w:tab/>
        </w:r>
        <w:r w:rsidR="007D35EF">
          <w:rPr>
            <w:webHidden/>
          </w:rPr>
          <w:fldChar w:fldCharType="begin"/>
        </w:r>
        <w:r w:rsidR="007D35EF">
          <w:rPr>
            <w:webHidden/>
          </w:rPr>
          <w:instrText xml:space="preserve"> PAGEREF _Toc494707083 \h </w:instrText>
        </w:r>
        <w:r w:rsidR="007D35EF">
          <w:rPr>
            <w:webHidden/>
          </w:rPr>
        </w:r>
        <w:r w:rsidR="007D35EF">
          <w:rPr>
            <w:webHidden/>
          </w:rPr>
          <w:fldChar w:fldCharType="separate"/>
        </w:r>
        <w:r w:rsidR="00651BFC">
          <w:rPr>
            <w:webHidden/>
          </w:rPr>
          <w:t>2</w:t>
        </w:r>
        <w:r w:rsidR="007D35EF">
          <w:rPr>
            <w:webHidden/>
          </w:rPr>
          <w:fldChar w:fldCharType="end"/>
        </w:r>
      </w:hyperlink>
    </w:p>
    <w:p w:rsidR="007D35EF" w:rsidRDefault="004A31BD">
      <w:pPr>
        <w:pStyle w:val="TOC2"/>
        <w:rPr>
          <w:rFonts w:asciiTheme="minorHAnsi" w:eastAsiaTheme="minorEastAsia" w:hAnsiTheme="minorHAnsi" w:cstheme="minorBidi"/>
          <w:color w:val="auto"/>
          <w:sz w:val="22"/>
        </w:rPr>
      </w:pPr>
      <w:hyperlink w:anchor="_Toc494707084" w:history="1">
        <w:r w:rsidR="007D35EF" w:rsidRPr="007C663F">
          <w:rPr>
            <w:rStyle w:val="Hyperlink"/>
          </w:rPr>
          <w:t>2</w:t>
        </w:r>
        <w:r w:rsidR="007D35EF">
          <w:rPr>
            <w:rFonts w:asciiTheme="minorHAnsi" w:eastAsiaTheme="minorEastAsia" w:hAnsiTheme="minorHAnsi" w:cstheme="minorBidi"/>
            <w:color w:val="auto"/>
            <w:sz w:val="22"/>
          </w:rPr>
          <w:tab/>
        </w:r>
        <w:r w:rsidR="007D35EF" w:rsidRPr="007C663F">
          <w:rPr>
            <w:rStyle w:val="Hyperlink"/>
          </w:rPr>
          <w:t>Purpose and audience</w:t>
        </w:r>
        <w:r w:rsidR="007D35EF">
          <w:rPr>
            <w:webHidden/>
          </w:rPr>
          <w:tab/>
        </w:r>
        <w:r w:rsidR="007D35EF">
          <w:rPr>
            <w:webHidden/>
          </w:rPr>
          <w:fldChar w:fldCharType="begin"/>
        </w:r>
        <w:r w:rsidR="007D35EF">
          <w:rPr>
            <w:webHidden/>
          </w:rPr>
          <w:instrText xml:space="preserve"> PAGEREF _Toc494707084 \h </w:instrText>
        </w:r>
        <w:r w:rsidR="007D35EF">
          <w:rPr>
            <w:webHidden/>
          </w:rPr>
        </w:r>
        <w:r w:rsidR="007D35EF">
          <w:rPr>
            <w:webHidden/>
          </w:rPr>
          <w:fldChar w:fldCharType="separate"/>
        </w:r>
        <w:r w:rsidR="00651BFC">
          <w:rPr>
            <w:webHidden/>
          </w:rPr>
          <w:t>5</w:t>
        </w:r>
        <w:r w:rsidR="007D35EF">
          <w:rPr>
            <w:webHidden/>
          </w:rPr>
          <w:fldChar w:fldCharType="end"/>
        </w:r>
      </w:hyperlink>
    </w:p>
    <w:p w:rsidR="007D35EF" w:rsidRDefault="004A31BD">
      <w:pPr>
        <w:pStyle w:val="TOC2"/>
        <w:rPr>
          <w:rFonts w:asciiTheme="minorHAnsi" w:eastAsiaTheme="minorEastAsia" w:hAnsiTheme="minorHAnsi" w:cstheme="minorBidi"/>
          <w:color w:val="auto"/>
          <w:sz w:val="22"/>
        </w:rPr>
      </w:pPr>
      <w:hyperlink w:anchor="_Toc494707085" w:history="1">
        <w:r w:rsidR="007D35EF" w:rsidRPr="007C663F">
          <w:rPr>
            <w:rStyle w:val="Hyperlink"/>
          </w:rPr>
          <w:t>3</w:t>
        </w:r>
        <w:r w:rsidR="007D35EF">
          <w:rPr>
            <w:rFonts w:asciiTheme="minorHAnsi" w:eastAsiaTheme="minorEastAsia" w:hAnsiTheme="minorHAnsi" w:cstheme="minorBidi"/>
            <w:color w:val="auto"/>
            <w:sz w:val="22"/>
          </w:rPr>
          <w:tab/>
        </w:r>
        <w:r w:rsidR="007D35EF" w:rsidRPr="007C663F">
          <w:rPr>
            <w:rStyle w:val="Hyperlink"/>
          </w:rPr>
          <w:t>Background</w:t>
        </w:r>
        <w:r w:rsidR="007D35EF">
          <w:rPr>
            <w:webHidden/>
          </w:rPr>
          <w:tab/>
        </w:r>
        <w:r w:rsidR="007D35EF">
          <w:rPr>
            <w:webHidden/>
          </w:rPr>
          <w:fldChar w:fldCharType="begin"/>
        </w:r>
        <w:r w:rsidR="007D35EF">
          <w:rPr>
            <w:webHidden/>
          </w:rPr>
          <w:instrText xml:space="preserve"> PAGEREF _Toc494707085 \h </w:instrText>
        </w:r>
        <w:r w:rsidR="007D35EF">
          <w:rPr>
            <w:webHidden/>
          </w:rPr>
        </w:r>
        <w:r w:rsidR="007D35EF">
          <w:rPr>
            <w:webHidden/>
          </w:rPr>
          <w:fldChar w:fldCharType="separate"/>
        </w:r>
        <w:r w:rsidR="00651BFC">
          <w:rPr>
            <w:webHidden/>
          </w:rPr>
          <w:t>5</w:t>
        </w:r>
        <w:r w:rsidR="007D35EF">
          <w:rPr>
            <w:webHidden/>
          </w:rPr>
          <w:fldChar w:fldCharType="end"/>
        </w:r>
      </w:hyperlink>
    </w:p>
    <w:p w:rsidR="007D35EF" w:rsidRDefault="004A31BD">
      <w:pPr>
        <w:pStyle w:val="TOC2"/>
        <w:rPr>
          <w:rFonts w:asciiTheme="minorHAnsi" w:eastAsiaTheme="minorEastAsia" w:hAnsiTheme="minorHAnsi" w:cstheme="minorBidi"/>
          <w:color w:val="auto"/>
          <w:sz w:val="22"/>
        </w:rPr>
      </w:pPr>
      <w:hyperlink w:anchor="_Toc494707086" w:history="1">
        <w:r w:rsidR="007D35EF" w:rsidRPr="007C663F">
          <w:rPr>
            <w:rStyle w:val="Hyperlink"/>
          </w:rPr>
          <w:t>4</w:t>
        </w:r>
        <w:r w:rsidR="007D35EF">
          <w:rPr>
            <w:rFonts w:asciiTheme="minorHAnsi" w:eastAsiaTheme="minorEastAsia" w:hAnsiTheme="minorHAnsi" w:cstheme="minorBidi"/>
            <w:color w:val="auto"/>
            <w:sz w:val="22"/>
          </w:rPr>
          <w:tab/>
        </w:r>
        <w:r w:rsidR="007D35EF" w:rsidRPr="007C663F">
          <w:rPr>
            <w:rStyle w:val="Hyperlink"/>
          </w:rPr>
          <w:t>Impact Pathway</w:t>
        </w:r>
        <w:r w:rsidR="007D35EF">
          <w:rPr>
            <w:webHidden/>
          </w:rPr>
          <w:tab/>
        </w:r>
        <w:r w:rsidR="007D35EF">
          <w:rPr>
            <w:webHidden/>
          </w:rPr>
          <w:fldChar w:fldCharType="begin"/>
        </w:r>
        <w:r w:rsidR="007D35EF">
          <w:rPr>
            <w:webHidden/>
          </w:rPr>
          <w:instrText xml:space="preserve"> PAGEREF _Toc494707086 \h </w:instrText>
        </w:r>
        <w:r w:rsidR="007D35EF">
          <w:rPr>
            <w:webHidden/>
          </w:rPr>
        </w:r>
        <w:r w:rsidR="007D35EF">
          <w:rPr>
            <w:webHidden/>
          </w:rPr>
          <w:fldChar w:fldCharType="separate"/>
        </w:r>
        <w:r w:rsidR="00651BFC">
          <w:rPr>
            <w:webHidden/>
          </w:rPr>
          <w:t>8</w:t>
        </w:r>
        <w:r w:rsidR="007D35EF">
          <w:rPr>
            <w:webHidden/>
          </w:rPr>
          <w:fldChar w:fldCharType="end"/>
        </w:r>
      </w:hyperlink>
    </w:p>
    <w:p w:rsidR="007D35EF" w:rsidRDefault="004A31BD">
      <w:pPr>
        <w:pStyle w:val="TOC3"/>
        <w:rPr>
          <w:rFonts w:asciiTheme="minorHAnsi" w:eastAsiaTheme="minorEastAsia" w:hAnsiTheme="minorHAnsi" w:cstheme="minorBidi"/>
          <w:noProof/>
          <w:color w:val="auto"/>
          <w:sz w:val="22"/>
        </w:rPr>
      </w:pPr>
      <w:hyperlink w:anchor="_Toc494707087" w:history="1">
        <w:r w:rsidR="007D35EF" w:rsidRPr="007C663F">
          <w:rPr>
            <w:rStyle w:val="Hyperlink"/>
            <w:noProof/>
          </w:rPr>
          <w:t>Project Inputs</w:t>
        </w:r>
        <w:r w:rsidR="007D35EF">
          <w:rPr>
            <w:noProof/>
            <w:webHidden/>
          </w:rPr>
          <w:tab/>
        </w:r>
        <w:r w:rsidR="007D35EF">
          <w:rPr>
            <w:noProof/>
            <w:webHidden/>
          </w:rPr>
          <w:fldChar w:fldCharType="begin"/>
        </w:r>
        <w:r w:rsidR="007D35EF">
          <w:rPr>
            <w:noProof/>
            <w:webHidden/>
          </w:rPr>
          <w:instrText xml:space="preserve"> PAGEREF _Toc494707087 \h </w:instrText>
        </w:r>
        <w:r w:rsidR="007D35EF">
          <w:rPr>
            <w:noProof/>
            <w:webHidden/>
          </w:rPr>
        </w:r>
        <w:r w:rsidR="007D35EF">
          <w:rPr>
            <w:noProof/>
            <w:webHidden/>
          </w:rPr>
          <w:fldChar w:fldCharType="separate"/>
        </w:r>
        <w:r w:rsidR="00651BFC">
          <w:rPr>
            <w:noProof/>
            <w:webHidden/>
          </w:rPr>
          <w:t>8</w:t>
        </w:r>
        <w:r w:rsidR="007D35EF">
          <w:rPr>
            <w:noProof/>
            <w:webHidden/>
          </w:rPr>
          <w:fldChar w:fldCharType="end"/>
        </w:r>
      </w:hyperlink>
    </w:p>
    <w:p w:rsidR="007D35EF" w:rsidRDefault="004A31BD">
      <w:pPr>
        <w:pStyle w:val="TOC3"/>
        <w:rPr>
          <w:rFonts w:asciiTheme="minorHAnsi" w:eastAsiaTheme="minorEastAsia" w:hAnsiTheme="minorHAnsi" w:cstheme="minorBidi"/>
          <w:noProof/>
          <w:color w:val="auto"/>
          <w:sz w:val="22"/>
        </w:rPr>
      </w:pPr>
      <w:hyperlink w:anchor="_Toc494707088" w:history="1">
        <w:r w:rsidR="007D35EF" w:rsidRPr="007C663F">
          <w:rPr>
            <w:rStyle w:val="Hyperlink"/>
            <w:noProof/>
          </w:rPr>
          <w:t>Activities</w:t>
        </w:r>
        <w:r w:rsidR="007D35EF">
          <w:rPr>
            <w:noProof/>
            <w:webHidden/>
          </w:rPr>
          <w:tab/>
        </w:r>
        <w:r w:rsidR="007D35EF">
          <w:rPr>
            <w:noProof/>
            <w:webHidden/>
          </w:rPr>
          <w:fldChar w:fldCharType="begin"/>
        </w:r>
        <w:r w:rsidR="007D35EF">
          <w:rPr>
            <w:noProof/>
            <w:webHidden/>
          </w:rPr>
          <w:instrText xml:space="preserve"> PAGEREF _Toc494707088 \h </w:instrText>
        </w:r>
        <w:r w:rsidR="007D35EF">
          <w:rPr>
            <w:noProof/>
            <w:webHidden/>
          </w:rPr>
        </w:r>
        <w:r w:rsidR="007D35EF">
          <w:rPr>
            <w:noProof/>
            <w:webHidden/>
          </w:rPr>
          <w:fldChar w:fldCharType="separate"/>
        </w:r>
        <w:r w:rsidR="00651BFC">
          <w:rPr>
            <w:noProof/>
            <w:webHidden/>
          </w:rPr>
          <w:t>8</w:t>
        </w:r>
        <w:r w:rsidR="007D35EF">
          <w:rPr>
            <w:noProof/>
            <w:webHidden/>
          </w:rPr>
          <w:fldChar w:fldCharType="end"/>
        </w:r>
      </w:hyperlink>
    </w:p>
    <w:p w:rsidR="007D35EF" w:rsidRDefault="004A31BD">
      <w:pPr>
        <w:pStyle w:val="TOC3"/>
        <w:rPr>
          <w:rFonts w:asciiTheme="minorHAnsi" w:eastAsiaTheme="minorEastAsia" w:hAnsiTheme="minorHAnsi" w:cstheme="minorBidi"/>
          <w:noProof/>
          <w:color w:val="auto"/>
          <w:sz w:val="22"/>
        </w:rPr>
      </w:pPr>
      <w:hyperlink w:anchor="_Toc494707089" w:history="1">
        <w:r w:rsidR="007D35EF" w:rsidRPr="007C663F">
          <w:rPr>
            <w:rStyle w:val="Hyperlink"/>
            <w:noProof/>
          </w:rPr>
          <w:t>Outputs</w:t>
        </w:r>
        <w:r w:rsidR="007D35EF">
          <w:rPr>
            <w:noProof/>
            <w:webHidden/>
          </w:rPr>
          <w:tab/>
        </w:r>
        <w:r w:rsidR="007D35EF">
          <w:rPr>
            <w:noProof/>
            <w:webHidden/>
          </w:rPr>
          <w:tab/>
        </w:r>
        <w:r w:rsidR="007D35EF">
          <w:rPr>
            <w:noProof/>
            <w:webHidden/>
          </w:rPr>
          <w:fldChar w:fldCharType="begin"/>
        </w:r>
        <w:r w:rsidR="007D35EF">
          <w:rPr>
            <w:noProof/>
            <w:webHidden/>
          </w:rPr>
          <w:instrText xml:space="preserve"> PAGEREF _Toc494707089 \h </w:instrText>
        </w:r>
        <w:r w:rsidR="007D35EF">
          <w:rPr>
            <w:noProof/>
            <w:webHidden/>
          </w:rPr>
        </w:r>
        <w:r w:rsidR="007D35EF">
          <w:rPr>
            <w:noProof/>
            <w:webHidden/>
          </w:rPr>
          <w:fldChar w:fldCharType="separate"/>
        </w:r>
        <w:r w:rsidR="00651BFC">
          <w:rPr>
            <w:noProof/>
            <w:webHidden/>
          </w:rPr>
          <w:t>11</w:t>
        </w:r>
        <w:r w:rsidR="007D35EF">
          <w:rPr>
            <w:noProof/>
            <w:webHidden/>
          </w:rPr>
          <w:fldChar w:fldCharType="end"/>
        </w:r>
      </w:hyperlink>
    </w:p>
    <w:p w:rsidR="007D35EF" w:rsidRDefault="004A31BD">
      <w:pPr>
        <w:pStyle w:val="TOC3"/>
        <w:rPr>
          <w:rFonts w:asciiTheme="minorHAnsi" w:eastAsiaTheme="minorEastAsia" w:hAnsiTheme="minorHAnsi" w:cstheme="minorBidi"/>
          <w:noProof/>
          <w:color w:val="auto"/>
          <w:sz w:val="22"/>
        </w:rPr>
      </w:pPr>
      <w:hyperlink w:anchor="_Toc494707090" w:history="1">
        <w:r w:rsidR="007D35EF" w:rsidRPr="007C663F">
          <w:rPr>
            <w:rStyle w:val="Hyperlink"/>
            <w:noProof/>
          </w:rPr>
          <w:t>Outcomes</w:t>
        </w:r>
        <w:r w:rsidR="007D35EF">
          <w:rPr>
            <w:noProof/>
            <w:webHidden/>
          </w:rPr>
          <w:tab/>
        </w:r>
        <w:r w:rsidR="007D35EF">
          <w:rPr>
            <w:noProof/>
            <w:webHidden/>
          </w:rPr>
          <w:fldChar w:fldCharType="begin"/>
        </w:r>
        <w:r w:rsidR="007D35EF">
          <w:rPr>
            <w:noProof/>
            <w:webHidden/>
          </w:rPr>
          <w:instrText xml:space="preserve"> PAGEREF _Toc494707090 \h </w:instrText>
        </w:r>
        <w:r w:rsidR="007D35EF">
          <w:rPr>
            <w:noProof/>
            <w:webHidden/>
          </w:rPr>
        </w:r>
        <w:r w:rsidR="007D35EF">
          <w:rPr>
            <w:noProof/>
            <w:webHidden/>
          </w:rPr>
          <w:fldChar w:fldCharType="separate"/>
        </w:r>
        <w:r w:rsidR="00651BFC">
          <w:rPr>
            <w:noProof/>
            <w:webHidden/>
          </w:rPr>
          <w:t>14</w:t>
        </w:r>
        <w:r w:rsidR="007D35EF">
          <w:rPr>
            <w:noProof/>
            <w:webHidden/>
          </w:rPr>
          <w:fldChar w:fldCharType="end"/>
        </w:r>
      </w:hyperlink>
    </w:p>
    <w:p w:rsidR="007D35EF" w:rsidRDefault="004A31BD">
      <w:pPr>
        <w:pStyle w:val="TOC3"/>
        <w:rPr>
          <w:rFonts w:asciiTheme="minorHAnsi" w:eastAsiaTheme="minorEastAsia" w:hAnsiTheme="minorHAnsi" w:cstheme="minorBidi"/>
          <w:noProof/>
          <w:color w:val="auto"/>
          <w:sz w:val="22"/>
        </w:rPr>
      </w:pPr>
      <w:hyperlink w:anchor="_Toc494707091" w:history="1">
        <w:r w:rsidR="007D35EF" w:rsidRPr="007C663F">
          <w:rPr>
            <w:rStyle w:val="Hyperlink"/>
            <w:noProof/>
          </w:rPr>
          <w:t>Impacts</w:t>
        </w:r>
        <w:r w:rsidR="007D35EF">
          <w:rPr>
            <w:noProof/>
            <w:webHidden/>
          </w:rPr>
          <w:tab/>
        </w:r>
        <w:r w:rsidR="007D35EF">
          <w:rPr>
            <w:noProof/>
            <w:webHidden/>
          </w:rPr>
          <w:tab/>
        </w:r>
        <w:r w:rsidR="007D35EF">
          <w:rPr>
            <w:noProof/>
            <w:webHidden/>
          </w:rPr>
          <w:fldChar w:fldCharType="begin"/>
        </w:r>
        <w:r w:rsidR="007D35EF">
          <w:rPr>
            <w:noProof/>
            <w:webHidden/>
          </w:rPr>
          <w:instrText xml:space="preserve"> PAGEREF _Toc494707091 \h </w:instrText>
        </w:r>
        <w:r w:rsidR="007D35EF">
          <w:rPr>
            <w:noProof/>
            <w:webHidden/>
          </w:rPr>
        </w:r>
        <w:r w:rsidR="007D35EF">
          <w:rPr>
            <w:noProof/>
            <w:webHidden/>
          </w:rPr>
          <w:fldChar w:fldCharType="separate"/>
        </w:r>
        <w:r w:rsidR="00651BFC">
          <w:rPr>
            <w:noProof/>
            <w:webHidden/>
          </w:rPr>
          <w:t>16</w:t>
        </w:r>
        <w:r w:rsidR="007D35EF">
          <w:rPr>
            <w:noProof/>
            <w:webHidden/>
          </w:rPr>
          <w:fldChar w:fldCharType="end"/>
        </w:r>
      </w:hyperlink>
    </w:p>
    <w:p w:rsidR="007D35EF" w:rsidRDefault="004A31BD">
      <w:pPr>
        <w:pStyle w:val="TOC2"/>
        <w:rPr>
          <w:rFonts w:asciiTheme="minorHAnsi" w:eastAsiaTheme="minorEastAsia" w:hAnsiTheme="minorHAnsi" w:cstheme="minorBidi"/>
          <w:color w:val="auto"/>
          <w:sz w:val="22"/>
        </w:rPr>
      </w:pPr>
      <w:hyperlink w:anchor="_Toc494707092" w:history="1">
        <w:r w:rsidR="007D35EF" w:rsidRPr="007C663F">
          <w:rPr>
            <w:rStyle w:val="Hyperlink"/>
          </w:rPr>
          <w:t>5</w:t>
        </w:r>
        <w:r w:rsidR="007D35EF">
          <w:rPr>
            <w:rFonts w:asciiTheme="minorHAnsi" w:eastAsiaTheme="minorEastAsia" w:hAnsiTheme="minorHAnsi" w:cstheme="minorBidi"/>
            <w:color w:val="auto"/>
            <w:sz w:val="22"/>
          </w:rPr>
          <w:tab/>
        </w:r>
        <w:r w:rsidR="007D35EF" w:rsidRPr="007C663F">
          <w:rPr>
            <w:rStyle w:val="Hyperlink"/>
          </w:rPr>
          <w:t>Clarifying the Impacts</w:t>
        </w:r>
        <w:r w:rsidR="007D35EF">
          <w:rPr>
            <w:webHidden/>
          </w:rPr>
          <w:tab/>
        </w:r>
        <w:r w:rsidR="007D35EF">
          <w:rPr>
            <w:webHidden/>
          </w:rPr>
          <w:fldChar w:fldCharType="begin"/>
        </w:r>
        <w:r w:rsidR="007D35EF">
          <w:rPr>
            <w:webHidden/>
          </w:rPr>
          <w:instrText xml:space="preserve"> PAGEREF _Toc494707092 \h </w:instrText>
        </w:r>
        <w:r w:rsidR="007D35EF">
          <w:rPr>
            <w:webHidden/>
          </w:rPr>
        </w:r>
        <w:r w:rsidR="007D35EF">
          <w:rPr>
            <w:webHidden/>
          </w:rPr>
          <w:fldChar w:fldCharType="separate"/>
        </w:r>
        <w:r w:rsidR="00651BFC">
          <w:rPr>
            <w:webHidden/>
          </w:rPr>
          <w:t>17</w:t>
        </w:r>
        <w:r w:rsidR="007D35EF">
          <w:rPr>
            <w:webHidden/>
          </w:rPr>
          <w:fldChar w:fldCharType="end"/>
        </w:r>
      </w:hyperlink>
    </w:p>
    <w:p w:rsidR="007D35EF" w:rsidRDefault="004A31BD">
      <w:pPr>
        <w:pStyle w:val="TOC3"/>
        <w:rPr>
          <w:rFonts w:asciiTheme="minorHAnsi" w:eastAsiaTheme="minorEastAsia" w:hAnsiTheme="minorHAnsi" w:cstheme="minorBidi"/>
          <w:noProof/>
          <w:color w:val="auto"/>
          <w:sz w:val="22"/>
        </w:rPr>
      </w:pPr>
      <w:hyperlink w:anchor="_Toc494707093" w:history="1">
        <w:r w:rsidR="007D35EF" w:rsidRPr="007D35EF">
          <w:rPr>
            <w:rStyle w:val="Hyperlink"/>
            <w:noProof/>
          </w:rPr>
          <w:t>Counterfactual</w:t>
        </w:r>
        <w:r w:rsidR="007D35EF">
          <w:rPr>
            <w:noProof/>
            <w:webHidden/>
          </w:rPr>
          <w:tab/>
        </w:r>
        <w:r w:rsidR="007D35EF">
          <w:rPr>
            <w:noProof/>
            <w:webHidden/>
          </w:rPr>
          <w:fldChar w:fldCharType="begin"/>
        </w:r>
        <w:r w:rsidR="007D35EF">
          <w:rPr>
            <w:noProof/>
            <w:webHidden/>
          </w:rPr>
          <w:instrText xml:space="preserve"> PAGEREF _Toc494707093 \h </w:instrText>
        </w:r>
        <w:r w:rsidR="007D35EF">
          <w:rPr>
            <w:noProof/>
            <w:webHidden/>
          </w:rPr>
        </w:r>
        <w:r w:rsidR="007D35EF">
          <w:rPr>
            <w:noProof/>
            <w:webHidden/>
          </w:rPr>
          <w:fldChar w:fldCharType="separate"/>
        </w:r>
        <w:r w:rsidR="00651BFC">
          <w:rPr>
            <w:noProof/>
            <w:webHidden/>
          </w:rPr>
          <w:t>17</w:t>
        </w:r>
        <w:r w:rsidR="007D35EF">
          <w:rPr>
            <w:noProof/>
            <w:webHidden/>
          </w:rPr>
          <w:fldChar w:fldCharType="end"/>
        </w:r>
      </w:hyperlink>
    </w:p>
    <w:p w:rsidR="007D35EF" w:rsidRDefault="004A31BD">
      <w:pPr>
        <w:pStyle w:val="TOC2"/>
        <w:rPr>
          <w:rFonts w:asciiTheme="minorHAnsi" w:eastAsiaTheme="minorEastAsia" w:hAnsiTheme="minorHAnsi" w:cstheme="minorBidi"/>
          <w:color w:val="auto"/>
          <w:sz w:val="22"/>
        </w:rPr>
      </w:pPr>
      <w:hyperlink w:anchor="_Toc494707094" w:history="1">
        <w:r w:rsidR="007D35EF" w:rsidRPr="007C663F">
          <w:rPr>
            <w:rStyle w:val="Hyperlink"/>
          </w:rPr>
          <w:t>6</w:t>
        </w:r>
        <w:r w:rsidR="007D35EF">
          <w:rPr>
            <w:rFonts w:asciiTheme="minorHAnsi" w:eastAsiaTheme="minorEastAsia" w:hAnsiTheme="minorHAnsi" w:cstheme="minorBidi"/>
            <w:color w:val="auto"/>
            <w:sz w:val="22"/>
          </w:rPr>
          <w:tab/>
        </w:r>
        <w:r w:rsidR="007D35EF" w:rsidRPr="007C663F">
          <w:rPr>
            <w:rStyle w:val="Hyperlink"/>
          </w:rPr>
          <w:t>Evaluating the Impacts</w:t>
        </w:r>
        <w:r w:rsidR="007D35EF">
          <w:rPr>
            <w:webHidden/>
          </w:rPr>
          <w:tab/>
        </w:r>
        <w:r w:rsidR="007D35EF">
          <w:rPr>
            <w:webHidden/>
          </w:rPr>
          <w:fldChar w:fldCharType="begin"/>
        </w:r>
        <w:r w:rsidR="007D35EF">
          <w:rPr>
            <w:webHidden/>
          </w:rPr>
          <w:instrText xml:space="preserve"> PAGEREF _Toc494707094 \h </w:instrText>
        </w:r>
        <w:r w:rsidR="007D35EF">
          <w:rPr>
            <w:webHidden/>
          </w:rPr>
        </w:r>
        <w:r w:rsidR="007D35EF">
          <w:rPr>
            <w:webHidden/>
          </w:rPr>
          <w:fldChar w:fldCharType="separate"/>
        </w:r>
        <w:r w:rsidR="00651BFC">
          <w:rPr>
            <w:webHidden/>
          </w:rPr>
          <w:t>19</w:t>
        </w:r>
        <w:r w:rsidR="007D35EF">
          <w:rPr>
            <w:webHidden/>
          </w:rPr>
          <w:fldChar w:fldCharType="end"/>
        </w:r>
      </w:hyperlink>
    </w:p>
    <w:p w:rsidR="007D35EF" w:rsidRDefault="004A31BD">
      <w:pPr>
        <w:pStyle w:val="TOC3"/>
        <w:rPr>
          <w:rFonts w:asciiTheme="minorHAnsi" w:eastAsiaTheme="minorEastAsia" w:hAnsiTheme="minorHAnsi" w:cstheme="minorBidi"/>
          <w:noProof/>
          <w:color w:val="auto"/>
          <w:sz w:val="22"/>
        </w:rPr>
      </w:pPr>
      <w:hyperlink w:anchor="_Toc494707095" w:history="1">
        <w:r w:rsidR="007D35EF" w:rsidRPr="007D35EF">
          <w:rPr>
            <w:rStyle w:val="Hyperlink"/>
            <w:noProof/>
          </w:rPr>
          <w:t>Cost Benefit Analysis (CBA)</w:t>
        </w:r>
        <w:r w:rsidR="007D35EF">
          <w:rPr>
            <w:noProof/>
            <w:webHidden/>
          </w:rPr>
          <w:tab/>
        </w:r>
        <w:r w:rsidR="007D35EF">
          <w:rPr>
            <w:noProof/>
            <w:webHidden/>
          </w:rPr>
          <w:fldChar w:fldCharType="begin"/>
        </w:r>
        <w:r w:rsidR="007D35EF">
          <w:rPr>
            <w:noProof/>
            <w:webHidden/>
          </w:rPr>
          <w:instrText xml:space="preserve"> PAGEREF _Toc494707095 \h </w:instrText>
        </w:r>
        <w:r w:rsidR="007D35EF">
          <w:rPr>
            <w:noProof/>
            <w:webHidden/>
          </w:rPr>
        </w:r>
        <w:r w:rsidR="007D35EF">
          <w:rPr>
            <w:noProof/>
            <w:webHidden/>
          </w:rPr>
          <w:fldChar w:fldCharType="separate"/>
        </w:r>
        <w:r w:rsidR="00651BFC">
          <w:rPr>
            <w:noProof/>
            <w:webHidden/>
          </w:rPr>
          <w:t>19</w:t>
        </w:r>
        <w:r w:rsidR="007D35EF">
          <w:rPr>
            <w:noProof/>
            <w:webHidden/>
          </w:rPr>
          <w:fldChar w:fldCharType="end"/>
        </w:r>
      </w:hyperlink>
    </w:p>
    <w:p w:rsidR="007D35EF" w:rsidRDefault="004A31BD">
      <w:pPr>
        <w:pStyle w:val="TOC2"/>
        <w:rPr>
          <w:rFonts w:asciiTheme="minorHAnsi" w:eastAsiaTheme="minorEastAsia" w:hAnsiTheme="minorHAnsi" w:cstheme="minorBidi"/>
          <w:color w:val="auto"/>
          <w:sz w:val="22"/>
        </w:rPr>
      </w:pPr>
      <w:hyperlink w:anchor="_Toc494707096" w:history="1">
        <w:r w:rsidR="007D35EF" w:rsidRPr="007C663F">
          <w:rPr>
            <w:rStyle w:val="Hyperlink"/>
          </w:rPr>
          <w:t>7</w:t>
        </w:r>
        <w:r w:rsidR="007D35EF">
          <w:rPr>
            <w:rFonts w:asciiTheme="minorHAnsi" w:eastAsiaTheme="minorEastAsia" w:hAnsiTheme="minorHAnsi" w:cstheme="minorBidi"/>
            <w:color w:val="auto"/>
            <w:sz w:val="22"/>
          </w:rPr>
          <w:tab/>
        </w:r>
        <w:r w:rsidR="007D35EF" w:rsidRPr="007C663F">
          <w:rPr>
            <w:rStyle w:val="Hyperlink"/>
          </w:rPr>
          <w:t>Sensitivity analysis</w:t>
        </w:r>
        <w:r w:rsidR="007D35EF">
          <w:rPr>
            <w:webHidden/>
          </w:rPr>
          <w:tab/>
        </w:r>
        <w:r w:rsidR="007D35EF">
          <w:rPr>
            <w:webHidden/>
          </w:rPr>
          <w:fldChar w:fldCharType="begin"/>
        </w:r>
        <w:r w:rsidR="007D35EF">
          <w:rPr>
            <w:webHidden/>
          </w:rPr>
          <w:instrText xml:space="preserve"> PAGEREF _Toc494707096 \h </w:instrText>
        </w:r>
        <w:r w:rsidR="007D35EF">
          <w:rPr>
            <w:webHidden/>
          </w:rPr>
        </w:r>
        <w:r w:rsidR="007D35EF">
          <w:rPr>
            <w:webHidden/>
          </w:rPr>
          <w:fldChar w:fldCharType="separate"/>
        </w:r>
        <w:r w:rsidR="00651BFC">
          <w:rPr>
            <w:webHidden/>
          </w:rPr>
          <w:t>27</w:t>
        </w:r>
        <w:r w:rsidR="007D35EF">
          <w:rPr>
            <w:webHidden/>
          </w:rPr>
          <w:fldChar w:fldCharType="end"/>
        </w:r>
      </w:hyperlink>
    </w:p>
    <w:p w:rsidR="007D35EF" w:rsidRDefault="004A31BD">
      <w:pPr>
        <w:pStyle w:val="TOC2"/>
        <w:rPr>
          <w:rFonts w:asciiTheme="minorHAnsi" w:eastAsiaTheme="minorEastAsia" w:hAnsiTheme="minorHAnsi" w:cstheme="minorBidi"/>
          <w:color w:val="auto"/>
          <w:sz w:val="22"/>
        </w:rPr>
      </w:pPr>
      <w:hyperlink w:anchor="_Toc494707097" w:history="1">
        <w:r w:rsidR="007D35EF" w:rsidRPr="007C663F">
          <w:rPr>
            <w:rStyle w:val="Hyperlink"/>
          </w:rPr>
          <w:t>8</w:t>
        </w:r>
        <w:r w:rsidR="007D35EF">
          <w:rPr>
            <w:rFonts w:asciiTheme="minorHAnsi" w:eastAsiaTheme="minorEastAsia" w:hAnsiTheme="minorHAnsi" w:cstheme="minorBidi"/>
            <w:color w:val="auto"/>
            <w:sz w:val="22"/>
          </w:rPr>
          <w:tab/>
        </w:r>
        <w:r w:rsidR="007D35EF" w:rsidRPr="007C663F">
          <w:rPr>
            <w:rStyle w:val="Hyperlink"/>
          </w:rPr>
          <w:t>Limitations and Future Directions</w:t>
        </w:r>
        <w:r w:rsidR="007D35EF">
          <w:rPr>
            <w:webHidden/>
          </w:rPr>
          <w:tab/>
        </w:r>
        <w:r w:rsidR="007D35EF">
          <w:rPr>
            <w:webHidden/>
          </w:rPr>
          <w:fldChar w:fldCharType="begin"/>
        </w:r>
        <w:r w:rsidR="007D35EF">
          <w:rPr>
            <w:webHidden/>
          </w:rPr>
          <w:instrText xml:space="preserve"> PAGEREF _Toc494707097 \h </w:instrText>
        </w:r>
        <w:r w:rsidR="007D35EF">
          <w:rPr>
            <w:webHidden/>
          </w:rPr>
        </w:r>
        <w:r w:rsidR="007D35EF">
          <w:rPr>
            <w:webHidden/>
          </w:rPr>
          <w:fldChar w:fldCharType="separate"/>
        </w:r>
        <w:r w:rsidR="00651BFC">
          <w:rPr>
            <w:webHidden/>
          </w:rPr>
          <w:t>28</w:t>
        </w:r>
        <w:r w:rsidR="007D35EF">
          <w:rPr>
            <w:webHidden/>
          </w:rPr>
          <w:fldChar w:fldCharType="end"/>
        </w:r>
      </w:hyperlink>
    </w:p>
    <w:p w:rsidR="007D35EF" w:rsidRDefault="004A31BD">
      <w:pPr>
        <w:pStyle w:val="TOC2"/>
        <w:rPr>
          <w:rFonts w:asciiTheme="minorHAnsi" w:eastAsiaTheme="minorEastAsia" w:hAnsiTheme="minorHAnsi" w:cstheme="minorBidi"/>
          <w:color w:val="auto"/>
          <w:sz w:val="22"/>
        </w:rPr>
      </w:pPr>
      <w:hyperlink w:anchor="_Toc494707098" w:history="1">
        <w:r w:rsidR="007D35EF" w:rsidRPr="007C663F">
          <w:rPr>
            <w:rStyle w:val="Hyperlink"/>
          </w:rPr>
          <w:t>9</w:t>
        </w:r>
        <w:r w:rsidR="007D35EF">
          <w:rPr>
            <w:rFonts w:asciiTheme="minorHAnsi" w:eastAsiaTheme="minorEastAsia" w:hAnsiTheme="minorHAnsi" w:cstheme="minorBidi"/>
            <w:color w:val="auto"/>
            <w:sz w:val="22"/>
          </w:rPr>
          <w:tab/>
        </w:r>
        <w:r w:rsidR="007D35EF" w:rsidRPr="007C663F">
          <w:rPr>
            <w:rStyle w:val="Hyperlink"/>
          </w:rPr>
          <w:t>References</w:t>
        </w:r>
        <w:r w:rsidR="007D35EF">
          <w:rPr>
            <w:webHidden/>
          </w:rPr>
          <w:tab/>
        </w:r>
        <w:r w:rsidR="007D35EF">
          <w:rPr>
            <w:webHidden/>
          </w:rPr>
          <w:fldChar w:fldCharType="begin"/>
        </w:r>
        <w:r w:rsidR="007D35EF">
          <w:rPr>
            <w:webHidden/>
          </w:rPr>
          <w:instrText xml:space="preserve"> PAGEREF _Toc494707098 \h </w:instrText>
        </w:r>
        <w:r w:rsidR="007D35EF">
          <w:rPr>
            <w:webHidden/>
          </w:rPr>
        </w:r>
        <w:r w:rsidR="007D35EF">
          <w:rPr>
            <w:webHidden/>
          </w:rPr>
          <w:fldChar w:fldCharType="separate"/>
        </w:r>
        <w:r w:rsidR="00651BFC">
          <w:rPr>
            <w:webHidden/>
          </w:rPr>
          <w:t>30</w:t>
        </w:r>
        <w:r w:rsidR="007D35EF">
          <w:rPr>
            <w:webHidden/>
          </w:rPr>
          <w:fldChar w:fldCharType="end"/>
        </w:r>
      </w:hyperlink>
    </w:p>
    <w:p w:rsidR="00735BEC" w:rsidRDefault="00456271" w:rsidP="008B2EB2">
      <w:pPr>
        <w:pStyle w:val="TOC2"/>
        <w:sectPr w:rsidR="00735BEC" w:rsidSect="00194E5A">
          <w:footerReference w:type="default" r:id="rId10"/>
          <w:footnotePr>
            <w:numFmt w:val="lowerRoman"/>
          </w:footnotePr>
          <w:type w:val="continuous"/>
          <w:pgSz w:w="11906" w:h="16838" w:code="9"/>
          <w:pgMar w:top="1134" w:right="1134" w:bottom="1134" w:left="1134" w:header="510" w:footer="624" w:gutter="0"/>
          <w:pgNumType w:start="2"/>
          <w:cols w:space="850"/>
          <w:titlePg/>
          <w:docGrid w:linePitch="360"/>
        </w:sectPr>
      </w:pPr>
      <w:r w:rsidRPr="004A6CF2">
        <w:fldChar w:fldCharType="end"/>
      </w:r>
    </w:p>
    <w:p w:rsidR="0018129C" w:rsidRPr="004A6CF2" w:rsidRDefault="009668A3" w:rsidP="0018129C">
      <w:pPr>
        <w:pStyle w:val="Heading1"/>
        <w:ind w:left="1134" w:hanging="1134"/>
      </w:pPr>
      <w:bookmarkStart w:id="1" w:name="_Toc446334219"/>
      <w:bookmarkStart w:id="2" w:name="_Toc494707083"/>
      <w:bookmarkStart w:id="3" w:name="_Toc432078357"/>
      <w:bookmarkStart w:id="4" w:name="_Toc341085719"/>
      <w:r>
        <w:lastRenderedPageBreak/>
        <w:t>1</w:t>
      </w:r>
      <w:r>
        <w:tab/>
      </w:r>
      <w:r w:rsidR="00025D44" w:rsidRPr="004A6CF2">
        <w:t>Executive Summary</w:t>
      </w:r>
      <w:bookmarkEnd w:id="1"/>
      <w:bookmarkEnd w:id="2"/>
    </w:p>
    <w:p w:rsidR="00E8483F" w:rsidRPr="001B7E04" w:rsidRDefault="00E8483F" w:rsidP="001B7E04">
      <w:pPr>
        <w:pStyle w:val="Heading3"/>
        <w:spacing w:before="0" w:after="0" w:line="360" w:lineRule="auto"/>
        <w:rPr>
          <w:b w:val="0"/>
          <w:color w:val="00313C" w:themeColor="accent2"/>
          <w:sz w:val="32"/>
        </w:rPr>
      </w:pPr>
      <w:r w:rsidRPr="001B7E04">
        <w:rPr>
          <w:b w:val="0"/>
          <w:color w:val="00313C" w:themeColor="accent2"/>
          <w:sz w:val="32"/>
        </w:rPr>
        <w:t xml:space="preserve">The </w:t>
      </w:r>
      <w:r w:rsidR="008438ED" w:rsidRPr="001B7E04">
        <w:rPr>
          <w:b w:val="0"/>
          <w:color w:val="00313C" w:themeColor="accent2"/>
          <w:sz w:val="32"/>
        </w:rPr>
        <w:t>c</w:t>
      </w:r>
      <w:r w:rsidRPr="001B7E04">
        <w:rPr>
          <w:b w:val="0"/>
          <w:color w:val="00313C" w:themeColor="accent2"/>
          <w:sz w:val="32"/>
        </w:rPr>
        <w:t>hallenge</w:t>
      </w:r>
    </w:p>
    <w:p w:rsidR="00E8483F" w:rsidRPr="00BC4184" w:rsidRDefault="00E8483F" w:rsidP="00BC4184">
      <w:pPr>
        <w:pStyle w:val="BodyText"/>
        <w:spacing w:before="0" w:after="0" w:line="276" w:lineRule="auto"/>
        <w:rPr>
          <w:rFonts w:asciiTheme="minorHAnsi" w:hAnsiTheme="minorHAnsi"/>
          <w:sz w:val="28"/>
          <w:szCs w:val="24"/>
        </w:rPr>
      </w:pPr>
      <w:r w:rsidRPr="00BC4184">
        <w:rPr>
          <w:rFonts w:asciiTheme="minorHAnsi" w:hAnsiTheme="minorHAnsi"/>
          <w:szCs w:val="24"/>
        </w:rPr>
        <w:t xml:space="preserve">Colorectal cancer (CRC) is the second most common cause of death from cancer in Australia, with almost 15,000 new cases diagnosed and 4,000 deaths annually. It is responsible for more than 600,000 deaths worldwide each year. Post-surgical recurrence of CRC occurs in 30 to 50 percent of cases, most often in the first 2-3 years of initial diagnosis and treatment. Current monitoring of recurrence is via a blood test for carcinoembryonic antigen (CEA), a well described marker for gastrointestinal tract diseases, especially CRC, in combination with CT scans and other clinical assessments. CEA </w:t>
      </w:r>
      <w:r w:rsidR="008438ED" w:rsidRPr="00BC4184">
        <w:rPr>
          <w:rFonts w:asciiTheme="minorHAnsi" w:hAnsiTheme="minorHAnsi"/>
          <w:szCs w:val="24"/>
        </w:rPr>
        <w:t xml:space="preserve">testing </w:t>
      </w:r>
      <w:r w:rsidRPr="00BC4184">
        <w:rPr>
          <w:rFonts w:asciiTheme="minorHAnsi" w:hAnsiTheme="minorHAnsi"/>
          <w:szCs w:val="24"/>
        </w:rPr>
        <w:t xml:space="preserve">has low sensitivity and is subject to false-positive results, limiting </w:t>
      </w:r>
      <w:r w:rsidR="008438ED" w:rsidRPr="00BC4184">
        <w:rPr>
          <w:rFonts w:asciiTheme="minorHAnsi" w:hAnsiTheme="minorHAnsi"/>
          <w:szCs w:val="24"/>
        </w:rPr>
        <w:t xml:space="preserve">its </w:t>
      </w:r>
      <w:r w:rsidRPr="00BC4184">
        <w:rPr>
          <w:rFonts w:asciiTheme="minorHAnsi" w:hAnsiTheme="minorHAnsi"/>
          <w:szCs w:val="24"/>
        </w:rPr>
        <w:t>usefulness. Detection of primary</w:t>
      </w:r>
      <w:r w:rsidRPr="00BC4184">
        <w:rPr>
          <w:rStyle w:val="FootnoteReference"/>
          <w:rFonts w:asciiTheme="minorHAnsi" w:hAnsiTheme="minorHAnsi"/>
          <w:szCs w:val="24"/>
        </w:rPr>
        <w:footnoteReference w:id="1"/>
      </w:r>
      <w:r w:rsidRPr="00BC4184">
        <w:rPr>
          <w:rFonts w:asciiTheme="minorHAnsi" w:hAnsiTheme="minorHAnsi"/>
          <w:szCs w:val="24"/>
        </w:rPr>
        <w:t xml:space="preserve"> CRC in early asymptomatic stages would reduce intensive treatment needs, associated healthcare costs</w:t>
      </w:r>
      <w:r w:rsidR="00B60A01" w:rsidRPr="00BC4184">
        <w:rPr>
          <w:rFonts w:asciiTheme="minorHAnsi" w:hAnsiTheme="minorHAnsi"/>
          <w:szCs w:val="24"/>
        </w:rPr>
        <w:t>¹</w:t>
      </w:r>
      <w:r w:rsidRPr="00BC4184">
        <w:rPr>
          <w:rFonts w:asciiTheme="minorHAnsi" w:hAnsiTheme="minorHAnsi"/>
          <w:szCs w:val="24"/>
        </w:rPr>
        <w:t>, and risk of recurrence post-treatment, and improve survival rates. Similarly, detecting recurrent</w:t>
      </w:r>
      <w:r w:rsidRPr="00BC4184">
        <w:rPr>
          <w:rStyle w:val="FootnoteReference"/>
          <w:rFonts w:asciiTheme="minorHAnsi" w:hAnsiTheme="minorHAnsi"/>
          <w:szCs w:val="24"/>
        </w:rPr>
        <w:footnoteReference w:id="2"/>
      </w:r>
      <w:r w:rsidRPr="00BC4184">
        <w:rPr>
          <w:rFonts w:asciiTheme="minorHAnsi" w:hAnsiTheme="minorHAnsi"/>
          <w:szCs w:val="24"/>
        </w:rPr>
        <w:t xml:space="preserve"> CRC in early asymptomatic</w:t>
      </w:r>
      <w:r w:rsidRPr="00BC4184">
        <w:rPr>
          <w:rStyle w:val="FootnoteReference"/>
          <w:rFonts w:asciiTheme="minorHAnsi" w:hAnsiTheme="minorHAnsi"/>
          <w:szCs w:val="24"/>
        </w:rPr>
        <w:footnoteReference w:id="3"/>
      </w:r>
      <w:r w:rsidRPr="00BC4184">
        <w:rPr>
          <w:rFonts w:asciiTheme="minorHAnsi" w:hAnsiTheme="minorHAnsi"/>
          <w:szCs w:val="24"/>
        </w:rPr>
        <w:t xml:space="preserve"> stages will reduce intensive treatment needs and associated costs, and improve survival rates.</w:t>
      </w:r>
    </w:p>
    <w:p w:rsidR="00E8483F" w:rsidRDefault="00E8483F" w:rsidP="00E8483F">
      <w:pPr>
        <w:pStyle w:val="Heading3"/>
        <w:spacing w:before="0" w:after="0" w:line="288" w:lineRule="auto"/>
      </w:pPr>
    </w:p>
    <w:p w:rsidR="00E8483F" w:rsidRPr="001B7E04" w:rsidRDefault="00E8483F" w:rsidP="001B7E04">
      <w:pPr>
        <w:pStyle w:val="Heading3"/>
        <w:spacing w:before="0" w:after="0" w:line="360" w:lineRule="auto"/>
        <w:rPr>
          <w:b w:val="0"/>
          <w:color w:val="00313C" w:themeColor="accent2"/>
          <w:sz w:val="32"/>
        </w:rPr>
      </w:pPr>
      <w:r w:rsidRPr="001B7E04">
        <w:rPr>
          <w:b w:val="0"/>
          <w:color w:val="00313C" w:themeColor="accent2"/>
          <w:sz w:val="32"/>
        </w:rPr>
        <w:t xml:space="preserve">Our </w:t>
      </w:r>
      <w:r w:rsidR="008438ED" w:rsidRPr="001B7E04">
        <w:rPr>
          <w:b w:val="0"/>
          <w:color w:val="00313C" w:themeColor="accent2"/>
          <w:sz w:val="32"/>
        </w:rPr>
        <w:t>r</w:t>
      </w:r>
      <w:r w:rsidRPr="001B7E04">
        <w:rPr>
          <w:b w:val="0"/>
          <w:color w:val="00313C" w:themeColor="accent2"/>
          <w:sz w:val="32"/>
        </w:rPr>
        <w:t xml:space="preserve">esponse </w:t>
      </w:r>
    </w:p>
    <w:p w:rsidR="00D906B6" w:rsidRPr="00BC4184" w:rsidRDefault="00D906B6" w:rsidP="00BC4184">
      <w:pPr>
        <w:pStyle w:val="BodyText"/>
        <w:spacing w:before="0" w:after="0" w:line="276" w:lineRule="auto"/>
        <w:rPr>
          <w:rFonts w:asciiTheme="minorHAnsi" w:hAnsiTheme="minorHAnsi"/>
          <w:szCs w:val="24"/>
        </w:rPr>
      </w:pPr>
      <w:r w:rsidRPr="00BC4184">
        <w:rPr>
          <w:rFonts w:asciiTheme="minorHAnsi" w:hAnsiTheme="minorHAnsi"/>
          <w:szCs w:val="24"/>
        </w:rPr>
        <w:t>In January 2017, Colvera™ was launched by Clinical Genomics (CG) in US markets and is now available to patients participating in post-treatment cancer surveillance in the US. Colvera™ is a blood-based test of circulating tumour DNA suitable for CRC recurrence surveillance. It detects methylated DNA from two genes, BCAT1 and IKZF1; and is twice as sensitive as the CEA assay, increasing the likelihood of detecting curable CRC recurrences, and reducing the risk of mortality. This diagnostic assay intended to aid physicians in the management of patients under routine surveillance for CRC recurrence. It is anticipated the test will become available in Australia in 2018.</w:t>
      </w:r>
    </w:p>
    <w:p w:rsidR="00510817" w:rsidRDefault="00510817" w:rsidP="00D906B6">
      <w:pPr>
        <w:pStyle w:val="CommentText"/>
        <w:spacing w:after="0" w:line="288" w:lineRule="auto"/>
        <w:rPr>
          <w:rFonts w:asciiTheme="minorHAnsi" w:hAnsiTheme="minorHAnsi"/>
          <w:sz w:val="22"/>
          <w:szCs w:val="24"/>
        </w:rPr>
      </w:pPr>
    </w:p>
    <w:p w:rsidR="00D906B6" w:rsidRPr="00BC4184" w:rsidRDefault="00E8483F" w:rsidP="00BC4184">
      <w:pPr>
        <w:pStyle w:val="BodyText"/>
        <w:spacing w:before="0" w:after="0" w:line="276" w:lineRule="auto"/>
        <w:rPr>
          <w:rFonts w:asciiTheme="minorHAnsi" w:hAnsiTheme="minorHAnsi"/>
          <w:szCs w:val="24"/>
        </w:rPr>
      </w:pPr>
      <w:r w:rsidRPr="00BC4184">
        <w:rPr>
          <w:rFonts w:asciiTheme="minorHAnsi" w:hAnsiTheme="minorHAnsi"/>
          <w:szCs w:val="24"/>
        </w:rPr>
        <w:t>Collaborative research between CSIRO, Flinders,</w:t>
      </w:r>
      <w:r w:rsidR="00D906B6" w:rsidRPr="00BC4184">
        <w:rPr>
          <w:rFonts w:asciiTheme="minorHAnsi" w:hAnsiTheme="minorHAnsi"/>
          <w:szCs w:val="24"/>
        </w:rPr>
        <w:t xml:space="preserve"> and CG</w:t>
      </w:r>
      <w:r w:rsidRPr="00BC4184">
        <w:rPr>
          <w:rFonts w:asciiTheme="minorHAnsi" w:hAnsiTheme="minorHAnsi"/>
          <w:szCs w:val="24"/>
        </w:rPr>
        <w:t>,</w:t>
      </w:r>
      <w:r w:rsidRPr="001408FB">
        <w:rPr>
          <w:vertAlign w:val="superscript"/>
        </w:rPr>
        <w:footnoteReference w:id="4"/>
      </w:r>
      <w:r w:rsidRPr="00BC4184">
        <w:rPr>
          <w:rFonts w:asciiTheme="minorHAnsi" w:hAnsiTheme="minorHAnsi"/>
          <w:szCs w:val="24"/>
        </w:rPr>
        <w:t xml:space="preserve"> informed by unique skill sets and driven by commercial outcomes, aimed to find molecular markers in CRC tissue that distinguished it from normal tissue, and which could form the basis of diagnostic tests. This approach was considered an innovative way to improve the efficacy of detecting and diagnosing asymptomatic early stage CRC. From 2008, research focus shifted to identifying downregulated genes by DNA methylation in CRC tissue. This shift</w:t>
      </w:r>
      <w:r w:rsidR="008438ED" w:rsidRPr="00BC4184">
        <w:rPr>
          <w:rFonts w:asciiTheme="minorHAnsi" w:hAnsiTheme="minorHAnsi"/>
          <w:szCs w:val="24"/>
        </w:rPr>
        <w:t xml:space="preserve">, which </w:t>
      </w:r>
      <w:r w:rsidRPr="00BC4184">
        <w:rPr>
          <w:rFonts w:asciiTheme="minorHAnsi" w:hAnsiTheme="minorHAnsi"/>
          <w:szCs w:val="24"/>
        </w:rPr>
        <w:t>proved pivotal for research progress</w:t>
      </w:r>
      <w:r w:rsidR="008438ED" w:rsidRPr="00BC4184">
        <w:rPr>
          <w:rFonts w:asciiTheme="minorHAnsi" w:hAnsiTheme="minorHAnsi"/>
          <w:szCs w:val="24"/>
        </w:rPr>
        <w:t>,</w:t>
      </w:r>
      <w:r w:rsidRPr="00BC4184">
        <w:rPr>
          <w:rFonts w:asciiTheme="minorHAnsi" w:hAnsiTheme="minorHAnsi"/>
          <w:szCs w:val="24"/>
        </w:rPr>
        <w:t xml:space="preserve"> is attributable to CSIRO experience, including </w:t>
      </w:r>
      <w:r w:rsidR="008438ED" w:rsidRPr="00BC4184">
        <w:rPr>
          <w:rFonts w:asciiTheme="minorHAnsi" w:hAnsiTheme="minorHAnsi"/>
          <w:szCs w:val="24"/>
        </w:rPr>
        <w:t xml:space="preserve">its </w:t>
      </w:r>
      <w:r w:rsidRPr="00BC4184">
        <w:rPr>
          <w:rFonts w:asciiTheme="minorHAnsi" w:hAnsiTheme="minorHAnsi"/>
          <w:szCs w:val="24"/>
        </w:rPr>
        <w:t xml:space="preserve">previous development of a prostate cancer DNA methylation biomarker. The validated assay for CRC detects the presence of circulating tumour derived hyper-methylated genes (BCAT1 and IKZF1) in the blood of CRC patients. </w:t>
      </w:r>
    </w:p>
    <w:p w:rsidR="00D906B6" w:rsidRPr="00D906B6" w:rsidRDefault="00D906B6" w:rsidP="00D906B6">
      <w:pPr>
        <w:pStyle w:val="CommentText"/>
        <w:spacing w:after="0" w:line="288" w:lineRule="auto"/>
        <w:rPr>
          <w:rFonts w:asciiTheme="minorHAnsi" w:hAnsiTheme="minorHAnsi"/>
          <w:sz w:val="22"/>
          <w:szCs w:val="24"/>
        </w:rPr>
      </w:pPr>
    </w:p>
    <w:p w:rsidR="00E8483F" w:rsidRPr="001B7E04" w:rsidRDefault="00E8483F" w:rsidP="001B7E04">
      <w:pPr>
        <w:pStyle w:val="Heading3"/>
        <w:spacing w:before="0" w:after="0" w:line="360" w:lineRule="auto"/>
        <w:rPr>
          <w:b w:val="0"/>
          <w:color w:val="00313C" w:themeColor="accent2"/>
          <w:sz w:val="32"/>
        </w:rPr>
      </w:pPr>
      <w:r w:rsidRPr="001B7E04">
        <w:rPr>
          <w:b w:val="0"/>
          <w:color w:val="00313C" w:themeColor="accent2"/>
          <w:sz w:val="32"/>
        </w:rPr>
        <w:lastRenderedPageBreak/>
        <w:t xml:space="preserve">The </w:t>
      </w:r>
      <w:r w:rsidR="008438ED" w:rsidRPr="001B7E04">
        <w:rPr>
          <w:b w:val="0"/>
          <w:color w:val="00313C" w:themeColor="accent2"/>
          <w:sz w:val="32"/>
        </w:rPr>
        <w:t>i</w:t>
      </w:r>
      <w:r w:rsidRPr="001B7E04">
        <w:rPr>
          <w:b w:val="0"/>
          <w:color w:val="00313C" w:themeColor="accent2"/>
          <w:sz w:val="32"/>
        </w:rPr>
        <w:t>mpacts</w:t>
      </w:r>
    </w:p>
    <w:p w:rsidR="00643AA8" w:rsidRPr="00BC4184" w:rsidRDefault="00E8483F" w:rsidP="00BC4184">
      <w:pPr>
        <w:pStyle w:val="ListDash"/>
        <w:spacing w:before="0" w:after="0" w:line="276" w:lineRule="auto"/>
        <w:ind w:left="0" w:firstLine="0"/>
        <w:rPr>
          <w:sz w:val="24"/>
          <w:szCs w:val="24"/>
        </w:rPr>
      </w:pPr>
      <w:r w:rsidRPr="00BC4184">
        <w:rPr>
          <w:sz w:val="24"/>
          <w:szCs w:val="24"/>
        </w:rPr>
        <w:t xml:space="preserve">Colvera™ provides cost saving within the first year of use. Where recurrence is moved from a symptomatic to asymptomatic detection state via improved surveillance tools, an estimated $US100, 000 in downstream healthcare costs is saved. Colvera™ is, therefore, expected to reduce costs associated with detection of recurring CRC in advanced stages. Colvera™ improves health outcomes by following a proven test/treatment pathway. The assay identifies a significantly larger number of patients with recurrence than the current guideline-recommended blood test, CEA. It is therefore assumed that Colvera will result in an increased rate of curative intent therapy and improved patient survival. </w:t>
      </w:r>
    </w:p>
    <w:p w:rsidR="00510817" w:rsidRPr="00BC4184" w:rsidRDefault="00510817" w:rsidP="00BC4184">
      <w:pPr>
        <w:pStyle w:val="ListDash"/>
        <w:spacing w:before="0" w:after="0" w:line="276" w:lineRule="auto"/>
        <w:ind w:left="0" w:firstLine="0"/>
        <w:rPr>
          <w:sz w:val="24"/>
          <w:szCs w:val="24"/>
          <w:highlight w:val="yellow"/>
        </w:rPr>
      </w:pPr>
    </w:p>
    <w:p w:rsidR="00E8483F" w:rsidRPr="00BC4184" w:rsidRDefault="00643AA8" w:rsidP="00BC4184">
      <w:pPr>
        <w:pStyle w:val="ListDash"/>
        <w:spacing w:before="0" w:after="0" w:line="276" w:lineRule="auto"/>
        <w:ind w:left="0" w:firstLine="0"/>
        <w:rPr>
          <w:sz w:val="24"/>
          <w:szCs w:val="24"/>
        </w:rPr>
      </w:pPr>
      <w:r w:rsidRPr="00BC4184">
        <w:rPr>
          <w:sz w:val="24"/>
          <w:szCs w:val="24"/>
        </w:rPr>
        <w:t xml:space="preserve">While Colvera </w:t>
      </w:r>
      <w:r w:rsidR="006F13F0" w:rsidRPr="00BC4184">
        <w:rPr>
          <w:sz w:val="24"/>
          <w:szCs w:val="24"/>
        </w:rPr>
        <w:t>is not yet available on</w:t>
      </w:r>
      <w:r w:rsidRPr="00BC4184">
        <w:rPr>
          <w:sz w:val="24"/>
          <w:szCs w:val="24"/>
        </w:rPr>
        <w:t xml:space="preserve"> the Australian market, the Cost Benefit Analysis (CBA) was conducted </w:t>
      </w:r>
      <w:r w:rsidR="005A023D" w:rsidRPr="00BC4184">
        <w:rPr>
          <w:sz w:val="24"/>
          <w:szCs w:val="24"/>
        </w:rPr>
        <w:t xml:space="preserve">based on </w:t>
      </w:r>
      <w:r w:rsidR="00510817" w:rsidRPr="00BC4184">
        <w:rPr>
          <w:sz w:val="24"/>
          <w:szCs w:val="24"/>
        </w:rPr>
        <w:t xml:space="preserve">its </w:t>
      </w:r>
      <w:r w:rsidR="005A023D" w:rsidRPr="00BC4184">
        <w:rPr>
          <w:sz w:val="24"/>
          <w:szCs w:val="24"/>
        </w:rPr>
        <w:t>eventual uptake</w:t>
      </w:r>
      <w:r w:rsidR="00510817" w:rsidRPr="00BC4184">
        <w:rPr>
          <w:sz w:val="24"/>
          <w:szCs w:val="24"/>
        </w:rPr>
        <w:t>,</w:t>
      </w:r>
      <w:r w:rsidR="005A023D" w:rsidRPr="00BC4184">
        <w:rPr>
          <w:sz w:val="24"/>
          <w:szCs w:val="24"/>
        </w:rPr>
        <w:t xml:space="preserve"> and </w:t>
      </w:r>
      <w:r w:rsidRPr="00BC4184">
        <w:rPr>
          <w:sz w:val="24"/>
          <w:szCs w:val="24"/>
        </w:rPr>
        <w:t xml:space="preserve">from a societal perspective of the Australian Healthcare System, including all important economic costs and benefits arising from such an intervention. </w:t>
      </w:r>
      <w:r w:rsidR="00E8483F" w:rsidRPr="00BC4184">
        <w:rPr>
          <w:sz w:val="24"/>
          <w:szCs w:val="24"/>
        </w:rPr>
        <w:t>As there is limited information about gains for the health system and patient outcomes over time</w:t>
      </w:r>
      <w:r w:rsidR="00FE1C98" w:rsidRPr="00BC4184">
        <w:rPr>
          <w:sz w:val="24"/>
          <w:szCs w:val="24"/>
        </w:rPr>
        <w:t xml:space="preserve"> at this stage</w:t>
      </w:r>
      <w:r w:rsidR="00E8483F" w:rsidRPr="00BC4184">
        <w:rPr>
          <w:sz w:val="24"/>
          <w:szCs w:val="24"/>
        </w:rPr>
        <w:t xml:space="preserve">, we have relied on limited analysis conducted across Australia and internationally. More data is recognised as needed to further substantiate the impact analysis. This analysis has been subject to sensitivity analysis and/or discretion </w:t>
      </w:r>
      <w:r w:rsidR="00FE1C98" w:rsidRPr="00BC4184">
        <w:rPr>
          <w:sz w:val="24"/>
          <w:szCs w:val="24"/>
        </w:rPr>
        <w:t xml:space="preserve">as </w:t>
      </w:r>
      <w:r w:rsidR="00E8483F" w:rsidRPr="00BC4184">
        <w:rPr>
          <w:sz w:val="24"/>
          <w:szCs w:val="24"/>
        </w:rPr>
        <w:t>explicitly advised in the report. Looking at a range of impacts, our estimates suggest that the program expenditure of $12.6 million (in real, present value terms) will lead to</w:t>
      </w:r>
      <w:r w:rsidR="00E8483F" w:rsidRPr="00BC4184">
        <w:rPr>
          <w:rStyle w:val="FootnoteReference"/>
          <w:sz w:val="24"/>
          <w:szCs w:val="24"/>
        </w:rPr>
        <w:footnoteReference w:id="5"/>
      </w:r>
      <w:r w:rsidR="00E8483F" w:rsidRPr="00BC4184">
        <w:rPr>
          <w:sz w:val="24"/>
          <w:szCs w:val="24"/>
        </w:rPr>
        <w:t>:</w:t>
      </w:r>
    </w:p>
    <w:p w:rsidR="00E8483F" w:rsidRPr="00BC4184" w:rsidRDefault="00E8483F" w:rsidP="0096781E">
      <w:pPr>
        <w:pStyle w:val="ListDash"/>
        <w:numPr>
          <w:ilvl w:val="0"/>
          <w:numId w:val="24"/>
        </w:numPr>
        <w:spacing w:before="0" w:after="0" w:line="276" w:lineRule="auto"/>
        <w:ind w:left="714" w:hanging="357"/>
        <w:rPr>
          <w:sz w:val="24"/>
        </w:rPr>
      </w:pPr>
      <w:r w:rsidRPr="00BC4184">
        <w:rPr>
          <w:sz w:val="24"/>
        </w:rPr>
        <w:t>Total benefits</w:t>
      </w:r>
      <w:r w:rsidRPr="00BC4184">
        <w:rPr>
          <w:rStyle w:val="FootnoteReference"/>
          <w:sz w:val="24"/>
        </w:rPr>
        <w:footnoteReference w:id="6"/>
      </w:r>
      <w:r w:rsidRPr="00BC4184">
        <w:rPr>
          <w:sz w:val="24"/>
        </w:rPr>
        <w:t xml:space="preserve"> for CRC recurrence monitoring  (measured as reduced health system costs and improved patient health outcomes in Australia, in real, present value terms) between $94.3 million and $32</w:t>
      </w:r>
      <w:r w:rsidR="00FA2836" w:rsidRPr="00BC4184">
        <w:rPr>
          <w:sz w:val="24"/>
        </w:rPr>
        <w:t>5.7</w:t>
      </w:r>
      <w:r w:rsidRPr="00BC4184">
        <w:rPr>
          <w:sz w:val="24"/>
        </w:rPr>
        <w:t xml:space="preserve"> million over the next 10 years, depending on the assumptions made;</w:t>
      </w:r>
    </w:p>
    <w:p w:rsidR="00E8483F" w:rsidRPr="00BC4184" w:rsidRDefault="00E8483F" w:rsidP="0096781E">
      <w:pPr>
        <w:pStyle w:val="ListDash"/>
        <w:numPr>
          <w:ilvl w:val="0"/>
          <w:numId w:val="24"/>
        </w:numPr>
        <w:spacing w:before="0" w:after="0" w:line="276" w:lineRule="auto"/>
        <w:ind w:left="714" w:hanging="357"/>
        <w:rPr>
          <w:b/>
          <w:sz w:val="24"/>
        </w:rPr>
        <w:sectPr w:rsidR="00E8483F" w:rsidRPr="00BC4184" w:rsidSect="00194E5A">
          <w:footnotePr>
            <w:numFmt w:val="lowerRoman"/>
          </w:footnotePr>
          <w:pgSz w:w="11906" w:h="16838" w:code="9"/>
          <w:pgMar w:top="1134" w:right="1134" w:bottom="1134" w:left="1134" w:header="510" w:footer="624" w:gutter="0"/>
          <w:pgNumType w:start="2"/>
          <w:cols w:space="850"/>
          <w:titlePg/>
          <w:docGrid w:linePitch="360"/>
        </w:sectPr>
      </w:pPr>
      <w:r w:rsidRPr="00BC4184">
        <w:rPr>
          <w:sz w:val="24"/>
        </w:rPr>
        <w:t>A benefit cost ratio of between 7.2:1 and 30.</w:t>
      </w:r>
      <w:r w:rsidR="00FA2836" w:rsidRPr="00BC4184">
        <w:rPr>
          <w:sz w:val="24"/>
        </w:rPr>
        <w:t>5</w:t>
      </w:r>
      <w:r w:rsidRPr="00BC4184">
        <w:rPr>
          <w:sz w:val="24"/>
        </w:rPr>
        <w:t>:1</w:t>
      </w:r>
      <w:r w:rsidR="004258D2" w:rsidRPr="00BC4184">
        <w:rPr>
          <w:sz w:val="24"/>
        </w:rPr>
        <w:t xml:space="preserve"> for CSIRO</w:t>
      </w:r>
      <w:r w:rsidR="00FE1C98" w:rsidRPr="00BC4184">
        <w:rPr>
          <w:sz w:val="24"/>
        </w:rPr>
        <w:t>.</w:t>
      </w:r>
    </w:p>
    <w:p w:rsidR="00546797" w:rsidRDefault="00DA0B35" w:rsidP="000242FD">
      <w:pPr>
        <w:pStyle w:val="BodyText"/>
        <w:rPr>
          <w:szCs w:val="24"/>
        </w:rPr>
      </w:pPr>
      <w:r w:rsidRPr="0026031D">
        <w:rPr>
          <w:noProof/>
        </w:rPr>
        <w:lastRenderedPageBreak/>
        <mc:AlternateContent>
          <mc:Choice Requires="wpg">
            <w:drawing>
              <wp:anchor distT="0" distB="0" distL="114300" distR="114300" simplePos="0" relativeHeight="251824640" behindDoc="1" locked="0" layoutInCell="1" allowOverlap="1" wp14:anchorId="1299B4B8" wp14:editId="1F06CDEB">
                <wp:simplePos x="0" y="0"/>
                <wp:positionH relativeFrom="margin">
                  <wp:posOffset>-46763</wp:posOffset>
                </wp:positionH>
                <wp:positionV relativeFrom="paragraph">
                  <wp:posOffset>412</wp:posOffset>
                </wp:positionV>
                <wp:extent cx="6022976" cy="9494009"/>
                <wp:effectExtent l="0" t="0" r="0" b="0"/>
                <wp:wrapTight wrapText="bothSides">
                  <wp:wrapPolygon edited="0">
                    <wp:start x="137" y="0"/>
                    <wp:lineTo x="0" y="87"/>
                    <wp:lineTo x="0" y="2861"/>
                    <wp:lineTo x="205" y="21541"/>
                    <wp:lineTo x="20086" y="21541"/>
                    <wp:lineTo x="20086" y="20804"/>
                    <wp:lineTo x="21520" y="20457"/>
                    <wp:lineTo x="21520" y="2080"/>
                    <wp:lineTo x="21452" y="130"/>
                    <wp:lineTo x="21247" y="0"/>
                    <wp:lineTo x="137" y="0"/>
                  </wp:wrapPolygon>
                </wp:wrapTight>
                <wp:docPr id="10" name="Group 1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2976" cy="9494009"/>
                          <a:chOff x="-599" y="-523"/>
                          <a:chExt cx="60741" cy="41168"/>
                        </a:xfrm>
                      </wpg:grpSpPr>
                      <wpg:grpSp>
                        <wpg:cNvPr id="1568" name="Group 1568"/>
                        <wpg:cNvGrpSpPr>
                          <a:grpSpLocks/>
                        </wpg:cNvGrpSpPr>
                        <wpg:grpSpPr bwMode="auto">
                          <a:xfrm>
                            <a:off x="-599" y="-523"/>
                            <a:ext cx="60741" cy="38999"/>
                            <a:chOff x="-603" y="-544"/>
                            <a:chExt cx="61147" cy="40506"/>
                          </a:xfrm>
                        </wpg:grpSpPr>
                        <wps:wsp>
                          <wps:cNvPr id="1569" name="Rectangle 1569"/>
                          <wps:cNvSpPr>
                            <a:spLocks noChangeArrowheads="1"/>
                          </wps:cNvSpPr>
                          <wps:spPr bwMode="auto">
                            <a:xfrm>
                              <a:off x="36074" y="5697"/>
                              <a:ext cx="11573" cy="34265"/>
                            </a:xfrm>
                            <a:prstGeom prst="rect">
                              <a:avLst/>
                            </a:prstGeom>
                            <a:solidFill>
                              <a:srgbClr val="007F9B">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Commercialisation (CG)</w:t>
                                </w:r>
                              </w:p>
                              <w:p w:rsidR="00293A66" w:rsidRPr="007861A7" w:rsidRDefault="00293A66" w:rsidP="007861A7">
                                <w:pPr>
                                  <w:pStyle w:val="MediumGrid1-Accent21"/>
                                  <w:spacing w:after="0" w:line="216" w:lineRule="auto"/>
                                  <w:rPr>
                                    <w:kern w:val="24"/>
                                    <w:sz w:val="18"/>
                                    <w:szCs w:val="19"/>
                                  </w:rPr>
                                </w:pPr>
                                <w:r w:rsidRPr="007861A7">
                                  <w:rPr>
                                    <w:kern w:val="24"/>
                                    <w:sz w:val="18"/>
                                    <w:szCs w:val="19"/>
                                  </w:rPr>
                                  <w:t xml:space="preserve">COLVERA™ blood test for monitoring recurrent CRC released on the US market December 2016 </w:t>
                                </w:r>
                              </w:p>
                              <w:p w:rsidR="00293A66" w:rsidRDefault="00293A66" w:rsidP="007861A7">
                                <w:pPr>
                                  <w:spacing w:after="0"/>
                                  <w:rPr>
                                    <w:b/>
                                    <w:sz w:val="12"/>
                                    <w:u w:val="single"/>
                                  </w:rPr>
                                </w:pP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Product uptake</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CG and Quest Diagnostic contracts increase awareness and access to test amongst partner oncologists and specialists monitoring post-treatment CRC patients</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 xml:space="preserve">Contracts with Fortified Provider Network and Multiplan PPO facilitate a level of reimbursement through discounts offered to private health insurance partners </w:t>
                                </w:r>
                              </w:p>
                              <w:p w:rsidR="00293A66" w:rsidRPr="00E55F15" w:rsidRDefault="00293A66" w:rsidP="007861A7">
                                <w:pPr>
                                  <w:pStyle w:val="ListDash"/>
                                  <w:spacing w:before="0" w:after="0" w:line="240" w:lineRule="auto"/>
                                  <w:ind w:left="0" w:firstLine="0"/>
                                  <w:rPr>
                                    <w:b/>
                                    <w:sz w:val="14"/>
                                    <w:szCs w:val="14"/>
                                    <w:u w:val="single"/>
                                  </w:rPr>
                                </w:pP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Capacity building</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 xml:space="preserve">Thirteen years of collaborative research experience </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 xml:space="preserve">Established skillset/capacity for valuable collaborative work </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Collaborative projects a feasible option for future and under active discussion</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 xml:space="preserve">Validated discovery can inform research and discovery for other cancer types </w:t>
                                </w:r>
                              </w:p>
                              <w:p w:rsidR="00293A66" w:rsidRPr="007861A7" w:rsidRDefault="00293A66" w:rsidP="007861A7">
                                <w:pPr>
                                  <w:pStyle w:val="MediumGrid1-Accent21"/>
                                  <w:spacing w:after="0" w:line="216" w:lineRule="auto"/>
                                  <w:ind w:left="113"/>
                                  <w:rPr>
                                    <w:kern w:val="24"/>
                                    <w:sz w:val="18"/>
                                    <w:szCs w:val="19"/>
                                  </w:rPr>
                                </w:pPr>
                              </w:p>
                            </w:txbxContent>
                          </wps:txbx>
                          <wps:bodyPr rot="0" vert="horz" wrap="square" lIns="36000" tIns="45720" rIns="36000" bIns="45720" anchor="t" anchorCtr="0" upright="1">
                            <a:noAutofit/>
                          </wps:bodyPr>
                        </wps:wsp>
                        <wps:wsp>
                          <wps:cNvPr id="1570" name="Rectangle 1570"/>
                          <wps:cNvSpPr>
                            <a:spLocks noChangeArrowheads="1"/>
                          </wps:cNvSpPr>
                          <wps:spPr bwMode="auto">
                            <a:xfrm>
                              <a:off x="48199" y="5696"/>
                              <a:ext cx="12345" cy="34266"/>
                            </a:xfrm>
                            <a:prstGeom prst="rect">
                              <a:avLst/>
                            </a:prstGeom>
                            <a:solidFill>
                              <a:srgbClr val="005367">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93A66" w:rsidRDefault="00293A66"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Reduced economi</w:t>
                                </w:r>
                                <w:r>
                                  <w:rPr>
                                    <w:kern w:val="24"/>
                                    <w:sz w:val="18"/>
                                    <w:szCs w:val="19"/>
                                  </w:rPr>
                                  <w:t>c burden on health care system.</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Increase in labour productivity/ and labour force participation.</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Pr>
                                    <w:kern w:val="24"/>
                                    <w:sz w:val="18"/>
                                    <w:szCs w:val="19"/>
                                  </w:rPr>
                                  <w:t xml:space="preserve">New </w:t>
                                </w:r>
                                <w:r w:rsidRPr="007861A7">
                                  <w:rPr>
                                    <w:kern w:val="24"/>
                                    <w:sz w:val="18"/>
                                    <w:szCs w:val="19"/>
                                  </w:rPr>
                                  <w:t>products</w:t>
                                </w:r>
                              </w:p>
                              <w:p w:rsidR="00293A66" w:rsidRPr="00711E4A" w:rsidRDefault="00293A66" w:rsidP="00DA0B35">
                                <w:pPr>
                                  <w:pStyle w:val="MediumGrid1-Accent21"/>
                                  <w:spacing w:after="0" w:line="216" w:lineRule="auto"/>
                                  <w:rPr>
                                    <w:rFonts w:eastAsia="MS Mincho"/>
                                    <w:sz w:val="18"/>
                                    <w:szCs w:val="19"/>
                                  </w:rPr>
                                </w:pPr>
                              </w:p>
                              <w:p w:rsidR="00293A66" w:rsidRDefault="00293A66" w:rsidP="00DA0B35">
                                <w:pPr>
                                  <w:pStyle w:val="NormalWeb"/>
                                  <w:spacing w:after="0" w:line="216" w:lineRule="auto"/>
                                  <w:rPr>
                                    <w:rFonts w:ascii="Calibri" w:hAnsi="Calibri"/>
                                    <w:b/>
                                    <w:bCs/>
                                    <w:i/>
                                    <w:iCs/>
                                    <w:kern w:val="24"/>
                                    <w:sz w:val="18"/>
                                    <w:szCs w:val="19"/>
                                  </w:rPr>
                                </w:pPr>
                              </w:p>
                              <w:p w:rsidR="00293A66" w:rsidRPr="00862C0D" w:rsidRDefault="00293A66" w:rsidP="00DA0B35">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Improved patient outcomes: Expected impacts through reduced mortality and improved quality of life through earlier cancer detection, both in the settings of recurrence monitoring and screening for early CRC</w:t>
                                </w:r>
                              </w:p>
                              <w:p w:rsidR="00293A66" w:rsidRPr="007861A7" w:rsidRDefault="00293A66" w:rsidP="007861A7">
                                <w:pPr>
                                  <w:pStyle w:val="MediumGrid1-Accent21"/>
                                  <w:spacing w:after="0" w:line="216" w:lineRule="auto"/>
                                  <w:ind w:left="113"/>
                                  <w:rPr>
                                    <w:kern w:val="24"/>
                                    <w:sz w:val="18"/>
                                    <w:szCs w:val="19"/>
                                  </w:rPr>
                                </w:pPr>
                              </w:p>
                              <w:p w:rsidR="00293A66" w:rsidRPr="00862C0D"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Innovation and human capital: Innovative epigenetics and biomarker discovery research has led to numerous licenses, patents and the eventual release of Colvera™. Through this process of innovation human capital has increased through the development and advancement of niche and valuable skills</w:t>
                                </w:r>
                              </w:p>
                            </w:txbxContent>
                          </wps:txbx>
                          <wps:bodyPr rot="0" vert="horz" wrap="square" lIns="36000" tIns="45720" rIns="36000" bIns="0" anchor="t" anchorCtr="0" upright="1">
                            <a:noAutofit/>
                          </wps:bodyPr>
                        </wps:wsp>
                        <wps:wsp>
                          <wps:cNvPr id="1571" name="Rectangle 1571"/>
                          <wps:cNvSpPr>
                            <a:spLocks noChangeArrowheads="1"/>
                          </wps:cNvSpPr>
                          <wps:spPr bwMode="auto">
                            <a:xfrm>
                              <a:off x="24311" y="5697"/>
                              <a:ext cx="11059" cy="34265"/>
                            </a:xfrm>
                            <a:prstGeom prst="rect">
                              <a:avLst/>
                            </a:prstGeom>
                            <a:solidFill>
                              <a:srgbClr val="008DAD">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Discovery &amp; Validation</w:t>
                                </w:r>
                              </w:p>
                              <w:p w:rsidR="00293A66" w:rsidRPr="0073449F" w:rsidRDefault="00293A66" w:rsidP="007861A7">
                                <w:pPr>
                                  <w:pStyle w:val="ListDash"/>
                                  <w:spacing w:before="0" w:after="0" w:line="240" w:lineRule="auto"/>
                                  <w:ind w:left="0" w:firstLine="0"/>
                                  <w:rPr>
                                    <w:rFonts w:ascii="Calibri" w:eastAsia="Calibri" w:hAnsi="Calibri"/>
                                    <w:color w:val="000000"/>
                                    <w:kern w:val="24"/>
                                    <w:sz w:val="18"/>
                                    <w:szCs w:val="19"/>
                                  </w:rPr>
                                </w:pPr>
                              </w:p>
                              <w:p w:rsidR="00293A66" w:rsidRPr="0073449F" w:rsidRDefault="00293A66" w:rsidP="007861A7">
                                <w:pPr>
                                  <w:pStyle w:val="ListDash"/>
                                  <w:spacing w:before="0" w:after="0" w:line="240" w:lineRule="auto"/>
                                  <w:ind w:left="0" w:firstLine="0"/>
                                  <w:rPr>
                                    <w:rFonts w:ascii="Calibri" w:eastAsia="Calibri" w:hAnsi="Calibri"/>
                                    <w:color w:val="000000"/>
                                    <w:kern w:val="24"/>
                                    <w:sz w:val="18"/>
                                    <w:szCs w:val="19"/>
                                  </w:rPr>
                                </w:pPr>
                                <w:r w:rsidRPr="0073449F">
                                  <w:rPr>
                                    <w:rFonts w:ascii="Calibri" w:eastAsia="Calibri" w:hAnsi="Calibri"/>
                                    <w:color w:val="000000"/>
                                    <w:kern w:val="24"/>
                                    <w:sz w:val="18"/>
                                    <w:szCs w:val="19"/>
                                  </w:rPr>
                                  <w:t>By 2014 Flinders, CSIRO and CG discovered and validated genes that are upregulated in CRC as well as genes downregulated and/or methylated in CRC</w:t>
                                </w:r>
                              </w:p>
                              <w:p w:rsidR="00293A66" w:rsidRPr="007861A7" w:rsidRDefault="00293A66" w:rsidP="007861A7">
                                <w:pPr>
                                  <w:pStyle w:val="NormalWeb"/>
                                  <w:spacing w:after="0" w:line="216" w:lineRule="auto"/>
                                  <w:rPr>
                                    <w:rFonts w:ascii="Calibri" w:hAnsi="Calibri"/>
                                    <w:b/>
                                    <w:bCs/>
                                    <w:iCs/>
                                    <w:kern w:val="24"/>
                                    <w:sz w:val="18"/>
                                    <w:szCs w:val="19"/>
                                  </w:rPr>
                                </w:pP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Patents</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Six international patent applications for upregulated genes in CRC and downregulated methylated genes in CRC</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 xml:space="preserve">Two international patents for in-house techniques developed by CSIRO; SuBLiME and Bisulphite-tag. </w:t>
                                </w:r>
                              </w:p>
                              <w:p w:rsidR="00293A66" w:rsidRDefault="00293A66" w:rsidP="007861A7">
                                <w:pPr>
                                  <w:pStyle w:val="ListDash"/>
                                  <w:spacing w:before="0" w:after="0" w:line="240" w:lineRule="auto"/>
                                  <w:ind w:left="0" w:firstLine="0"/>
                                  <w:rPr>
                                    <w:b/>
                                    <w:sz w:val="14"/>
                                    <w:szCs w:val="16"/>
                                  </w:rPr>
                                </w:pP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Publications</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 xml:space="preserve">7 co-authored peer-reviewed publications in international journals </w:t>
                                </w:r>
                              </w:p>
                              <w:p w:rsidR="00293A66" w:rsidRDefault="00293A66" w:rsidP="007861A7">
                                <w:pPr>
                                  <w:pStyle w:val="ListDash"/>
                                  <w:spacing w:before="0" w:after="0" w:line="240" w:lineRule="auto"/>
                                  <w:ind w:left="0" w:firstLine="0"/>
                                  <w:rPr>
                                    <w:b/>
                                    <w:sz w:val="14"/>
                                    <w:szCs w:val="16"/>
                                  </w:rPr>
                                </w:pPr>
                              </w:p>
                              <w:p w:rsidR="00293A66" w:rsidRDefault="00293A66" w:rsidP="007861A7">
                                <w:pPr>
                                  <w:pStyle w:val="ListDash"/>
                                  <w:spacing w:before="0" w:after="0" w:line="240" w:lineRule="auto"/>
                                  <w:ind w:left="0" w:firstLine="0"/>
                                  <w:rPr>
                                    <w:b/>
                                    <w:sz w:val="14"/>
                                    <w:szCs w:val="16"/>
                                  </w:rPr>
                                </w:pPr>
                              </w:p>
                              <w:p w:rsidR="00293A66" w:rsidRDefault="00293A66" w:rsidP="007861A7">
                                <w:pPr>
                                  <w:pStyle w:val="ListDash"/>
                                  <w:spacing w:before="0" w:after="0" w:line="240" w:lineRule="auto"/>
                                  <w:ind w:left="0" w:firstLine="0"/>
                                  <w:rPr>
                                    <w:b/>
                                    <w:sz w:val="14"/>
                                  </w:rPr>
                                </w:pPr>
                              </w:p>
                              <w:p w:rsidR="00293A66" w:rsidRDefault="00293A66" w:rsidP="007861A7">
                                <w:pPr>
                                  <w:pStyle w:val="ListDash"/>
                                  <w:spacing w:before="0" w:after="0" w:line="240" w:lineRule="auto"/>
                                  <w:ind w:left="0" w:firstLine="0"/>
                                  <w:rPr>
                                    <w:sz w:val="20"/>
                                  </w:rPr>
                                </w:pPr>
                              </w:p>
                              <w:p w:rsidR="00293A66" w:rsidRPr="00510A04" w:rsidRDefault="00293A66" w:rsidP="007861A7">
                                <w:pPr>
                                  <w:pStyle w:val="ListDash"/>
                                  <w:spacing w:before="0" w:after="0" w:line="240" w:lineRule="auto"/>
                                  <w:ind w:left="0" w:firstLine="0"/>
                                  <w:rPr>
                                    <w:sz w:val="12"/>
                                  </w:rPr>
                                </w:pPr>
                              </w:p>
                              <w:p w:rsidR="00293A66" w:rsidRPr="00DA0B35" w:rsidRDefault="00293A66" w:rsidP="00D906B6">
                                <w:pPr>
                                  <w:pStyle w:val="MediumGrid1-Accent21"/>
                                  <w:spacing w:after="0" w:line="216" w:lineRule="auto"/>
                                  <w:ind w:left="85"/>
                                  <w:rPr>
                                    <w:kern w:val="24"/>
                                    <w:sz w:val="18"/>
                                    <w:szCs w:val="19"/>
                                  </w:rPr>
                                </w:pPr>
                              </w:p>
                            </w:txbxContent>
                          </wps:txbx>
                          <wps:bodyPr rot="0" vert="horz" wrap="square" lIns="36000" tIns="45720" rIns="36000" bIns="45720" anchor="t" anchorCtr="0" upright="1">
                            <a:noAutofit/>
                          </wps:bodyPr>
                        </wps:wsp>
                        <wps:wsp>
                          <wps:cNvPr id="1572" name="Rectangle 1572"/>
                          <wps:cNvSpPr>
                            <a:spLocks noChangeArrowheads="1"/>
                          </wps:cNvSpPr>
                          <wps:spPr bwMode="auto">
                            <a:xfrm>
                              <a:off x="135" y="5697"/>
                              <a:ext cx="11324" cy="34203"/>
                            </a:xfrm>
                            <a:prstGeom prst="rect">
                              <a:avLst/>
                            </a:prstGeom>
                            <a:solidFill>
                              <a:srgbClr val="1ED6FF">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 xml:space="preserve">Financial </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 xml:space="preserve">By 2014 an estimated $40 million was invested by all collaborators </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CSIRO</w:t>
                                </w:r>
                              </w:p>
                              <w:p w:rsidR="00293A66" w:rsidRPr="006806E6" w:rsidRDefault="00293A66" w:rsidP="00B549DF">
                                <w:pPr>
                                  <w:pStyle w:val="MediumGrid1-Accent21"/>
                                  <w:numPr>
                                    <w:ilvl w:val="0"/>
                                    <w:numId w:val="22"/>
                                  </w:numPr>
                                  <w:spacing w:after="0" w:line="216" w:lineRule="auto"/>
                                  <w:ind w:left="113" w:hanging="113"/>
                                  <w:rPr>
                                    <w:sz w:val="12"/>
                                    <w:szCs w:val="16"/>
                                  </w:rPr>
                                </w:pPr>
                                <w:r w:rsidRPr="0073449F">
                                  <w:rPr>
                                    <w:kern w:val="24"/>
                                    <w:sz w:val="18"/>
                                    <w:szCs w:val="19"/>
                                  </w:rPr>
                                  <w:t>Purchase of original datasets from over 460 CRC cases as microchip arrays available from Gene Logi</w:t>
                                </w:r>
                                <w:r>
                                  <w:rPr>
                                    <w:kern w:val="24"/>
                                    <w:sz w:val="18"/>
                                    <w:szCs w:val="19"/>
                                  </w:rPr>
                                  <w:t>c</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CG &amp; CSIRO</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IP/PATENTS $501,135</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Government Grant</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2007 CG &amp; CSIRO CRADA: Commercial Ready Grant $1.45M</w:t>
                                </w:r>
                              </w:p>
                              <w:p w:rsidR="00293A66" w:rsidRPr="007861A7" w:rsidRDefault="00293A66" w:rsidP="007861A7">
                                <w:pPr>
                                  <w:pStyle w:val="NormalWeb"/>
                                  <w:spacing w:after="0" w:line="216" w:lineRule="auto"/>
                                  <w:rPr>
                                    <w:rFonts w:ascii="Calibri" w:hAnsi="Calibri"/>
                                    <w:b/>
                                    <w:bCs/>
                                    <w:iCs/>
                                    <w:kern w:val="24"/>
                                    <w:sz w:val="18"/>
                                    <w:szCs w:val="19"/>
                                  </w:rPr>
                                </w:pPr>
                                <w:r>
                                  <w:rPr>
                                    <w:rFonts w:ascii="Calibri" w:hAnsi="Calibri"/>
                                    <w:b/>
                                    <w:bCs/>
                                    <w:iCs/>
                                    <w:kern w:val="24"/>
                                    <w:sz w:val="18"/>
                                    <w:szCs w:val="19"/>
                                  </w:rPr>
                                  <w:t>I</w:t>
                                </w:r>
                                <w:r w:rsidRPr="007861A7">
                                  <w:rPr>
                                    <w:rFonts w:ascii="Calibri" w:hAnsi="Calibri"/>
                                    <w:b/>
                                    <w:bCs/>
                                    <w:iCs/>
                                    <w:kern w:val="24"/>
                                    <w:sz w:val="18"/>
                                    <w:szCs w:val="19"/>
                                  </w:rPr>
                                  <w:t>n-kind</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CRADA (CG &amp; CSIRO)</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2007 CRADA: $1M in-kind;</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 xml:space="preserve">2009 CRADA: $700K in-kind; </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2009 CRADA: extension $225K in-kind</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Background IP</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 xml:space="preserve">CSIRO </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In-house technologies for screening genome-wide for differences in DNA methylation</w:t>
                                </w:r>
                              </w:p>
                              <w:p w:rsidR="00293A66" w:rsidRPr="007861A7" w:rsidRDefault="00293A66" w:rsidP="007861A7">
                                <w:pPr>
                                  <w:pStyle w:val="NormalWeb"/>
                                  <w:spacing w:after="0" w:line="216" w:lineRule="auto"/>
                                  <w:rPr>
                                    <w:rFonts w:ascii="Calibri" w:hAnsi="Calibri"/>
                                    <w:b/>
                                    <w:bCs/>
                                    <w:iCs/>
                                    <w:kern w:val="24"/>
                                    <w:sz w:val="18"/>
                                    <w:szCs w:val="19"/>
                                  </w:rPr>
                                </w:pPr>
                                <w:r>
                                  <w:rPr>
                                    <w:rFonts w:ascii="Calibri" w:hAnsi="Calibri"/>
                                    <w:b/>
                                    <w:bCs/>
                                    <w:iCs/>
                                    <w:kern w:val="24"/>
                                    <w:sz w:val="18"/>
                                    <w:szCs w:val="19"/>
                                  </w:rPr>
                                  <w:t>F</w:t>
                                </w:r>
                                <w:r w:rsidRPr="007861A7">
                                  <w:rPr>
                                    <w:rFonts w:ascii="Calibri" w:hAnsi="Calibri"/>
                                    <w:b/>
                                    <w:bCs/>
                                    <w:iCs/>
                                    <w:kern w:val="24"/>
                                    <w:sz w:val="18"/>
                                    <w:szCs w:val="19"/>
                                  </w:rPr>
                                  <w:t xml:space="preserve">linders </w:t>
                                </w:r>
                              </w:p>
                              <w:p w:rsidR="00293A66" w:rsidRPr="0073449F" w:rsidRDefault="00293A66" w:rsidP="0073449F">
                                <w:pPr>
                                  <w:pStyle w:val="MediumGrid1-Accent21"/>
                                  <w:numPr>
                                    <w:ilvl w:val="0"/>
                                    <w:numId w:val="22"/>
                                  </w:numPr>
                                  <w:spacing w:after="0" w:line="216" w:lineRule="auto"/>
                                  <w:ind w:left="113" w:hanging="113"/>
                                  <w:rPr>
                                    <w:b/>
                                    <w:kern w:val="24"/>
                                    <w:sz w:val="18"/>
                                    <w:szCs w:val="19"/>
                                  </w:rPr>
                                </w:pPr>
                                <w:r w:rsidRPr="0073449F">
                                  <w:rPr>
                                    <w:kern w:val="24"/>
                                    <w:sz w:val="18"/>
                                    <w:szCs w:val="19"/>
                                  </w:rPr>
                                  <w:t xml:space="preserve">Clinical expertise including CRC screening; specimen collection </w:t>
                                </w:r>
                              </w:p>
                              <w:p w:rsidR="00293A66" w:rsidRPr="00C83459" w:rsidRDefault="00293A66" w:rsidP="007861A7">
                                <w:pPr>
                                  <w:pStyle w:val="NormalWeb"/>
                                  <w:spacing w:after="0" w:line="216" w:lineRule="auto"/>
                                  <w:rPr>
                                    <w:rStyle w:val="CaptionLabel"/>
                                    <w:b w:val="0"/>
                                    <w:sz w:val="14"/>
                                    <w:szCs w:val="16"/>
                                  </w:rPr>
                                </w:pPr>
                                <w:r w:rsidRPr="000F06DC">
                                  <w:rPr>
                                    <w:rFonts w:ascii="Calibri" w:hAnsi="Calibri"/>
                                    <w:b/>
                                    <w:bCs/>
                                    <w:iCs/>
                                    <w:kern w:val="24"/>
                                    <w:sz w:val="18"/>
                                    <w:szCs w:val="19"/>
                                  </w:rPr>
                                  <w:t xml:space="preserve">CG </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Specific expertise in relation to CRC and diagnostic assay development</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Commercial experience</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Developing capacity for clinical trials</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Laboratories in North Ryde &amp; New Jersey</w:t>
                                </w:r>
                              </w:p>
                              <w:p w:rsidR="00293A66" w:rsidRDefault="00293A66" w:rsidP="007861A7">
                                <w:pPr>
                                  <w:pStyle w:val="ListDash"/>
                                  <w:spacing w:before="0" w:after="0" w:line="240" w:lineRule="auto"/>
                                  <w:ind w:left="0" w:firstLine="0"/>
                                  <w:rPr>
                                    <w:sz w:val="12"/>
                                    <w:szCs w:val="16"/>
                                  </w:rPr>
                                </w:pPr>
                              </w:p>
                              <w:p w:rsidR="00293A66" w:rsidRPr="00DA0B35" w:rsidRDefault="00293A66" w:rsidP="007861A7">
                                <w:pPr>
                                  <w:pStyle w:val="MediumGrid1-Accent21"/>
                                  <w:autoSpaceDE w:val="0"/>
                                  <w:autoSpaceDN w:val="0"/>
                                  <w:adjustRightInd w:val="0"/>
                                  <w:spacing w:after="60" w:line="216" w:lineRule="auto"/>
                                  <w:ind w:left="142"/>
                                  <w:rPr>
                                    <w:rFonts w:asciiTheme="minorHAnsi" w:hAnsiTheme="minorHAnsi"/>
                                    <w:sz w:val="18"/>
                                    <w:szCs w:val="19"/>
                                  </w:rPr>
                                </w:pPr>
                              </w:p>
                            </w:txbxContent>
                          </wps:txbx>
                          <wps:bodyPr rot="0" vert="horz" wrap="square" lIns="36000" tIns="45720" rIns="36000" bIns="45720" anchor="t" anchorCtr="0" upright="1">
                            <a:noAutofit/>
                          </wps:bodyPr>
                        </wps:wsp>
                        <wps:wsp>
                          <wps:cNvPr id="1581" name="Rectangle 1581"/>
                          <wps:cNvSpPr>
                            <a:spLocks noChangeArrowheads="1"/>
                          </wps:cNvSpPr>
                          <wps:spPr bwMode="auto">
                            <a:xfrm>
                              <a:off x="12151" y="5697"/>
                              <a:ext cx="11574" cy="34203"/>
                            </a:xfrm>
                            <a:prstGeom prst="rect">
                              <a:avLst/>
                            </a:prstGeom>
                            <a:solidFill>
                              <a:srgbClr val="00A9CE">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93A66" w:rsidRPr="0073449F" w:rsidRDefault="00293A66" w:rsidP="007861A7">
                                <w:pPr>
                                  <w:pStyle w:val="NormalWeb"/>
                                  <w:spacing w:after="0" w:line="216" w:lineRule="auto"/>
                                  <w:rPr>
                                    <w:rFonts w:ascii="Calibri" w:hAnsi="Calibri"/>
                                    <w:b/>
                                    <w:bCs/>
                                    <w:iCs/>
                                    <w:kern w:val="24"/>
                                    <w:sz w:val="16"/>
                                    <w:szCs w:val="19"/>
                                  </w:rPr>
                                </w:pPr>
                                <w:r w:rsidRPr="0073449F">
                                  <w:rPr>
                                    <w:rFonts w:ascii="Calibri" w:hAnsi="Calibri"/>
                                    <w:b/>
                                    <w:bCs/>
                                    <w:iCs/>
                                    <w:kern w:val="24"/>
                                    <w:sz w:val="16"/>
                                    <w:szCs w:val="19"/>
                                  </w:rPr>
                                  <w:t>Biomarker Discovery &amp; Validation Research</w:t>
                                </w:r>
                              </w:p>
                              <w:p w:rsidR="00293A66" w:rsidRPr="0073449F" w:rsidRDefault="00293A66" w:rsidP="007861A7">
                                <w:pPr>
                                  <w:pStyle w:val="MediumGrid1-Accent21"/>
                                  <w:spacing w:after="0"/>
                                  <w:rPr>
                                    <w:b/>
                                    <w:bCs/>
                                    <w:iCs/>
                                    <w:kern w:val="24"/>
                                    <w:sz w:val="12"/>
                                    <w:szCs w:val="16"/>
                                    <w:u w:val="single"/>
                                  </w:rPr>
                                </w:pPr>
                              </w:p>
                              <w:p w:rsidR="00293A66" w:rsidRPr="0073449F" w:rsidRDefault="00293A66" w:rsidP="007861A7">
                                <w:pPr>
                                  <w:pStyle w:val="NormalWeb"/>
                                  <w:spacing w:after="0" w:line="216" w:lineRule="auto"/>
                                  <w:rPr>
                                    <w:rFonts w:ascii="Calibri" w:hAnsi="Calibri"/>
                                    <w:b/>
                                    <w:bCs/>
                                    <w:iCs/>
                                    <w:kern w:val="24"/>
                                    <w:sz w:val="16"/>
                                    <w:szCs w:val="19"/>
                                  </w:rPr>
                                </w:pPr>
                                <w:r w:rsidRPr="0073449F">
                                  <w:rPr>
                                    <w:rFonts w:ascii="Calibri" w:hAnsi="Calibri"/>
                                    <w:b/>
                                    <w:bCs/>
                                    <w:iCs/>
                                    <w:kern w:val="24"/>
                                    <w:sz w:val="16"/>
                                    <w:szCs w:val="19"/>
                                  </w:rPr>
                                  <w:t>2004-2010: Bioinformatics &amp; Biomarker Discovery</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CSIRO, CG &amp; Flinders</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Analysis of gene expression dataset of 460 CRC cases for up and downregulated biomarker genes (Publication 1)</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Identification of CRNDE among others (Publication 2)</w:t>
                                </w:r>
                              </w:p>
                              <w:p w:rsidR="00293A66" w:rsidRPr="0073449F" w:rsidRDefault="00293A66" w:rsidP="007861A7">
                                <w:pPr>
                                  <w:pStyle w:val="MediumGrid1-Accent21"/>
                                  <w:spacing w:after="0"/>
                                  <w:rPr>
                                    <w:b/>
                                    <w:bCs/>
                                    <w:iCs/>
                                    <w:kern w:val="24"/>
                                    <w:sz w:val="10"/>
                                    <w:szCs w:val="16"/>
                                    <w:u w:val="single"/>
                                  </w:rPr>
                                </w:pPr>
                              </w:p>
                              <w:p w:rsidR="00293A66" w:rsidRPr="0073449F" w:rsidRDefault="00293A66" w:rsidP="007861A7">
                                <w:pPr>
                                  <w:pStyle w:val="NormalWeb"/>
                                  <w:spacing w:after="0" w:line="216" w:lineRule="auto"/>
                                  <w:rPr>
                                    <w:rFonts w:ascii="Calibri" w:hAnsi="Calibri"/>
                                    <w:b/>
                                    <w:bCs/>
                                    <w:iCs/>
                                    <w:kern w:val="24"/>
                                    <w:sz w:val="16"/>
                                    <w:szCs w:val="19"/>
                                  </w:rPr>
                                </w:pPr>
                                <w:r w:rsidRPr="0073449F">
                                  <w:rPr>
                                    <w:rFonts w:ascii="Calibri" w:hAnsi="Calibri"/>
                                    <w:b/>
                                    <w:bCs/>
                                    <w:iCs/>
                                    <w:kern w:val="24"/>
                                    <w:sz w:val="16"/>
                                    <w:szCs w:val="19"/>
                                  </w:rPr>
                                  <w:t xml:space="preserve">2008-2011: </w:t>
                                </w:r>
                                <w:r>
                                  <w:rPr>
                                    <w:rFonts w:ascii="Calibri" w:hAnsi="Calibri"/>
                                    <w:b/>
                                    <w:bCs/>
                                    <w:iCs/>
                                    <w:kern w:val="24"/>
                                    <w:sz w:val="16"/>
                                    <w:szCs w:val="19"/>
                                  </w:rPr>
                                  <w:t>Shift in research f</w:t>
                                </w:r>
                                <w:r w:rsidRPr="0073449F">
                                  <w:rPr>
                                    <w:rFonts w:ascii="Calibri" w:hAnsi="Calibri"/>
                                    <w:b/>
                                    <w:bCs/>
                                    <w:iCs/>
                                    <w:kern w:val="24"/>
                                    <w:sz w:val="16"/>
                                    <w:szCs w:val="19"/>
                                  </w:rPr>
                                  <w:t>ocus: Epigenetics &amp; Methylated Biomarker Discovery</w:t>
                                </w:r>
                              </w:p>
                              <w:p w:rsidR="00293A66" w:rsidRPr="0073449F" w:rsidRDefault="00293A66" w:rsidP="007861A7">
                                <w:pPr>
                                  <w:pStyle w:val="NormalWeb"/>
                                  <w:spacing w:after="0" w:line="216" w:lineRule="auto"/>
                                  <w:rPr>
                                    <w:rFonts w:ascii="Calibri" w:hAnsi="Calibri"/>
                                    <w:b/>
                                    <w:bCs/>
                                    <w:iCs/>
                                    <w:kern w:val="24"/>
                                    <w:sz w:val="16"/>
                                    <w:szCs w:val="19"/>
                                  </w:rPr>
                                </w:pPr>
                                <w:r>
                                  <w:rPr>
                                    <w:rFonts w:ascii="Calibri" w:hAnsi="Calibri"/>
                                    <w:b/>
                                    <w:bCs/>
                                    <w:iCs/>
                                    <w:kern w:val="24"/>
                                    <w:sz w:val="16"/>
                                    <w:szCs w:val="19"/>
                                  </w:rPr>
                                  <w:t>CSIRO</w:t>
                                </w:r>
                                <w:r w:rsidRPr="0073449F">
                                  <w:rPr>
                                    <w:rFonts w:ascii="Calibri" w:hAnsi="Calibri"/>
                                    <w:b/>
                                    <w:bCs/>
                                    <w:iCs/>
                                    <w:kern w:val="24"/>
                                    <w:sz w:val="16"/>
                                    <w:szCs w:val="19"/>
                                  </w:rPr>
                                  <w:t xml:space="preserve">: </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Development and use of two in-house techniques for genome wide screening for differences in DNA methylation.</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CSIRO, CG &amp; Flinders</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 xml:space="preserve">Characterisation of a panel of 66 genes demonstrating elevated DNA methylation in CRC tissue. </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Differential methylation confirmed in 23 of 66 genes showing hyper-methylation in CRC tissue as a panel for clinical application (publication 5)</w:t>
                                </w:r>
                              </w:p>
                              <w:p w:rsidR="00293A66" w:rsidRPr="0073449F" w:rsidRDefault="00293A66" w:rsidP="007861A7">
                                <w:pPr>
                                  <w:pStyle w:val="ListDash"/>
                                  <w:spacing w:before="0" w:after="0" w:line="240" w:lineRule="auto"/>
                                  <w:ind w:left="113" w:firstLine="0"/>
                                  <w:rPr>
                                    <w:b/>
                                    <w:bCs/>
                                    <w:iCs/>
                                    <w:kern w:val="24"/>
                                    <w:sz w:val="10"/>
                                    <w:szCs w:val="16"/>
                                    <w:u w:val="single"/>
                                  </w:rPr>
                                </w:pPr>
                              </w:p>
                              <w:p w:rsidR="00293A66" w:rsidRPr="0073449F" w:rsidRDefault="00293A66" w:rsidP="007861A7">
                                <w:pPr>
                                  <w:pStyle w:val="NormalWeb"/>
                                  <w:spacing w:after="0" w:line="216" w:lineRule="auto"/>
                                  <w:rPr>
                                    <w:rFonts w:ascii="Calibri" w:hAnsi="Calibri"/>
                                    <w:b/>
                                    <w:bCs/>
                                    <w:iCs/>
                                    <w:kern w:val="24"/>
                                    <w:sz w:val="16"/>
                                    <w:szCs w:val="19"/>
                                  </w:rPr>
                                </w:pPr>
                                <w:r w:rsidRPr="0073449F">
                                  <w:rPr>
                                    <w:rFonts w:ascii="Calibri" w:hAnsi="Calibri"/>
                                    <w:b/>
                                    <w:bCs/>
                                    <w:iCs/>
                                    <w:kern w:val="24"/>
                                    <w:sz w:val="16"/>
                                    <w:szCs w:val="19"/>
                                  </w:rPr>
                                  <w:t>2010-2014: SHORTLISTING MARKERS &amp; CLINICAL VALIDATION</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CSIRO, CG &amp; Flinders</w:t>
                                </w:r>
                              </w:p>
                              <w:p w:rsidR="00293A66" w:rsidRPr="00C83459" w:rsidRDefault="00293A66" w:rsidP="000F06DC">
                                <w:pPr>
                                  <w:pStyle w:val="MediumGrid1-Accent21"/>
                                  <w:numPr>
                                    <w:ilvl w:val="0"/>
                                    <w:numId w:val="22"/>
                                  </w:numPr>
                                  <w:spacing w:after="0" w:line="216" w:lineRule="auto"/>
                                  <w:ind w:left="113" w:hanging="113"/>
                                  <w:rPr>
                                    <w:sz w:val="16"/>
                                    <w:szCs w:val="16"/>
                                  </w:rPr>
                                </w:pPr>
                                <w:r w:rsidRPr="00C83459">
                                  <w:rPr>
                                    <w:kern w:val="24"/>
                                    <w:sz w:val="16"/>
                                    <w:szCs w:val="19"/>
                                  </w:rPr>
                                  <w:t>Selection</w:t>
                                </w:r>
                                <w:r w:rsidRPr="00FE1C98">
                                  <w:rPr>
                                    <w:sz w:val="16"/>
                                    <w:szCs w:val="16"/>
                                  </w:rPr>
                                  <w:t xml:space="preserve"> of a subset of five gene targets (</w:t>
                                </w:r>
                                <w:hyperlink w:anchor="_Mitchell_SM_et" w:history="1">
                                  <w:r w:rsidRPr="00C83459">
                                    <w:rPr>
                                      <w:rStyle w:val="Hyperlink"/>
                                      <w:sz w:val="16"/>
                                      <w:szCs w:val="16"/>
                                    </w:rPr>
                                    <w:t>BCAT1, IKZF1, GRASP, IRF4</w:t>
                                  </w:r>
                                </w:hyperlink>
                                <w:r w:rsidRPr="00C83459">
                                  <w:rPr>
                                    <w:sz w:val="16"/>
                                    <w:szCs w:val="16"/>
                                  </w:rPr>
                                  <w:t xml:space="preserve"> and </w:t>
                                </w:r>
                                <w:hyperlink w:anchor="_Pederson_S_et" w:history="1">
                                  <w:r w:rsidRPr="00C83459">
                                    <w:rPr>
                                      <w:rStyle w:val="Hyperlink"/>
                                      <w:sz w:val="16"/>
                                      <w:szCs w:val="16"/>
                                    </w:rPr>
                                    <w:t>CAHM</w:t>
                                  </w:r>
                                </w:hyperlink>
                                <w:r w:rsidRPr="00C83459">
                                  <w:rPr>
                                    <w:sz w:val="16"/>
                                    <w:szCs w:val="16"/>
                                  </w:rPr>
                                  <w:t>) f</w:t>
                                </w:r>
                                <w:r w:rsidRPr="00FE1C98">
                                  <w:rPr>
                                    <w:sz w:val="16"/>
                                    <w:szCs w:val="16"/>
                                  </w:rPr>
                                  <w:t>or CRC were selected</w:t>
                                </w:r>
                              </w:p>
                              <w:p w:rsidR="00293A66" w:rsidRPr="00F66C14" w:rsidRDefault="00293A66" w:rsidP="0073449F">
                                <w:pPr>
                                  <w:pStyle w:val="MediumGrid1-Accent21"/>
                                  <w:numPr>
                                    <w:ilvl w:val="0"/>
                                    <w:numId w:val="22"/>
                                  </w:numPr>
                                  <w:spacing w:after="0" w:line="216" w:lineRule="auto"/>
                                  <w:ind w:left="113" w:hanging="113"/>
                                  <w:rPr>
                                    <w:bCs/>
                                    <w:iCs/>
                                    <w:kern w:val="24"/>
                                    <w:sz w:val="12"/>
                                    <w:szCs w:val="19"/>
                                  </w:rPr>
                                </w:pPr>
                                <w:r w:rsidRPr="0073449F">
                                  <w:rPr>
                                    <w:sz w:val="16"/>
                                    <w:szCs w:val="16"/>
                                  </w:rPr>
                                  <w:t>Clinical validation of lead candidates in blood plasma leading to an assay that detects two hyper-methylated genes (BCAT1 and IKZF1) found in colorectal cancer (</w:t>
                                </w:r>
                                <w:hyperlink w:anchor="_Pederson_SK,_Symonds" w:history="1">
                                  <w:r w:rsidRPr="0073449F">
                                    <w:rPr>
                                      <w:rStyle w:val="Hyperlink"/>
                                      <w:bCs/>
                                      <w:sz w:val="16"/>
                                      <w:szCs w:val="16"/>
                                    </w:rPr>
                                    <w:t>Publications 6, 7, 9 &amp; 12</w:t>
                                  </w:r>
                                </w:hyperlink>
                                <w:r w:rsidRPr="00DE580D">
                                  <w:rPr>
                                    <w:sz w:val="12"/>
                                    <w:szCs w:val="16"/>
                                  </w:rPr>
                                  <w:t>).</w:t>
                                </w:r>
                              </w:p>
                              <w:p w:rsidR="00293A66" w:rsidRPr="0073449F" w:rsidRDefault="00293A66" w:rsidP="0073449F">
                                <w:pPr>
                                  <w:pStyle w:val="MediumGrid1-Accent21"/>
                                  <w:spacing w:after="0" w:line="216" w:lineRule="auto"/>
                                  <w:ind w:left="142"/>
                                  <w:rPr>
                                    <w:bCs/>
                                    <w:iCs/>
                                    <w:kern w:val="24"/>
                                    <w:sz w:val="16"/>
                                    <w:szCs w:val="19"/>
                                  </w:rPr>
                                </w:pPr>
                              </w:p>
                            </w:txbxContent>
                          </wps:txbx>
                          <wps:bodyPr rot="0" vert="horz" wrap="square" lIns="36000" tIns="45720" rIns="36000" bIns="45720" anchor="t" anchorCtr="0" upright="1">
                            <a:noAutofit/>
                          </wps:bodyPr>
                        </wps:wsp>
                        <wpg:grpSp>
                          <wpg:cNvPr id="1586" name="Group 1586"/>
                          <wpg:cNvGrpSpPr>
                            <a:grpSpLocks/>
                          </wpg:cNvGrpSpPr>
                          <wpg:grpSpPr bwMode="auto">
                            <a:xfrm>
                              <a:off x="-603" y="-544"/>
                              <a:ext cx="60726" cy="6635"/>
                              <a:chOff x="-603" y="-544"/>
                              <a:chExt cx="60726" cy="6635"/>
                            </a:xfrm>
                          </wpg:grpSpPr>
                          <wps:wsp>
                            <wps:cNvPr id="1587" name="Rounded Rectangle 1587"/>
                            <wps:cNvSpPr>
                              <a:spLocks noChangeArrowheads="1"/>
                            </wps:cNvSpPr>
                            <wps:spPr bwMode="auto">
                              <a:xfrm>
                                <a:off x="-603" y="-544"/>
                                <a:ext cx="60726" cy="5999"/>
                              </a:xfrm>
                              <a:prstGeom prst="roundRect">
                                <a:avLst>
                                  <a:gd name="adj" fmla="val 10722"/>
                                </a:avLst>
                              </a:prstGeom>
                              <a:solidFill>
                                <a:srgbClr val="005669">
                                  <a:alpha val="85881"/>
                                </a:srgb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588" name="Oval 1588"/>
                            <wps:cNvSpPr>
                              <a:spLocks noChangeArrowheads="1"/>
                            </wps:cNvSpPr>
                            <wps:spPr bwMode="auto">
                              <a:xfrm>
                                <a:off x="972" y="246"/>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89" name="Oval 1589"/>
                            <wps:cNvSpPr>
                              <a:spLocks noChangeArrowheads="1"/>
                            </wps:cNvSpPr>
                            <wps:spPr bwMode="auto">
                              <a:xfrm>
                                <a:off x="13197" y="246"/>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0" name="Oval 1590"/>
                            <wps:cNvSpPr>
                              <a:spLocks noChangeArrowheads="1"/>
                            </wps:cNvSpPr>
                            <wps:spPr bwMode="auto">
                              <a:xfrm>
                                <a:off x="25323" y="246"/>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1" name="Oval 1591"/>
                            <wps:cNvSpPr>
                              <a:spLocks noChangeArrowheads="1"/>
                            </wps:cNvSpPr>
                            <wps:spPr bwMode="auto">
                              <a:xfrm>
                                <a:off x="37548" y="246"/>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2" name="Oval 1592"/>
                            <wps:cNvSpPr>
                              <a:spLocks noChangeArrowheads="1"/>
                            </wps:cNvSpPr>
                            <wps:spPr bwMode="auto">
                              <a:xfrm>
                                <a:off x="49674" y="246"/>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3" name="Isosceles Triangle 1593"/>
                            <wps:cNvSpPr>
                              <a:spLocks noChangeArrowheads="1"/>
                            </wps:cNvSpPr>
                            <wps:spPr bwMode="auto">
                              <a:xfrm rot="5400000">
                                <a:off x="23533" y="2005"/>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4" name="Isosceles Triangle 1594"/>
                            <wps:cNvSpPr>
                              <a:spLocks noChangeArrowheads="1"/>
                            </wps:cNvSpPr>
                            <wps:spPr bwMode="auto">
                              <a:xfrm rot="5400000">
                                <a:off x="35759" y="1736"/>
                                <a:ext cx="811" cy="1287"/>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5" name="Isosceles Triangle 1595"/>
                            <wps:cNvSpPr>
                              <a:spLocks noChangeArrowheads="1"/>
                            </wps:cNvSpPr>
                            <wps:spPr bwMode="auto">
                              <a:xfrm rot="5400000">
                                <a:off x="47884" y="1737"/>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6" name="Text Box 1596"/>
                            <wps:cNvSpPr txBox="1">
                              <a:spLocks noChangeArrowheads="1"/>
                            </wps:cNvSpPr>
                            <wps:spPr bwMode="auto">
                              <a:xfrm>
                                <a:off x="46614" y="198"/>
                                <a:ext cx="7922" cy="2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A66" w:rsidRPr="00535412" w:rsidRDefault="00293A66" w:rsidP="00DA0B35">
                                  <w:pPr>
                                    <w:pStyle w:val="NormalWeb"/>
                                    <w:spacing w:after="0"/>
                                    <w:rPr>
                                      <w:b/>
                                      <w:sz w:val="22"/>
                                    </w:rPr>
                                  </w:pPr>
                                </w:p>
                              </w:txbxContent>
                            </wps:txbx>
                            <wps:bodyPr rot="0" vert="horz" wrap="square" lIns="91440" tIns="45720" rIns="91440" bIns="45720" anchor="t" anchorCtr="0" upright="1">
                              <a:noAutofit/>
                            </wps:bodyPr>
                          </wps:wsp>
                          <wps:wsp>
                            <wps:cNvPr id="1597" name="Text Box 1597"/>
                            <wps:cNvSpPr txBox="1">
                              <a:spLocks noChangeArrowheads="1"/>
                            </wps:cNvSpPr>
                            <wps:spPr bwMode="auto">
                              <a:xfrm>
                                <a:off x="831" y="1800"/>
                                <a:ext cx="9773" cy="3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A66" w:rsidRPr="00535412" w:rsidRDefault="00293A66" w:rsidP="00B60A01">
                                  <w:pPr>
                                    <w:pStyle w:val="NormalWeb"/>
                                    <w:spacing w:after="0"/>
                                    <w:rPr>
                                      <w:sz w:val="26"/>
                                      <w:szCs w:val="26"/>
                                    </w:rPr>
                                  </w:pPr>
                                  <w:r w:rsidRPr="002462DA">
                                    <w:rPr>
                                      <w:rFonts w:ascii="Calibri" w:hAnsi="Calibri"/>
                                      <w:b/>
                                      <w:bCs/>
                                      <w:color w:val="FFFFFF"/>
                                      <w:kern w:val="24"/>
                                      <w:sz w:val="26"/>
                                      <w:szCs w:val="26"/>
                                    </w:rPr>
                                    <w:t>      </w:t>
                                  </w:r>
                                  <w:r>
                                    <w:rPr>
                                      <w:rFonts w:ascii="Calibri" w:hAnsi="Calibri"/>
                                      <w:b/>
                                      <w:bCs/>
                                      <w:color w:val="FFFFFF"/>
                                      <w:kern w:val="24"/>
                                      <w:sz w:val="26"/>
                                      <w:szCs w:val="26"/>
                                    </w:rPr>
                                    <w:t>Input</w:t>
                                  </w:r>
                                </w:p>
                              </w:txbxContent>
                            </wps:txbx>
                            <wps:bodyPr rot="0" vert="horz" wrap="square" lIns="91440" tIns="45720" rIns="91440" bIns="45720" anchor="t" anchorCtr="0" upright="1">
                              <a:noAutofit/>
                            </wps:bodyPr>
                          </wps:wsp>
                          <wps:wsp>
                            <wps:cNvPr id="1598" name="Text Box 1598"/>
                            <wps:cNvSpPr txBox="1">
                              <a:spLocks noChangeArrowheads="1"/>
                            </wps:cNvSpPr>
                            <wps:spPr bwMode="auto">
                              <a:xfrm>
                                <a:off x="13098" y="1800"/>
                                <a:ext cx="977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A66" w:rsidRPr="00535412" w:rsidRDefault="00293A66" w:rsidP="00267E5C">
                                  <w:pPr>
                                    <w:pStyle w:val="NormalWeb"/>
                                    <w:spacing w:after="0"/>
                                    <w:jc w:val="center"/>
                                    <w:rPr>
                                      <w:sz w:val="26"/>
                                      <w:szCs w:val="26"/>
                                    </w:rPr>
                                  </w:pPr>
                                  <w:r>
                                    <w:rPr>
                                      <w:rFonts w:ascii="Calibri" w:hAnsi="Calibri"/>
                                      <w:b/>
                                      <w:bCs/>
                                      <w:color w:val="FFFFFF"/>
                                      <w:kern w:val="24"/>
                                      <w:sz w:val="26"/>
                                      <w:szCs w:val="26"/>
                                    </w:rPr>
                                    <w:t>Activity</w:t>
                                  </w:r>
                                </w:p>
                              </w:txbxContent>
                            </wps:txbx>
                            <wps:bodyPr rot="0" vert="horz" wrap="square" lIns="91440" tIns="45720" rIns="91440" bIns="45720" anchor="t" anchorCtr="0" upright="1">
                              <a:noAutofit/>
                            </wps:bodyPr>
                          </wps:wsp>
                          <wps:wsp>
                            <wps:cNvPr id="34" name="Text Box 34"/>
                            <wps:cNvSpPr txBox="1">
                              <a:spLocks noChangeArrowheads="1"/>
                            </wps:cNvSpPr>
                            <wps:spPr bwMode="auto">
                              <a:xfrm>
                                <a:off x="24971" y="1769"/>
                                <a:ext cx="9773"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A66" w:rsidRPr="00535412" w:rsidRDefault="00293A66" w:rsidP="00267E5C">
                                  <w:pPr>
                                    <w:pStyle w:val="NormalWeb"/>
                                    <w:spacing w:after="0"/>
                                    <w:rPr>
                                      <w:sz w:val="26"/>
                                      <w:szCs w:val="26"/>
                                    </w:rPr>
                                  </w:pPr>
                                  <w:r w:rsidRPr="002462DA">
                                    <w:rPr>
                                      <w:rFonts w:ascii="Calibri" w:hAnsi="Calibri"/>
                                      <w:b/>
                                      <w:bCs/>
                                      <w:color w:val="FFFFFF"/>
                                      <w:kern w:val="24"/>
                                      <w:sz w:val="26"/>
                                      <w:szCs w:val="26"/>
                                    </w:rPr>
                                    <w:t>     </w:t>
                                  </w:r>
                                  <w:r>
                                    <w:rPr>
                                      <w:rFonts w:ascii="Calibri" w:hAnsi="Calibri"/>
                                      <w:b/>
                                      <w:bCs/>
                                      <w:color w:val="FFFFFF"/>
                                      <w:kern w:val="24"/>
                                      <w:sz w:val="26"/>
                                      <w:szCs w:val="26"/>
                                    </w:rPr>
                                    <w:t>Output</w:t>
                                  </w:r>
                                  <w:r w:rsidRPr="002462DA">
                                    <w:rPr>
                                      <w:rFonts w:ascii="Calibri" w:hAnsi="Calibri"/>
                                      <w:b/>
                                      <w:bCs/>
                                      <w:color w:val="FFFFFF"/>
                                      <w:kern w:val="24"/>
                                      <w:sz w:val="26"/>
                                      <w:szCs w:val="26"/>
                                    </w:rPr>
                                    <w:t>  </w:t>
                                  </w:r>
                                </w:p>
                              </w:txbxContent>
                            </wps:txbx>
                            <wps:bodyPr rot="0" vert="horz" wrap="square" lIns="91440" tIns="45720" rIns="91440" bIns="45720" anchor="t" anchorCtr="0" upright="1">
                              <a:noAutofit/>
                            </wps:bodyPr>
                          </wps:wsp>
                          <wps:wsp>
                            <wps:cNvPr id="35" name="Text Box 35"/>
                            <wps:cNvSpPr txBox="1">
                              <a:spLocks noChangeArrowheads="1"/>
                            </wps:cNvSpPr>
                            <wps:spPr bwMode="auto">
                              <a:xfrm>
                                <a:off x="37677" y="1641"/>
                                <a:ext cx="9970" cy="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A66" w:rsidRPr="00535412" w:rsidRDefault="00293A66" w:rsidP="00267E5C">
                                  <w:pPr>
                                    <w:pStyle w:val="NormalWeb"/>
                                    <w:spacing w:after="0"/>
                                    <w:jc w:val="center"/>
                                    <w:rPr>
                                      <w:sz w:val="26"/>
                                      <w:szCs w:val="26"/>
                                    </w:rPr>
                                  </w:pPr>
                                  <w:r>
                                    <w:rPr>
                                      <w:rFonts w:ascii="Calibri" w:hAnsi="Calibri"/>
                                      <w:b/>
                                      <w:bCs/>
                                      <w:color w:val="FFFFFF"/>
                                      <w:kern w:val="24"/>
                                      <w:sz w:val="26"/>
                                      <w:szCs w:val="26"/>
                                    </w:rPr>
                                    <w:t>Outcome</w:t>
                                  </w:r>
                                </w:p>
                              </w:txbxContent>
                            </wps:txbx>
                            <wps:bodyPr rot="0" vert="horz" wrap="square" lIns="91440" tIns="45720" rIns="91440" bIns="45720" anchor="t" anchorCtr="0" upright="1">
                              <a:noAutofit/>
                            </wps:bodyPr>
                          </wps:wsp>
                          <wps:wsp>
                            <wps:cNvPr id="42" name="Text Box 42"/>
                            <wps:cNvSpPr txBox="1">
                              <a:spLocks noChangeArrowheads="1"/>
                            </wps:cNvSpPr>
                            <wps:spPr bwMode="auto">
                              <a:xfrm>
                                <a:off x="49674" y="1641"/>
                                <a:ext cx="9773" cy="3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A66" w:rsidRPr="00535412" w:rsidRDefault="00293A66" w:rsidP="00267E5C">
                                  <w:pPr>
                                    <w:pStyle w:val="NormalWeb"/>
                                    <w:spacing w:after="0"/>
                                    <w:rPr>
                                      <w:sz w:val="26"/>
                                      <w:szCs w:val="26"/>
                                    </w:rPr>
                                  </w:pPr>
                                  <w:r w:rsidRPr="002462DA">
                                    <w:rPr>
                                      <w:rFonts w:ascii="Calibri" w:hAnsi="Calibri"/>
                                      <w:b/>
                                      <w:bCs/>
                                      <w:color w:val="FFFFFF"/>
                                      <w:kern w:val="24"/>
                                      <w:sz w:val="26"/>
                                      <w:szCs w:val="26"/>
                                    </w:rPr>
                                    <w:t>    </w:t>
                                  </w:r>
                                  <w:r>
                                    <w:rPr>
                                      <w:rFonts w:ascii="Calibri" w:hAnsi="Calibri"/>
                                      <w:b/>
                                      <w:bCs/>
                                      <w:color w:val="FFFFFF"/>
                                      <w:kern w:val="24"/>
                                      <w:sz w:val="26"/>
                                      <w:szCs w:val="26"/>
                                    </w:rPr>
                                    <w:t>Impact</w:t>
                                  </w:r>
                                  <w:r w:rsidRPr="002462DA">
                                    <w:rPr>
                                      <w:rFonts w:ascii="Calibri" w:hAnsi="Calibri"/>
                                      <w:b/>
                                      <w:bCs/>
                                      <w:color w:val="FFFFFF"/>
                                      <w:kern w:val="24"/>
                                      <w:sz w:val="26"/>
                                      <w:szCs w:val="26"/>
                                    </w:rPr>
                                    <w:t>  </w:t>
                                  </w:r>
                                </w:p>
                              </w:txbxContent>
                            </wps:txbx>
                            <wps:bodyPr rot="0" vert="horz" wrap="square" lIns="91440" tIns="45720" rIns="91440" bIns="45720" anchor="t" anchorCtr="0" upright="1">
                              <a:noAutofit/>
                            </wps:bodyPr>
                          </wps:wsp>
                        </wpg:grpSp>
                      </wpg:grpSp>
                      <wps:wsp>
                        <wps:cNvPr id="43" name="Text Box 43"/>
                        <wps:cNvSpPr txBox="1">
                          <a:spLocks noChangeArrowheads="1"/>
                        </wps:cNvSpPr>
                        <wps:spPr bwMode="auto">
                          <a:xfrm>
                            <a:off x="134" y="38061"/>
                            <a:ext cx="55839"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93A66" w:rsidRPr="00BC4184" w:rsidRDefault="00293A66" w:rsidP="00BA4785">
                              <w:pPr>
                                <w:pStyle w:val="Caption"/>
                              </w:pPr>
                              <w:r w:rsidRPr="00BC4184">
                                <w:t xml:space="preserve">Figure 1: </w:t>
                              </w:r>
                              <w:r>
                                <w:t>I</w:t>
                              </w:r>
                              <w:r w:rsidRPr="00BC4184">
                                <w:t>mpact pathway for discovery and commercialisation of biomarkers for Colorectal Cancer</w:t>
                              </w:r>
                            </w:p>
                          </w:txbxContent>
                        </wps:txbx>
                        <wps:bodyPr rot="0" vert="horz" wrap="square" lIns="36000" tIns="18000" rIns="36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B4B8" id="Group 1476" o:spid="_x0000_s1047" style="position:absolute;margin-left:-3.7pt;margin-top:.05pt;width:474.25pt;height:747.55pt;z-index:-251491840;mso-position-horizontal-relative:margin" coordorigin="-599,-523" coordsize="60741,4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">
                <v:group id="Group 1568" o:spid="_x0000_s1048" style="position:absolute;left:-599;top:-523;width:60741;height:38999" coordorigin="-603,-544" coordsize="61147,40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rect id="Rectangle 1569" o:spid="_x0000_s1049" style="position:absolute;left:36074;top:5697;width:11573;height:34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nA8QA&#10;AADdAAAADwAAAGRycy9kb3ducmV2LnhtbERPS2sCMRC+C/6HMEJvmlgfbbdGKYWiXlq6LXodNuPu&#10;4mayJOm6/vumIPQ2H99zVpveNqIjH2rHGqYTBYK4cKbmUsP319v4EUSIyAYbx6ThSgE26+FghZlx&#10;F/6kLo+lSCEcMtRQxdhmUoaiIoth4lrixJ2ctxgT9KU0Hi8p3DbyXqmltFhzaqiwpdeKinP+YzXM&#10;eJfvu5D7w3X7MJt/qPPi/ai0vhv1L88gIvXxX3xz70yav1g+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JwPEAAAA3QAAAA8AAAAAAAAAAAAAAAAAmAIAAGRycy9k&#10;b3ducmV2LnhtbFBLBQYAAAAABAAEAPUAAACJAwAAAAA=&#10;" fillcolor="#007f9b" stroked="f" strokeweight="2pt">
                    <v:fill opacity="16191f"/>
                    <v:textbox inset="1mm,,1mm">
                      <w:txbxContent>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Commercialisation (CG)</w:t>
                          </w:r>
                        </w:p>
                        <w:p w:rsidR="00293A66" w:rsidRPr="007861A7" w:rsidRDefault="00293A66" w:rsidP="007861A7">
                          <w:pPr>
                            <w:pStyle w:val="MediumGrid1-Accent21"/>
                            <w:spacing w:after="0" w:line="216" w:lineRule="auto"/>
                            <w:rPr>
                              <w:kern w:val="24"/>
                              <w:sz w:val="18"/>
                              <w:szCs w:val="19"/>
                            </w:rPr>
                          </w:pPr>
                          <w:r w:rsidRPr="007861A7">
                            <w:rPr>
                              <w:kern w:val="24"/>
                              <w:sz w:val="18"/>
                              <w:szCs w:val="19"/>
                            </w:rPr>
                            <w:t xml:space="preserve">COLVERA™ blood test for monitoring recurrent CRC released on the US market December 2016 </w:t>
                          </w:r>
                        </w:p>
                        <w:p w:rsidR="00293A66" w:rsidRDefault="00293A66" w:rsidP="007861A7">
                          <w:pPr>
                            <w:spacing w:after="0"/>
                            <w:rPr>
                              <w:b/>
                              <w:sz w:val="12"/>
                              <w:u w:val="single"/>
                            </w:rPr>
                          </w:pP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Product uptake</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CG and Quest Diagnostic contracts increase awareness and access to test amongst partner oncologists and specialists monitoring post-treatment CRC patients</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 xml:space="preserve">Contracts with Fortified Provider Network and Multiplan PPO facilitate a level of reimbursement through discounts offered to private health insurance partners </w:t>
                          </w:r>
                        </w:p>
                        <w:p w:rsidR="00293A66" w:rsidRPr="00E55F15" w:rsidRDefault="00293A66" w:rsidP="007861A7">
                          <w:pPr>
                            <w:pStyle w:val="ListDash"/>
                            <w:spacing w:before="0" w:after="0" w:line="240" w:lineRule="auto"/>
                            <w:ind w:left="0" w:firstLine="0"/>
                            <w:rPr>
                              <w:b/>
                              <w:sz w:val="14"/>
                              <w:szCs w:val="14"/>
                              <w:u w:val="single"/>
                            </w:rPr>
                          </w:pP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Capacity building</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 xml:space="preserve">Thirteen years of collaborative research experience </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 xml:space="preserve">Established skillset/capacity for valuable collaborative work </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Collaborative projects a feasible option for future and under active discussion</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 xml:space="preserve">Validated discovery can inform research and discovery for other cancer types </w:t>
                          </w:r>
                        </w:p>
                        <w:p w:rsidR="00293A66" w:rsidRPr="007861A7" w:rsidRDefault="00293A66" w:rsidP="007861A7">
                          <w:pPr>
                            <w:pStyle w:val="MediumGrid1-Accent21"/>
                            <w:spacing w:after="0" w:line="216" w:lineRule="auto"/>
                            <w:ind w:left="113"/>
                            <w:rPr>
                              <w:kern w:val="24"/>
                              <w:sz w:val="18"/>
                              <w:szCs w:val="19"/>
                            </w:rPr>
                          </w:pPr>
                        </w:p>
                      </w:txbxContent>
                    </v:textbox>
                  </v:rect>
                  <v:rect id="Rectangle 1570" o:spid="_x0000_s1050" style="position:absolute;left:48199;top:5696;width:12345;height:34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t7ccA&#10;AADdAAAADwAAAGRycy9kb3ducmV2LnhtbESPT2vCQBDF70K/wzJCb7qx9I9EVyktLfFSiBa8Dtkx&#10;CWZn0+w2Sf30nYPgbYb35r3frLeja1RPXag9G1jME1DEhbc1lwa+Dx+zJagQkS02nsnAHwXYbu4m&#10;a0ytHzinfh9LJSEcUjRQxdimWoeiIodh7lti0U6+cxhl7UptOxwk3DX6IUmetcOapaHClt4qKs77&#10;X2cgy4Y++7wc3+Pl8dDvvn5CXuZLY+6n4+sKVKQx3szX68wK/tOL8Ms3MoL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77e3HAAAA3QAAAA8AAAAAAAAAAAAAAAAAmAIAAGRy&#10;cy9kb3ducmV2LnhtbFBLBQYAAAAABAAEAPUAAACMAwAAAAA=&#10;" fillcolor="#005367" stroked="f" strokeweight="2pt">
                    <v:fill opacity="16191f"/>
                    <v:textbox inset="1mm,,1mm,0">
                      <w:txbxContent>
                        <w:p w:rsidR="00293A66" w:rsidRDefault="00293A66"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Reduced economi</w:t>
                          </w:r>
                          <w:r>
                            <w:rPr>
                              <w:kern w:val="24"/>
                              <w:sz w:val="18"/>
                              <w:szCs w:val="19"/>
                            </w:rPr>
                            <w:t>c burden on health care system.</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Increase in labour productivity/ and labour force participation.</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Pr>
                              <w:kern w:val="24"/>
                              <w:sz w:val="18"/>
                              <w:szCs w:val="19"/>
                            </w:rPr>
                            <w:t xml:space="preserve">New </w:t>
                          </w:r>
                          <w:r w:rsidRPr="007861A7">
                            <w:rPr>
                              <w:kern w:val="24"/>
                              <w:sz w:val="18"/>
                              <w:szCs w:val="19"/>
                            </w:rPr>
                            <w:t>products</w:t>
                          </w:r>
                        </w:p>
                        <w:p w:rsidR="00293A66" w:rsidRPr="00711E4A" w:rsidRDefault="00293A66" w:rsidP="00DA0B35">
                          <w:pPr>
                            <w:pStyle w:val="MediumGrid1-Accent21"/>
                            <w:spacing w:after="0" w:line="216" w:lineRule="auto"/>
                            <w:rPr>
                              <w:rFonts w:eastAsia="MS Mincho"/>
                              <w:sz w:val="18"/>
                              <w:szCs w:val="19"/>
                            </w:rPr>
                          </w:pPr>
                        </w:p>
                        <w:p w:rsidR="00293A66" w:rsidRDefault="00293A66" w:rsidP="00DA0B35">
                          <w:pPr>
                            <w:pStyle w:val="NormalWeb"/>
                            <w:spacing w:after="0" w:line="216" w:lineRule="auto"/>
                            <w:rPr>
                              <w:rFonts w:ascii="Calibri" w:hAnsi="Calibri"/>
                              <w:b/>
                              <w:bCs/>
                              <w:i/>
                              <w:iCs/>
                              <w:kern w:val="24"/>
                              <w:sz w:val="18"/>
                              <w:szCs w:val="19"/>
                            </w:rPr>
                          </w:pPr>
                        </w:p>
                        <w:p w:rsidR="00293A66" w:rsidRPr="00862C0D" w:rsidRDefault="00293A66" w:rsidP="00DA0B35">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rsidR="00293A66" w:rsidRPr="007861A7"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Improved patient outcomes: Expected impacts through reduced mortality and improved quality of life through earlier cancer detection, both in the settings of recurrence monitoring and screening for early CRC</w:t>
                          </w:r>
                        </w:p>
                        <w:p w:rsidR="00293A66" w:rsidRPr="007861A7" w:rsidRDefault="00293A66" w:rsidP="007861A7">
                          <w:pPr>
                            <w:pStyle w:val="MediumGrid1-Accent21"/>
                            <w:spacing w:after="0" w:line="216" w:lineRule="auto"/>
                            <w:ind w:left="113"/>
                            <w:rPr>
                              <w:kern w:val="24"/>
                              <w:sz w:val="18"/>
                              <w:szCs w:val="19"/>
                            </w:rPr>
                          </w:pPr>
                        </w:p>
                        <w:p w:rsidR="00293A66" w:rsidRPr="00862C0D" w:rsidRDefault="00293A66" w:rsidP="007861A7">
                          <w:pPr>
                            <w:pStyle w:val="MediumGrid1-Accent21"/>
                            <w:numPr>
                              <w:ilvl w:val="0"/>
                              <w:numId w:val="22"/>
                            </w:numPr>
                            <w:spacing w:after="0" w:line="216" w:lineRule="auto"/>
                            <w:ind w:left="113" w:hanging="113"/>
                            <w:rPr>
                              <w:kern w:val="24"/>
                              <w:sz w:val="18"/>
                              <w:szCs w:val="19"/>
                            </w:rPr>
                          </w:pPr>
                          <w:r w:rsidRPr="007861A7">
                            <w:rPr>
                              <w:kern w:val="24"/>
                              <w:sz w:val="18"/>
                              <w:szCs w:val="19"/>
                            </w:rPr>
                            <w:t xml:space="preserve">Innovation and human capital: Innovative epigenetics and biomarker discovery research has led to numerous licenses, patents and the eventual release of </w:t>
                          </w:r>
                          <w:proofErr w:type="spellStart"/>
                          <w:r w:rsidRPr="007861A7">
                            <w:rPr>
                              <w:kern w:val="24"/>
                              <w:sz w:val="18"/>
                              <w:szCs w:val="19"/>
                            </w:rPr>
                            <w:t>Colvera</w:t>
                          </w:r>
                          <w:proofErr w:type="spellEnd"/>
                          <w:r w:rsidRPr="007861A7">
                            <w:rPr>
                              <w:kern w:val="24"/>
                              <w:sz w:val="18"/>
                              <w:szCs w:val="19"/>
                            </w:rPr>
                            <w:t>™. Through this process of innovation human capital has increased through the development and advancement of niche and valuable skills</w:t>
                          </w:r>
                        </w:p>
                      </w:txbxContent>
                    </v:textbox>
                  </v:rect>
                  <v:rect id="Rectangle 1571" o:spid="_x0000_s1051" style="position:absolute;left:24311;top:5697;width:11059;height:34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TMMMA&#10;AADdAAAADwAAAGRycy9kb3ducmV2LnhtbERP30vDMBB+F/wfwgm+ubSCU7tlow5E8UGxG+z1SG5t&#10;WHMpSbbW/34RBN/u4/t5y/XkenGmEK1nBeWsAEGsvbHcKthtX++eQMSEbLD3TAp+KMJ6dX21xMr4&#10;kb/p3KRW5BCOFSroUhoqKaPuyGGc+YE4cwcfHKYMQytNwDGHu17eF8VcOrScGzocaNORPjYnp8A+&#10;W+2at/24Kz+2Xy9B1/xpaqVub6Z6ASLRlP7Ff+53k+c/PJbw+00+Qa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STMMMAAADdAAAADwAAAAAAAAAAAAAAAACYAgAAZHJzL2Rv&#10;d25yZXYueG1sUEsFBgAAAAAEAAQA9QAAAIgDAAAAAA==&#10;" fillcolor="#008dad" stroked="f" strokeweight="2pt">
                    <v:fill opacity="16191f"/>
                    <v:textbox inset="1mm,,1mm">
                      <w:txbxContent>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Discovery &amp; Validation</w:t>
                          </w:r>
                        </w:p>
                        <w:p w:rsidR="00293A66" w:rsidRPr="0073449F" w:rsidRDefault="00293A66" w:rsidP="007861A7">
                          <w:pPr>
                            <w:pStyle w:val="ListDash"/>
                            <w:spacing w:before="0" w:after="0" w:line="240" w:lineRule="auto"/>
                            <w:ind w:left="0" w:firstLine="0"/>
                            <w:rPr>
                              <w:rFonts w:ascii="Calibri" w:eastAsia="Calibri" w:hAnsi="Calibri"/>
                              <w:color w:val="000000"/>
                              <w:kern w:val="24"/>
                              <w:sz w:val="18"/>
                              <w:szCs w:val="19"/>
                            </w:rPr>
                          </w:pPr>
                        </w:p>
                        <w:p w:rsidR="00293A66" w:rsidRPr="0073449F" w:rsidRDefault="00293A66" w:rsidP="007861A7">
                          <w:pPr>
                            <w:pStyle w:val="ListDash"/>
                            <w:spacing w:before="0" w:after="0" w:line="240" w:lineRule="auto"/>
                            <w:ind w:left="0" w:firstLine="0"/>
                            <w:rPr>
                              <w:rFonts w:ascii="Calibri" w:eastAsia="Calibri" w:hAnsi="Calibri"/>
                              <w:color w:val="000000"/>
                              <w:kern w:val="24"/>
                              <w:sz w:val="18"/>
                              <w:szCs w:val="19"/>
                            </w:rPr>
                          </w:pPr>
                          <w:r w:rsidRPr="0073449F">
                            <w:rPr>
                              <w:rFonts w:ascii="Calibri" w:eastAsia="Calibri" w:hAnsi="Calibri"/>
                              <w:color w:val="000000"/>
                              <w:kern w:val="24"/>
                              <w:sz w:val="18"/>
                              <w:szCs w:val="19"/>
                            </w:rPr>
                            <w:t>By 2014 Flinders, CSIRO and CG discovered and validated genes that are upregulated in CRC as well as genes downregulated and/or methylated in CRC</w:t>
                          </w:r>
                        </w:p>
                        <w:p w:rsidR="00293A66" w:rsidRPr="007861A7" w:rsidRDefault="00293A66" w:rsidP="007861A7">
                          <w:pPr>
                            <w:pStyle w:val="NormalWeb"/>
                            <w:spacing w:after="0" w:line="216" w:lineRule="auto"/>
                            <w:rPr>
                              <w:rFonts w:ascii="Calibri" w:hAnsi="Calibri"/>
                              <w:b/>
                              <w:bCs/>
                              <w:iCs/>
                              <w:kern w:val="24"/>
                              <w:sz w:val="18"/>
                              <w:szCs w:val="19"/>
                            </w:rPr>
                          </w:pP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Patents</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Six international patent applications for upregulated genes in CRC and downregulated methylated genes in CRC</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 xml:space="preserve">Two international patents for in-house techniques developed by CSIRO; </w:t>
                          </w:r>
                          <w:proofErr w:type="spellStart"/>
                          <w:r w:rsidRPr="0073449F">
                            <w:rPr>
                              <w:kern w:val="24"/>
                              <w:sz w:val="18"/>
                              <w:szCs w:val="19"/>
                            </w:rPr>
                            <w:t>SuBLiME</w:t>
                          </w:r>
                          <w:proofErr w:type="spellEnd"/>
                          <w:r w:rsidRPr="0073449F">
                            <w:rPr>
                              <w:kern w:val="24"/>
                              <w:sz w:val="18"/>
                              <w:szCs w:val="19"/>
                            </w:rPr>
                            <w:t xml:space="preserve"> and Bisulphite-tag. </w:t>
                          </w:r>
                        </w:p>
                        <w:p w:rsidR="00293A66" w:rsidRDefault="00293A66" w:rsidP="007861A7">
                          <w:pPr>
                            <w:pStyle w:val="ListDash"/>
                            <w:spacing w:before="0" w:after="0" w:line="240" w:lineRule="auto"/>
                            <w:ind w:left="0" w:firstLine="0"/>
                            <w:rPr>
                              <w:b/>
                              <w:sz w:val="14"/>
                              <w:szCs w:val="16"/>
                            </w:rPr>
                          </w:pP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Publications</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 xml:space="preserve">7 co-authored peer-reviewed publications in international journals </w:t>
                          </w:r>
                        </w:p>
                        <w:p w:rsidR="00293A66" w:rsidRDefault="00293A66" w:rsidP="007861A7">
                          <w:pPr>
                            <w:pStyle w:val="ListDash"/>
                            <w:spacing w:before="0" w:after="0" w:line="240" w:lineRule="auto"/>
                            <w:ind w:left="0" w:firstLine="0"/>
                            <w:rPr>
                              <w:b/>
                              <w:sz w:val="14"/>
                              <w:szCs w:val="16"/>
                            </w:rPr>
                          </w:pPr>
                        </w:p>
                        <w:p w:rsidR="00293A66" w:rsidRDefault="00293A66" w:rsidP="007861A7">
                          <w:pPr>
                            <w:pStyle w:val="ListDash"/>
                            <w:spacing w:before="0" w:after="0" w:line="240" w:lineRule="auto"/>
                            <w:ind w:left="0" w:firstLine="0"/>
                            <w:rPr>
                              <w:b/>
                              <w:sz w:val="14"/>
                              <w:szCs w:val="16"/>
                            </w:rPr>
                          </w:pPr>
                        </w:p>
                        <w:p w:rsidR="00293A66" w:rsidRDefault="00293A66" w:rsidP="007861A7">
                          <w:pPr>
                            <w:pStyle w:val="ListDash"/>
                            <w:spacing w:before="0" w:after="0" w:line="240" w:lineRule="auto"/>
                            <w:ind w:left="0" w:firstLine="0"/>
                            <w:rPr>
                              <w:b/>
                              <w:sz w:val="14"/>
                            </w:rPr>
                          </w:pPr>
                        </w:p>
                        <w:p w:rsidR="00293A66" w:rsidRDefault="00293A66" w:rsidP="007861A7">
                          <w:pPr>
                            <w:pStyle w:val="ListDash"/>
                            <w:spacing w:before="0" w:after="0" w:line="240" w:lineRule="auto"/>
                            <w:ind w:left="0" w:firstLine="0"/>
                            <w:rPr>
                              <w:sz w:val="20"/>
                            </w:rPr>
                          </w:pPr>
                        </w:p>
                        <w:p w:rsidR="00293A66" w:rsidRPr="00510A04" w:rsidRDefault="00293A66" w:rsidP="007861A7">
                          <w:pPr>
                            <w:pStyle w:val="ListDash"/>
                            <w:spacing w:before="0" w:after="0" w:line="240" w:lineRule="auto"/>
                            <w:ind w:left="0" w:firstLine="0"/>
                            <w:rPr>
                              <w:sz w:val="12"/>
                            </w:rPr>
                          </w:pPr>
                        </w:p>
                        <w:p w:rsidR="00293A66" w:rsidRPr="00DA0B35" w:rsidRDefault="00293A66" w:rsidP="00D906B6">
                          <w:pPr>
                            <w:pStyle w:val="MediumGrid1-Accent21"/>
                            <w:spacing w:after="0" w:line="216" w:lineRule="auto"/>
                            <w:ind w:left="85"/>
                            <w:rPr>
                              <w:kern w:val="24"/>
                              <w:sz w:val="18"/>
                              <w:szCs w:val="19"/>
                            </w:rPr>
                          </w:pPr>
                        </w:p>
                      </w:txbxContent>
                    </v:textbox>
                  </v:rect>
                  <v:rect id="Rectangle 1572" o:spid="_x0000_s1052" style="position:absolute;left:135;top:5697;width:11324;height:3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rNcMA&#10;AADdAAAADwAAAGRycy9kb3ducmV2LnhtbERPTWsCMRC9C/6HMEJvmlXUymoUFSytt2rB67AZN6ub&#10;ybpJde2vN4LQ2zze58wWjS3FlWpfOFbQ7yUgiDOnC84V/Ow33QkIH5A1lo5JwZ08LObt1gxT7W78&#10;TdddyEUMYZ+iAhNClUrpM0MWfc9VxJE7utpiiLDOpa7xFsNtKQdJMpYWC44NBitaG8rOu1+rQO7v&#10;H1+H/DQcsV2txsuD2V7+GqXeOs1yCiJQE/7FL/enjvNH7wN4fhN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yrNcMAAADdAAAADwAAAAAAAAAAAAAAAACYAgAAZHJzL2Rv&#10;d25yZXYueG1sUEsFBgAAAAAEAAQA9QAAAIgDAAAAAA==&#10;" fillcolor="#1ed6ff" stroked="f" strokeweight="2pt">
                    <v:fill opacity="16191f"/>
                    <v:textbox inset="1mm,,1mm">
                      <w:txbxContent>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 xml:space="preserve">Financial </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 xml:space="preserve">By 2014 an estimated $40 million was invested by all collaborators </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CSIRO</w:t>
                          </w:r>
                        </w:p>
                        <w:p w:rsidR="00293A66" w:rsidRPr="006806E6" w:rsidRDefault="00293A66" w:rsidP="00B549DF">
                          <w:pPr>
                            <w:pStyle w:val="MediumGrid1-Accent21"/>
                            <w:numPr>
                              <w:ilvl w:val="0"/>
                              <w:numId w:val="22"/>
                            </w:numPr>
                            <w:spacing w:after="0" w:line="216" w:lineRule="auto"/>
                            <w:ind w:left="113" w:hanging="113"/>
                            <w:rPr>
                              <w:sz w:val="12"/>
                              <w:szCs w:val="16"/>
                            </w:rPr>
                          </w:pPr>
                          <w:r w:rsidRPr="0073449F">
                            <w:rPr>
                              <w:kern w:val="24"/>
                              <w:sz w:val="18"/>
                              <w:szCs w:val="19"/>
                            </w:rPr>
                            <w:t>Purchase of original datasets from over 460 CRC cases as microchip arrays available from Gene Logi</w:t>
                          </w:r>
                          <w:r>
                            <w:rPr>
                              <w:kern w:val="24"/>
                              <w:sz w:val="18"/>
                              <w:szCs w:val="19"/>
                            </w:rPr>
                            <w:t>c</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CG &amp; CSIRO</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IP/PATENTS $501,135</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Government Grant</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2007 CG &amp; CSIRO CRADA: Commercial Ready Grant $1.45M</w:t>
                          </w:r>
                        </w:p>
                        <w:p w:rsidR="00293A66" w:rsidRPr="007861A7" w:rsidRDefault="00293A66" w:rsidP="007861A7">
                          <w:pPr>
                            <w:pStyle w:val="NormalWeb"/>
                            <w:spacing w:after="0" w:line="216" w:lineRule="auto"/>
                            <w:rPr>
                              <w:rFonts w:ascii="Calibri" w:hAnsi="Calibri"/>
                              <w:b/>
                              <w:bCs/>
                              <w:iCs/>
                              <w:kern w:val="24"/>
                              <w:sz w:val="18"/>
                              <w:szCs w:val="19"/>
                            </w:rPr>
                          </w:pPr>
                          <w:r>
                            <w:rPr>
                              <w:rFonts w:ascii="Calibri" w:hAnsi="Calibri"/>
                              <w:b/>
                              <w:bCs/>
                              <w:iCs/>
                              <w:kern w:val="24"/>
                              <w:sz w:val="18"/>
                              <w:szCs w:val="19"/>
                            </w:rPr>
                            <w:t>I</w:t>
                          </w:r>
                          <w:r w:rsidRPr="007861A7">
                            <w:rPr>
                              <w:rFonts w:ascii="Calibri" w:hAnsi="Calibri"/>
                              <w:b/>
                              <w:bCs/>
                              <w:iCs/>
                              <w:kern w:val="24"/>
                              <w:sz w:val="18"/>
                              <w:szCs w:val="19"/>
                            </w:rPr>
                            <w:t>n-kind</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CRADA (CG &amp; CSIRO)</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2007 CRADA: $1M in-kind;</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 xml:space="preserve">2009 CRADA: $700K in-kind; </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2009 CRADA: extension $225K in-kind</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Background IP</w:t>
                          </w:r>
                        </w:p>
                        <w:p w:rsidR="00293A66" w:rsidRPr="007861A7" w:rsidRDefault="00293A66" w:rsidP="007861A7">
                          <w:pPr>
                            <w:pStyle w:val="NormalWeb"/>
                            <w:spacing w:after="0" w:line="216" w:lineRule="auto"/>
                            <w:rPr>
                              <w:rFonts w:ascii="Calibri" w:hAnsi="Calibri"/>
                              <w:b/>
                              <w:bCs/>
                              <w:iCs/>
                              <w:kern w:val="24"/>
                              <w:sz w:val="18"/>
                              <w:szCs w:val="19"/>
                            </w:rPr>
                          </w:pPr>
                          <w:r w:rsidRPr="007861A7">
                            <w:rPr>
                              <w:rFonts w:ascii="Calibri" w:hAnsi="Calibri"/>
                              <w:b/>
                              <w:bCs/>
                              <w:iCs/>
                              <w:kern w:val="24"/>
                              <w:sz w:val="18"/>
                              <w:szCs w:val="19"/>
                            </w:rPr>
                            <w:t xml:space="preserve">CSIRO </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In-house technologies for screening genome-wide for differences in DNA methylation</w:t>
                          </w:r>
                        </w:p>
                        <w:p w:rsidR="00293A66" w:rsidRPr="007861A7" w:rsidRDefault="00293A66" w:rsidP="007861A7">
                          <w:pPr>
                            <w:pStyle w:val="NormalWeb"/>
                            <w:spacing w:after="0" w:line="216" w:lineRule="auto"/>
                            <w:rPr>
                              <w:rFonts w:ascii="Calibri" w:hAnsi="Calibri"/>
                              <w:b/>
                              <w:bCs/>
                              <w:iCs/>
                              <w:kern w:val="24"/>
                              <w:sz w:val="18"/>
                              <w:szCs w:val="19"/>
                            </w:rPr>
                          </w:pPr>
                          <w:r>
                            <w:rPr>
                              <w:rFonts w:ascii="Calibri" w:hAnsi="Calibri"/>
                              <w:b/>
                              <w:bCs/>
                              <w:iCs/>
                              <w:kern w:val="24"/>
                              <w:sz w:val="18"/>
                              <w:szCs w:val="19"/>
                            </w:rPr>
                            <w:t>F</w:t>
                          </w:r>
                          <w:r w:rsidRPr="007861A7">
                            <w:rPr>
                              <w:rFonts w:ascii="Calibri" w:hAnsi="Calibri"/>
                              <w:b/>
                              <w:bCs/>
                              <w:iCs/>
                              <w:kern w:val="24"/>
                              <w:sz w:val="18"/>
                              <w:szCs w:val="19"/>
                            </w:rPr>
                            <w:t xml:space="preserve">linders </w:t>
                          </w:r>
                        </w:p>
                        <w:p w:rsidR="00293A66" w:rsidRPr="0073449F" w:rsidRDefault="00293A66" w:rsidP="0073449F">
                          <w:pPr>
                            <w:pStyle w:val="MediumGrid1-Accent21"/>
                            <w:numPr>
                              <w:ilvl w:val="0"/>
                              <w:numId w:val="22"/>
                            </w:numPr>
                            <w:spacing w:after="0" w:line="216" w:lineRule="auto"/>
                            <w:ind w:left="113" w:hanging="113"/>
                            <w:rPr>
                              <w:b/>
                              <w:kern w:val="24"/>
                              <w:sz w:val="18"/>
                              <w:szCs w:val="19"/>
                            </w:rPr>
                          </w:pPr>
                          <w:r w:rsidRPr="0073449F">
                            <w:rPr>
                              <w:kern w:val="24"/>
                              <w:sz w:val="18"/>
                              <w:szCs w:val="19"/>
                            </w:rPr>
                            <w:t xml:space="preserve">Clinical expertise including CRC screening; specimen collection </w:t>
                          </w:r>
                        </w:p>
                        <w:p w:rsidR="00293A66" w:rsidRPr="00C83459" w:rsidRDefault="00293A66" w:rsidP="007861A7">
                          <w:pPr>
                            <w:pStyle w:val="NormalWeb"/>
                            <w:spacing w:after="0" w:line="216" w:lineRule="auto"/>
                            <w:rPr>
                              <w:rStyle w:val="CaptionLabel"/>
                              <w:b w:val="0"/>
                              <w:sz w:val="14"/>
                              <w:szCs w:val="16"/>
                            </w:rPr>
                          </w:pPr>
                          <w:r w:rsidRPr="000F06DC">
                            <w:rPr>
                              <w:rFonts w:ascii="Calibri" w:hAnsi="Calibri"/>
                              <w:b/>
                              <w:bCs/>
                              <w:iCs/>
                              <w:kern w:val="24"/>
                              <w:sz w:val="18"/>
                              <w:szCs w:val="19"/>
                            </w:rPr>
                            <w:t xml:space="preserve">CG </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Specific expertise in relation to CRC and diagnostic assay development</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Commercial experience</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Developing capacity for clinical trials</w:t>
                          </w:r>
                        </w:p>
                        <w:p w:rsidR="00293A66" w:rsidRPr="0073449F" w:rsidRDefault="00293A66" w:rsidP="0073449F">
                          <w:pPr>
                            <w:pStyle w:val="MediumGrid1-Accent21"/>
                            <w:numPr>
                              <w:ilvl w:val="0"/>
                              <w:numId w:val="22"/>
                            </w:numPr>
                            <w:spacing w:after="0" w:line="216" w:lineRule="auto"/>
                            <w:ind w:left="113" w:hanging="113"/>
                            <w:rPr>
                              <w:kern w:val="24"/>
                              <w:sz w:val="18"/>
                              <w:szCs w:val="19"/>
                            </w:rPr>
                          </w:pPr>
                          <w:r w:rsidRPr="0073449F">
                            <w:rPr>
                              <w:kern w:val="24"/>
                              <w:sz w:val="18"/>
                              <w:szCs w:val="19"/>
                            </w:rPr>
                            <w:t>Laboratories in North Ryde &amp; New Jersey</w:t>
                          </w:r>
                        </w:p>
                        <w:p w:rsidR="00293A66" w:rsidRDefault="00293A66" w:rsidP="007861A7">
                          <w:pPr>
                            <w:pStyle w:val="ListDash"/>
                            <w:spacing w:before="0" w:after="0" w:line="240" w:lineRule="auto"/>
                            <w:ind w:left="0" w:firstLine="0"/>
                            <w:rPr>
                              <w:sz w:val="12"/>
                              <w:szCs w:val="16"/>
                            </w:rPr>
                          </w:pPr>
                        </w:p>
                        <w:p w:rsidR="00293A66" w:rsidRPr="00DA0B35" w:rsidRDefault="00293A66" w:rsidP="007861A7">
                          <w:pPr>
                            <w:pStyle w:val="MediumGrid1-Accent21"/>
                            <w:autoSpaceDE w:val="0"/>
                            <w:autoSpaceDN w:val="0"/>
                            <w:adjustRightInd w:val="0"/>
                            <w:spacing w:after="60" w:line="216" w:lineRule="auto"/>
                            <w:ind w:left="142"/>
                            <w:rPr>
                              <w:rFonts w:asciiTheme="minorHAnsi" w:hAnsiTheme="minorHAnsi"/>
                              <w:sz w:val="18"/>
                              <w:szCs w:val="19"/>
                            </w:rPr>
                          </w:pPr>
                        </w:p>
                      </w:txbxContent>
                    </v:textbox>
                  </v:rect>
                  <v:rect id="Rectangle 1581" o:spid="_x0000_s1053" style="position:absolute;left:12151;top:5697;width:11574;height:3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hFMQA&#10;AADdAAAADwAAAGRycy9kb3ducmV2LnhtbERPS2vCQBC+C/0PywheRDdrWx/RVYog9FSsj56H7DQJ&#10;ZmdDdo1pf323IHibj+85q01nK9FS40vHGtQ4AUGcOVNyruF03I3mIHxANlg5Jg0/5GGzfuqtMDXu&#10;xp/UHkIuYgj7FDUUIdSplD4ryKIfu5o4ct+usRgibHJpGrzFcFvJSZJMpcWSY0OBNW0Lyi6Hq9Vw&#10;db9DtVD7xczvVPtxeXbbr/OL1oN+97YEEagLD/Hd/W7i/Ne5gv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IRTEAAAA3QAAAA8AAAAAAAAAAAAAAAAAmAIAAGRycy9k&#10;b3ducmV2LnhtbFBLBQYAAAAABAAEAPUAAACJAwAAAAA=&#10;" fillcolor="#00a9ce" stroked="f" strokeweight="2pt">
                    <v:fill opacity="16191f"/>
                    <v:textbox inset="1mm,,1mm">
                      <w:txbxContent>
                        <w:p w:rsidR="00293A66" w:rsidRPr="0073449F" w:rsidRDefault="00293A66" w:rsidP="007861A7">
                          <w:pPr>
                            <w:pStyle w:val="NormalWeb"/>
                            <w:spacing w:after="0" w:line="216" w:lineRule="auto"/>
                            <w:rPr>
                              <w:rFonts w:ascii="Calibri" w:hAnsi="Calibri"/>
                              <w:b/>
                              <w:bCs/>
                              <w:iCs/>
                              <w:kern w:val="24"/>
                              <w:sz w:val="16"/>
                              <w:szCs w:val="19"/>
                            </w:rPr>
                          </w:pPr>
                          <w:r w:rsidRPr="0073449F">
                            <w:rPr>
                              <w:rFonts w:ascii="Calibri" w:hAnsi="Calibri"/>
                              <w:b/>
                              <w:bCs/>
                              <w:iCs/>
                              <w:kern w:val="24"/>
                              <w:sz w:val="16"/>
                              <w:szCs w:val="19"/>
                            </w:rPr>
                            <w:t>Biomarker Discovery &amp; Validation Research</w:t>
                          </w:r>
                        </w:p>
                        <w:p w:rsidR="00293A66" w:rsidRPr="0073449F" w:rsidRDefault="00293A66" w:rsidP="007861A7">
                          <w:pPr>
                            <w:pStyle w:val="MediumGrid1-Accent21"/>
                            <w:spacing w:after="0"/>
                            <w:rPr>
                              <w:b/>
                              <w:bCs/>
                              <w:iCs/>
                              <w:kern w:val="24"/>
                              <w:sz w:val="12"/>
                              <w:szCs w:val="16"/>
                              <w:u w:val="single"/>
                            </w:rPr>
                          </w:pPr>
                        </w:p>
                        <w:p w:rsidR="00293A66" w:rsidRPr="0073449F" w:rsidRDefault="00293A66" w:rsidP="007861A7">
                          <w:pPr>
                            <w:pStyle w:val="NormalWeb"/>
                            <w:spacing w:after="0" w:line="216" w:lineRule="auto"/>
                            <w:rPr>
                              <w:rFonts w:ascii="Calibri" w:hAnsi="Calibri"/>
                              <w:b/>
                              <w:bCs/>
                              <w:iCs/>
                              <w:kern w:val="24"/>
                              <w:sz w:val="16"/>
                              <w:szCs w:val="19"/>
                            </w:rPr>
                          </w:pPr>
                          <w:r w:rsidRPr="0073449F">
                            <w:rPr>
                              <w:rFonts w:ascii="Calibri" w:hAnsi="Calibri"/>
                              <w:b/>
                              <w:bCs/>
                              <w:iCs/>
                              <w:kern w:val="24"/>
                              <w:sz w:val="16"/>
                              <w:szCs w:val="19"/>
                            </w:rPr>
                            <w:t>2004-2010: Bioinformatics &amp; Biomarker Discovery</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CSIRO, CG &amp; Flinders</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Analysis of gene expression dataset of 460 CRC cases for up and downregulated biomarker genes (Publication 1)</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Identification of CRNDE among others (Publication 2)</w:t>
                          </w:r>
                        </w:p>
                        <w:p w:rsidR="00293A66" w:rsidRPr="0073449F" w:rsidRDefault="00293A66" w:rsidP="007861A7">
                          <w:pPr>
                            <w:pStyle w:val="MediumGrid1-Accent21"/>
                            <w:spacing w:after="0"/>
                            <w:rPr>
                              <w:b/>
                              <w:bCs/>
                              <w:iCs/>
                              <w:kern w:val="24"/>
                              <w:sz w:val="10"/>
                              <w:szCs w:val="16"/>
                              <w:u w:val="single"/>
                            </w:rPr>
                          </w:pPr>
                        </w:p>
                        <w:p w:rsidR="00293A66" w:rsidRPr="0073449F" w:rsidRDefault="00293A66" w:rsidP="007861A7">
                          <w:pPr>
                            <w:pStyle w:val="NormalWeb"/>
                            <w:spacing w:after="0" w:line="216" w:lineRule="auto"/>
                            <w:rPr>
                              <w:rFonts w:ascii="Calibri" w:hAnsi="Calibri"/>
                              <w:b/>
                              <w:bCs/>
                              <w:iCs/>
                              <w:kern w:val="24"/>
                              <w:sz w:val="16"/>
                              <w:szCs w:val="19"/>
                            </w:rPr>
                          </w:pPr>
                          <w:r w:rsidRPr="0073449F">
                            <w:rPr>
                              <w:rFonts w:ascii="Calibri" w:hAnsi="Calibri"/>
                              <w:b/>
                              <w:bCs/>
                              <w:iCs/>
                              <w:kern w:val="24"/>
                              <w:sz w:val="16"/>
                              <w:szCs w:val="19"/>
                            </w:rPr>
                            <w:t xml:space="preserve">2008-2011: </w:t>
                          </w:r>
                          <w:r>
                            <w:rPr>
                              <w:rFonts w:ascii="Calibri" w:hAnsi="Calibri"/>
                              <w:b/>
                              <w:bCs/>
                              <w:iCs/>
                              <w:kern w:val="24"/>
                              <w:sz w:val="16"/>
                              <w:szCs w:val="19"/>
                            </w:rPr>
                            <w:t>Shift in research f</w:t>
                          </w:r>
                          <w:r w:rsidRPr="0073449F">
                            <w:rPr>
                              <w:rFonts w:ascii="Calibri" w:hAnsi="Calibri"/>
                              <w:b/>
                              <w:bCs/>
                              <w:iCs/>
                              <w:kern w:val="24"/>
                              <w:sz w:val="16"/>
                              <w:szCs w:val="19"/>
                            </w:rPr>
                            <w:t>ocus: Epigenetics &amp; Methylated Biomarker Discovery</w:t>
                          </w:r>
                        </w:p>
                        <w:p w:rsidR="00293A66" w:rsidRPr="0073449F" w:rsidRDefault="00293A66" w:rsidP="007861A7">
                          <w:pPr>
                            <w:pStyle w:val="NormalWeb"/>
                            <w:spacing w:after="0" w:line="216" w:lineRule="auto"/>
                            <w:rPr>
                              <w:rFonts w:ascii="Calibri" w:hAnsi="Calibri"/>
                              <w:b/>
                              <w:bCs/>
                              <w:iCs/>
                              <w:kern w:val="24"/>
                              <w:sz w:val="16"/>
                              <w:szCs w:val="19"/>
                            </w:rPr>
                          </w:pPr>
                          <w:r>
                            <w:rPr>
                              <w:rFonts w:ascii="Calibri" w:hAnsi="Calibri"/>
                              <w:b/>
                              <w:bCs/>
                              <w:iCs/>
                              <w:kern w:val="24"/>
                              <w:sz w:val="16"/>
                              <w:szCs w:val="19"/>
                            </w:rPr>
                            <w:t>CSIRO</w:t>
                          </w:r>
                          <w:r w:rsidRPr="0073449F">
                            <w:rPr>
                              <w:rFonts w:ascii="Calibri" w:hAnsi="Calibri"/>
                              <w:b/>
                              <w:bCs/>
                              <w:iCs/>
                              <w:kern w:val="24"/>
                              <w:sz w:val="16"/>
                              <w:szCs w:val="19"/>
                            </w:rPr>
                            <w:t xml:space="preserve">: </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Development and use of two in-house techniques for genome wide screening for differences in DNA methylation.</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CSIRO, CG &amp; Flinders</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 xml:space="preserve">Characterisation of a panel of 66 genes demonstrating elevated DNA methylation in CRC tissue. </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Differential methylation confirmed in 23 of 66 genes showing hyper-methylation in CRC tissue as a panel for clinical application (publication 5)</w:t>
                          </w:r>
                        </w:p>
                        <w:p w:rsidR="00293A66" w:rsidRPr="0073449F" w:rsidRDefault="00293A66" w:rsidP="007861A7">
                          <w:pPr>
                            <w:pStyle w:val="ListDash"/>
                            <w:spacing w:before="0" w:after="0" w:line="240" w:lineRule="auto"/>
                            <w:ind w:left="113" w:firstLine="0"/>
                            <w:rPr>
                              <w:b/>
                              <w:bCs/>
                              <w:iCs/>
                              <w:kern w:val="24"/>
                              <w:sz w:val="10"/>
                              <w:szCs w:val="16"/>
                              <w:u w:val="single"/>
                            </w:rPr>
                          </w:pPr>
                        </w:p>
                        <w:p w:rsidR="00293A66" w:rsidRPr="0073449F" w:rsidRDefault="00293A66" w:rsidP="007861A7">
                          <w:pPr>
                            <w:pStyle w:val="NormalWeb"/>
                            <w:spacing w:after="0" w:line="216" w:lineRule="auto"/>
                            <w:rPr>
                              <w:rFonts w:ascii="Calibri" w:hAnsi="Calibri"/>
                              <w:b/>
                              <w:bCs/>
                              <w:iCs/>
                              <w:kern w:val="24"/>
                              <w:sz w:val="16"/>
                              <w:szCs w:val="19"/>
                            </w:rPr>
                          </w:pPr>
                          <w:r w:rsidRPr="0073449F">
                            <w:rPr>
                              <w:rFonts w:ascii="Calibri" w:hAnsi="Calibri"/>
                              <w:b/>
                              <w:bCs/>
                              <w:iCs/>
                              <w:kern w:val="24"/>
                              <w:sz w:val="16"/>
                              <w:szCs w:val="19"/>
                            </w:rPr>
                            <w:t>2010-2014: SHORTLISTING MARKERS &amp; CLINICAL VALIDATION</w:t>
                          </w:r>
                        </w:p>
                        <w:p w:rsidR="00293A66" w:rsidRPr="0073449F" w:rsidRDefault="00293A66" w:rsidP="0073449F">
                          <w:pPr>
                            <w:pStyle w:val="MediumGrid1-Accent21"/>
                            <w:numPr>
                              <w:ilvl w:val="0"/>
                              <w:numId w:val="22"/>
                            </w:numPr>
                            <w:spacing w:after="0" w:line="216" w:lineRule="auto"/>
                            <w:ind w:left="113" w:hanging="113"/>
                            <w:rPr>
                              <w:kern w:val="24"/>
                              <w:sz w:val="16"/>
                              <w:szCs w:val="19"/>
                            </w:rPr>
                          </w:pPr>
                          <w:r w:rsidRPr="0073449F">
                            <w:rPr>
                              <w:kern w:val="24"/>
                              <w:sz w:val="16"/>
                              <w:szCs w:val="19"/>
                            </w:rPr>
                            <w:t>CSIRO, CG &amp; Flinders</w:t>
                          </w:r>
                        </w:p>
                        <w:p w:rsidR="00293A66" w:rsidRPr="00C83459" w:rsidRDefault="00293A66" w:rsidP="000F06DC">
                          <w:pPr>
                            <w:pStyle w:val="MediumGrid1-Accent21"/>
                            <w:numPr>
                              <w:ilvl w:val="0"/>
                              <w:numId w:val="22"/>
                            </w:numPr>
                            <w:spacing w:after="0" w:line="216" w:lineRule="auto"/>
                            <w:ind w:left="113" w:hanging="113"/>
                            <w:rPr>
                              <w:sz w:val="16"/>
                              <w:szCs w:val="16"/>
                            </w:rPr>
                          </w:pPr>
                          <w:r w:rsidRPr="00C83459">
                            <w:rPr>
                              <w:kern w:val="24"/>
                              <w:sz w:val="16"/>
                              <w:szCs w:val="19"/>
                            </w:rPr>
                            <w:t>Selection</w:t>
                          </w:r>
                          <w:r w:rsidRPr="00FE1C98">
                            <w:rPr>
                              <w:sz w:val="16"/>
                              <w:szCs w:val="16"/>
                            </w:rPr>
                            <w:t xml:space="preserve"> of a subset of five gene targets (</w:t>
                          </w:r>
                          <w:hyperlink w:anchor="_Mitchell_SM_et" w:history="1">
                            <w:r w:rsidRPr="00C83459">
                              <w:rPr>
                                <w:rStyle w:val="Hyperlink"/>
                                <w:sz w:val="16"/>
                                <w:szCs w:val="16"/>
                              </w:rPr>
                              <w:t>BCAT1, IKZF1, GRASP, IRF4</w:t>
                            </w:r>
                          </w:hyperlink>
                          <w:r w:rsidRPr="00C83459">
                            <w:rPr>
                              <w:sz w:val="16"/>
                              <w:szCs w:val="16"/>
                            </w:rPr>
                            <w:t xml:space="preserve"> and </w:t>
                          </w:r>
                          <w:hyperlink w:anchor="_Pederson_S_et" w:history="1">
                            <w:r w:rsidRPr="00C83459">
                              <w:rPr>
                                <w:rStyle w:val="Hyperlink"/>
                                <w:sz w:val="16"/>
                                <w:szCs w:val="16"/>
                              </w:rPr>
                              <w:t>CAHM</w:t>
                            </w:r>
                          </w:hyperlink>
                          <w:r w:rsidRPr="00C83459">
                            <w:rPr>
                              <w:sz w:val="16"/>
                              <w:szCs w:val="16"/>
                            </w:rPr>
                            <w:t>) f</w:t>
                          </w:r>
                          <w:r w:rsidRPr="00FE1C98">
                            <w:rPr>
                              <w:sz w:val="16"/>
                              <w:szCs w:val="16"/>
                            </w:rPr>
                            <w:t>or CRC were selected</w:t>
                          </w:r>
                        </w:p>
                        <w:p w:rsidR="00293A66" w:rsidRPr="00F66C14" w:rsidRDefault="00293A66" w:rsidP="0073449F">
                          <w:pPr>
                            <w:pStyle w:val="MediumGrid1-Accent21"/>
                            <w:numPr>
                              <w:ilvl w:val="0"/>
                              <w:numId w:val="22"/>
                            </w:numPr>
                            <w:spacing w:after="0" w:line="216" w:lineRule="auto"/>
                            <w:ind w:left="113" w:hanging="113"/>
                            <w:rPr>
                              <w:bCs/>
                              <w:iCs/>
                              <w:kern w:val="24"/>
                              <w:sz w:val="12"/>
                              <w:szCs w:val="19"/>
                            </w:rPr>
                          </w:pPr>
                          <w:r w:rsidRPr="0073449F">
                            <w:rPr>
                              <w:sz w:val="16"/>
                              <w:szCs w:val="16"/>
                            </w:rPr>
                            <w:t>Clinical validation of lead candidates in blood plasma leading to an assay that detects two hyper-methylated genes (BCAT1 and IKZF1) found in colorectal cancer (</w:t>
                          </w:r>
                          <w:hyperlink w:anchor="_Pederson_SK,_Symonds" w:history="1">
                            <w:r w:rsidRPr="0073449F">
                              <w:rPr>
                                <w:rStyle w:val="Hyperlink"/>
                                <w:bCs/>
                                <w:sz w:val="16"/>
                                <w:szCs w:val="16"/>
                              </w:rPr>
                              <w:t>Publications 6, 7, 9 &amp; 12</w:t>
                            </w:r>
                          </w:hyperlink>
                          <w:r w:rsidRPr="00DE580D">
                            <w:rPr>
                              <w:sz w:val="12"/>
                              <w:szCs w:val="16"/>
                            </w:rPr>
                            <w:t>).</w:t>
                          </w:r>
                        </w:p>
                        <w:p w:rsidR="00293A66" w:rsidRPr="0073449F" w:rsidRDefault="00293A66" w:rsidP="0073449F">
                          <w:pPr>
                            <w:pStyle w:val="MediumGrid1-Accent21"/>
                            <w:spacing w:after="0" w:line="216" w:lineRule="auto"/>
                            <w:ind w:left="142"/>
                            <w:rPr>
                              <w:bCs/>
                              <w:iCs/>
                              <w:kern w:val="24"/>
                              <w:sz w:val="16"/>
                              <w:szCs w:val="19"/>
                            </w:rPr>
                          </w:pPr>
                        </w:p>
                      </w:txbxContent>
                    </v:textbox>
                  </v:rect>
                  <v:group id="Group 1586" o:spid="_x0000_s1054" style="position:absolute;left:-603;top:-544;width:60726;height:6635" coordorigin="-603,-544" coordsize="60726,6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4L0UsQAAADdAAAADwAAAGRycy9kb3ducmV2LnhtbERPTWuDQBC9B/oflin0&#10;lqy2KGKzCSG0pYdQiAZCb4M7UYk7K+5Wzb/vFgq5zeN9zno7m06MNLjWsoJ4FYEgrqxuuVZwKt+X&#10;GQjnkTV2lknBjRxsNw+LNebaTnyksfC1CCHsclTQeN/nUrqqIYNuZXviwF3sYNAHONRSDziFcNPJ&#10;5yhKpcGWQ0ODPe0bqq7Fj1HwMeG0e4nfxsP1sr99l8nX+RCTUk+P8+4VhKfZ38X/7k8d5idZ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4L0UsQAAADdAAAA&#10;DwAAAAAAAAAAAAAAAACqAgAAZHJzL2Rvd25yZXYueG1sUEsFBgAAAAAEAAQA+gAAAJsDAAAAAA==&#10;">
                    <v:roundrect id="Rounded Rectangle 1587" o:spid="_x0000_s1055" style="position:absolute;left:-603;top:-544;width:60726;height:5999;visibility:visible;mso-wrap-style:square;v-text-anchor:middle" arcsize="702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e2cMA&#10;AADdAAAADwAAAGRycy9kb3ducmV2LnhtbERPS4vCMBC+C/sfwix401QXX9UosrAgetqq97EZ22Iz&#10;6TapVn+9WRC8zcf3nMWqNaW4Uu0KywoG/QgEcWp1wZmCw/6nNwXhPLLG0jIpuJOD1fKjs8BY2xv/&#10;0jXxmQgh7GJUkHtfxVK6NCeDrm8r4sCdbW3QB1hnUtd4C+GmlMMoGkuDBYeGHCv6zim9JI1R8DfZ&#10;NpfZqTllj6FM1oP77vB13CnV/WzXcxCeWv8Wv9wbHeaPphP4/yac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de2cMAAADdAAAADwAAAAAAAAAAAAAAAACYAgAAZHJzL2Rv&#10;d25yZXYueG1sUEsFBgAAAAAEAAQA9QAAAIgDAAAAAA==&#10;" fillcolor="#005669" stroked="f" strokeweight="2pt">
                      <v:fill opacity="56283f"/>
                    </v:roundrect>
                    <v:oval id="Oval 1588" o:spid="_x0000_s1056" style="position:absolute;left:972;top:246;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Lh8YA&#10;AADdAAAADwAAAGRycy9kb3ducmV2LnhtbESPT2vCQBDF74V+h2WEXopuaqmE6CpSKXisf/E4ZMds&#10;MDsbs1uN375zKPQ2w3vz3m9mi9436kZdrAMbeBtloIjLYGuuDOx3X8McVEzIFpvAZOBBERbz56cZ&#10;FjbceUO3baqUhHAs0IBLqS20jqUjj3EUWmLRzqHzmGTtKm07vEu4b/Q4yybaY83S4LClT0flZfvj&#10;Dayy1ek6bt1xWb1+H475fnN9P/fGvAz65RRUoj79m/+u11bwP3LBlW9kB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nLh8YAAADdAAAADwAAAAAAAAAAAAAAAACYAgAAZHJz&#10;L2Rvd25yZXYueG1sUEsFBgAAAAAEAAQA9QAAAIsDAAAAAA==&#10;" fillcolor="#41b6e6" strokecolor="#00a9ce" strokeweight="2pt"/>
                    <v:oval id="Oval 1589" o:spid="_x0000_s1057" style="position:absolute;left:13197;top:246;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uHMQA&#10;AADdAAAADwAAAGRycy9kb3ducmV2LnhtbERPS2vCQBC+C/6HZYRepG60VNI0q0il0KNvehyyk2ww&#10;OxuzW03/fVcoeJuP7zn5sreNuFLna8cKppMEBHHhdM2VgsP+8zkF4QOyxsYxKfglD8vFcJBjpt2N&#10;t3TdhUrEEPYZKjAhtJmUvjBk0U9cSxy50nUWQ4RdJXWHtxhuGzlLkrm0WHNsMNjSh6HivPuxCtbJ&#10;+vsya81pVY03x1N62F5eyl6pp1G/egcRqA8P8b/7S8f5r+kb3L+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lbhzEAAAA3QAAAA8AAAAAAAAAAAAAAAAAmAIAAGRycy9k&#10;b3ducmV2LnhtbFBLBQYAAAAABAAEAPUAAACJAwAAAAA=&#10;" fillcolor="#41b6e6" strokecolor="#00a9ce" strokeweight="2pt"/>
                    <v:oval id="Oval 1590" o:spid="_x0000_s1058" style="position:absolute;left:25323;top:246;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RXMYA&#10;AADdAAAADwAAAGRycy9kb3ducmV2LnhtbESPQWsCQQyF70L/w5BCL6KzVVp0dRSpFHqsVsVj2Ik7&#10;izuZdWeq679vDgVvCe/lvS/zZedrdaU2VoENvA4zUMRFsBWXBnY/n4MJqJiQLdaBycCdIiwXT705&#10;5jbceEPXbSqVhHDM0YBLqcm1joUjj3EYGmLRTqH1mGRtS21bvEm4r/Uoy961x4qlwWFDH46K8/bX&#10;G1hn6+Nl1LjDqux/7w+T3eYyPnXGvDx3qxmoRF16mP+vv6zgv02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ZRXMYAAADdAAAADwAAAAAAAAAAAAAAAACYAgAAZHJz&#10;L2Rvd25yZXYueG1sUEsFBgAAAAAEAAQA9QAAAIsDAAAAAA==&#10;" fillcolor="#41b6e6" strokecolor="#00a9ce" strokeweight="2pt"/>
                    <v:oval id="Oval 1591" o:spid="_x0000_s1059" style="position:absolute;left:37548;top:246;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0x8MA&#10;AADdAAAADwAAAGRycy9kb3ducmV2LnhtbERPTYvCMBC9L/gfwgheFk1VdtFqFFEEj6ur4nFoxqbY&#10;TGoTtf57s7DgbR7vc6bzxpbiTrUvHCvo9xIQxJnTBecK9r/r7giED8gaS8ek4Eke5rPWxxRT7R68&#10;pfsu5CKGsE9RgQmhSqX0mSGLvucq4sidXW0xRFjnUtf4iOG2lIMk+ZYWC44NBitaGsouu5tVsEpW&#10;p+ugMsdF/vlzOI722+vw3CjVaTeLCYhATXiL/90bHed/jfvw9008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r0x8MAAADdAAAADwAAAAAAAAAAAAAAAACYAgAAZHJzL2Rv&#10;d25yZXYueG1sUEsFBgAAAAAEAAQA9QAAAIgDAAAAAA==&#10;" fillcolor="#41b6e6" strokecolor="#00a9ce" strokeweight="2pt"/>
                    <v:oval id="Oval 1592" o:spid="_x0000_s1060" style="position:absolute;left:49674;top:246;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qsMQA&#10;AADdAAAADwAAAGRycy9kb3ducmV2LnhtbERPTWvCQBC9F/wPywi9FLMxpaLRVaRS6FGtischO8kG&#10;s7Mxu9X033eFQm/zeJ+zWPW2ETfqfO1YwThJQRAXTtdcKTh8fYymIHxA1tg4JgU/5GG1HDwtMNfu&#10;zju67UMlYgj7HBWYENpcSl8YsugT1xJHrnSdxRBhV0nd4T2G20ZmaTqRFmuODQZbejdUXPbfVsEm&#10;3ZyvWWtO6+plezxND7vra9kr9Tzs13MQgfrwL/5zf+o4/22WweO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YarDEAAAA3QAAAA8AAAAAAAAAAAAAAAAAmAIAAGRycy9k&#10;b3ducmV2LnhtbFBLBQYAAAAABAAEAPUAAACJAwAAAAA=&#10;" fillcolor="#41b6e6" strokecolor="#00a9ce"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93" o:spid="_x0000_s1061" type="#_x0000_t5" style="position:absolute;left:23533;top:2005;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r2sYA&#10;AADdAAAADwAAAGRycy9kb3ducmV2LnhtbESPQWvCQBCF74X+h2WEXkrd2FL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gr2sYAAADdAAAADwAAAAAAAAAAAAAAAACYAgAAZHJz&#10;L2Rvd25yZXYueG1sUEsFBgAAAAAEAAQA9QAAAIsDAAAAAA==&#10;" fillcolor="#41b6e6" stroked="f" strokeweight="2pt"/>
                    <v:shape id="Isosceles Triangle 1594" o:spid="_x0000_s1062" type="#_x0000_t5" style="position:absolute;left:35759;top:1736;width:811;height:1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zrsYA&#10;AADdAAAADwAAAGRycy9kb3ducmV2LnhtbESPQWvCQBCF74X+h2WEXkrdWFr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GzrsYAAADdAAAADwAAAAAAAAAAAAAAAACYAgAAZHJz&#10;L2Rvd25yZXYueG1sUEsFBgAAAAAEAAQA9QAAAIsDAAAAAA==&#10;" fillcolor="#41b6e6" stroked="f" strokeweight="2pt"/>
                    <v:shape id="Isosceles Triangle 1595" o:spid="_x0000_s1063" type="#_x0000_t5" style="position:absolute;left:47884;top:1737;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WNcUA&#10;AADdAAAADwAAAGRycy9kb3ducmV2LnhtbESPQWvCQBCF7wX/wzKCl6KbCoqmrqKB0tKemgpeh+w0&#10;CWZnw+6o8d93C4XeZnjve/Nmsxtcp64UYuvZwNMsA0VcedtybeD49TJdgYqCbLHzTAbuFGG3HT1s&#10;MLf+xp90LaVWKYRjjgYakT7XOlYNOYwz3xMn7dsHh5LWUGsb8JbCXafnWbbUDltOFxrsqWioOpcX&#10;l2qE06o4lDIUj3JefvjX0r1f7sZMxsP+GZTQIP/mP/rNJm6xXsDvN2kE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RY1xQAAAN0AAAAPAAAAAAAAAAAAAAAAAJgCAABkcnMv&#10;ZG93bnJldi54bWxQSwUGAAAAAAQABAD1AAAAigMAAAAA&#10;" fillcolor="#41b6e6" stroked="f" strokeweight="2pt"/>
                    <v:shapetype id="_x0000_t202" coordsize="21600,21600" o:spt="202" path="m,l,21600r21600,l21600,xe">
                      <v:stroke joinstyle="miter"/>
                      <v:path gradientshapeok="t" o:connecttype="rect"/>
                    </v:shapetype>
                    <v:shape id="Text Box 1596" o:spid="_x0000_s1064" type="#_x0000_t202" style="position:absolute;left:46614;top:198;width:7922;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sx8EA&#10;AADdAAAADwAAAGRycy9kb3ducmV2LnhtbERPTYvCMBC9C/6HMII3TRQVrUYRRfC0y7oqeBuasS02&#10;k9JEW//9ZmFhb/N4n7PatLYUL6p94VjDaKhAEKfOFJxpOH8fBnMQPiAbLB2Thjd52Ky7nRUmxjX8&#10;Ra9TyEQMYZ+ghjyEKpHSpzlZ9ENXEUfu7mqLIcI6k6bGJobbUo6VmkmLBceGHCva5ZQ+Tk+r4fJx&#10;v10n6jPb22nVuFZJtgupdb/XbpcgArXhX/znPpo4f7qYwe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obMfBAAAA3QAAAA8AAAAAAAAAAAAAAAAAmAIAAGRycy9kb3du&#10;cmV2LnhtbFBLBQYAAAAABAAEAPUAAACGAwAAAAA=&#10;" filled="f" stroked="f">
                      <v:textbox>
                        <w:txbxContent>
                          <w:p w:rsidR="00293A66" w:rsidRPr="00535412" w:rsidRDefault="00293A66" w:rsidP="00DA0B35">
                            <w:pPr>
                              <w:pStyle w:val="NormalWeb"/>
                              <w:spacing w:after="0"/>
                              <w:rPr>
                                <w:b/>
                                <w:sz w:val="22"/>
                              </w:rPr>
                            </w:pPr>
                          </w:p>
                        </w:txbxContent>
                      </v:textbox>
                    </v:shape>
                    <v:shape id="Text Box 1597" o:spid="_x0000_s1065" type="#_x0000_t202" style="position:absolute;left:831;top:1800;width:9773;height:3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JXMIA&#10;AADdAAAADwAAAGRycy9kb3ducmV2LnhtbERPS2vCQBC+C/6HZYTe6q7FZ3QVqQieKqZV8DZkxySY&#10;nQ3ZrUn/fbdQ8DYf33NWm85W4kGNLx1rGA0VCOLMmZJzDV+f+9c5CB+QDVaOScMPedis+70VJsa1&#10;fKJHGnIRQ9gnqKEIoU6k9FlBFv3Q1cSRu7nGYoiwyaVpsI3htpJvSk2lxZJjQ4E1vReU3dNvq+H8&#10;cbtexuqY7+ykbl2nJNuF1Ppl0G2XIAJ14Sn+dx9MnD9ZzODvm3iC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MlcwgAAAN0AAAAPAAAAAAAAAAAAAAAAAJgCAABkcnMvZG93&#10;bnJldi54bWxQSwUGAAAAAAQABAD1AAAAhwMAAAAA&#10;" filled="f" stroked="f">
                      <v:textbox>
                        <w:txbxContent>
                          <w:p w:rsidR="00293A66" w:rsidRPr="00535412" w:rsidRDefault="00293A66" w:rsidP="00B60A01">
                            <w:pPr>
                              <w:pStyle w:val="NormalWeb"/>
                              <w:spacing w:after="0"/>
                              <w:rPr>
                                <w:sz w:val="26"/>
                                <w:szCs w:val="26"/>
                              </w:rPr>
                            </w:pPr>
                            <w:r w:rsidRPr="002462DA">
                              <w:rPr>
                                <w:rFonts w:ascii="Calibri" w:hAnsi="Calibri"/>
                                <w:b/>
                                <w:bCs/>
                                <w:color w:val="FFFFFF"/>
                                <w:kern w:val="24"/>
                                <w:sz w:val="26"/>
                                <w:szCs w:val="26"/>
                              </w:rPr>
                              <w:t>      </w:t>
                            </w:r>
                            <w:r>
                              <w:rPr>
                                <w:rFonts w:ascii="Calibri" w:hAnsi="Calibri"/>
                                <w:b/>
                                <w:bCs/>
                                <w:color w:val="FFFFFF"/>
                                <w:kern w:val="24"/>
                                <w:sz w:val="26"/>
                                <w:szCs w:val="26"/>
                              </w:rPr>
                              <w:t>Input</w:t>
                            </w:r>
                          </w:p>
                        </w:txbxContent>
                      </v:textbox>
                    </v:shape>
                    <v:shape id="Text Box 1598" o:spid="_x0000_s1066" type="#_x0000_t202" style="position:absolute;left:13098;top:1800;width:9775;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dLsUA&#10;AADdAAAADwAAAGRycy9kb3ducmV2LnhtbESPQWvCQBCF70L/wzKF3nS3UkVTVymWQk+KsS30NmTH&#10;JDQ7G7JbE/+9cxC8zfDevPfNajP4Rp2pi3VgC88TA4q4CK7m0sLX8WO8ABUTssMmMFm4UITN+mG0&#10;wsyFng90zlOpJIRjhhaqlNpM61hU5DFOQkss2il0HpOsXaldh72E+0ZPjZlrjzVLQ4UtbSsq/vJ/&#10;b+F7d/r9eTH78t3P2j4MRrNfamufHoe3V1CJhnQ3364/neDPloIr38gI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10uxQAAAN0AAAAPAAAAAAAAAAAAAAAAAJgCAABkcnMv&#10;ZG93bnJldi54bWxQSwUGAAAAAAQABAD1AAAAigMAAAAA&#10;" filled="f" stroked="f">
                      <v:textbox>
                        <w:txbxContent>
                          <w:p w:rsidR="00293A66" w:rsidRPr="00535412" w:rsidRDefault="00293A66" w:rsidP="00267E5C">
                            <w:pPr>
                              <w:pStyle w:val="NormalWeb"/>
                              <w:spacing w:after="0"/>
                              <w:jc w:val="center"/>
                              <w:rPr>
                                <w:sz w:val="26"/>
                                <w:szCs w:val="26"/>
                              </w:rPr>
                            </w:pPr>
                            <w:r>
                              <w:rPr>
                                <w:rFonts w:ascii="Calibri" w:hAnsi="Calibri"/>
                                <w:b/>
                                <w:bCs/>
                                <w:color w:val="FFFFFF"/>
                                <w:kern w:val="24"/>
                                <w:sz w:val="26"/>
                                <w:szCs w:val="26"/>
                              </w:rPr>
                              <w:t>Activity</w:t>
                            </w:r>
                          </w:p>
                        </w:txbxContent>
                      </v:textbox>
                    </v:shape>
                    <v:shape id="Text Box 34" o:spid="_x0000_s1067" type="#_x0000_t202" style="position:absolute;left:24971;top:1769;width:9773;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293A66" w:rsidRPr="00535412" w:rsidRDefault="00293A66" w:rsidP="00267E5C">
                            <w:pPr>
                              <w:pStyle w:val="NormalWeb"/>
                              <w:spacing w:after="0"/>
                              <w:rPr>
                                <w:sz w:val="26"/>
                                <w:szCs w:val="26"/>
                              </w:rPr>
                            </w:pPr>
                            <w:r w:rsidRPr="002462DA">
                              <w:rPr>
                                <w:rFonts w:ascii="Calibri" w:hAnsi="Calibri"/>
                                <w:b/>
                                <w:bCs/>
                                <w:color w:val="FFFFFF"/>
                                <w:kern w:val="24"/>
                                <w:sz w:val="26"/>
                                <w:szCs w:val="26"/>
                              </w:rPr>
                              <w:t>     </w:t>
                            </w:r>
                            <w:r>
                              <w:rPr>
                                <w:rFonts w:ascii="Calibri" w:hAnsi="Calibri"/>
                                <w:b/>
                                <w:bCs/>
                                <w:color w:val="FFFFFF"/>
                                <w:kern w:val="24"/>
                                <w:sz w:val="26"/>
                                <w:szCs w:val="26"/>
                              </w:rPr>
                              <w:t>Output</w:t>
                            </w:r>
                            <w:r w:rsidRPr="002462DA">
                              <w:rPr>
                                <w:rFonts w:ascii="Calibri" w:hAnsi="Calibri"/>
                                <w:b/>
                                <w:bCs/>
                                <w:color w:val="FFFFFF"/>
                                <w:kern w:val="24"/>
                                <w:sz w:val="26"/>
                                <w:szCs w:val="26"/>
                              </w:rPr>
                              <w:t>  </w:t>
                            </w:r>
                          </w:p>
                        </w:txbxContent>
                      </v:textbox>
                    </v:shape>
                    <v:shape id="Text Box 35" o:spid="_x0000_s1068" type="#_x0000_t202" style="position:absolute;left:37677;top:1641;width:9970;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293A66" w:rsidRPr="00535412" w:rsidRDefault="00293A66" w:rsidP="00267E5C">
                            <w:pPr>
                              <w:pStyle w:val="NormalWeb"/>
                              <w:spacing w:after="0"/>
                              <w:jc w:val="center"/>
                              <w:rPr>
                                <w:sz w:val="26"/>
                                <w:szCs w:val="26"/>
                              </w:rPr>
                            </w:pPr>
                            <w:r>
                              <w:rPr>
                                <w:rFonts w:ascii="Calibri" w:hAnsi="Calibri"/>
                                <w:b/>
                                <w:bCs/>
                                <w:color w:val="FFFFFF"/>
                                <w:kern w:val="24"/>
                                <w:sz w:val="26"/>
                                <w:szCs w:val="26"/>
                              </w:rPr>
                              <w:t>Outcome</w:t>
                            </w:r>
                          </w:p>
                        </w:txbxContent>
                      </v:textbox>
                    </v:shape>
                    <v:shape id="Text Box 42" o:spid="_x0000_s1069" type="#_x0000_t202" style="position:absolute;left:49674;top:1641;width:9773;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293A66" w:rsidRPr="00535412" w:rsidRDefault="00293A66" w:rsidP="00267E5C">
                            <w:pPr>
                              <w:pStyle w:val="NormalWeb"/>
                              <w:spacing w:after="0"/>
                              <w:rPr>
                                <w:sz w:val="26"/>
                                <w:szCs w:val="26"/>
                              </w:rPr>
                            </w:pPr>
                            <w:r w:rsidRPr="002462DA">
                              <w:rPr>
                                <w:rFonts w:ascii="Calibri" w:hAnsi="Calibri"/>
                                <w:b/>
                                <w:bCs/>
                                <w:color w:val="FFFFFF"/>
                                <w:kern w:val="24"/>
                                <w:sz w:val="26"/>
                                <w:szCs w:val="26"/>
                              </w:rPr>
                              <w:t>    </w:t>
                            </w:r>
                            <w:r>
                              <w:rPr>
                                <w:rFonts w:ascii="Calibri" w:hAnsi="Calibri"/>
                                <w:b/>
                                <w:bCs/>
                                <w:color w:val="FFFFFF"/>
                                <w:kern w:val="24"/>
                                <w:sz w:val="26"/>
                                <w:szCs w:val="26"/>
                              </w:rPr>
                              <w:t>Impact</w:t>
                            </w:r>
                            <w:r w:rsidRPr="002462DA">
                              <w:rPr>
                                <w:rFonts w:ascii="Calibri" w:hAnsi="Calibri"/>
                                <w:b/>
                                <w:bCs/>
                                <w:color w:val="FFFFFF"/>
                                <w:kern w:val="24"/>
                                <w:sz w:val="26"/>
                                <w:szCs w:val="26"/>
                              </w:rPr>
                              <w:t>  </w:t>
                            </w:r>
                          </w:p>
                        </w:txbxContent>
                      </v:textbox>
                    </v:shape>
                  </v:group>
                </v:group>
                <v:shape id="Text Box 43" o:spid="_x0000_s1070" type="#_x0000_t202" style="position:absolute;left:134;top:38061;width:5583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2DsYA&#10;AADbAAAADwAAAGRycy9kb3ducmV2LnhtbESPT2vCQBTE7wW/w/IKvRTd+IdgYzYiQmnxUFELpbfH&#10;7jMJzb4N2Y3Gb+8WCj0OM/MbJl8PthEX6nztWMF0koAg1s7UXCr4PL2OlyB8QDbYOCYFN/KwLkYP&#10;OWbGXflAl2MoRYSwz1BBFUKbSel1RRb9xLXE0Tu7zmKIsiul6fAa4baRsyRJpcWa40KFLW0r0j/H&#10;3ip41tu3/mW5X3zNvvvTRxh2Vk9TpZ4eh80KRKAh/If/2u9GwWIOv1/iD5D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2DsYAAADbAAAADwAAAAAAAAAAAAAAAACYAgAAZHJz&#10;L2Rvd25yZXYueG1sUEsFBgAAAAAEAAQA9QAAAIsDAAAAAA==&#10;" filled="f" stroked="f" strokeweight=".5pt">
                  <v:textbox inset="1mm,.5mm,1mm,.5mm">
                    <w:txbxContent>
                      <w:p w:rsidR="00293A66" w:rsidRPr="00BC4184" w:rsidRDefault="00293A66" w:rsidP="00BA4785">
                        <w:pPr>
                          <w:pStyle w:val="Caption"/>
                        </w:pPr>
                        <w:bookmarkStart w:id="5" w:name="_GoBack"/>
                        <w:r w:rsidRPr="00BC4184">
                          <w:t xml:space="preserve">Figure 1: </w:t>
                        </w:r>
                        <w:r>
                          <w:t>I</w:t>
                        </w:r>
                        <w:r w:rsidRPr="00BC4184">
                          <w:t>mpact pathway for discovery and commercialisation of biomarkers for Colorectal Cancer</w:t>
                        </w:r>
                        <w:bookmarkEnd w:id="5"/>
                      </w:p>
                    </w:txbxContent>
                  </v:textbox>
                </v:shape>
                <w10:wrap type="tight" anchorx="margin"/>
              </v:group>
            </w:pict>
          </mc:Fallback>
        </mc:AlternateContent>
      </w:r>
    </w:p>
    <w:p w:rsidR="00B30B38" w:rsidRDefault="009668A3" w:rsidP="00E8483F">
      <w:pPr>
        <w:pStyle w:val="Heading1"/>
      </w:pPr>
      <w:bookmarkStart w:id="5" w:name="_Toc494707084"/>
      <w:r>
        <w:lastRenderedPageBreak/>
        <w:t>2</w:t>
      </w:r>
      <w:r>
        <w:tab/>
      </w:r>
      <w:r w:rsidR="00F02016" w:rsidRPr="004A6CF2">
        <w:t>Purpose and audienc</w:t>
      </w:r>
      <w:bookmarkStart w:id="6" w:name="_Toc432078358"/>
      <w:bookmarkEnd w:id="3"/>
      <w:r w:rsidR="00E8483F">
        <w:t>e</w:t>
      </w:r>
      <w:bookmarkEnd w:id="5"/>
    </w:p>
    <w:p w:rsidR="00E8483F" w:rsidRPr="00844EA9" w:rsidRDefault="00E8483F" w:rsidP="00844EA9">
      <w:pPr>
        <w:pStyle w:val="BodyText"/>
        <w:spacing w:before="0" w:after="0" w:line="276" w:lineRule="auto"/>
        <w:rPr>
          <w:rFonts w:asciiTheme="minorHAnsi" w:hAnsiTheme="minorHAnsi"/>
          <w:szCs w:val="24"/>
        </w:rPr>
      </w:pPr>
      <w:r w:rsidRPr="00844EA9">
        <w:rPr>
          <w:rFonts w:asciiTheme="minorHAnsi" w:hAnsiTheme="minorHAnsi"/>
          <w:szCs w:val="24"/>
        </w:rPr>
        <w:t>This case study can be read as a stand-alone study or alongside other evaluations to demonstrate the aggregated impact and value of CSIRO activities. The information provided is for accountability and communication purpose</w:t>
      </w:r>
      <w:r w:rsidR="00FE1C98" w:rsidRPr="00844EA9">
        <w:rPr>
          <w:rFonts w:asciiTheme="minorHAnsi" w:hAnsiTheme="minorHAnsi"/>
          <w:szCs w:val="24"/>
        </w:rPr>
        <w:t>s</w:t>
      </w:r>
      <w:r w:rsidRPr="00844EA9">
        <w:rPr>
          <w:rFonts w:asciiTheme="minorHAnsi" w:hAnsiTheme="minorHAnsi"/>
          <w:szCs w:val="24"/>
        </w:rPr>
        <w:t>; and will contribute to continuing improvement. The intended audience includes members of Parliament, Government Departments, CSIRO, other researchers</w:t>
      </w:r>
      <w:r w:rsidR="00FE1C98" w:rsidRPr="00844EA9">
        <w:rPr>
          <w:rFonts w:asciiTheme="minorHAnsi" w:hAnsiTheme="minorHAnsi"/>
          <w:szCs w:val="24"/>
        </w:rPr>
        <w:t>,</w:t>
      </w:r>
      <w:r w:rsidRPr="00844EA9">
        <w:rPr>
          <w:rFonts w:asciiTheme="minorHAnsi" w:hAnsiTheme="minorHAnsi"/>
          <w:szCs w:val="24"/>
        </w:rPr>
        <w:t xml:space="preserve"> and the general public.</w:t>
      </w:r>
    </w:p>
    <w:p w:rsidR="009A539B" w:rsidRPr="00844EA9" w:rsidRDefault="009A539B" w:rsidP="00844EA9">
      <w:pPr>
        <w:pStyle w:val="BodyText"/>
        <w:spacing w:before="0" w:after="0" w:line="276" w:lineRule="auto"/>
        <w:rPr>
          <w:rFonts w:asciiTheme="minorHAnsi" w:hAnsiTheme="minorHAnsi"/>
          <w:sz w:val="28"/>
          <w:szCs w:val="24"/>
        </w:rPr>
      </w:pPr>
      <w:bookmarkStart w:id="7" w:name="_Toc494707085"/>
      <w:r w:rsidRPr="00844EA9">
        <w:rPr>
          <w:rFonts w:asciiTheme="minorHAnsi" w:hAnsiTheme="minorHAnsi"/>
          <w:szCs w:val="24"/>
        </w:rPr>
        <w:t xml:space="preserve">The case study assesses the impacts arising from a new innovation known as Colvera™. CSIRO, in collaboration with Flinders and biotechnology company Clinical Genomics (CG), identified cancer-specific chemical changes (DNA methylation) at specific sites in the genome that is associated with colorectal cancer (CRC) and not found in normal colon tissue. These changes were demonstrated as detectable in the blood of patients with CRC. Clinical trials are in progress for commercialisation of a blood test for primary CRC, coordinated by CG. Colvera™ is now on market in the US as a blood test for asymptomatic recurrent CRC. </w:t>
      </w:r>
    </w:p>
    <w:p w:rsidR="00843B06" w:rsidRDefault="009668A3" w:rsidP="00FE5F9D">
      <w:pPr>
        <w:pStyle w:val="Heading1"/>
        <w:ind w:left="1134" w:hanging="1134"/>
      </w:pPr>
      <w:r>
        <w:t>3</w:t>
      </w:r>
      <w:r>
        <w:tab/>
      </w:r>
      <w:r w:rsidR="006A696B" w:rsidRPr="004A6CF2">
        <w:t>Background</w:t>
      </w:r>
      <w:bookmarkEnd w:id="7"/>
    </w:p>
    <w:p w:rsidR="00844EA9" w:rsidRPr="00844EA9" w:rsidRDefault="00E8483F" w:rsidP="001B7E04">
      <w:pPr>
        <w:pStyle w:val="Heading3"/>
        <w:spacing w:before="40" w:after="0" w:line="360" w:lineRule="auto"/>
        <w:rPr>
          <w:sz w:val="24"/>
        </w:rPr>
      </w:pPr>
      <w:r w:rsidRPr="00844EA9">
        <w:rPr>
          <w:sz w:val="24"/>
        </w:rPr>
        <w:t>Detecting and diagnosing primary CRC</w:t>
      </w:r>
    </w:p>
    <w:p w:rsidR="00E8483F" w:rsidRPr="00844EA9" w:rsidRDefault="00E8483F" w:rsidP="00844EA9">
      <w:pPr>
        <w:pStyle w:val="BodyText"/>
        <w:spacing w:before="0" w:after="0" w:line="276" w:lineRule="auto"/>
        <w:rPr>
          <w:rFonts w:asciiTheme="minorHAnsi" w:hAnsiTheme="minorHAnsi"/>
          <w:szCs w:val="24"/>
        </w:rPr>
      </w:pPr>
      <w:r w:rsidRPr="00844EA9">
        <w:rPr>
          <w:rFonts w:asciiTheme="minorHAnsi" w:hAnsiTheme="minorHAnsi"/>
          <w:szCs w:val="24"/>
        </w:rPr>
        <w:t>CRC is the second most common cause of death from cancer in Australia</w:t>
      </w:r>
      <w:r w:rsidR="00F94251" w:rsidRPr="00844EA9">
        <w:rPr>
          <w:rFonts w:asciiTheme="minorHAnsi" w:hAnsiTheme="minorHAnsi"/>
          <w:szCs w:val="24"/>
        </w:rPr>
        <w:t>,</w:t>
      </w:r>
      <w:r w:rsidRPr="00844EA9">
        <w:rPr>
          <w:rFonts w:asciiTheme="minorHAnsi" w:hAnsiTheme="minorHAnsi"/>
          <w:szCs w:val="24"/>
        </w:rPr>
        <w:t xml:space="preserve"> with almost 15,000 new cases diagnosed and 4,000 deaths annually. Worldwide it is responsible for more than 600,000 deaths annually. CRC leads to substantial financial costs to patients and the healthcare system</w:t>
      </w:r>
      <w:r w:rsidR="00F94251" w:rsidRPr="00844EA9">
        <w:rPr>
          <w:rFonts w:asciiTheme="minorHAnsi" w:hAnsiTheme="minorHAnsi"/>
          <w:szCs w:val="24"/>
        </w:rPr>
        <w:t>,</w:t>
      </w:r>
      <w:r w:rsidRPr="00844EA9">
        <w:rPr>
          <w:rFonts w:asciiTheme="minorHAnsi" w:hAnsiTheme="minorHAnsi"/>
          <w:szCs w:val="24"/>
        </w:rPr>
        <w:t xml:space="preserve"> with expense increasing with the stage of diagnosis, subsequent treatment necessary</w:t>
      </w:r>
      <w:r w:rsidR="00B60A01" w:rsidRPr="00844EA9">
        <w:rPr>
          <w:rFonts w:asciiTheme="minorHAnsi" w:hAnsiTheme="minorHAnsi"/>
          <w:szCs w:val="24"/>
        </w:rPr>
        <w:t>¹</w:t>
      </w:r>
      <w:r w:rsidRPr="00844EA9">
        <w:rPr>
          <w:rFonts w:asciiTheme="minorHAnsi" w:hAnsiTheme="minorHAnsi"/>
          <w:szCs w:val="24"/>
        </w:rPr>
        <w:t>, and surveillance post-treatment. Survival rates are inversely associated with the stage of primary diagnosis, which influences recurrence rates, and can be influenced by geographic location and private versus public hospital treatment. CRC mortality results from spread to, and ultimate impairment of, the function of other organs, otherwise referred to as later stage CRC. Where cancer has spread beyond the colon or rectum to either the lymph nodes or distant organs, indicated by the stage at which diagnosis occurs, survival rate post-surgery declines significantly to 72% and 14% respectively</w:t>
      </w:r>
      <w:r w:rsidR="00B60A01" w:rsidRPr="00844EA9">
        <w:rPr>
          <w:rFonts w:asciiTheme="minorHAnsi" w:hAnsiTheme="minorHAnsi"/>
          <w:szCs w:val="24"/>
        </w:rPr>
        <w:t>²</w:t>
      </w:r>
      <w:r w:rsidR="00BA7D1D" w:rsidRPr="00844EA9">
        <w:rPr>
          <w:rFonts w:asciiTheme="minorHAnsi" w:hAnsiTheme="minorHAnsi"/>
          <w:szCs w:val="24"/>
        </w:rPr>
        <w:t>.</w:t>
      </w:r>
      <w:r w:rsidRPr="00844EA9">
        <w:rPr>
          <w:rFonts w:asciiTheme="minorHAnsi" w:hAnsiTheme="minorHAnsi"/>
          <w:szCs w:val="24"/>
        </w:rPr>
        <w:t xml:space="preserve"> </w:t>
      </w:r>
    </w:p>
    <w:p w:rsidR="00B60A01" w:rsidRPr="00F60E17" w:rsidRDefault="00B60A01" w:rsidP="00B60A01">
      <w:pPr>
        <w:pStyle w:val="BodyText"/>
        <w:spacing w:before="0" w:after="0" w:line="288" w:lineRule="auto"/>
        <w:rPr>
          <w:b/>
          <w:color w:val="auto"/>
          <w:sz w:val="18"/>
        </w:rPr>
      </w:pPr>
    </w:p>
    <w:p w:rsidR="00E8483F" w:rsidRDefault="00E8483F" w:rsidP="00E8483F">
      <w:pPr>
        <w:pStyle w:val="ListDash"/>
        <w:spacing w:before="0" w:after="0" w:line="240" w:lineRule="auto"/>
        <w:ind w:left="0" w:firstLine="0"/>
        <w:jc w:val="center"/>
        <w:rPr>
          <w:rFonts w:eastAsia="Calibri"/>
          <w:bCs/>
          <w:sz w:val="20"/>
          <w:szCs w:val="18"/>
        </w:rPr>
      </w:pPr>
      <w:r w:rsidRPr="001935D0">
        <w:rPr>
          <w:noProof/>
        </w:rPr>
        <w:drawing>
          <wp:inline distT="0" distB="0" distL="0" distR="0" wp14:anchorId="23C5EFB9" wp14:editId="7B8A40BA">
            <wp:extent cx="5942138" cy="1613535"/>
            <wp:effectExtent l="0" t="0" r="1905" b="5715"/>
            <wp:docPr id="225" name="Chart 2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8483F" w:rsidRPr="00626D62" w:rsidRDefault="00626D62" w:rsidP="00626D62">
      <w:pPr>
        <w:pStyle w:val="ListDash"/>
        <w:spacing w:before="0" w:line="240" w:lineRule="auto"/>
        <w:ind w:left="0" w:firstLine="0"/>
        <w:jc w:val="right"/>
        <w:rPr>
          <w:sz w:val="20"/>
          <w:szCs w:val="20"/>
        </w:rPr>
      </w:pPr>
      <w:r w:rsidRPr="00626D62">
        <w:rPr>
          <w:rFonts w:ascii="Calibri" w:eastAsia="Calibri" w:hAnsi="Calibri"/>
          <w:bCs/>
          <w:sz w:val="20"/>
          <w:szCs w:val="20"/>
        </w:rPr>
        <w:t>Source: Bowel Cancer Australia 2017</w:t>
      </w:r>
    </w:p>
    <w:p w:rsidR="00E243A6" w:rsidRPr="00626D62" w:rsidRDefault="00E243A6" w:rsidP="00E243A6">
      <w:pPr>
        <w:pStyle w:val="Heading5"/>
        <w:spacing w:before="0" w:after="0" w:line="360" w:lineRule="auto"/>
        <w:rPr>
          <w:rFonts w:eastAsia="Calibri" w:cs="Times New Roman"/>
          <w:iCs w:val="0"/>
          <w:color w:val="007E9A" w:themeColor="accent1" w:themeShade="BF"/>
          <w:spacing w:val="0"/>
          <w:sz w:val="20"/>
          <w:szCs w:val="20"/>
        </w:rPr>
      </w:pPr>
      <w:r w:rsidRPr="00626D62">
        <w:rPr>
          <w:rFonts w:eastAsia="Calibri" w:cs="Times New Roman"/>
          <w:iCs w:val="0"/>
          <w:color w:val="007E9A" w:themeColor="accent1" w:themeShade="BF"/>
          <w:spacing w:val="0"/>
          <w:sz w:val="20"/>
          <w:szCs w:val="20"/>
        </w:rPr>
        <w:t>Figure 3.1: average 5 year survival by stage of diagnosis</w:t>
      </w:r>
    </w:p>
    <w:p w:rsidR="00E8483F" w:rsidRDefault="00E8483F" w:rsidP="00E8483F">
      <w:pPr>
        <w:pStyle w:val="BodyText"/>
        <w:spacing w:before="0" w:after="60" w:line="288" w:lineRule="auto"/>
        <w:rPr>
          <w:rFonts w:asciiTheme="minorHAnsi" w:hAnsiTheme="minorHAnsi"/>
          <w:sz w:val="22"/>
          <w:szCs w:val="24"/>
        </w:rPr>
      </w:pPr>
    </w:p>
    <w:p w:rsidR="00E8483F" w:rsidRPr="00844EA9" w:rsidRDefault="00E8483F" w:rsidP="00267E5C">
      <w:pPr>
        <w:pStyle w:val="BodyText"/>
        <w:spacing w:before="0" w:after="0" w:line="288" w:lineRule="auto"/>
        <w:rPr>
          <w:rFonts w:asciiTheme="minorHAnsi" w:hAnsiTheme="minorHAnsi"/>
          <w:szCs w:val="24"/>
        </w:rPr>
      </w:pPr>
      <w:r w:rsidRPr="00844EA9">
        <w:rPr>
          <w:rFonts w:asciiTheme="minorHAnsi" w:hAnsiTheme="minorHAnsi"/>
          <w:szCs w:val="24"/>
        </w:rPr>
        <w:lastRenderedPageBreak/>
        <w:t>Where screening for early stage CRC occurs, less than half (40%) of primary CRC cases are detected and diagnosed early as either Stage I or II. A similar rate (35%) is observed for Stage III and slightly less (20%) at Stage IV. Improving early diagnosis of primary CRC is therefore expected to increase opportunities for curative intent treatment and survival rate. Diagnosis of primary CRC can be inaccurate, intrusive, and culturally challenging, increasing anxiety and discomfort for patients, and reducing uptake and participation in screening and eventual diagnosis. The existing first line screening test, named Faecal Immunochemical Test (FIT), detects the presence of human blood in faecal samples. The test is not suitable for all people due to cultural and medical barriers to the required process for taking the test. Such suitability issues influence uptake particularly where the test is distributed as part of the national screening program; and participation in such programs can reduce as a result. In 2016, 37% of adults from 50-74 years old participated in the Australian Government’s National Bowel Cancer Screening Program</w:t>
      </w:r>
      <w:r w:rsidR="00B60A01" w:rsidRPr="00844EA9">
        <w:rPr>
          <w:rFonts w:asciiTheme="minorHAnsi" w:hAnsiTheme="minorHAnsi"/>
          <w:szCs w:val="24"/>
        </w:rPr>
        <w:t>³</w:t>
      </w:r>
      <w:r w:rsidRPr="00844EA9">
        <w:rPr>
          <w:rFonts w:asciiTheme="minorHAnsi" w:hAnsiTheme="minorHAnsi"/>
          <w:szCs w:val="24"/>
        </w:rPr>
        <w:t>, which is offered for free. While it proves to be a cost effective test for screening programs, reducing advanced stage cases of CRC and saving lives, results can include false positives due to bleeding caused by other conditions.</w:t>
      </w:r>
    </w:p>
    <w:p w:rsidR="00F94251" w:rsidRDefault="00F94251" w:rsidP="00267E5C">
      <w:pPr>
        <w:pStyle w:val="Heading3"/>
        <w:spacing w:before="0" w:after="0" w:line="288" w:lineRule="auto"/>
      </w:pPr>
    </w:p>
    <w:p w:rsidR="000F06DC" w:rsidRPr="00B60A01" w:rsidRDefault="00E8483F" w:rsidP="001B7E04">
      <w:pPr>
        <w:pStyle w:val="Heading3"/>
        <w:spacing w:before="40" w:after="0" w:line="360" w:lineRule="auto"/>
        <w:rPr>
          <w:b w:val="0"/>
        </w:rPr>
      </w:pPr>
      <w:r w:rsidRPr="00844EA9">
        <w:rPr>
          <w:sz w:val="24"/>
        </w:rPr>
        <w:t>Detecting and diagnosing recurring CRC post-treatment</w:t>
      </w:r>
    </w:p>
    <w:p w:rsidR="00E8483F" w:rsidRPr="00844EA9" w:rsidRDefault="00E8483F" w:rsidP="00267E5C">
      <w:pPr>
        <w:pStyle w:val="ListDash"/>
        <w:spacing w:before="0" w:after="0" w:line="288" w:lineRule="auto"/>
        <w:ind w:left="0" w:firstLine="0"/>
        <w:rPr>
          <w:rFonts w:eastAsia="Calibri"/>
          <w:color w:val="000000"/>
          <w:sz w:val="24"/>
          <w:szCs w:val="24"/>
        </w:rPr>
      </w:pPr>
      <w:r w:rsidRPr="00844EA9">
        <w:rPr>
          <w:rFonts w:eastAsia="Calibri"/>
          <w:color w:val="000000"/>
          <w:sz w:val="24"/>
          <w:szCs w:val="24"/>
        </w:rPr>
        <w:t>Where CRC is diagnosed and treated, patients are enrolled in surveillance programs to detect any cases of recurrence post-treatment. CRC recurs in 30-50% of cases, most often within five years of treatment, with 90% presenting within two-to-three years. It is associated with a high risk of mortality, alongside economic and social costs. Early detection of recurrent asymptomatic CRC is expected to increases cure rates and to reduce associated costs. Monitoring for recurrent CRC post-surgery involves 3-5 years of surveillance. Surveillance is multi-pronged to allow for diagnostic deficiencies. Surveillance includes</w:t>
      </w:r>
      <w:r w:rsidR="00B60A01" w:rsidRPr="00844EA9">
        <w:rPr>
          <w:rFonts w:eastAsia="Calibri"/>
          <w:color w:val="000000"/>
          <w:sz w:val="24"/>
          <w:szCs w:val="24"/>
        </w:rPr>
        <w:t>²</w:t>
      </w:r>
      <w:r w:rsidRPr="00844EA9">
        <w:rPr>
          <w:rFonts w:eastAsia="Calibri"/>
          <w:color w:val="000000"/>
          <w:sz w:val="24"/>
          <w:szCs w:val="24"/>
        </w:rPr>
        <w:t>:</w:t>
      </w:r>
    </w:p>
    <w:p w:rsidR="00267E5C" w:rsidRPr="00F60E17" w:rsidRDefault="00267E5C" w:rsidP="00267E5C">
      <w:pPr>
        <w:pStyle w:val="ListDash"/>
        <w:spacing w:before="0" w:after="0" w:line="288" w:lineRule="auto"/>
        <w:ind w:left="0" w:firstLine="0"/>
        <w:rPr>
          <w:szCs w:val="24"/>
        </w:rPr>
      </w:pPr>
    </w:p>
    <w:p w:rsidR="00E8483F" w:rsidRPr="00844EA9" w:rsidRDefault="0073449F" w:rsidP="001B7E04">
      <w:pPr>
        <w:pStyle w:val="Heading5"/>
        <w:spacing w:before="0" w:after="0" w:line="360" w:lineRule="auto"/>
        <w:rPr>
          <w:rFonts w:eastAsia="Calibri" w:cs="Times New Roman"/>
          <w:iCs w:val="0"/>
          <w:color w:val="007E9A" w:themeColor="accent1" w:themeShade="BF"/>
          <w:spacing w:val="0"/>
          <w:sz w:val="20"/>
          <w:szCs w:val="18"/>
        </w:rPr>
      </w:pPr>
      <w:r w:rsidRPr="00844EA9">
        <w:rPr>
          <w:rFonts w:eastAsia="Calibri" w:cs="Times New Roman"/>
          <w:iCs w:val="0"/>
          <w:color w:val="007E9A" w:themeColor="accent1" w:themeShade="BF"/>
          <w:spacing w:val="0"/>
          <w:sz w:val="20"/>
          <w:szCs w:val="18"/>
        </w:rPr>
        <w:t>Table 3.1: Monitoring for recurrent CRC post-surgery</w:t>
      </w:r>
    </w:p>
    <w:tbl>
      <w:tblPr>
        <w:tblStyle w:val="TableGrid"/>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FB61A7" w:rsidRPr="00844EA9">
        <w:trPr>
          <w:jc w:val="center"/>
        </w:trPr>
        <w:tc>
          <w:tcPr>
            <w:tcW w:w="4253" w:type="dxa"/>
          </w:tcPr>
          <w:p w:rsidR="00E8483F" w:rsidRPr="00844EA9" w:rsidRDefault="00E8483F" w:rsidP="004036DC">
            <w:pPr>
              <w:autoSpaceDE w:val="0"/>
              <w:autoSpaceDN w:val="0"/>
              <w:adjustRightInd w:val="0"/>
              <w:rPr>
                <w:rFonts w:asciiTheme="minorHAnsi" w:hAnsiTheme="minorHAnsi"/>
                <w:sz w:val="18"/>
                <w:szCs w:val="16"/>
              </w:rPr>
            </w:pPr>
            <w:r w:rsidRPr="00844EA9">
              <w:rPr>
                <w:rFonts w:asciiTheme="minorHAnsi" w:hAnsiTheme="minorHAnsi"/>
                <w:b/>
                <w:sz w:val="18"/>
                <w:szCs w:val="16"/>
              </w:rPr>
              <w:t>Office visit and CEA testing</w:t>
            </w:r>
            <w:r w:rsidRPr="00844EA9">
              <w:rPr>
                <w:rFonts w:asciiTheme="minorHAnsi" w:hAnsiTheme="minorHAnsi"/>
                <w:sz w:val="18"/>
                <w:szCs w:val="16"/>
              </w:rPr>
              <w:t>: 3-6 month intervals for first two years, then 6 month intervals for remaining three years</w:t>
            </w:r>
          </w:p>
        </w:tc>
        <w:tc>
          <w:tcPr>
            <w:tcW w:w="5386" w:type="dxa"/>
          </w:tcPr>
          <w:p w:rsidR="00E8483F" w:rsidRPr="00844EA9" w:rsidRDefault="00E8483F" w:rsidP="004036DC">
            <w:pPr>
              <w:autoSpaceDE w:val="0"/>
              <w:autoSpaceDN w:val="0"/>
              <w:adjustRightInd w:val="0"/>
              <w:rPr>
                <w:rFonts w:asciiTheme="minorHAnsi" w:eastAsiaTheme="minorHAnsi" w:hAnsiTheme="minorHAnsi" w:cs="Calibri"/>
                <w:color w:val="auto"/>
                <w:sz w:val="18"/>
                <w:lang w:eastAsia="en-US"/>
              </w:rPr>
            </w:pPr>
            <w:r w:rsidRPr="00844EA9">
              <w:rPr>
                <w:rFonts w:asciiTheme="minorHAnsi" w:eastAsiaTheme="minorHAnsi" w:hAnsiTheme="minorHAnsi" w:cs="Calibri"/>
                <w:color w:val="auto"/>
                <w:sz w:val="18"/>
                <w:lang w:eastAsia="en-US"/>
              </w:rPr>
              <w:t>Office visits will not allow detection of asymptomatic recurrent CRC.</w:t>
            </w:r>
          </w:p>
          <w:p w:rsidR="00E8483F" w:rsidRPr="00844EA9" w:rsidRDefault="00E8483F" w:rsidP="004036DC">
            <w:pPr>
              <w:autoSpaceDE w:val="0"/>
              <w:autoSpaceDN w:val="0"/>
              <w:adjustRightInd w:val="0"/>
              <w:rPr>
                <w:rFonts w:asciiTheme="minorHAnsi" w:eastAsiaTheme="minorHAnsi" w:hAnsiTheme="minorHAnsi" w:cs="Calibri"/>
                <w:color w:val="auto"/>
                <w:sz w:val="18"/>
                <w:lang w:eastAsia="en-US"/>
              </w:rPr>
            </w:pPr>
            <w:r w:rsidRPr="00844EA9">
              <w:rPr>
                <w:rFonts w:asciiTheme="minorHAnsi" w:eastAsiaTheme="minorHAnsi" w:hAnsiTheme="minorHAnsi" w:cs="Calibri"/>
                <w:color w:val="auto"/>
                <w:sz w:val="18"/>
                <w:lang w:eastAsia="en-US"/>
              </w:rPr>
              <w:t>CEA is a glycoprotein that is not specific to CRC, and immunoassays directed at CEA are relatively insensitive for the detection of recurrent CRC.</w:t>
            </w:r>
          </w:p>
        </w:tc>
      </w:tr>
      <w:tr w:rsidR="00FB61A7" w:rsidRPr="00844EA9">
        <w:trPr>
          <w:jc w:val="center"/>
        </w:trPr>
        <w:tc>
          <w:tcPr>
            <w:tcW w:w="4253" w:type="dxa"/>
          </w:tcPr>
          <w:p w:rsidR="00E8483F" w:rsidRPr="00844EA9" w:rsidRDefault="00E8483F" w:rsidP="004036DC">
            <w:pPr>
              <w:autoSpaceDE w:val="0"/>
              <w:autoSpaceDN w:val="0"/>
              <w:adjustRightInd w:val="0"/>
              <w:rPr>
                <w:rFonts w:asciiTheme="minorHAnsi" w:hAnsiTheme="minorHAnsi"/>
                <w:sz w:val="18"/>
                <w:szCs w:val="16"/>
              </w:rPr>
            </w:pPr>
            <w:r w:rsidRPr="00844EA9">
              <w:rPr>
                <w:rFonts w:asciiTheme="minorHAnsi" w:hAnsiTheme="minorHAnsi"/>
                <w:b/>
                <w:sz w:val="18"/>
                <w:szCs w:val="16"/>
              </w:rPr>
              <w:t>CT scans of chest, abdomen and pelvis</w:t>
            </w:r>
            <w:r w:rsidRPr="00844EA9">
              <w:rPr>
                <w:rFonts w:asciiTheme="minorHAnsi" w:hAnsiTheme="minorHAnsi"/>
                <w:sz w:val="18"/>
                <w:szCs w:val="16"/>
              </w:rPr>
              <w:t>: annually for five years</w:t>
            </w:r>
          </w:p>
          <w:p w:rsidR="00E8483F" w:rsidRPr="00844EA9" w:rsidRDefault="00E8483F" w:rsidP="004036DC">
            <w:pPr>
              <w:autoSpaceDE w:val="0"/>
              <w:autoSpaceDN w:val="0"/>
              <w:adjustRightInd w:val="0"/>
              <w:rPr>
                <w:rFonts w:asciiTheme="minorHAnsi" w:hAnsiTheme="minorHAnsi"/>
                <w:sz w:val="18"/>
                <w:szCs w:val="16"/>
              </w:rPr>
            </w:pPr>
          </w:p>
        </w:tc>
        <w:tc>
          <w:tcPr>
            <w:tcW w:w="5386" w:type="dxa"/>
          </w:tcPr>
          <w:p w:rsidR="00E8483F" w:rsidRPr="00844EA9" w:rsidRDefault="00E8483F" w:rsidP="004036DC">
            <w:pPr>
              <w:autoSpaceDE w:val="0"/>
              <w:autoSpaceDN w:val="0"/>
              <w:adjustRightInd w:val="0"/>
              <w:rPr>
                <w:rFonts w:asciiTheme="minorHAnsi" w:eastAsiaTheme="minorHAnsi" w:hAnsiTheme="minorHAnsi" w:cs="Calibri"/>
                <w:color w:val="auto"/>
                <w:sz w:val="18"/>
                <w:lang w:eastAsia="en-US"/>
              </w:rPr>
            </w:pPr>
            <w:r w:rsidRPr="00844EA9">
              <w:rPr>
                <w:rFonts w:asciiTheme="minorHAnsi" w:eastAsiaTheme="minorHAnsi" w:hAnsiTheme="minorHAnsi" w:cs="Calibri"/>
                <w:color w:val="auto"/>
                <w:sz w:val="18"/>
                <w:lang w:eastAsia="en-US"/>
              </w:rPr>
              <w:t>CT scans are limited in their ability to aid in the detection of micro-metastases, suffer from specificity issues, expose the patient to radiation</w:t>
            </w:r>
            <w:r w:rsidR="00364036" w:rsidRPr="00844EA9">
              <w:rPr>
                <w:rFonts w:asciiTheme="minorHAnsi" w:eastAsiaTheme="minorHAnsi" w:hAnsiTheme="minorHAnsi" w:cs="Calibri"/>
                <w:color w:val="auto"/>
                <w:sz w:val="18"/>
                <w:lang w:eastAsia="en-US"/>
              </w:rPr>
              <w:t>,</w:t>
            </w:r>
            <w:r w:rsidRPr="00844EA9">
              <w:rPr>
                <w:rFonts w:asciiTheme="minorHAnsi" w:eastAsiaTheme="minorHAnsi" w:hAnsiTheme="minorHAnsi" w:cs="Calibri"/>
                <w:color w:val="auto"/>
                <w:sz w:val="18"/>
                <w:lang w:eastAsia="en-US"/>
              </w:rPr>
              <w:t xml:space="preserve"> and are relatively expensive.</w:t>
            </w:r>
          </w:p>
        </w:tc>
      </w:tr>
      <w:tr w:rsidR="00FB61A7" w:rsidRPr="00844EA9">
        <w:trPr>
          <w:jc w:val="center"/>
        </w:trPr>
        <w:tc>
          <w:tcPr>
            <w:tcW w:w="4253" w:type="dxa"/>
          </w:tcPr>
          <w:p w:rsidR="00E8483F" w:rsidRPr="00844EA9" w:rsidRDefault="00E8483F" w:rsidP="004036DC">
            <w:pPr>
              <w:autoSpaceDE w:val="0"/>
              <w:autoSpaceDN w:val="0"/>
              <w:adjustRightInd w:val="0"/>
              <w:rPr>
                <w:rFonts w:asciiTheme="minorHAnsi" w:hAnsiTheme="minorHAnsi"/>
                <w:sz w:val="18"/>
                <w:szCs w:val="16"/>
              </w:rPr>
            </w:pPr>
            <w:r w:rsidRPr="00844EA9">
              <w:rPr>
                <w:rFonts w:asciiTheme="minorHAnsi" w:hAnsiTheme="minorHAnsi"/>
                <w:b/>
                <w:sz w:val="18"/>
                <w:szCs w:val="16"/>
              </w:rPr>
              <w:t>Colonoscopy</w:t>
            </w:r>
            <w:r w:rsidRPr="00844EA9">
              <w:rPr>
                <w:rFonts w:asciiTheme="minorHAnsi" w:hAnsiTheme="minorHAnsi"/>
                <w:sz w:val="18"/>
                <w:szCs w:val="16"/>
              </w:rPr>
              <w:t xml:space="preserve">: once in the first year following treatment </w:t>
            </w:r>
          </w:p>
        </w:tc>
        <w:tc>
          <w:tcPr>
            <w:tcW w:w="5386" w:type="dxa"/>
          </w:tcPr>
          <w:p w:rsidR="00E8483F" w:rsidRPr="00844EA9" w:rsidRDefault="00E8483F" w:rsidP="004036DC">
            <w:pPr>
              <w:autoSpaceDE w:val="0"/>
              <w:autoSpaceDN w:val="0"/>
              <w:adjustRightInd w:val="0"/>
              <w:rPr>
                <w:rFonts w:asciiTheme="minorHAnsi" w:eastAsiaTheme="minorHAnsi" w:hAnsiTheme="minorHAnsi" w:cs="Calibri"/>
                <w:color w:val="auto"/>
                <w:sz w:val="18"/>
                <w:lang w:eastAsia="en-US"/>
              </w:rPr>
            </w:pPr>
            <w:r w:rsidRPr="00844EA9">
              <w:rPr>
                <w:rFonts w:asciiTheme="minorHAnsi" w:eastAsiaTheme="minorHAnsi" w:hAnsiTheme="minorHAnsi" w:cs="Calibri"/>
                <w:color w:val="auto"/>
                <w:sz w:val="18"/>
                <w:lang w:eastAsia="en-US"/>
              </w:rPr>
              <w:t>Colonoscopy is invasive, not without risk</w:t>
            </w:r>
            <w:r w:rsidR="00364036" w:rsidRPr="00844EA9">
              <w:rPr>
                <w:rFonts w:asciiTheme="minorHAnsi" w:eastAsiaTheme="minorHAnsi" w:hAnsiTheme="minorHAnsi" w:cs="Calibri"/>
                <w:color w:val="auto"/>
                <w:sz w:val="18"/>
                <w:lang w:eastAsia="en-US"/>
              </w:rPr>
              <w:t>,</w:t>
            </w:r>
            <w:r w:rsidRPr="00844EA9">
              <w:rPr>
                <w:rFonts w:asciiTheme="minorHAnsi" w:eastAsiaTheme="minorHAnsi" w:hAnsiTheme="minorHAnsi" w:cs="Calibri"/>
                <w:color w:val="auto"/>
                <w:sz w:val="18"/>
                <w:lang w:eastAsia="en-US"/>
              </w:rPr>
              <w:t xml:space="preserve"> and is limited to visualisation of the colon and rectum, and thereby is unable to detect the overwhelming number of recurrences because they develop outside of those organs.</w:t>
            </w:r>
          </w:p>
        </w:tc>
      </w:tr>
      <w:tr w:rsidR="00FB61A7" w:rsidRPr="00844EA9">
        <w:trPr>
          <w:jc w:val="center"/>
        </w:trPr>
        <w:tc>
          <w:tcPr>
            <w:tcW w:w="4253" w:type="dxa"/>
          </w:tcPr>
          <w:p w:rsidR="00E8483F" w:rsidRPr="00844EA9" w:rsidRDefault="00E8483F" w:rsidP="004036DC">
            <w:pPr>
              <w:autoSpaceDE w:val="0"/>
              <w:autoSpaceDN w:val="0"/>
              <w:adjustRightInd w:val="0"/>
              <w:rPr>
                <w:rFonts w:asciiTheme="minorHAnsi" w:hAnsiTheme="minorHAnsi"/>
                <w:b/>
                <w:sz w:val="18"/>
                <w:szCs w:val="16"/>
              </w:rPr>
            </w:pPr>
            <w:r w:rsidRPr="00844EA9">
              <w:rPr>
                <w:rFonts w:asciiTheme="minorHAnsi" w:hAnsiTheme="minorHAnsi"/>
                <w:b/>
                <w:sz w:val="18"/>
                <w:szCs w:val="16"/>
              </w:rPr>
              <w:t xml:space="preserve">Proctoscopy: </w:t>
            </w:r>
            <w:r w:rsidRPr="00844EA9">
              <w:rPr>
                <w:rFonts w:asciiTheme="minorHAnsi" w:hAnsiTheme="minorHAnsi"/>
                <w:sz w:val="18"/>
                <w:szCs w:val="16"/>
              </w:rPr>
              <w:t>6-12 month intervals for 3-5 years</w:t>
            </w:r>
          </w:p>
          <w:p w:rsidR="00E8483F" w:rsidRPr="00844EA9" w:rsidRDefault="00E8483F" w:rsidP="004036DC">
            <w:pPr>
              <w:autoSpaceDE w:val="0"/>
              <w:autoSpaceDN w:val="0"/>
              <w:adjustRightInd w:val="0"/>
              <w:rPr>
                <w:rFonts w:asciiTheme="minorHAnsi" w:hAnsiTheme="minorHAnsi"/>
                <w:sz w:val="18"/>
                <w:szCs w:val="16"/>
              </w:rPr>
            </w:pPr>
            <w:r w:rsidRPr="00844EA9">
              <w:rPr>
                <w:rFonts w:asciiTheme="minorHAnsi" w:hAnsiTheme="minorHAnsi"/>
                <w:sz w:val="18"/>
                <w:szCs w:val="16"/>
              </w:rPr>
              <w:t xml:space="preserve"> (for rectal cancer patients who underwent resection with anastomosis 6-12 month intervals; patients with local excision 6 months intervals) </w:t>
            </w:r>
          </w:p>
        </w:tc>
        <w:tc>
          <w:tcPr>
            <w:tcW w:w="5386" w:type="dxa"/>
          </w:tcPr>
          <w:p w:rsidR="00E8483F" w:rsidRPr="00844EA9" w:rsidRDefault="00E8483F" w:rsidP="004036DC">
            <w:pPr>
              <w:autoSpaceDE w:val="0"/>
              <w:autoSpaceDN w:val="0"/>
              <w:adjustRightInd w:val="0"/>
              <w:rPr>
                <w:rFonts w:asciiTheme="minorHAnsi" w:hAnsiTheme="minorHAnsi"/>
                <w:sz w:val="18"/>
              </w:rPr>
            </w:pPr>
          </w:p>
        </w:tc>
      </w:tr>
    </w:tbl>
    <w:p w:rsidR="00E8483F" w:rsidRPr="001935D0" w:rsidRDefault="00E8483F" w:rsidP="00E8483F">
      <w:pPr>
        <w:pStyle w:val="ListDash"/>
        <w:spacing w:before="0" w:after="0" w:line="288" w:lineRule="auto"/>
        <w:ind w:left="0" w:firstLine="0"/>
      </w:pPr>
    </w:p>
    <w:p w:rsidR="00E8483F" w:rsidRPr="00844EA9" w:rsidRDefault="00E8483F" w:rsidP="00267E5C">
      <w:pPr>
        <w:pStyle w:val="ListDash"/>
        <w:spacing w:before="0" w:after="0" w:line="288" w:lineRule="auto"/>
        <w:ind w:left="0" w:firstLine="0"/>
        <w:rPr>
          <w:rFonts w:eastAsia="Calibri"/>
          <w:color w:val="000000"/>
          <w:sz w:val="24"/>
          <w:szCs w:val="24"/>
        </w:rPr>
      </w:pPr>
      <w:r w:rsidRPr="00844EA9">
        <w:rPr>
          <w:rFonts w:eastAsia="Calibri"/>
          <w:color w:val="000000"/>
          <w:sz w:val="24"/>
          <w:szCs w:val="24"/>
        </w:rPr>
        <w:lastRenderedPageBreak/>
        <w:t xml:space="preserve">The least invasive and risk adverse method within the surveillance process is the Carcinoembryonic Antigen (CEA) test. The sensitivity and specificity of this blood test is suboptimal. Elevated plasma levels can be detected in CRC and other cancers; and are also found in smokers and people with a range of other inflammatory conditions. Improving early detection and diagnosis of primary and recurring CRC therefore relies on more accurate and less invasive detection methods, and synthesis between first line diagnostics and follow-up diagnostics. </w:t>
      </w:r>
    </w:p>
    <w:p w:rsidR="00B60A01" w:rsidRPr="00F60E17" w:rsidRDefault="00B60A01" w:rsidP="00E8483F">
      <w:pPr>
        <w:pStyle w:val="ListDash"/>
        <w:spacing w:before="0" w:line="288" w:lineRule="auto"/>
        <w:ind w:left="0" w:firstLine="0"/>
      </w:pPr>
    </w:p>
    <w:p w:rsidR="000F06DC" w:rsidRPr="00B60A01" w:rsidRDefault="00E8483F" w:rsidP="001B7E04">
      <w:pPr>
        <w:pStyle w:val="Heading3"/>
        <w:spacing w:before="40" w:after="0" w:line="360" w:lineRule="auto"/>
        <w:rPr>
          <w:b w:val="0"/>
        </w:rPr>
      </w:pPr>
      <w:r w:rsidRPr="00844EA9">
        <w:rPr>
          <w:sz w:val="24"/>
        </w:rPr>
        <w:t>CSIRO involvement</w:t>
      </w:r>
    </w:p>
    <w:p w:rsidR="00E8483F" w:rsidRPr="00844EA9" w:rsidRDefault="00E8483F" w:rsidP="00844EA9">
      <w:pPr>
        <w:pStyle w:val="ListDash"/>
        <w:spacing w:before="0" w:after="0" w:line="288" w:lineRule="auto"/>
        <w:ind w:left="0" w:firstLine="0"/>
        <w:rPr>
          <w:rFonts w:eastAsia="Calibri"/>
          <w:color w:val="000000"/>
          <w:sz w:val="24"/>
          <w:szCs w:val="24"/>
        </w:rPr>
      </w:pPr>
      <w:r w:rsidRPr="00844EA9">
        <w:rPr>
          <w:rFonts w:eastAsia="Calibri"/>
          <w:color w:val="000000"/>
          <w:sz w:val="24"/>
          <w:szCs w:val="24"/>
        </w:rPr>
        <w:t>In the late 1990s/early 2000s information about molecular markers was becoming more specific and new methodologies for simultaneous quantification of expression levels of thousands of genes in a single experiment were becoming available. For example, microarray technology allowed unprecedented comparisons between colorectal cancer cases, normal tissue, and tissue from other colonic disease (e.g. ulcerative colitis) of gene expression levels of thousands of genes in a single experiment. Gene expression was then used as a vehicle for biomarker discovery. CG believed finding more specific molecular markers in blood, and subsequently developing them into a blood test, was an innovative way to solve the unmet clinical needs of colorectal cancer detection. CSIRO and Flinders were among the earliest research organisations to undertake extensive CRC gene expression analysis at this time. CG was well experienced in the industry</w:t>
      </w:r>
      <w:r w:rsidR="00364036" w:rsidRPr="00844EA9">
        <w:rPr>
          <w:rFonts w:eastAsia="Calibri"/>
          <w:color w:val="000000"/>
          <w:sz w:val="24"/>
          <w:szCs w:val="24"/>
        </w:rPr>
        <w:t>,</w:t>
      </w:r>
      <w:r w:rsidRPr="00844EA9">
        <w:rPr>
          <w:rFonts w:eastAsia="Calibri"/>
          <w:color w:val="000000"/>
          <w:sz w:val="24"/>
          <w:szCs w:val="24"/>
        </w:rPr>
        <w:t xml:space="preserve"> with scientific knowledge through proteomics expertise and </w:t>
      </w:r>
      <w:r w:rsidR="00364036" w:rsidRPr="00844EA9">
        <w:rPr>
          <w:rFonts w:eastAsia="Calibri"/>
          <w:color w:val="000000"/>
          <w:sz w:val="24"/>
          <w:szCs w:val="24"/>
        </w:rPr>
        <w:t xml:space="preserve">the </w:t>
      </w:r>
      <w:r w:rsidRPr="00844EA9">
        <w:rPr>
          <w:rFonts w:eastAsia="Calibri"/>
          <w:color w:val="000000"/>
          <w:sz w:val="24"/>
          <w:szCs w:val="24"/>
        </w:rPr>
        <w:t>capacity to productise. From 2004</w:t>
      </w:r>
      <w:r w:rsidR="00364036" w:rsidRPr="00844EA9">
        <w:rPr>
          <w:rFonts w:eastAsia="Calibri"/>
          <w:color w:val="000000"/>
          <w:sz w:val="24"/>
          <w:szCs w:val="24"/>
        </w:rPr>
        <w:t>,</w:t>
      </w:r>
      <w:r w:rsidRPr="00844EA9">
        <w:rPr>
          <w:rFonts w:eastAsia="Calibri"/>
          <w:color w:val="000000"/>
          <w:sz w:val="24"/>
          <w:szCs w:val="24"/>
        </w:rPr>
        <w:t xml:space="preserve"> collaborative research between CSIRO, Flinders and CG, informed by unique skill sets and driven by commercial outcomes, commenced toward the discovery of molecular biomarkers for CRC. Research developed and evolved over time as the group remained opportunistic with respect to new technological advances and existing skill sets, driving break-through discoveries at the time in epigenetics. </w:t>
      </w:r>
    </w:p>
    <w:p w:rsidR="00364036" w:rsidRDefault="00364036" w:rsidP="00267E5C">
      <w:pPr>
        <w:spacing w:after="0" w:line="288" w:lineRule="auto"/>
        <w:rPr>
          <w:rFonts w:asciiTheme="minorHAnsi" w:hAnsiTheme="minorHAnsi"/>
          <w:szCs w:val="24"/>
        </w:rPr>
      </w:pPr>
    </w:p>
    <w:p w:rsidR="00E8483F" w:rsidRPr="00844EA9" w:rsidRDefault="00E8483F" w:rsidP="00267E5C">
      <w:pPr>
        <w:spacing w:after="0" w:line="288" w:lineRule="auto"/>
        <w:rPr>
          <w:rFonts w:asciiTheme="minorHAnsi" w:hAnsiTheme="minorHAnsi"/>
          <w:sz w:val="24"/>
          <w:szCs w:val="24"/>
        </w:rPr>
      </w:pPr>
      <w:r w:rsidRPr="00844EA9">
        <w:rPr>
          <w:rFonts w:asciiTheme="minorHAnsi" w:hAnsiTheme="minorHAnsi"/>
          <w:sz w:val="24"/>
          <w:szCs w:val="24"/>
        </w:rPr>
        <w:t>From 2008, focus moved from targeting upregulated genes to identification of genes that were downregulated by DNA methylation. Further work focused on the development of DNA methylation biomarkers for detection of CRC in blood. This change in direction is attributable to CSIRO’s expertise and existing in-house technologies</w:t>
      </w:r>
      <w:r w:rsidR="00364036" w:rsidRPr="00844EA9">
        <w:rPr>
          <w:rFonts w:asciiTheme="minorHAnsi" w:hAnsiTheme="minorHAnsi"/>
          <w:sz w:val="24"/>
          <w:szCs w:val="24"/>
        </w:rPr>
        <w:t>;</w:t>
      </w:r>
      <w:r w:rsidRPr="00844EA9">
        <w:rPr>
          <w:rFonts w:asciiTheme="minorHAnsi" w:hAnsiTheme="minorHAnsi"/>
          <w:sz w:val="24"/>
          <w:szCs w:val="24"/>
        </w:rPr>
        <w:t xml:space="preserve"> and proved pivotal for research progress. A range of approaches, including new methods for genome-wide analysis of DNA methylation, was used to identify and subsequently prioritise DNA regions that become methylated with high frequency in CRC toward an assay. Discovery and validation of genes that were downregulated and/or methylated in CRC led to filtering and narrowing down of gene targets in CRC to an eventual subset of the five most suitable as blood-based diagnostic markers. Clinical evaluation of these target genes led to identification of a two gene classifier model which demonstrated improved segregation of CRC from controls in blood plasma experiments. This research resulted in an optimised, sensitive assay to detect cancer-specific chemical changes in fragments of BCAT1 and IKZF1 tumour DNA found circulating in the blood.</w:t>
      </w:r>
    </w:p>
    <w:p w:rsidR="00267E5C" w:rsidRPr="00F60E17" w:rsidRDefault="00267E5C" w:rsidP="00267E5C">
      <w:pPr>
        <w:spacing w:after="0" w:line="288" w:lineRule="auto"/>
        <w:rPr>
          <w:sz w:val="20"/>
        </w:rPr>
      </w:pPr>
    </w:p>
    <w:p w:rsidR="003852B6" w:rsidRPr="004A6CF2" w:rsidRDefault="00FA38E0" w:rsidP="00FE5F9D">
      <w:pPr>
        <w:pStyle w:val="Heading1"/>
        <w:ind w:left="1134" w:hanging="1134"/>
      </w:pPr>
      <w:bookmarkStart w:id="8" w:name="_Toc494707086"/>
      <w:r>
        <w:lastRenderedPageBreak/>
        <w:t>4</w:t>
      </w:r>
      <w:r>
        <w:tab/>
      </w:r>
      <w:r w:rsidR="003852B6" w:rsidRPr="004A6CF2">
        <w:t>Impact Pathway</w:t>
      </w:r>
      <w:bookmarkEnd w:id="8"/>
    </w:p>
    <w:p w:rsidR="007867F1" w:rsidRPr="001B7E04" w:rsidRDefault="00DB7278" w:rsidP="00862C0D">
      <w:pPr>
        <w:pStyle w:val="Heading2"/>
        <w:ind w:left="0" w:firstLine="0"/>
        <w:rPr>
          <w:szCs w:val="28"/>
        </w:rPr>
      </w:pPr>
      <w:bookmarkStart w:id="9" w:name="_Toc494707087"/>
      <w:r w:rsidRPr="001B7E04">
        <w:rPr>
          <w:szCs w:val="28"/>
        </w:rPr>
        <w:t xml:space="preserve">Project </w:t>
      </w:r>
      <w:r w:rsidR="007867F1" w:rsidRPr="001B7E04">
        <w:rPr>
          <w:szCs w:val="28"/>
        </w:rPr>
        <w:t>Inputs</w:t>
      </w:r>
      <w:bookmarkEnd w:id="9"/>
    </w:p>
    <w:p w:rsidR="004036DC" w:rsidRPr="001B7E04" w:rsidRDefault="004036DC" w:rsidP="001B7E04">
      <w:pPr>
        <w:spacing w:after="0" w:line="276" w:lineRule="auto"/>
        <w:rPr>
          <w:rFonts w:asciiTheme="minorHAnsi" w:hAnsiTheme="minorHAnsi"/>
          <w:sz w:val="24"/>
          <w:szCs w:val="24"/>
        </w:rPr>
      </w:pPr>
      <w:bookmarkStart w:id="10" w:name="_Toc431908633"/>
      <w:r w:rsidRPr="001B7E04">
        <w:rPr>
          <w:rFonts w:asciiTheme="minorHAnsi" w:hAnsiTheme="minorHAnsi"/>
          <w:sz w:val="24"/>
          <w:szCs w:val="24"/>
        </w:rPr>
        <w:t xml:space="preserve">The research on biomarkers for detection of colorectal cancer is a collaboration between industry, government, and CSIRO.  Table 4.1 demonstrates that the project has been the recipient of investment to the value of more than $7 million from 2006-07 to 2015-16.  Contributors included CG and </w:t>
      </w:r>
      <w:r w:rsidR="00364036" w:rsidRPr="001B7E04">
        <w:rPr>
          <w:rFonts w:asciiTheme="minorHAnsi" w:hAnsiTheme="minorHAnsi"/>
          <w:sz w:val="24"/>
          <w:szCs w:val="24"/>
        </w:rPr>
        <w:t xml:space="preserve">the </w:t>
      </w:r>
      <w:r w:rsidRPr="001B7E04">
        <w:rPr>
          <w:rFonts w:asciiTheme="minorHAnsi" w:hAnsiTheme="minorHAnsi"/>
          <w:sz w:val="24"/>
          <w:szCs w:val="24"/>
        </w:rPr>
        <w:t xml:space="preserve">Department of Industry, Innovation and Science. In-kind contributions from CSIRO and CG in terms of access to infrastructure, staff time, and previously developed skills and capabilities were significant, but are difficult to quantify due to measurement constraints. </w:t>
      </w:r>
    </w:p>
    <w:p w:rsidR="004036DC" w:rsidRPr="001B7E04" w:rsidRDefault="004036DC" w:rsidP="00267E5C">
      <w:pPr>
        <w:spacing w:after="0" w:line="288" w:lineRule="auto"/>
        <w:rPr>
          <w:b/>
          <w:bCs/>
          <w:color w:val="007E9A" w:themeColor="accent1" w:themeShade="BF"/>
          <w:sz w:val="20"/>
          <w:szCs w:val="18"/>
        </w:rPr>
      </w:pPr>
    </w:p>
    <w:p w:rsidR="004036DC" w:rsidRPr="00267E5C" w:rsidRDefault="0073449F" w:rsidP="004036DC">
      <w:pPr>
        <w:pStyle w:val="Heading5"/>
        <w:spacing w:before="0" w:after="0"/>
        <w:rPr>
          <w:sz w:val="16"/>
        </w:rPr>
      </w:pPr>
      <w:r w:rsidRPr="001B7E04">
        <w:rPr>
          <w:rFonts w:eastAsia="Calibri" w:cs="Times New Roman"/>
          <w:iCs w:val="0"/>
          <w:color w:val="007E9A" w:themeColor="accent1" w:themeShade="BF"/>
          <w:spacing w:val="0"/>
          <w:sz w:val="20"/>
          <w:szCs w:val="18"/>
        </w:rPr>
        <w:t>Table 4.1: Cash and in-kind support for project ($’000, nominal</w:t>
      </w:r>
      <w:r w:rsidRPr="00267E5C">
        <w:rPr>
          <w:rFonts w:asciiTheme="minorHAnsi" w:hAnsiTheme="minorHAnsi"/>
          <w:color w:val="007E9A" w:themeColor="accent1" w:themeShade="BF"/>
          <w:sz w:val="16"/>
          <w:szCs w:val="20"/>
        </w:rPr>
        <w:t>)</w:t>
      </w:r>
    </w:p>
    <w:tbl>
      <w:tblPr>
        <w:tblStyle w:val="TableCSIRO1"/>
        <w:tblpPr w:leftFromText="180" w:rightFromText="180" w:vertAnchor="text" w:horzAnchor="margin" w:tblpXSpec="center" w:tblpY="24"/>
        <w:tblW w:w="9996" w:type="dxa"/>
        <w:tblInd w:w="0" w:type="dxa"/>
        <w:tblLook w:val="04A0" w:firstRow="1" w:lastRow="0" w:firstColumn="1" w:lastColumn="0" w:noHBand="0" w:noVBand="1"/>
      </w:tblPr>
      <w:tblGrid>
        <w:gridCol w:w="1710"/>
        <w:gridCol w:w="940"/>
        <w:gridCol w:w="1027"/>
        <w:gridCol w:w="1053"/>
        <w:gridCol w:w="1052"/>
        <w:gridCol w:w="1053"/>
        <w:gridCol w:w="1052"/>
        <w:gridCol w:w="1053"/>
        <w:gridCol w:w="1056"/>
      </w:tblGrid>
      <w:tr w:rsidR="00FB61A7" w:rsidTr="00717714">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710" w:type="dxa"/>
          </w:tcPr>
          <w:p w:rsidR="00364036" w:rsidRPr="00717714" w:rsidRDefault="00364036" w:rsidP="004036DC">
            <w:pPr>
              <w:rPr>
                <w:rFonts w:asciiTheme="minorHAnsi" w:hAnsiTheme="minorHAnsi"/>
                <w:bCs w:val="0"/>
                <w:caps/>
                <w:color w:val="FFFFFF" w:themeColor="background1"/>
                <w:sz w:val="18"/>
                <w:szCs w:val="18"/>
              </w:rPr>
            </w:pPr>
            <w:r w:rsidRPr="00717714">
              <w:rPr>
                <w:rFonts w:asciiTheme="minorHAnsi" w:hAnsiTheme="minorHAnsi"/>
                <w:bCs w:val="0"/>
                <w:caps/>
                <w:color w:val="FFFFFF" w:themeColor="background1"/>
                <w:sz w:val="18"/>
                <w:szCs w:val="18"/>
              </w:rPr>
              <w:t>Contributor / Type of support</w:t>
            </w:r>
          </w:p>
        </w:tc>
        <w:tc>
          <w:tcPr>
            <w:tcW w:w="940" w:type="dxa"/>
          </w:tcPr>
          <w:p w:rsidR="00364036" w:rsidRPr="00717714" w:rsidRDefault="00364036" w:rsidP="004036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18"/>
                <w:szCs w:val="18"/>
              </w:rPr>
            </w:pPr>
            <w:r w:rsidRPr="00717714">
              <w:rPr>
                <w:rFonts w:asciiTheme="minorHAnsi" w:hAnsiTheme="minorHAnsi"/>
                <w:bCs w:val="0"/>
                <w:caps/>
                <w:color w:val="FFFFFF" w:themeColor="background1"/>
                <w:sz w:val="18"/>
                <w:szCs w:val="18"/>
              </w:rPr>
              <w:t>2006-2008</w:t>
            </w:r>
          </w:p>
        </w:tc>
        <w:tc>
          <w:tcPr>
            <w:tcW w:w="1027" w:type="dxa"/>
          </w:tcPr>
          <w:p w:rsidR="00364036" w:rsidRPr="00717714" w:rsidRDefault="00364036" w:rsidP="004036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18"/>
                <w:szCs w:val="18"/>
              </w:rPr>
            </w:pPr>
            <w:r w:rsidRPr="00717714">
              <w:rPr>
                <w:rFonts w:asciiTheme="minorHAnsi" w:hAnsiTheme="minorHAnsi"/>
                <w:bCs w:val="0"/>
                <w:caps/>
                <w:color w:val="FFFFFF" w:themeColor="background1"/>
                <w:sz w:val="18"/>
                <w:szCs w:val="18"/>
              </w:rPr>
              <w:t>2008-2009</w:t>
            </w:r>
          </w:p>
        </w:tc>
        <w:tc>
          <w:tcPr>
            <w:tcW w:w="1053" w:type="dxa"/>
          </w:tcPr>
          <w:p w:rsidR="00364036" w:rsidRPr="00717714" w:rsidRDefault="00364036" w:rsidP="004036DC">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18"/>
                <w:szCs w:val="18"/>
              </w:rPr>
            </w:pPr>
            <w:r w:rsidRPr="00717714">
              <w:rPr>
                <w:rFonts w:asciiTheme="minorHAnsi" w:hAnsiTheme="minorHAnsi"/>
                <w:bCs w:val="0"/>
                <w:caps/>
                <w:color w:val="FFFFFF" w:themeColor="background1"/>
                <w:sz w:val="18"/>
                <w:szCs w:val="18"/>
              </w:rPr>
              <w:t>2009-2010</w:t>
            </w:r>
          </w:p>
        </w:tc>
        <w:tc>
          <w:tcPr>
            <w:tcW w:w="1052" w:type="dxa"/>
          </w:tcPr>
          <w:p w:rsidR="00364036" w:rsidRPr="00717714" w:rsidRDefault="00364036" w:rsidP="004036DC">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18"/>
                <w:szCs w:val="18"/>
              </w:rPr>
            </w:pPr>
            <w:r w:rsidRPr="00717714">
              <w:rPr>
                <w:rFonts w:asciiTheme="minorHAnsi" w:hAnsiTheme="minorHAnsi"/>
                <w:bCs w:val="0"/>
                <w:caps/>
                <w:color w:val="FFFFFF" w:themeColor="background1"/>
                <w:sz w:val="18"/>
                <w:szCs w:val="18"/>
              </w:rPr>
              <w:t>2010-2011</w:t>
            </w:r>
          </w:p>
        </w:tc>
        <w:tc>
          <w:tcPr>
            <w:tcW w:w="1053" w:type="dxa"/>
          </w:tcPr>
          <w:p w:rsidR="00364036" w:rsidRPr="00717714" w:rsidRDefault="00364036" w:rsidP="004036DC">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18"/>
                <w:szCs w:val="18"/>
              </w:rPr>
            </w:pPr>
            <w:r w:rsidRPr="00717714">
              <w:rPr>
                <w:rFonts w:asciiTheme="minorHAnsi" w:hAnsiTheme="minorHAnsi"/>
                <w:bCs w:val="0"/>
                <w:caps/>
                <w:color w:val="FFFFFF" w:themeColor="background1"/>
                <w:sz w:val="18"/>
                <w:szCs w:val="18"/>
              </w:rPr>
              <w:t>2011-2012</w:t>
            </w:r>
          </w:p>
        </w:tc>
        <w:tc>
          <w:tcPr>
            <w:tcW w:w="1052" w:type="dxa"/>
          </w:tcPr>
          <w:p w:rsidR="00364036" w:rsidRPr="00717714" w:rsidRDefault="00364036" w:rsidP="004036DC">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18"/>
                <w:szCs w:val="18"/>
              </w:rPr>
            </w:pPr>
            <w:r w:rsidRPr="00717714">
              <w:rPr>
                <w:rFonts w:asciiTheme="minorHAnsi" w:hAnsiTheme="minorHAnsi"/>
                <w:bCs w:val="0"/>
                <w:caps/>
                <w:color w:val="FFFFFF" w:themeColor="background1"/>
                <w:sz w:val="18"/>
                <w:szCs w:val="18"/>
              </w:rPr>
              <w:t>2012-2013</w:t>
            </w:r>
          </w:p>
        </w:tc>
        <w:tc>
          <w:tcPr>
            <w:tcW w:w="1053" w:type="dxa"/>
          </w:tcPr>
          <w:p w:rsidR="00364036" w:rsidRPr="00717714" w:rsidRDefault="00364036" w:rsidP="004036DC">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18"/>
                <w:szCs w:val="18"/>
              </w:rPr>
            </w:pPr>
            <w:r w:rsidRPr="00717714">
              <w:rPr>
                <w:rFonts w:asciiTheme="minorHAnsi" w:hAnsiTheme="minorHAnsi"/>
                <w:bCs w:val="0"/>
                <w:caps/>
                <w:color w:val="FFFFFF" w:themeColor="background1"/>
                <w:sz w:val="18"/>
                <w:szCs w:val="18"/>
              </w:rPr>
              <w:t>2013-2014</w:t>
            </w:r>
          </w:p>
        </w:tc>
        <w:tc>
          <w:tcPr>
            <w:tcW w:w="1052" w:type="dxa"/>
          </w:tcPr>
          <w:p w:rsidR="00364036" w:rsidRPr="00717714" w:rsidRDefault="00364036" w:rsidP="004036DC">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18"/>
                <w:szCs w:val="18"/>
              </w:rPr>
            </w:pPr>
            <w:r w:rsidRPr="00717714">
              <w:rPr>
                <w:rFonts w:asciiTheme="minorHAnsi" w:hAnsiTheme="minorHAnsi"/>
                <w:bCs w:val="0"/>
                <w:caps/>
                <w:color w:val="FFFFFF" w:themeColor="background1"/>
                <w:sz w:val="18"/>
                <w:szCs w:val="18"/>
              </w:rPr>
              <w:t>2015-2016</w:t>
            </w:r>
          </w:p>
        </w:tc>
      </w:tr>
      <w:tr w:rsidR="00FB61A7" w:rsidTr="0071771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710" w:type="dxa"/>
          </w:tcPr>
          <w:p w:rsidR="00364036" w:rsidRPr="00680339" w:rsidRDefault="00364036" w:rsidP="004036DC">
            <w:pPr>
              <w:rPr>
                <w:rFonts w:asciiTheme="minorHAnsi" w:hAnsiTheme="minorHAnsi"/>
                <w:sz w:val="18"/>
                <w:szCs w:val="18"/>
                <w:vertAlign w:val="superscript"/>
              </w:rPr>
            </w:pPr>
            <w:r w:rsidRPr="00680339">
              <w:rPr>
                <w:rFonts w:asciiTheme="minorHAnsi" w:hAnsiTheme="minorHAnsi"/>
                <w:sz w:val="18"/>
                <w:szCs w:val="18"/>
              </w:rPr>
              <w:t>CSIRO</w:t>
            </w:r>
            <w:r w:rsidRPr="00680339">
              <w:rPr>
                <w:rFonts w:asciiTheme="minorHAnsi" w:hAnsiTheme="minorHAnsi"/>
                <w:sz w:val="18"/>
                <w:szCs w:val="18"/>
                <w:vertAlign w:val="superscript"/>
              </w:rPr>
              <w:t>#</w:t>
            </w:r>
          </w:p>
        </w:tc>
        <w:tc>
          <w:tcPr>
            <w:tcW w:w="940"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8"/>
                <w:szCs w:val="18"/>
              </w:rPr>
            </w:pPr>
            <w:r w:rsidRPr="00680339">
              <w:rPr>
                <w:rFonts w:asciiTheme="minorHAnsi" w:hAnsiTheme="minorHAnsi"/>
                <w:bCs/>
                <w:iCs/>
                <w:sz w:val="18"/>
                <w:szCs w:val="18"/>
              </w:rPr>
              <w:t>778</w:t>
            </w:r>
          </w:p>
        </w:tc>
        <w:tc>
          <w:tcPr>
            <w:tcW w:w="1027"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8"/>
                <w:szCs w:val="18"/>
              </w:rPr>
            </w:pPr>
            <w:r w:rsidRPr="00680339">
              <w:rPr>
                <w:rFonts w:asciiTheme="minorHAnsi" w:hAnsiTheme="minorHAnsi"/>
                <w:bCs/>
                <w:iCs/>
                <w:sz w:val="18"/>
                <w:szCs w:val="18"/>
              </w:rPr>
              <w:t>688</w:t>
            </w:r>
          </w:p>
        </w:tc>
        <w:tc>
          <w:tcPr>
            <w:tcW w:w="1053"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770</w:t>
            </w:r>
          </w:p>
        </w:tc>
        <w:tc>
          <w:tcPr>
            <w:tcW w:w="1052"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740</w:t>
            </w:r>
          </w:p>
        </w:tc>
        <w:tc>
          <w:tcPr>
            <w:tcW w:w="1053"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265</w:t>
            </w:r>
          </w:p>
        </w:tc>
        <w:tc>
          <w:tcPr>
            <w:tcW w:w="1052"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500</w:t>
            </w:r>
          </w:p>
        </w:tc>
        <w:tc>
          <w:tcPr>
            <w:tcW w:w="1053"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530</w:t>
            </w:r>
          </w:p>
        </w:tc>
        <w:tc>
          <w:tcPr>
            <w:tcW w:w="1052"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 xml:space="preserve">150 </w:t>
            </w:r>
          </w:p>
        </w:tc>
      </w:tr>
      <w:tr w:rsidR="00FB61A7" w:rsidTr="00717714">
        <w:trPr>
          <w:trHeight w:val="345"/>
        </w:trPr>
        <w:tc>
          <w:tcPr>
            <w:cnfStyle w:val="001000000000" w:firstRow="0" w:lastRow="0" w:firstColumn="1" w:lastColumn="0" w:oddVBand="0" w:evenVBand="0" w:oddHBand="0" w:evenHBand="0" w:firstRowFirstColumn="0" w:firstRowLastColumn="0" w:lastRowFirstColumn="0" w:lastRowLastColumn="0"/>
            <w:tcW w:w="1710" w:type="dxa"/>
          </w:tcPr>
          <w:p w:rsidR="00364036" w:rsidRPr="00680339" w:rsidRDefault="00364036" w:rsidP="004036DC">
            <w:pPr>
              <w:rPr>
                <w:rFonts w:asciiTheme="minorHAnsi" w:hAnsiTheme="minorHAnsi"/>
                <w:b w:val="0"/>
                <w:bCs w:val="0"/>
                <w:sz w:val="18"/>
                <w:szCs w:val="18"/>
              </w:rPr>
            </w:pPr>
            <w:r w:rsidRPr="00680339">
              <w:rPr>
                <w:rFonts w:asciiTheme="minorHAnsi" w:hAnsiTheme="minorHAnsi"/>
                <w:sz w:val="18"/>
                <w:szCs w:val="18"/>
              </w:rPr>
              <w:t>CG^</w:t>
            </w:r>
          </w:p>
        </w:tc>
        <w:tc>
          <w:tcPr>
            <w:tcW w:w="940"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622</w:t>
            </w:r>
          </w:p>
        </w:tc>
        <w:tc>
          <w:tcPr>
            <w:tcW w:w="1027"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312</w:t>
            </w:r>
          </w:p>
        </w:tc>
        <w:tc>
          <w:tcPr>
            <w:tcW w:w="1053"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330</w:t>
            </w:r>
          </w:p>
        </w:tc>
        <w:tc>
          <w:tcPr>
            <w:tcW w:w="1052"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360</w:t>
            </w:r>
          </w:p>
        </w:tc>
        <w:tc>
          <w:tcPr>
            <w:tcW w:w="1053"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265</w:t>
            </w:r>
          </w:p>
        </w:tc>
        <w:tc>
          <w:tcPr>
            <w:tcW w:w="1052"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053"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052"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 xml:space="preserve">150 </w:t>
            </w:r>
          </w:p>
        </w:tc>
      </w:tr>
      <w:tr w:rsidR="00FB61A7" w:rsidTr="00717714">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710" w:type="dxa"/>
          </w:tcPr>
          <w:p w:rsidR="00364036" w:rsidRPr="00680339" w:rsidRDefault="00364036" w:rsidP="004036DC">
            <w:pPr>
              <w:rPr>
                <w:rFonts w:asciiTheme="minorHAnsi" w:hAnsiTheme="minorHAnsi"/>
                <w:b w:val="0"/>
                <w:bCs w:val="0"/>
                <w:sz w:val="18"/>
                <w:szCs w:val="18"/>
              </w:rPr>
            </w:pPr>
            <w:r w:rsidRPr="00680339">
              <w:rPr>
                <w:rFonts w:asciiTheme="minorHAnsi" w:hAnsiTheme="minorHAnsi"/>
                <w:sz w:val="18"/>
                <w:szCs w:val="18"/>
              </w:rPr>
              <w:t>Department of Industry</w:t>
            </w:r>
          </w:p>
        </w:tc>
        <w:tc>
          <w:tcPr>
            <w:tcW w:w="940"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8"/>
                <w:szCs w:val="18"/>
              </w:rPr>
            </w:pPr>
          </w:p>
        </w:tc>
        <w:tc>
          <w:tcPr>
            <w:tcW w:w="1027"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8"/>
                <w:szCs w:val="18"/>
              </w:rPr>
            </w:pPr>
          </w:p>
        </w:tc>
        <w:tc>
          <w:tcPr>
            <w:tcW w:w="1053"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2"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3"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2"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3"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2"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 xml:space="preserve">150 </w:t>
            </w:r>
          </w:p>
        </w:tc>
      </w:tr>
      <w:tr w:rsidR="00FB61A7" w:rsidTr="00717714">
        <w:trPr>
          <w:trHeight w:val="691"/>
        </w:trPr>
        <w:tc>
          <w:tcPr>
            <w:cnfStyle w:val="001000000000" w:firstRow="0" w:lastRow="0" w:firstColumn="1" w:lastColumn="0" w:oddVBand="0" w:evenVBand="0" w:oddHBand="0" w:evenHBand="0" w:firstRowFirstColumn="0" w:firstRowLastColumn="0" w:lastRowFirstColumn="0" w:lastRowLastColumn="0"/>
            <w:tcW w:w="1710" w:type="dxa"/>
          </w:tcPr>
          <w:p w:rsidR="00364036" w:rsidRPr="00680339" w:rsidRDefault="00364036" w:rsidP="004036DC">
            <w:pPr>
              <w:rPr>
                <w:rFonts w:asciiTheme="minorHAnsi" w:hAnsiTheme="minorHAnsi"/>
                <w:sz w:val="18"/>
                <w:szCs w:val="18"/>
              </w:rPr>
            </w:pPr>
            <w:r w:rsidRPr="00680339">
              <w:rPr>
                <w:rFonts w:asciiTheme="minorHAnsi" w:hAnsiTheme="minorHAnsi"/>
                <w:sz w:val="18"/>
                <w:szCs w:val="18"/>
              </w:rPr>
              <w:t>Patents</w:t>
            </w:r>
          </w:p>
        </w:tc>
        <w:tc>
          <w:tcPr>
            <w:tcW w:w="940"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 w:val="18"/>
                <w:szCs w:val="18"/>
              </w:rPr>
            </w:pPr>
          </w:p>
        </w:tc>
        <w:tc>
          <w:tcPr>
            <w:tcW w:w="1027"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 w:val="18"/>
                <w:szCs w:val="18"/>
              </w:rPr>
            </w:pPr>
          </w:p>
        </w:tc>
        <w:tc>
          <w:tcPr>
            <w:tcW w:w="1053"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 xml:space="preserve">360, 381 </w:t>
            </w:r>
          </w:p>
        </w:tc>
        <w:tc>
          <w:tcPr>
            <w:tcW w:w="1052"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053"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96, 431</w:t>
            </w:r>
          </w:p>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052"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44, 323</w:t>
            </w:r>
          </w:p>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053"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052" w:type="dxa"/>
          </w:tcPr>
          <w:p w:rsidR="00364036" w:rsidRPr="00680339" w:rsidRDefault="00364036" w:rsidP="004036D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FB61A7" w:rsidTr="007177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710" w:type="dxa"/>
          </w:tcPr>
          <w:p w:rsidR="00364036" w:rsidRPr="00680339" w:rsidRDefault="00364036" w:rsidP="004036DC">
            <w:pPr>
              <w:rPr>
                <w:rFonts w:asciiTheme="minorHAnsi" w:hAnsiTheme="minorHAnsi"/>
                <w:sz w:val="18"/>
                <w:szCs w:val="18"/>
              </w:rPr>
            </w:pPr>
            <w:r w:rsidRPr="00680339">
              <w:rPr>
                <w:rFonts w:asciiTheme="minorHAnsi" w:hAnsiTheme="minorHAnsi"/>
                <w:sz w:val="18"/>
                <w:szCs w:val="18"/>
              </w:rPr>
              <w:t>Total</w:t>
            </w:r>
          </w:p>
        </w:tc>
        <w:tc>
          <w:tcPr>
            <w:tcW w:w="940"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8"/>
                <w:szCs w:val="18"/>
              </w:rPr>
            </w:pPr>
          </w:p>
        </w:tc>
        <w:tc>
          <w:tcPr>
            <w:tcW w:w="1027"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8"/>
                <w:szCs w:val="18"/>
              </w:rPr>
            </w:pPr>
          </w:p>
        </w:tc>
        <w:tc>
          <w:tcPr>
            <w:tcW w:w="1053"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2"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3"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2"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3"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1052" w:type="dxa"/>
          </w:tcPr>
          <w:p w:rsidR="00364036" w:rsidRPr="00680339" w:rsidRDefault="00364036" w:rsidP="004036D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680339">
              <w:rPr>
                <w:rFonts w:asciiTheme="minorHAnsi" w:hAnsiTheme="minorHAnsi"/>
                <w:sz w:val="18"/>
                <w:szCs w:val="18"/>
              </w:rPr>
              <w:t>7,111</w:t>
            </w:r>
          </w:p>
        </w:tc>
      </w:tr>
      <w:tr w:rsidR="00FB61A7" w:rsidTr="00717714">
        <w:trPr>
          <w:trHeight w:val="1487"/>
        </w:trPr>
        <w:tc>
          <w:tcPr>
            <w:cnfStyle w:val="001000000000" w:firstRow="0" w:lastRow="0" w:firstColumn="1" w:lastColumn="0" w:oddVBand="0" w:evenVBand="0" w:oddHBand="0" w:evenHBand="0" w:firstRowFirstColumn="0" w:firstRowLastColumn="0" w:lastRowFirstColumn="0" w:lastRowLastColumn="0"/>
            <w:tcW w:w="9996" w:type="dxa"/>
            <w:gridSpan w:val="9"/>
          </w:tcPr>
          <w:p w:rsidR="00364036" w:rsidRPr="00680339" w:rsidRDefault="00364036" w:rsidP="004036DC">
            <w:pPr>
              <w:rPr>
                <w:rFonts w:asciiTheme="minorHAnsi" w:hAnsiTheme="minorHAnsi"/>
                <w:sz w:val="18"/>
                <w:szCs w:val="18"/>
              </w:rPr>
            </w:pPr>
          </w:p>
          <w:p w:rsidR="00364036" w:rsidRPr="00680339" w:rsidRDefault="00364036" w:rsidP="004036DC">
            <w:pPr>
              <w:pStyle w:val="ListDash"/>
              <w:pBdr>
                <w:top w:val="dotted" w:sz="4" w:space="1" w:color="auto"/>
              </w:pBdr>
              <w:spacing w:before="0" w:after="0" w:line="240" w:lineRule="auto"/>
              <w:ind w:left="0" w:firstLine="0"/>
              <w:rPr>
                <w:b w:val="0"/>
                <w:sz w:val="18"/>
                <w:szCs w:val="18"/>
              </w:rPr>
            </w:pPr>
            <w:r w:rsidRPr="00680339">
              <w:rPr>
                <w:b w:val="0"/>
                <w:sz w:val="18"/>
                <w:szCs w:val="18"/>
              </w:rPr>
              <w:t>Footnotes to table</w:t>
            </w:r>
          </w:p>
          <w:p w:rsidR="00364036" w:rsidRPr="002B363D" w:rsidRDefault="00364036" w:rsidP="004036DC">
            <w:pPr>
              <w:pStyle w:val="ListDash"/>
              <w:pBdr>
                <w:top w:val="dotted" w:sz="4" w:space="1" w:color="auto"/>
              </w:pBdr>
              <w:spacing w:before="0" w:after="0" w:line="240" w:lineRule="auto"/>
              <w:ind w:left="0" w:firstLine="0"/>
              <w:rPr>
                <w:b w:val="0"/>
                <w:sz w:val="18"/>
                <w:szCs w:val="18"/>
              </w:rPr>
            </w:pPr>
            <w:r w:rsidRPr="002B363D">
              <w:rPr>
                <w:b w:val="0"/>
                <w:sz w:val="18"/>
                <w:szCs w:val="18"/>
              </w:rPr>
              <w:t># CSIRO input covers part of costs of development of Bis-tag, SuBLiME and HDCR technologies for DNA methylation analysis</w:t>
            </w:r>
          </w:p>
          <w:p w:rsidR="00364036" w:rsidRPr="002B363D" w:rsidRDefault="00364036" w:rsidP="00364036">
            <w:pPr>
              <w:pBdr>
                <w:top w:val="dotted" w:sz="4" w:space="1" w:color="auto"/>
              </w:pBdr>
              <w:spacing w:after="0"/>
              <w:rPr>
                <w:rFonts w:asciiTheme="minorHAnsi" w:eastAsia="Times New Roman" w:hAnsiTheme="minorHAnsi"/>
                <w:b w:val="0"/>
                <w:color w:val="auto"/>
                <w:sz w:val="18"/>
                <w:szCs w:val="18"/>
              </w:rPr>
            </w:pPr>
            <w:r w:rsidRPr="002B363D">
              <w:rPr>
                <w:rFonts w:asciiTheme="minorHAnsi" w:eastAsia="Times New Roman" w:hAnsiTheme="minorHAnsi"/>
                <w:b w:val="0"/>
                <w:color w:val="auto"/>
                <w:sz w:val="18"/>
                <w:szCs w:val="18"/>
              </w:rPr>
              <w:t>^ CG input matched by CSIRO under 2007 and 2009 CRADAs</w:t>
            </w:r>
          </w:p>
          <w:p w:rsidR="00364036" w:rsidRPr="00680339" w:rsidRDefault="00364036" w:rsidP="00364036">
            <w:pPr>
              <w:pStyle w:val="ListDash"/>
              <w:pBdr>
                <w:top w:val="dotted" w:sz="4" w:space="1" w:color="auto"/>
              </w:pBdr>
              <w:spacing w:before="0" w:after="0" w:line="240" w:lineRule="auto"/>
              <w:ind w:left="0" w:firstLine="0"/>
              <w:rPr>
                <w:sz w:val="18"/>
                <w:szCs w:val="18"/>
              </w:rPr>
            </w:pPr>
            <w:r w:rsidRPr="002B363D">
              <w:rPr>
                <w:rFonts w:ascii="Calibri" w:eastAsia="Calibri" w:hAnsi="Calibri"/>
                <w:b w:val="0"/>
                <w:color w:val="000000"/>
                <w:sz w:val="18"/>
                <w:szCs w:val="18"/>
              </w:rPr>
              <w:t>@ Research Connection/Innovation connections – Rob Dunne (1) &amp; Glenn Brown (2)</w:t>
            </w:r>
          </w:p>
        </w:tc>
      </w:tr>
    </w:tbl>
    <w:p w:rsidR="00735BEC" w:rsidRDefault="00735BEC" w:rsidP="00735BEC">
      <w:bookmarkStart w:id="11" w:name="_Toc494707088"/>
      <w:bookmarkEnd w:id="10"/>
    </w:p>
    <w:p w:rsidR="00255E33" w:rsidRPr="001B7E04" w:rsidRDefault="00D01C90" w:rsidP="00985F67">
      <w:pPr>
        <w:pStyle w:val="Heading2"/>
        <w:ind w:left="0" w:firstLine="0"/>
      </w:pPr>
      <w:r w:rsidRPr="001B7E04">
        <w:t>A</w:t>
      </w:r>
      <w:r w:rsidR="004B7696" w:rsidRPr="001B7E04">
        <w:t>ctivities</w:t>
      </w:r>
      <w:bookmarkEnd w:id="11"/>
    </w:p>
    <w:p w:rsidR="001B7E04" w:rsidRDefault="004036DC" w:rsidP="001B7E04">
      <w:pPr>
        <w:pStyle w:val="ListDash"/>
        <w:spacing w:before="0" w:after="0" w:line="276" w:lineRule="auto"/>
        <w:ind w:left="0" w:firstLine="0"/>
        <w:rPr>
          <w:rFonts w:eastAsia="Calibri"/>
          <w:color w:val="000000"/>
          <w:sz w:val="24"/>
          <w:szCs w:val="24"/>
        </w:rPr>
      </w:pPr>
      <w:r w:rsidRPr="001B7E04">
        <w:rPr>
          <w:rFonts w:eastAsia="Calibri"/>
          <w:color w:val="000000"/>
          <w:sz w:val="24"/>
          <w:szCs w:val="24"/>
        </w:rPr>
        <w:t xml:space="preserve">All collaborators had distinct expertise which allowed progress in discovery and validation over a decade. The collaboration commenced through CSIRO’s Preventative Health Flagship partnership with Enterix Pty Ltd in 2004. Both parties signed a </w:t>
      </w:r>
      <w:r w:rsidR="00364036" w:rsidRPr="001B7E04">
        <w:rPr>
          <w:rFonts w:eastAsia="Calibri"/>
          <w:color w:val="000000"/>
          <w:sz w:val="24"/>
          <w:szCs w:val="24"/>
        </w:rPr>
        <w:t xml:space="preserve">terms of agreement. The collaboration commenced </w:t>
      </w:r>
      <w:r w:rsidRPr="001B7E04">
        <w:rPr>
          <w:rFonts w:eastAsia="Calibri"/>
          <w:color w:val="000000"/>
          <w:sz w:val="24"/>
          <w:szCs w:val="24"/>
        </w:rPr>
        <w:t>with the purchase of a large gene expression microarray dataset that included approximately 460 cases. In 2006</w:t>
      </w:r>
      <w:r w:rsidR="00364036" w:rsidRPr="001B7E04">
        <w:rPr>
          <w:rFonts w:eastAsia="Calibri"/>
          <w:color w:val="000000"/>
          <w:sz w:val="24"/>
          <w:szCs w:val="24"/>
        </w:rPr>
        <w:t>,</w:t>
      </w:r>
      <w:r w:rsidRPr="001B7E04">
        <w:rPr>
          <w:rFonts w:eastAsia="Calibri"/>
          <w:color w:val="000000"/>
          <w:sz w:val="24"/>
          <w:szCs w:val="24"/>
        </w:rPr>
        <w:t xml:space="preserve"> Enterix merged with a subsidiary of Quest Diagnostics Inc.</w:t>
      </w:r>
      <w:r w:rsidR="00364036" w:rsidRPr="001B7E04">
        <w:rPr>
          <w:rFonts w:eastAsia="Calibri"/>
          <w:color w:val="000000"/>
          <w:sz w:val="24"/>
          <w:szCs w:val="24"/>
        </w:rPr>
        <w:t>,</w:t>
      </w:r>
      <w:r w:rsidRPr="001B7E04">
        <w:rPr>
          <w:rFonts w:eastAsia="Calibri"/>
          <w:color w:val="000000"/>
          <w:sz w:val="24"/>
          <w:szCs w:val="24"/>
        </w:rPr>
        <w:t xml:space="preserve"> and the results of the 2004 collaboration were purchased by CG, a spin-out of the group behind Enterix, including the principal scientist. All agreements after this time including CRADAs of 2007 and 2009 were between CSIRO and CG. </w:t>
      </w:r>
    </w:p>
    <w:p w:rsidR="001B7E04" w:rsidRDefault="001B7E04">
      <w:pPr>
        <w:spacing w:after="0"/>
        <w:rPr>
          <w:rFonts w:asciiTheme="minorHAnsi" w:hAnsiTheme="minorHAnsi"/>
          <w:sz w:val="24"/>
          <w:szCs w:val="24"/>
        </w:rPr>
      </w:pPr>
      <w:r>
        <w:rPr>
          <w:sz w:val="24"/>
          <w:szCs w:val="24"/>
        </w:rPr>
        <w:br w:type="page"/>
      </w:r>
    </w:p>
    <w:p w:rsidR="004036DC" w:rsidRPr="001B7E04" w:rsidRDefault="004036DC" w:rsidP="001B7E04">
      <w:pPr>
        <w:pStyle w:val="ListDash"/>
        <w:spacing w:before="0" w:after="0" w:line="276" w:lineRule="auto"/>
        <w:ind w:left="0" w:firstLine="0"/>
        <w:rPr>
          <w:sz w:val="24"/>
          <w:szCs w:val="24"/>
        </w:rPr>
      </w:pPr>
      <w:r w:rsidRPr="001B7E04">
        <w:rPr>
          <w:sz w:val="24"/>
          <w:szCs w:val="24"/>
        </w:rPr>
        <w:lastRenderedPageBreak/>
        <w:t xml:space="preserve">CSIRO’s involvement in research continued through to 2014, at which point the technology was officially handed over to CG for commercial application. CG commenced preparation for commercialisation prior to 2014. There were three key phases in research activities prior to commercialisation: </w:t>
      </w:r>
    </w:p>
    <w:p w:rsidR="004036DC" w:rsidRPr="001B7E04" w:rsidRDefault="004036DC" w:rsidP="001B7E04">
      <w:pPr>
        <w:pStyle w:val="ListDash"/>
        <w:spacing w:before="0" w:after="0" w:line="276" w:lineRule="auto"/>
        <w:ind w:left="0" w:firstLine="0"/>
        <w:rPr>
          <w:sz w:val="24"/>
          <w:szCs w:val="24"/>
        </w:rPr>
      </w:pPr>
      <w:r w:rsidRPr="001B7E04">
        <w:rPr>
          <w:b/>
          <w:sz w:val="24"/>
          <w:szCs w:val="24"/>
          <w:u w:val="single"/>
        </w:rPr>
        <w:t>Phase 1</w:t>
      </w:r>
      <w:r w:rsidR="00364036" w:rsidRPr="001B7E04">
        <w:rPr>
          <w:b/>
          <w:sz w:val="24"/>
          <w:szCs w:val="24"/>
          <w:u w:val="single"/>
        </w:rPr>
        <w:t>:</w:t>
      </w:r>
      <w:r w:rsidRPr="001B7E04">
        <w:rPr>
          <w:sz w:val="24"/>
          <w:szCs w:val="24"/>
        </w:rPr>
        <w:t xml:space="preserve"> 2004-2010: Bioinformatics Activity and Biomarker Discovery </w:t>
      </w:r>
    </w:p>
    <w:p w:rsidR="004036DC" w:rsidRPr="001B7E04" w:rsidRDefault="004036DC" w:rsidP="001B7E04">
      <w:pPr>
        <w:pStyle w:val="ListDash"/>
        <w:spacing w:before="0" w:after="0" w:line="276" w:lineRule="auto"/>
        <w:ind w:left="0" w:firstLine="0"/>
        <w:rPr>
          <w:sz w:val="24"/>
          <w:szCs w:val="24"/>
        </w:rPr>
      </w:pPr>
      <w:r w:rsidRPr="001B7E04">
        <w:rPr>
          <w:b/>
          <w:sz w:val="24"/>
          <w:szCs w:val="24"/>
          <w:u w:val="single"/>
        </w:rPr>
        <w:t>Phase 2</w:t>
      </w:r>
      <w:r w:rsidR="00364036" w:rsidRPr="001B7E04">
        <w:rPr>
          <w:b/>
          <w:sz w:val="24"/>
          <w:szCs w:val="24"/>
          <w:u w:val="single"/>
        </w:rPr>
        <w:t>:</w:t>
      </w:r>
      <w:r w:rsidRPr="001B7E04">
        <w:rPr>
          <w:sz w:val="24"/>
          <w:szCs w:val="24"/>
        </w:rPr>
        <w:t xml:space="preserve"> 2009-2011: Epigenetics Activity and Methylated Biomarker Discovery </w:t>
      </w:r>
    </w:p>
    <w:p w:rsidR="00E243A6" w:rsidRDefault="004036DC" w:rsidP="001B7E04">
      <w:pPr>
        <w:pStyle w:val="ListDash"/>
        <w:spacing w:before="0" w:after="0" w:line="276" w:lineRule="auto"/>
        <w:ind w:left="0" w:firstLine="0"/>
        <w:rPr>
          <w:sz w:val="24"/>
          <w:szCs w:val="24"/>
        </w:rPr>
      </w:pPr>
      <w:r w:rsidRPr="001B7E04">
        <w:rPr>
          <w:b/>
          <w:sz w:val="24"/>
          <w:szCs w:val="24"/>
          <w:u w:val="single"/>
        </w:rPr>
        <w:t>Phase 3</w:t>
      </w:r>
      <w:r w:rsidR="00364036" w:rsidRPr="001B7E04">
        <w:rPr>
          <w:b/>
          <w:sz w:val="24"/>
          <w:szCs w:val="24"/>
          <w:u w:val="single"/>
        </w:rPr>
        <w:t>:</w:t>
      </w:r>
      <w:r w:rsidRPr="001B7E04">
        <w:rPr>
          <w:sz w:val="24"/>
          <w:szCs w:val="24"/>
        </w:rPr>
        <w:t xml:space="preserve"> 2012-2014 Shortlisting markers and clinical validation</w:t>
      </w:r>
    </w:p>
    <w:p w:rsidR="004036DC" w:rsidRDefault="004036DC" w:rsidP="004036DC">
      <w:pPr>
        <w:pStyle w:val="ListDash"/>
        <w:spacing w:before="0" w:after="0" w:line="240" w:lineRule="auto"/>
        <w:ind w:left="0" w:firstLine="0"/>
        <w:jc w:val="center"/>
      </w:pPr>
      <w:r w:rsidRPr="001935D0">
        <w:rPr>
          <w:b/>
          <w:noProof/>
          <w:szCs w:val="16"/>
          <w:vertAlign w:val="superscript"/>
        </w:rPr>
        <w:drawing>
          <wp:inline distT="0" distB="0" distL="0" distR="0" wp14:anchorId="1A7528B0" wp14:editId="1BA6B125">
            <wp:extent cx="5372100" cy="3020002"/>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
                    <pic:cNvPicPr/>
                  </pic:nvPicPr>
                  <pic:blipFill rotWithShape="1">
                    <a:blip r:embed="rId12" cstate="print">
                      <a:extLst>
                        <a:ext uri="{28A0092B-C50C-407E-A947-70E740481C1C}">
                          <a14:useLocalDpi xmlns:a14="http://schemas.microsoft.com/office/drawing/2010/main" val="0"/>
                        </a:ext>
                      </a:extLst>
                    </a:blip>
                    <a:srcRect l="19054" t="14581" r="2981" b="5277"/>
                    <a:stretch/>
                  </pic:blipFill>
                  <pic:spPr bwMode="auto">
                    <a:xfrm>
                      <a:off x="0" y="0"/>
                      <a:ext cx="5378367" cy="3023525"/>
                    </a:xfrm>
                    <a:prstGeom prst="rect">
                      <a:avLst/>
                    </a:prstGeom>
                    <a:ln>
                      <a:noFill/>
                    </a:ln>
                    <a:extLst>
                      <a:ext uri="{53640926-AAD7-44D8-BBD7-CCE9431645EC}">
                        <a14:shadowObscured xmlns:a14="http://schemas.microsoft.com/office/drawing/2010/main"/>
                      </a:ext>
                    </a:extLst>
                  </pic:spPr>
                </pic:pic>
              </a:graphicData>
            </a:graphic>
          </wp:inline>
        </w:drawing>
      </w:r>
    </w:p>
    <w:p w:rsidR="00E243A6" w:rsidRPr="00626D62" w:rsidRDefault="00626D62" w:rsidP="00626D62">
      <w:pPr>
        <w:pStyle w:val="ListDash"/>
        <w:spacing w:before="0" w:after="0" w:line="240" w:lineRule="auto"/>
        <w:ind w:left="0" w:firstLine="0"/>
        <w:jc w:val="right"/>
        <w:rPr>
          <w:sz w:val="20"/>
          <w:szCs w:val="20"/>
        </w:rPr>
      </w:pPr>
      <w:r w:rsidRPr="00626D62">
        <w:rPr>
          <w:sz w:val="20"/>
          <w:szCs w:val="20"/>
        </w:rPr>
        <w:t>Source: Clinical Genomics slides 2017</w:t>
      </w:r>
    </w:p>
    <w:p w:rsidR="00E243A6" w:rsidRPr="00626D62" w:rsidRDefault="00E243A6" w:rsidP="00E243A6">
      <w:pPr>
        <w:pStyle w:val="Heading5"/>
        <w:spacing w:before="0" w:after="0" w:line="360" w:lineRule="auto"/>
        <w:rPr>
          <w:rFonts w:asciiTheme="minorHAnsi" w:hAnsiTheme="minorHAnsi"/>
          <w:color w:val="007E9A" w:themeColor="accent1" w:themeShade="BF"/>
          <w:sz w:val="20"/>
          <w:szCs w:val="20"/>
        </w:rPr>
      </w:pPr>
      <w:r w:rsidRPr="00626D62">
        <w:rPr>
          <w:rFonts w:asciiTheme="minorHAnsi" w:hAnsiTheme="minorHAnsi"/>
          <w:color w:val="007E9A" w:themeColor="accent1" w:themeShade="BF"/>
          <w:sz w:val="20"/>
          <w:szCs w:val="20"/>
        </w:rPr>
        <w:t xml:space="preserve">Figure 4.1. Journey of Colvera </w:t>
      </w:r>
    </w:p>
    <w:p w:rsidR="00E243A6" w:rsidRPr="00E243A6" w:rsidRDefault="00E243A6" w:rsidP="00E243A6">
      <w:pPr>
        <w:pStyle w:val="BodyText"/>
      </w:pPr>
    </w:p>
    <w:p w:rsidR="00364036" w:rsidRPr="001B7E04" w:rsidRDefault="004036DC" w:rsidP="001B7E04">
      <w:pPr>
        <w:pStyle w:val="Heading3"/>
        <w:spacing w:before="40" w:after="0" w:line="360" w:lineRule="auto"/>
        <w:rPr>
          <w:sz w:val="24"/>
        </w:rPr>
      </w:pPr>
      <w:r w:rsidRPr="001B7E04">
        <w:rPr>
          <w:sz w:val="24"/>
        </w:rPr>
        <w:t>Phase 1</w:t>
      </w:r>
      <w:r w:rsidR="00364036" w:rsidRPr="001B7E04">
        <w:rPr>
          <w:sz w:val="24"/>
        </w:rPr>
        <w:t>,</w:t>
      </w:r>
      <w:r w:rsidRPr="001B7E04">
        <w:rPr>
          <w:sz w:val="24"/>
        </w:rPr>
        <w:t xml:space="preserve"> 2004-2010: Bioinformatics Activity and Biomarker Discovery</w:t>
      </w:r>
    </w:p>
    <w:p w:rsidR="004036DC" w:rsidRPr="001B7E04" w:rsidRDefault="004036DC" w:rsidP="001B7E04">
      <w:pPr>
        <w:spacing w:after="0" w:line="276" w:lineRule="auto"/>
        <w:rPr>
          <w:sz w:val="24"/>
          <w:szCs w:val="24"/>
        </w:rPr>
      </w:pPr>
      <w:r w:rsidRPr="001B7E04">
        <w:rPr>
          <w:sz w:val="24"/>
          <w:szCs w:val="24"/>
        </w:rPr>
        <w:t xml:space="preserve">The first phase of this work utilised a large gene expression dataset of colon tissue </w:t>
      </w:r>
      <w:r w:rsidRPr="001B7E04">
        <w:rPr>
          <w:rFonts w:eastAsia="Droid Sans Fallback" w:cs="Calibri"/>
          <w:color w:val="00000A"/>
          <w:sz w:val="24"/>
          <w:szCs w:val="24"/>
          <w:lang w:eastAsia="en-US"/>
        </w:rPr>
        <w:t xml:space="preserve">on Affymetrix arrays. </w:t>
      </w:r>
      <w:r w:rsidRPr="001B7E04">
        <w:rPr>
          <w:sz w:val="24"/>
          <w:szCs w:val="24"/>
        </w:rPr>
        <w:t xml:space="preserve">From 2004, the group performed a collaborative bioinformatics activity to find a core list of CRC biomarkers. An extensive gene expression dataset of 460 CRC cases, pre-cancerous adenomas, other colon diseases (e.g. ulcerative colitis), and control tissues were analysed to identify RNA biomarkers. A custom designed microarray targeted to leading candidate genes was used for analysis and validation of RNA markers in second case/control clinical samples. </w:t>
      </w:r>
      <w:r w:rsidRPr="001B7E04">
        <w:rPr>
          <w:rFonts w:eastAsia="Droid Sans Fallback" w:cs="Calibri"/>
          <w:color w:val="00000A"/>
          <w:sz w:val="24"/>
          <w:szCs w:val="24"/>
          <w:lang w:eastAsia="en-US"/>
        </w:rPr>
        <w:t>The arrays were used to</w:t>
      </w:r>
      <w:r w:rsidRPr="001B7E04">
        <w:rPr>
          <w:sz w:val="24"/>
          <w:szCs w:val="24"/>
        </w:rPr>
        <w:t xml:space="preserve"> identify genes that were up- and downregulated in CRC, and which might become targets for detection of protein or RNA in blood. From this lead list of candidate biomarker genes both upregulated and downregulated were validated (and patents filed). </w:t>
      </w:r>
    </w:p>
    <w:p w:rsidR="00267E5C" w:rsidRPr="001B7E04" w:rsidRDefault="00267E5C" w:rsidP="001B7E04">
      <w:pPr>
        <w:spacing w:after="0" w:line="276" w:lineRule="auto"/>
        <w:rPr>
          <w:sz w:val="24"/>
        </w:rPr>
      </w:pPr>
    </w:p>
    <w:p w:rsidR="004036DC" w:rsidRPr="001B7E04" w:rsidRDefault="004036DC" w:rsidP="001B7E04">
      <w:pPr>
        <w:pStyle w:val="ListDash"/>
        <w:spacing w:before="0" w:after="0" w:line="276" w:lineRule="auto"/>
        <w:ind w:left="0" w:firstLine="0"/>
        <w:rPr>
          <w:sz w:val="28"/>
          <w:szCs w:val="24"/>
        </w:rPr>
      </w:pPr>
      <w:r w:rsidRPr="001B7E04">
        <w:rPr>
          <w:sz w:val="24"/>
          <w:szCs w:val="24"/>
        </w:rPr>
        <w:t>Research in this phase paid most attention to upregulated genes in CRC as potential targets for detection of elevated levels of either protein or RNA in blood. Maintaining focus on upregulated genes for test development required obtaining good quality antibodies and an ability to detect elevated levels of secreted proteins in the blood of cancer patients. This proved resource intensive with limited results. A by-product of this phase was the identification of a novel non-coding RNA gene (CRNDE) that is highly upregulated in CRC</w:t>
      </w:r>
      <w:r w:rsidR="00364036" w:rsidRPr="001B7E04">
        <w:rPr>
          <w:sz w:val="24"/>
          <w:szCs w:val="24"/>
        </w:rPr>
        <w:t>, making it</w:t>
      </w:r>
      <w:r w:rsidRPr="001B7E04">
        <w:rPr>
          <w:sz w:val="24"/>
          <w:szCs w:val="24"/>
        </w:rPr>
        <w:t xml:space="preserve"> a potential blood biomarker. CRNDE was </w:t>
      </w:r>
      <w:r w:rsidRPr="001B7E04">
        <w:rPr>
          <w:sz w:val="24"/>
          <w:szCs w:val="24"/>
        </w:rPr>
        <w:lastRenderedPageBreak/>
        <w:t>subsequently proven as an important oncogene</w:t>
      </w:r>
      <w:r w:rsidRPr="001B7E04">
        <w:rPr>
          <w:rStyle w:val="FootnoteReference"/>
          <w:sz w:val="24"/>
          <w:szCs w:val="24"/>
        </w:rPr>
        <w:footnoteReference w:id="7"/>
      </w:r>
      <w:r w:rsidRPr="001B7E04">
        <w:rPr>
          <w:sz w:val="24"/>
          <w:szCs w:val="24"/>
        </w:rPr>
        <w:t xml:space="preserve"> regulating growth in a number of other cancers as well as CRC. </w:t>
      </w:r>
    </w:p>
    <w:p w:rsidR="007D35EF" w:rsidRPr="001B7E04" w:rsidRDefault="007D35EF" w:rsidP="001B7E04">
      <w:pPr>
        <w:pStyle w:val="ListDash"/>
        <w:spacing w:before="0" w:line="276" w:lineRule="auto"/>
        <w:ind w:left="0" w:firstLine="0"/>
        <w:rPr>
          <w:sz w:val="24"/>
          <w:szCs w:val="24"/>
        </w:rPr>
      </w:pPr>
    </w:p>
    <w:p w:rsidR="004036DC" w:rsidRPr="001B7E04" w:rsidRDefault="004036DC" w:rsidP="001B7E04">
      <w:pPr>
        <w:pStyle w:val="Heading3"/>
        <w:spacing w:before="40" w:after="0" w:line="360" w:lineRule="auto"/>
        <w:rPr>
          <w:iCs/>
          <w:sz w:val="28"/>
        </w:rPr>
      </w:pPr>
      <w:r w:rsidRPr="001B7E04">
        <w:rPr>
          <w:sz w:val="24"/>
        </w:rPr>
        <w:t>Phase 2</w:t>
      </w:r>
      <w:r w:rsidR="00364036" w:rsidRPr="001B7E04">
        <w:rPr>
          <w:sz w:val="24"/>
        </w:rPr>
        <w:t>,</w:t>
      </w:r>
      <w:r w:rsidRPr="001B7E04">
        <w:rPr>
          <w:sz w:val="24"/>
        </w:rPr>
        <w:t xml:space="preserve"> 2009-2011: Epigenetics activity and Methylated Biomarker Discovery</w:t>
      </w:r>
    </w:p>
    <w:p w:rsidR="004036DC" w:rsidRPr="001B7E04" w:rsidRDefault="004036DC" w:rsidP="001B7E04">
      <w:pPr>
        <w:spacing w:after="0" w:line="276" w:lineRule="auto"/>
        <w:rPr>
          <w:rFonts w:asciiTheme="minorHAnsi" w:hAnsiTheme="minorHAnsi" w:cs="Arial"/>
          <w:sz w:val="24"/>
        </w:rPr>
      </w:pPr>
      <w:r w:rsidRPr="001B7E04">
        <w:rPr>
          <w:rFonts w:asciiTheme="minorHAnsi" w:hAnsiTheme="minorHAnsi"/>
          <w:sz w:val="24"/>
        </w:rPr>
        <w:t xml:space="preserve">CSIRO’s history and expertise with identifying regions of the genome that were downregulated as a result of methylation in cancer cells (including development of a prostate cancer DNA methylation biomarker) guided a shift in focus of the project to genes downregulated by DNA methylation. Importantly, a proof of concept using detection of aberrantly methylated DNA in the blood of CRC patients was demonstrated at that time. </w:t>
      </w:r>
      <w:r w:rsidRPr="001B7E04">
        <w:rPr>
          <w:rFonts w:asciiTheme="minorHAnsi" w:hAnsiTheme="minorHAnsi" w:cs="Arial"/>
          <w:sz w:val="24"/>
        </w:rPr>
        <w:t>Collaborative research began to apply CSIRO’s DNA Methylation Detection Technology to identify biomarkers for colorectal disease for the purpose of developing a diagnostic assay or test.</w:t>
      </w:r>
    </w:p>
    <w:p w:rsidR="00C83459" w:rsidRPr="001B7E04" w:rsidRDefault="00C83459" w:rsidP="001B7E04">
      <w:pPr>
        <w:spacing w:after="0" w:line="276" w:lineRule="auto"/>
        <w:rPr>
          <w:rFonts w:asciiTheme="minorHAnsi" w:hAnsiTheme="minorHAnsi"/>
          <w:sz w:val="24"/>
        </w:rPr>
      </w:pPr>
    </w:p>
    <w:p w:rsidR="004036DC" w:rsidRPr="001B7E04" w:rsidRDefault="004036DC" w:rsidP="001B7E04">
      <w:pPr>
        <w:spacing w:after="0" w:line="276" w:lineRule="auto"/>
        <w:rPr>
          <w:rFonts w:asciiTheme="minorHAnsi" w:hAnsiTheme="minorHAnsi"/>
          <w:sz w:val="24"/>
        </w:rPr>
      </w:pPr>
      <w:r w:rsidRPr="001B7E04">
        <w:rPr>
          <w:rFonts w:asciiTheme="minorHAnsi" w:hAnsiTheme="minorHAnsi"/>
          <w:sz w:val="24"/>
        </w:rPr>
        <w:t xml:space="preserve">The research group worked through a number of approaches to develop a candidate panel of 66 DNA methylation markers in 2010. This research involved systematic analysis of DNA methylation in regulatory regions of a patented panel of ‘downregulated’ genes on a small set of clinical samples and colorectal cancer cell lines, and activation of expression of genes after treatment of CRC cell lines, with a DNA de-methylating agent. The two in-house technologies available from CSIRO – SuBLiME </w:t>
      </w:r>
      <w:hyperlink w:anchor="_Ross_J,_Shaw" w:history="1">
        <w:r w:rsidRPr="001B7E04">
          <w:rPr>
            <w:rStyle w:val="Hyperlink"/>
            <w:rFonts w:asciiTheme="minorHAnsi" w:hAnsiTheme="minorHAnsi"/>
            <w:color w:val="auto"/>
            <w:sz w:val="24"/>
          </w:rPr>
          <w:t>(publication 4)</w:t>
        </w:r>
      </w:hyperlink>
      <w:r w:rsidRPr="001B7E04">
        <w:rPr>
          <w:rFonts w:asciiTheme="minorHAnsi" w:hAnsiTheme="minorHAnsi"/>
          <w:sz w:val="24"/>
        </w:rPr>
        <w:t xml:space="preserve"> and Bisulphite-tag – allowed genome-wide screening for differences in DNA methylation. These methods were used to identify and subsequently prioritise DNA regions that became methylated with high frequency in CRC. The methods covered different genomic regions than those being used by other researchers; and, consequently, many of the markers identified were novel. Sequencing at individual nucleotide level of the methylation profiles across lead candidate genes uncovered optimised sites for assay development. </w:t>
      </w:r>
    </w:p>
    <w:p w:rsidR="00C83459" w:rsidRPr="001B7E04" w:rsidRDefault="00C83459" w:rsidP="001B7E04">
      <w:pPr>
        <w:spacing w:after="0" w:line="276" w:lineRule="auto"/>
        <w:rPr>
          <w:rFonts w:asciiTheme="minorHAnsi" w:hAnsiTheme="minorHAnsi"/>
          <w:sz w:val="24"/>
        </w:rPr>
      </w:pPr>
    </w:p>
    <w:p w:rsidR="004036DC" w:rsidRPr="001B7E04" w:rsidRDefault="004036DC" w:rsidP="001B7E04">
      <w:pPr>
        <w:spacing w:after="0" w:line="276" w:lineRule="auto"/>
        <w:rPr>
          <w:rFonts w:asciiTheme="minorHAnsi" w:hAnsiTheme="minorHAnsi"/>
          <w:sz w:val="24"/>
        </w:rPr>
      </w:pPr>
      <w:r w:rsidRPr="001B7E04">
        <w:rPr>
          <w:rFonts w:asciiTheme="minorHAnsi" w:hAnsiTheme="minorHAnsi"/>
          <w:sz w:val="24"/>
        </w:rPr>
        <w:t xml:space="preserve">In 2011, a combined analysis identified 42 candidate genes for evaluation as DNA methylation markers. Differential methylation in CRC tissue was confirmed for 23 of these genes, identifying them as a panel for potential clinical application </w:t>
      </w:r>
      <w:r w:rsidRPr="001B7E04">
        <w:rPr>
          <w:rFonts w:asciiTheme="minorHAnsi" w:hAnsiTheme="minorHAnsi"/>
          <w:color w:val="auto"/>
          <w:sz w:val="24"/>
        </w:rPr>
        <w:t>(</w:t>
      </w:r>
      <w:r w:rsidR="00C83459" w:rsidRPr="001B7E04">
        <w:rPr>
          <w:rFonts w:asciiTheme="minorHAnsi" w:hAnsiTheme="minorHAnsi"/>
          <w:color w:val="auto"/>
          <w:sz w:val="24"/>
        </w:rPr>
        <w:t xml:space="preserve">see </w:t>
      </w:r>
      <w:hyperlink w:anchor="_Mitchell_SM_et" w:history="1">
        <w:r w:rsidRPr="001B7E04">
          <w:rPr>
            <w:rStyle w:val="Hyperlink"/>
            <w:rFonts w:asciiTheme="minorHAnsi" w:hAnsiTheme="minorHAnsi"/>
            <w:color w:val="auto"/>
            <w:sz w:val="24"/>
          </w:rPr>
          <w:t>publication 5</w:t>
        </w:r>
      </w:hyperlink>
      <w:r w:rsidRPr="001B7E04">
        <w:rPr>
          <w:rFonts w:asciiTheme="minorHAnsi" w:hAnsiTheme="minorHAnsi"/>
          <w:color w:val="auto"/>
          <w:sz w:val="24"/>
        </w:rPr>
        <w:t xml:space="preserve">). </w:t>
      </w:r>
      <w:r w:rsidRPr="001B7E04">
        <w:rPr>
          <w:rFonts w:asciiTheme="minorHAnsi" w:hAnsiTheme="minorHAnsi"/>
          <w:sz w:val="24"/>
        </w:rPr>
        <w:t>The validity and potential of these markers was re-</w:t>
      </w:r>
      <w:r w:rsidR="003C4146" w:rsidRPr="001B7E04">
        <w:rPr>
          <w:rFonts w:asciiTheme="minorHAnsi" w:hAnsiTheme="minorHAnsi"/>
          <w:sz w:val="24"/>
        </w:rPr>
        <w:t>i</w:t>
      </w:r>
      <w:r w:rsidRPr="001B7E04">
        <w:rPr>
          <w:rFonts w:asciiTheme="minorHAnsi" w:hAnsiTheme="minorHAnsi"/>
          <w:sz w:val="24"/>
        </w:rPr>
        <w:t>nforced through a large DNA methylation dataset that had become publically available from the international Cancer Genome Atlas project. Genes showing low levels of detectable methylation in white blood cell DNA were prioritised for further evaluation as blood-based diagnostic markers. This identified the suitability of 11 genes for blood-based diagnostic markers; six were designated as more appropriate biomarkers for stool-based assays.</w:t>
      </w:r>
    </w:p>
    <w:p w:rsidR="007D35EF" w:rsidRPr="001B7E04" w:rsidRDefault="007D35EF" w:rsidP="001B7E04">
      <w:pPr>
        <w:spacing w:after="0" w:line="276" w:lineRule="auto"/>
        <w:rPr>
          <w:rFonts w:asciiTheme="minorHAnsi" w:hAnsiTheme="minorHAnsi"/>
          <w:sz w:val="24"/>
        </w:rPr>
      </w:pPr>
    </w:p>
    <w:p w:rsidR="004036DC" w:rsidRPr="001B7E04" w:rsidRDefault="004036DC" w:rsidP="001B7E04">
      <w:pPr>
        <w:pStyle w:val="Heading3"/>
        <w:spacing w:before="40" w:after="0" w:line="360" w:lineRule="auto"/>
        <w:rPr>
          <w:sz w:val="24"/>
        </w:rPr>
      </w:pPr>
      <w:r w:rsidRPr="001B7E04">
        <w:rPr>
          <w:sz w:val="24"/>
        </w:rPr>
        <w:t>Phase 3</w:t>
      </w:r>
      <w:r w:rsidR="000F06DC" w:rsidRPr="001B7E04">
        <w:rPr>
          <w:sz w:val="24"/>
        </w:rPr>
        <w:t>,</w:t>
      </w:r>
      <w:r w:rsidRPr="001B7E04">
        <w:rPr>
          <w:sz w:val="24"/>
        </w:rPr>
        <w:t xml:space="preserve"> 2010-2014: Shortlisting markers and clinical validation </w:t>
      </w:r>
    </w:p>
    <w:p w:rsidR="004036DC" w:rsidRPr="001B7E04" w:rsidRDefault="004036DC" w:rsidP="001B7E04">
      <w:pPr>
        <w:pStyle w:val="ListDash"/>
        <w:spacing w:before="0" w:after="0" w:line="276" w:lineRule="auto"/>
        <w:ind w:left="0" w:firstLine="0"/>
        <w:rPr>
          <w:sz w:val="24"/>
        </w:rPr>
      </w:pPr>
      <w:r w:rsidRPr="001B7E04">
        <w:rPr>
          <w:sz w:val="24"/>
        </w:rPr>
        <w:t>Collaborative research worked on filtering biomarkers and testing in an initial set of plasma samples for CRC patients and controls. By 2012, a subset of five gene targets (</w:t>
      </w:r>
      <w:hyperlink w:anchor="_Mitchell_SM_et" w:history="1">
        <w:r w:rsidRPr="001B7E04">
          <w:rPr>
            <w:rStyle w:val="Hyperlink"/>
            <w:color w:val="auto"/>
            <w:sz w:val="24"/>
          </w:rPr>
          <w:t>BCAT1, IKZF1, GRASP, IRF4</w:t>
        </w:r>
      </w:hyperlink>
      <w:r w:rsidRPr="001B7E04">
        <w:rPr>
          <w:sz w:val="24"/>
        </w:rPr>
        <w:t xml:space="preserve"> and </w:t>
      </w:r>
      <w:hyperlink w:anchor="_Pederson_S_et" w:history="1">
        <w:r w:rsidRPr="001B7E04">
          <w:rPr>
            <w:rStyle w:val="Hyperlink"/>
            <w:color w:val="auto"/>
            <w:sz w:val="24"/>
          </w:rPr>
          <w:t>CAHM</w:t>
        </w:r>
      </w:hyperlink>
      <w:r w:rsidRPr="001B7E04">
        <w:rPr>
          <w:sz w:val="24"/>
        </w:rPr>
        <w:t xml:space="preserve">) for CRC were selected. </w:t>
      </w:r>
      <w:r w:rsidRPr="001B7E04">
        <w:rPr>
          <w:bCs/>
          <w:sz w:val="24"/>
        </w:rPr>
        <w:t xml:space="preserve">Further testing of a gene two-marker combination, BCAT1 and IKZF1, in plasma obtained from a colonoscopy demonstrated the efficacy of a two-gene classifier model (“either or” rule) for improving segregation of CRC from controls, with 57 of 74 </w:t>
      </w:r>
      <w:r w:rsidRPr="001B7E04">
        <w:rPr>
          <w:bCs/>
          <w:sz w:val="24"/>
        </w:rPr>
        <w:lastRenderedPageBreak/>
        <w:t>cancers (77%) compared to only 11 of 144 (7.6%) controls being positive for BCAT1 and/or IKZF1 DNA methylation (</w:t>
      </w:r>
      <w:r w:rsidR="00C83459" w:rsidRPr="001B7E04">
        <w:rPr>
          <w:bCs/>
          <w:sz w:val="24"/>
        </w:rPr>
        <w:t xml:space="preserve">see </w:t>
      </w:r>
      <w:r w:rsidRPr="001B7E04">
        <w:rPr>
          <w:sz w:val="24"/>
        </w:rPr>
        <w:t xml:space="preserve">publication </w:t>
      </w:r>
      <w:r w:rsidRPr="001B7E04">
        <w:rPr>
          <w:bCs/>
          <w:sz w:val="24"/>
        </w:rPr>
        <w:t xml:space="preserve">7). </w:t>
      </w:r>
      <w:r w:rsidRPr="001B7E04">
        <w:rPr>
          <w:sz w:val="24"/>
        </w:rPr>
        <w:t xml:space="preserve">The resulting blood test would use this two-gene classifier model to detect cancer-specific methylated DNA in fragments of BCAT1 and IKZF1 found circulating in the blood. In 2014, CG and CSIRO signed an exclusive license agreement based on their jointly discovered and patented biomarkers for colorectal cancer. The agreement allowed CG to develop, deliver, and promote a blood test for bowel cancer as an international innovation. </w:t>
      </w:r>
    </w:p>
    <w:p w:rsidR="00112414" w:rsidRDefault="00D01C90" w:rsidP="002540C7">
      <w:pPr>
        <w:pStyle w:val="Heading2"/>
      </w:pPr>
      <w:bookmarkStart w:id="12" w:name="_Toc494707089"/>
      <w:r w:rsidRPr="004A6CF2">
        <w:t>O</w:t>
      </w:r>
      <w:r w:rsidR="001C5D2F" w:rsidRPr="004A6CF2">
        <w:t>utputs</w:t>
      </w:r>
      <w:bookmarkEnd w:id="12"/>
    </w:p>
    <w:p w:rsidR="004036DC" w:rsidRPr="00161341" w:rsidRDefault="004036DC" w:rsidP="00161341">
      <w:pPr>
        <w:pStyle w:val="Heading3"/>
        <w:spacing w:before="40" w:after="0" w:line="360" w:lineRule="auto"/>
        <w:rPr>
          <w:sz w:val="24"/>
          <w:szCs w:val="24"/>
        </w:rPr>
      </w:pPr>
      <w:r w:rsidRPr="00161341">
        <w:rPr>
          <w:sz w:val="24"/>
          <w:szCs w:val="24"/>
        </w:rPr>
        <w:t xml:space="preserve">R&amp;D Discovery and Validation deliverables </w:t>
      </w:r>
    </w:p>
    <w:p w:rsidR="004036DC" w:rsidRPr="00161341" w:rsidRDefault="004036DC" w:rsidP="00161341">
      <w:pPr>
        <w:pStyle w:val="CommentText"/>
        <w:spacing w:after="0" w:line="276" w:lineRule="auto"/>
        <w:rPr>
          <w:rFonts w:asciiTheme="minorHAnsi" w:hAnsiTheme="minorHAnsi"/>
          <w:sz w:val="24"/>
          <w:szCs w:val="24"/>
        </w:rPr>
      </w:pPr>
      <w:r w:rsidRPr="00161341">
        <w:rPr>
          <w:rFonts w:asciiTheme="minorHAnsi" w:hAnsiTheme="minorHAnsi"/>
          <w:bCs/>
          <w:sz w:val="24"/>
          <w:szCs w:val="24"/>
        </w:rPr>
        <w:t xml:space="preserve">CSIRO and Enterix/CG have collaborated since 2004 under specific terms. A CRADA was signed in 2007, and a further CRADA in 2009, to conduct collaborative research together. As part of the collaboration, the parties jointly own certain biomarkers for colorectal disease. </w:t>
      </w:r>
      <w:r w:rsidRPr="00161341">
        <w:rPr>
          <w:rFonts w:asciiTheme="minorHAnsi" w:hAnsiTheme="minorHAnsi"/>
          <w:sz w:val="24"/>
          <w:szCs w:val="24"/>
        </w:rPr>
        <w:t xml:space="preserve">From 2014, Flinders, CSIRO, and CG delivered a set of </w:t>
      </w:r>
      <w:r w:rsidR="00C83459" w:rsidRPr="00161341">
        <w:rPr>
          <w:rFonts w:asciiTheme="minorHAnsi" w:hAnsiTheme="minorHAnsi"/>
          <w:sz w:val="24"/>
          <w:szCs w:val="24"/>
        </w:rPr>
        <w:t>seven</w:t>
      </w:r>
      <w:r w:rsidRPr="00161341">
        <w:rPr>
          <w:rFonts w:asciiTheme="minorHAnsi" w:hAnsiTheme="minorHAnsi"/>
          <w:sz w:val="24"/>
          <w:szCs w:val="24"/>
        </w:rPr>
        <w:t xml:space="preserve"> co-authored peer-reviewed publications in international journals leading to the current assay</w:t>
      </w:r>
      <w:r w:rsidR="00C83459" w:rsidRPr="00161341">
        <w:rPr>
          <w:rFonts w:asciiTheme="minorHAnsi" w:hAnsiTheme="minorHAnsi"/>
          <w:sz w:val="24"/>
          <w:szCs w:val="24"/>
        </w:rPr>
        <w:t>,</w:t>
      </w:r>
      <w:r w:rsidRPr="00161341">
        <w:rPr>
          <w:rFonts w:asciiTheme="minorHAnsi" w:hAnsiTheme="minorHAnsi"/>
          <w:sz w:val="24"/>
          <w:szCs w:val="24"/>
        </w:rPr>
        <w:t xml:space="preserve"> and six related international patent applications (see below). </w:t>
      </w:r>
    </w:p>
    <w:p w:rsidR="00C83459" w:rsidRPr="00161341" w:rsidRDefault="00C83459" w:rsidP="00161341">
      <w:pPr>
        <w:pStyle w:val="CommentText"/>
        <w:spacing w:after="0" w:line="276" w:lineRule="auto"/>
        <w:rPr>
          <w:rFonts w:asciiTheme="minorHAnsi" w:hAnsiTheme="minorHAnsi"/>
          <w:sz w:val="24"/>
          <w:szCs w:val="24"/>
        </w:rPr>
      </w:pPr>
    </w:p>
    <w:p w:rsidR="004036DC" w:rsidRPr="00161341" w:rsidRDefault="004036DC" w:rsidP="00161341">
      <w:pPr>
        <w:pStyle w:val="CommentText"/>
        <w:spacing w:after="0" w:line="276" w:lineRule="auto"/>
        <w:rPr>
          <w:rFonts w:asciiTheme="minorHAnsi" w:hAnsiTheme="minorHAnsi"/>
          <w:bCs/>
          <w:sz w:val="24"/>
          <w:szCs w:val="24"/>
        </w:rPr>
      </w:pPr>
      <w:r w:rsidRPr="00161341">
        <w:rPr>
          <w:rFonts w:asciiTheme="minorHAnsi" w:hAnsiTheme="minorHAnsi"/>
          <w:sz w:val="24"/>
          <w:szCs w:val="24"/>
        </w:rPr>
        <w:t>These publications and patents cover the discovery</w:t>
      </w:r>
      <w:r w:rsidRPr="00161341">
        <w:rPr>
          <w:rStyle w:val="FootnoteReference"/>
          <w:rFonts w:asciiTheme="minorHAnsi" w:hAnsiTheme="minorHAnsi"/>
          <w:sz w:val="24"/>
          <w:szCs w:val="24"/>
        </w:rPr>
        <w:footnoteReference w:id="8"/>
      </w:r>
      <w:r w:rsidRPr="00161341">
        <w:rPr>
          <w:rFonts w:asciiTheme="minorHAnsi" w:hAnsiTheme="minorHAnsi"/>
          <w:sz w:val="24"/>
          <w:szCs w:val="24"/>
        </w:rPr>
        <w:t xml:space="preserve">  and validation of genes that are upregulated in CRC (</w:t>
      </w:r>
      <w:hyperlink w:anchor="_Mitchell_SM_et" w:history="1">
        <w:r w:rsidRPr="00161341">
          <w:rPr>
            <w:rStyle w:val="Hyperlink"/>
            <w:rFonts w:asciiTheme="minorHAnsi" w:hAnsiTheme="minorHAnsi"/>
            <w:color w:val="auto"/>
            <w:sz w:val="24"/>
            <w:szCs w:val="24"/>
          </w:rPr>
          <w:t>publications 2</w:t>
        </w:r>
      </w:hyperlink>
      <w:r w:rsidRPr="00161341">
        <w:rPr>
          <w:rFonts w:asciiTheme="minorHAnsi" w:hAnsiTheme="minorHAnsi"/>
          <w:color w:val="auto"/>
          <w:sz w:val="24"/>
          <w:szCs w:val="24"/>
        </w:rPr>
        <w:t xml:space="preserve"> </w:t>
      </w:r>
      <w:hyperlink w:anchor="_LaPointe_LC,_Pederson" w:history="1">
        <w:r w:rsidRPr="00161341">
          <w:rPr>
            <w:rStyle w:val="Hyperlink"/>
            <w:rFonts w:asciiTheme="minorHAnsi" w:hAnsiTheme="minorHAnsi"/>
            <w:color w:val="auto"/>
            <w:sz w:val="24"/>
            <w:szCs w:val="24"/>
          </w:rPr>
          <w:t>&amp; 3</w:t>
        </w:r>
      </w:hyperlink>
      <w:r w:rsidRPr="00161341">
        <w:rPr>
          <w:rFonts w:asciiTheme="minorHAnsi" w:hAnsiTheme="minorHAnsi"/>
          <w:sz w:val="24"/>
          <w:szCs w:val="24"/>
        </w:rPr>
        <w:t>; patents 1</w:t>
      </w:r>
      <w:r w:rsidR="00C83459" w:rsidRPr="00161341">
        <w:rPr>
          <w:rFonts w:asciiTheme="minorHAnsi" w:hAnsiTheme="minorHAnsi"/>
          <w:sz w:val="24"/>
          <w:szCs w:val="24"/>
        </w:rPr>
        <w:t xml:space="preserve"> </w:t>
      </w:r>
      <w:r w:rsidRPr="00161341">
        <w:rPr>
          <w:rFonts w:asciiTheme="minorHAnsi" w:hAnsiTheme="minorHAnsi"/>
          <w:sz w:val="24"/>
          <w:szCs w:val="24"/>
        </w:rPr>
        <w:t>&amp;</w:t>
      </w:r>
      <w:r w:rsidR="00C83459" w:rsidRPr="00161341">
        <w:rPr>
          <w:rFonts w:asciiTheme="minorHAnsi" w:hAnsiTheme="minorHAnsi"/>
          <w:sz w:val="24"/>
          <w:szCs w:val="24"/>
        </w:rPr>
        <w:t xml:space="preserve"> </w:t>
      </w:r>
      <w:r w:rsidRPr="00161341">
        <w:rPr>
          <w:rFonts w:asciiTheme="minorHAnsi" w:hAnsiTheme="minorHAnsi"/>
          <w:sz w:val="24"/>
          <w:szCs w:val="24"/>
        </w:rPr>
        <w:t>3)</w:t>
      </w:r>
      <w:r w:rsidR="00C83459" w:rsidRPr="00161341">
        <w:rPr>
          <w:rFonts w:asciiTheme="minorHAnsi" w:hAnsiTheme="minorHAnsi"/>
          <w:sz w:val="24"/>
          <w:szCs w:val="24"/>
        </w:rPr>
        <w:t>,</w:t>
      </w:r>
      <w:r w:rsidRPr="00161341">
        <w:rPr>
          <w:rFonts w:asciiTheme="minorHAnsi" w:hAnsiTheme="minorHAnsi"/>
          <w:sz w:val="24"/>
          <w:szCs w:val="24"/>
        </w:rPr>
        <w:t xml:space="preserve"> as well as genes downregulated and/or methylated in CRC (</w:t>
      </w:r>
      <w:hyperlink w:anchor="_LaPointe_LC,_Pederson" w:history="1">
        <w:r w:rsidRPr="00161341">
          <w:rPr>
            <w:rStyle w:val="Hyperlink"/>
            <w:rFonts w:asciiTheme="minorHAnsi" w:hAnsiTheme="minorHAnsi"/>
            <w:color w:val="auto"/>
            <w:sz w:val="24"/>
            <w:szCs w:val="24"/>
          </w:rPr>
          <w:t>publications 3</w:t>
        </w:r>
      </w:hyperlink>
      <w:r w:rsidRPr="00161341">
        <w:rPr>
          <w:rFonts w:asciiTheme="minorHAnsi" w:hAnsiTheme="minorHAnsi"/>
          <w:color w:val="auto"/>
          <w:sz w:val="24"/>
          <w:szCs w:val="24"/>
        </w:rPr>
        <w:t xml:space="preserve">, </w:t>
      </w:r>
      <w:hyperlink w:anchor="_Ross_J,_Shaw" w:history="1">
        <w:r w:rsidRPr="00161341">
          <w:rPr>
            <w:rStyle w:val="Hyperlink"/>
            <w:rFonts w:asciiTheme="minorHAnsi" w:hAnsiTheme="minorHAnsi"/>
            <w:color w:val="auto"/>
            <w:sz w:val="24"/>
            <w:szCs w:val="24"/>
          </w:rPr>
          <w:t>5</w:t>
        </w:r>
      </w:hyperlink>
      <w:r w:rsidRPr="00161341">
        <w:rPr>
          <w:rFonts w:asciiTheme="minorHAnsi" w:hAnsiTheme="minorHAnsi"/>
          <w:color w:val="auto"/>
          <w:sz w:val="24"/>
          <w:szCs w:val="24"/>
        </w:rPr>
        <w:t xml:space="preserve">, </w:t>
      </w:r>
      <w:hyperlink w:anchor="_Pederson_SK,_Mitchell" w:history="1">
        <w:r w:rsidRPr="00161341">
          <w:rPr>
            <w:rStyle w:val="Hyperlink"/>
            <w:rFonts w:asciiTheme="minorHAnsi" w:hAnsiTheme="minorHAnsi"/>
            <w:color w:val="auto"/>
            <w:sz w:val="24"/>
            <w:szCs w:val="24"/>
          </w:rPr>
          <w:t>6</w:t>
        </w:r>
      </w:hyperlink>
      <w:r w:rsidRPr="00161341">
        <w:rPr>
          <w:rFonts w:asciiTheme="minorHAnsi" w:hAnsiTheme="minorHAnsi"/>
          <w:color w:val="auto"/>
          <w:sz w:val="24"/>
          <w:szCs w:val="24"/>
        </w:rPr>
        <w:t xml:space="preserve">, </w:t>
      </w:r>
      <w:hyperlink w:anchor="_Pedersen_SK,_Baker" w:history="1">
        <w:r w:rsidRPr="00161341">
          <w:rPr>
            <w:rStyle w:val="Hyperlink"/>
            <w:rFonts w:asciiTheme="minorHAnsi" w:hAnsiTheme="minorHAnsi"/>
            <w:color w:val="auto"/>
            <w:sz w:val="24"/>
            <w:szCs w:val="24"/>
          </w:rPr>
          <w:t>7</w:t>
        </w:r>
      </w:hyperlink>
      <w:r w:rsidRPr="00161341">
        <w:rPr>
          <w:rFonts w:asciiTheme="minorHAnsi" w:hAnsiTheme="minorHAnsi"/>
          <w:color w:val="auto"/>
          <w:sz w:val="24"/>
          <w:szCs w:val="24"/>
        </w:rPr>
        <w:t xml:space="preserve"> &amp;</w:t>
      </w:r>
      <w:hyperlink w:anchor="_Mitchell_SM._Ho" w:history="1">
        <w:r w:rsidRPr="00161341">
          <w:rPr>
            <w:rStyle w:val="Hyperlink"/>
            <w:rFonts w:asciiTheme="minorHAnsi" w:hAnsiTheme="minorHAnsi"/>
            <w:color w:val="auto"/>
            <w:sz w:val="24"/>
            <w:szCs w:val="24"/>
          </w:rPr>
          <w:t xml:space="preserve"> 8</w:t>
        </w:r>
      </w:hyperlink>
      <w:r w:rsidRPr="00161341">
        <w:rPr>
          <w:rStyle w:val="Hyperlink"/>
          <w:rFonts w:asciiTheme="minorHAnsi" w:hAnsiTheme="minorHAnsi"/>
          <w:color w:val="auto"/>
          <w:sz w:val="24"/>
          <w:szCs w:val="24"/>
        </w:rPr>
        <w:t>; patents 2, 4, 5 &amp; 6)</w:t>
      </w:r>
      <w:r w:rsidRPr="00161341">
        <w:rPr>
          <w:rFonts w:asciiTheme="minorHAnsi" w:hAnsiTheme="minorHAnsi"/>
          <w:sz w:val="24"/>
          <w:szCs w:val="24"/>
        </w:rPr>
        <w:t xml:space="preserve">. These latter patents provide the key IP for the Colvera™ product. By the end of the discovery phase, CSIRO had optimised sensitive assays for the detection of methylated DNA sequences of target genes and transferred this technology to CG for further development and optimisation as commercial assays. </w:t>
      </w:r>
      <w:r w:rsidRPr="00161341">
        <w:rPr>
          <w:rFonts w:asciiTheme="minorHAnsi" w:hAnsiTheme="minorHAnsi"/>
          <w:bCs/>
          <w:sz w:val="24"/>
          <w:szCs w:val="24"/>
        </w:rPr>
        <w:t>Through its associated research, CSIRO also delivered new methods to screen for differential DNA methylation (bisulphite-tag, patent 7)</w:t>
      </w:r>
      <w:r w:rsidR="00C83459" w:rsidRPr="00161341">
        <w:rPr>
          <w:rFonts w:asciiTheme="minorHAnsi" w:hAnsiTheme="minorHAnsi"/>
          <w:bCs/>
          <w:sz w:val="24"/>
          <w:szCs w:val="24"/>
        </w:rPr>
        <w:t>,</w:t>
      </w:r>
      <w:r w:rsidRPr="00161341">
        <w:rPr>
          <w:rFonts w:asciiTheme="minorHAnsi" w:hAnsiTheme="minorHAnsi"/>
          <w:bCs/>
          <w:sz w:val="24"/>
          <w:szCs w:val="24"/>
        </w:rPr>
        <w:t xml:space="preserve"> and to enrich for methylated DNA prior to deep bisulphite genomic sequencing, SuBLiME (</w:t>
      </w:r>
      <w:hyperlink w:anchor="_Ross_J,_Shaw" w:history="1">
        <w:r w:rsidRPr="00161341">
          <w:rPr>
            <w:rStyle w:val="Hyperlink"/>
            <w:rFonts w:asciiTheme="minorHAnsi" w:hAnsiTheme="minorHAnsi"/>
            <w:bCs/>
            <w:color w:val="auto"/>
            <w:sz w:val="24"/>
            <w:szCs w:val="24"/>
          </w:rPr>
          <w:t>publication 4</w:t>
        </w:r>
      </w:hyperlink>
      <w:r w:rsidRPr="00161341">
        <w:rPr>
          <w:rStyle w:val="Hyperlink"/>
          <w:rFonts w:asciiTheme="minorHAnsi" w:hAnsiTheme="minorHAnsi"/>
          <w:bCs/>
          <w:color w:val="auto"/>
          <w:sz w:val="24"/>
          <w:szCs w:val="24"/>
        </w:rPr>
        <w:t>; patent 7</w:t>
      </w:r>
      <w:r w:rsidRPr="00161341">
        <w:rPr>
          <w:rFonts w:asciiTheme="minorHAnsi" w:hAnsiTheme="minorHAnsi"/>
          <w:bCs/>
          <w:sz w:val="24"/>
          <w:szCs w:val="24"/>
        </w:rPr>
        <w:t xml:space="preserve">). </w:t>
      </w:r>
    </w:p>
    <w:p w:rsidR="007D35EF" w:rsidRPr="00161341" w:rsidRDefault="007D35EF" w:rsidP="00161341">
      <w:pPr>
        <w:pStyle w:val="CommentText"/>
        <w:spacing w:after="0" w:line="276" w:lineRule="auto"/>
        <w:rPr>
          <w:rFonts w:asciiTheme="minorHAnsi" w:hAnsiTheme="minorHAnsi"/>
          <w:bCs/>
          <w:sz w:val="24"/>
          <w:szCs w:val="24"/>
        </w:rPr>
      </w:pPr>
    </w:p>
    <w:p w:rsidR="004036DC" w:rsidRPr="00161341" w:rsidRDefault="004036DC" w:rsidP="00161341">
      <w:pPr>
        <w:pStyle w:val="Heading3"/>
        <w:spacing w:before="40" w:after="0" w:line="360" w:lineRule="auto"/>
        <w:rPr>
          <w:sz w:val="24"/>
          <w:szCs w:val="24"/>
        </w:rPr>
      </w:pPr>
      <w:r w:rsidRPr="00161341">
        <w:rPr>
          <w:sz w:val="24"/>
          <w:szCs w:val="24"/>
        </w:rPr>
        <w:t>R&amp;D Commercialisation deliverables</w:t>
      </w:r>
    </w:p>
    <w:p w:rsidR="004036DC" w:rsidRPr="00161341" w:rsidRDefault="004036DC" w:rsidP="00161341">
      <w:pPr>
        <w:pStyle w:val="ListDash"/>
        <w:spacing w:before="0" w:after="0" w:line="276" w:lineRule="auto"/>
        <w:ind w:left="0" w:firstLine="0"/>
        <w:rPr>
          <w:sz w:val="24"/>
          <w:szCs w:val="24"/>
        </w:rPr>
      </w:pPr>
      <w:r w:rsidRPr="00161341">
        <w:rPr>
          <w:sz w:val="24"/>
          <w:szCs w:val="24"/>
        </w:rPr>
        <w:t>The range of expertise available in the research collaboration allowed consistent market focus and rapid commercialisation of discoveries. From 2011, preparation for commercialisation commenced with technology transfer to CG. This commercial development included delivery of optimised specimen processing and automated testing to deliver an end product capable of high performance and scalability</w:t>
      </w:r>
      <w:r w:rsidRPr="00161341">
        <w:rPr>
          <w:i/>
          <w:sz w:val="24"/>
          <w:szCs w:val="24"/>
        </w:rPr>
        <w:t xml:space="preserve">. </w:t>
      </w:r>
      <w:r w:rsidRPr="00161341">
        <w:rPr>
          <w:sz w:val="24"/>
          <w:szCs w:val="24"/>
        </w:rPr>
        <w:t xml:space="preserve">CG’s comprehension of commercial requirements and processes for carrying out product development and clinical trials, resulted in the NATA standard North Ryde Laboratories in NSW, Australia and the CLIA registered CG Pathology (CGP) lab in Bridgewater, N.J. CG, in collaboration with multiple partner organisations, </w:t>
      </w:r>
      <w:r w:rsidR="00667441" w:rsidRPr="00161341">
        <w:rPr>
          <w:sz w:val="24"/>
          <w:szCs w:val="24"/>
        </w:rPr>
        <w:t>delivering</w:t>
      </w:r>
      <w:r w:rsidRPr="00161341">
        <w:rPr>
          <w:sz w:val="24"/>
          <w:szCs w:val="24"/>
        </w:rPr>
        <w:t xml:space="preserve"> numerous clinical trials as required by regulatory bodies for US and Australian market entry and prospective diagnostic trials to demonstrate market advantage. </w:t>
      </w:r>
    </w:p>
    <w:p w:rsidR="007D35EF" w:rsidRPr="00161341" w:rsidRDefault="007D35EF" w:rsidP="00161341">
      <w:pPr>
        <w:pStyle w:val="ListDash"/>
        <w:spacing w:before="0" w:after="0" w:line="276" w:lineRule="auto"/>
        <w:ind w:left="0" w:firstLine="0"/>
        <w:rPr>
          <w:sz w:val="24"/>
          <w:szCs w:val="24"/>
        </w:rPr>
      </w:pPr>
    </w:p>
    <w:p w:rsidR="004036DC" w:rsidRPr="00161341" w:rsidRDefault="004036DC" w:rsidP="00161341">
      <w:pPr>
        <w:pStyle w:val="Heading3"/>
        <w:spacing w:before="40" w:after="0" w:line="360" w:lineRule="auto"/>
        <w:rPr>
          <w:sz w:val="24"/>
          <w:szCs w:val="24"/>
        </w:rPr>
      </w:pPr>
      <w:r w:rsidRPr="00161341">
        <w:rPr>
          <w:sz w:val="24"/>
          <w:szCs w:val="24"/>
        </w:rPr>
        <w:t xml:space="preserve">Market Entry decisions </w:t>
      </w:r>
    </w:p>
    <w:p w:rsidR="004036DC" w:rsidRPr="00161341" w:rsidRDefault="004036DC" w:rsidP="00161341">
      <w:pPr>
        <w:pStyle w:val="CommentText"/>
        <w:spacing w:after="0" w:line="276" w:lineRule="auto"/>
        <w:rPr>
          <w:rFonts w:asciiTheme="minorHAnsi" w:hAnsiTheme="minorHAnsi"/>
          <w:sz w:val="24"/>
          <w:szCs w:val="24"/>
        </w:rPr>
      </w:pPr>
      <w:r w:rsidRPr="00161341">
        <w:rPr>
          <w:rFonts w:asciiTheme="minorHAnsi" w:hAnsiTheme="minorHAnsi"/>
          <w:sz w:val="24"/>
          <w:szCs w:val="24"/>
        </w:rPr>
        <w:t>CG is leading clinical trials with partners to gain regulatory and reimbursement approval for the entry into the US and Australian markets of an early detection blood test for primary CRC screening. The aim of screening is to improve chances of detection and diagnosis of primary CRC for curative intent surgery and therapies. The required clinical trials are due for completion by the end of 2019. This requirement was recognised by CG as a delay for market entry. To avoid delay they identified a further need for improved testing for recurrent CRC as an opportunity to save lives. Furthermore, blood testing for monitoring CRC recurrence presents lower commercial and regulatory hurdles than screening for primary CRC. Importantly, the existing test for CRC recurrence monitoring, CEA, is considered to have low sensitivity and specificity, thus presenting a compelling clinical and commercial opportunity. Colvera™ was demonstrated in a clinical trial to have twice the sensitivity of CEA in head-to-head trials (</w:t>
      </w:r>
      <w:hyperlink w:anchor="_Young_GP,_Pederson" w:history="1">
        <w:r w:rsidRPr="00161341">
          <w:rPr>
            <w:rStyle w:val="Hyperlink"/>
            <w:rFonts w:asciiTheme="minorHAnsi" w:hAnsiTheme="minorHAnsi"/>
            <w:color w:val="auto"/>
            <w:sz w:val="24"/>
            <w:szCs w:val="24"/>
          </w:rPr>
          <w:t>publication</w:t>
        </w:r>
      </w:hyperlink>
      <w:r w:rsidRPr="00161341">
        <w:rPr>
          <w:rStyle w:val="Hyperlink"/>
          <w:rFonts w:asciiTheme="minorHAnsi" w:hAnsiTheme="minorHAnsi"/>
          <w:color w:val="auto"/>
          <w:sz w:val="24"/>
          <w:szCs w:val="24"/>
        </w:rPr>
        <w:t xml:space="preserve"> 14</w:t>
      </w:r>
      <w:r w:rsidRPr="00161341">
        <w:rPr>
          <w:rFonts w:asciiTheme="minorHAnsi" w:hAnsiTheme="minorHAnsi"/>
          <w:sz w:val="24"/>
          <w:szCs w:val="24"/>
        </w:rPr>
        <w:t xml:space="preserve">). </w:t>
      </w:r>
    </w:p>
    <w:p w:rsidR="00C83459" w:rsidRPr="00161341" w:rsidRDefault="00C83459" w:rsidP="00161341">
      <w:pPr>
        <w:pStyle w:val="CommentText"/>
        <w:spacing w:after="0" w:line="276" w:lineRule="auto"/>
        <w:rPr>
          <w:rFonts w:asciiTheme="minorHAnsi" w:hAnsiTheme="minorHAnsi"/>
          <w:sz w:val="24"/>
          <w:szCs w:val="24"/>
        </w:rPr>
      </w:pPr>
    </w:p>
    <w:p w:rsidR="004036DC" w:rsidRPr="00161341" w:rsidRDefault="004036DC" w:rsidP="00161341">
      <w:pPr>
        <w:pStyle w:val="CommentText"/>
        <w:spacing w:after="0" w:line="276" w:lineRule="auto"/>
        <w:rPr>
          <w:rFonts w:asciiTheme="minorHAnsi" w:hAnsiTheme="minorHAnsi"/>
          <w:sz w:val="24"/>
          <w:szCs w:val="24"/>
        </w:rPr>
      </w:pPr>
      <w:r w:rsidRPr="00161341">
        <w:rPr>
          <w:rFonts w:asciiTheme="minorHAnsi" w:hAnsiTheme="minorHAnsi"/>
          <w:sz w:val="24"/>
          <w:szCs w:val="24"/>
        </w:rPr>
        <w:t xml:space="preserve">In 2017, CG established a contract with Fortified Provider Network and Multiplan Preferred Provider Organisation (PPO) to offer a discount to private health insurance entities who are members of those PPO networks. This contract is a reasonable first step to reimbursement. CG, through an existing strategic partnership with Quest Diagnostics, arranged facilitated access and distribution of the test to and for the relevant US medical practitioners (i.e., physicians, oncologists or GPs) performing routine surveillance of patients for CRC recurrence. </w:t>
      </w:r>
    </w:p>
    <w:p w:rsidR="004036DC" w:rsidRDefault="004036DC" w:rsidP="004036DC">
      <w:pPr>
        <w:pStyle w:val="CommentText"/>
        <w:spacing w:after="0" w:line="288" w:lineRule="auto"/>
        <w:rPr>
          <w:rFonts w:asciiTheme="minorHAnsi" w:hAnsiTheme="minorHAnsi"/>
          <w:sz w:val="22"/>
          <w:szCs w:val="22"/>
        </w:rPr>
      </w:pPr>
    </w:p>
    <w:p w:rsidR="00267E5C" w:rsidRDefault="00267E5C" w:rsidP="004036DC">
      <w:pPr>
        <w:pStyle w:val="CommentText"/>
        <w:spacing w:after="0" w:line="288" w:lineRule="auto"/>
        <w:rPr>
          <w:rFonts w:asciiTheme="minorHAnsi" w:hAnsiTheme="minorHAnsi"/>
          <w:sz w:val="22"/>
          <w:szCs w:val="22"/>
        </w:rPr>
      </w:pPr>
    </w:p>
    <w:p w:rsidR="004036DC" w:rsidRPr="00161341" w:rsidRDefault="004036DC" w:rsidP="00161341">
      <w:pPr>
        <w:pStyle w:val="Heading3"/>
        <w:spacing w:before="40" w:after="0" w:line="360" w:lineRule="auto"/>
        <w:rPr>
          <w:sz w:val="24"/>
        </w:rPr>
      </w:pPr>
      <w:r w:rsidRPr="00161341">
        <w:rPr>
          <w:sz w:val="24"/>
        </w:rPr>
        <w:t xml:space="preserve">Publications </w:t>
      </w:r>
    </w:p>
    <w:p w:rsidR="004036DC" w:rsidRPr="00CD30DE" w:rsidRDefault="004036DC" w:rsidP="00267E5C">
      <w:pPr>
        <w:pStyle w:val="BodyText"/>
        <w:spacing w:before="0" w:after="0" w:line="288" w:lineRule="auto"/>
        <w:rPr>
          <w:rFonts w:asciiTheme="minorHAnsi" w:hAnsiTheme="minorHAnsi"/>
          <w:sz w:val="22"/>
        </w:rPr>
      </w:pPr>
      <w:r w:rsidRPr="00CD30DE">
        <w:rPr>
          <w:rFonts w:asciiTheme="minorHAnsi" w:hAnsiTheme="minorHAnsi"/>
          <w:sz w:val="22"/>
        </w:rPr>
        <w:t>(Numbers of citations, from ISI and Google Scholar shown in brackets after each publication)</w:t>
      </w:r>
    </w:p>
    <w:p w:rsidR="004036DC" w:rsidRPr="00CD30DE" w:rsidRDefault="004036DC" w:rsidP="0096781E">
      <w:pPr>
        <w:pStyle w:val="ListParagraph"/>
        <w:numPr>
          <w:ilvl w:val="0"/>
          <w:numId w:val="25"/>
        </w:numPr>
        <w:spacing w:before="0" w:after="0" w:line="288" w:lineRule="auto"/>
        <w:ind w:left="0" w:firstLine="0"/>
        <w:rPr>
          <w:rFonts w:asciiTheme="minorHAnsi" w:hAnsiTheme="minorHAnsi"/>
          <w:sz w:val="22"/>
          <w:szCs w:val="22"/>
        </w:rPr>
      </w:pPr>
      <w:r w:rsidRPr="00CD30DE">
        <w:rPr>
          <w:rFonts w:asciiTheme="minorHAnsi" w:hAnsiTheme="minorHAnsi"/>
          <w:color w:val="auto"/>
          <w:sz w:val="22"/>
          <w:szCs w:val="22"/>
        </w:rPr>
        <w:t>LaPointe LC. Dunne R, Brown GS, Worthley DL, Molloy PL, Wattchow D &amp; Young GP</w:t>
      </w:r>
      <w:r w:rsidRPr="00CD30DE">
        <w:rPr>
          <w:rFonts w:asciiTheme="minorHAnsi" w:hAnsiTheme="minorHAnsi"/>
          <w:sz w:val="22"/>
          <w:szCs w:val="22"/>
        </w:rPr>
        <w:t xml:space="preserve">. 2008. Map of Differential Transcript Expression in the Normal Large Intestine. </w:t>
      </w:r>
      <w:r w:rsidRPr="00CD30DE">
        <w:rPr>
          <w:rFonts w:asciiTheme="minorHAnsi" w:hAnsiTheme="minorHAnsi"/>
          <w:i/>
          <w:sz w:val="22"/>
          <w:szCs w:val="22"/>
        </w:rPr>
        <w:t>Physiol Genomics</w:t>
      </w:r>
      <w:r w:rsidRPr="00CD30DE">
        <w:rPr>
          <w:rFonts w:asciiTheme="minorHAnsi" w:hAnsiTheme="minorHAnsi"/>
          <w:sz w:val="22"/>
          <w:szCs w:val="22"/>
        </w:rPr>
        <w:t xml:space="preserve"> 33: 50-64. (29:49).</w:t>
      </w:r>
    </w:p>
    <w:p w:rsidR="004036DC" w:rsidRPr="00CD30DE" w:rsidRDefault="004036DC" w:rsidP="0096781E">
      <w:pPr>
        <w:pStyle w:val="ListParagraph"/>
        <w:numPr>
          <w:ilvl w:val="0"/>
          <w:numId w:val="25"/>
        </w:numPr>
        <w:spacing w:before="0" w:after="0" w:line="288" w:lineRule="auto"/>
        <w:ind w:left="0" w:firstLine="0"/>
        <w:rPr>
          <w:rFonts w:asciiTheme="minorHAnsi" w:hAnsiTheme="minorHAnsi"/>
          <w:sz w:val="22"/>
          <w:szCs w:val="22"/>
        </w:rPr>
      </w:pPr>
      <w:r w:rsidRPr="00CD30DE">
        <w:rPr>
          <w:rFonts w:asciiTheme="minorHAnsi" w:hAnsiTheme="minorHAnsi"/>
          <w:sz w:val="22"/>
          <w:szCs w:val="22"/>
        </w:rPr>
        <w:t xml:space="preserve">Graham LD, Pederson SK, Brown GS, Ho T, Kassir Z, Moynihan AT, Vizgoft EK, Pimlott L, Dunne R, Young GP, LaPointe LC, Molloy PL. 2011. Colorectal Neoplasia Differentially Expressed (CRNDE), a Novel Gene with Elevated Expression in Colorectal Adenomas and Adenocarcinomas. </w:t>
      </w:r>
      <w:r w:rsidRPr="00CD30DE">
        <w:rPr>
          <w:rFonts w:asciiTheme="minorHAnsi" w:hAnsiTheme="minorHAnsi"/>
          <w:i/>
          <w:sz w:val="22"/>
          <w:szCs w:val="22"/>
        </w:rPr>
        <w:t>Genes &amp; Cancer</w:t>
      </w:r>
      <w:r w:rsidRPr="00CD30DE">
        <w:rPr>
          <w:rFonts w:asciiTheme="minorHAnsi" w:hAnsiTheme="minorHAnsi"/>
          <w:sz w:val="22"/>
          <w:szCs w:val="22"/>
        </w:rPr>
        <w:t xml:space="preserve"> 2(8): 829-840. DOI: </w:t>
      </w:r>
      <w:hyperlink r:id="rId13" w:history="1">
        <w:r w:rsidRPr="00CD30DE">
          <w:rPr>
            <w:rStyle w:val="Hyperlink"/>
            <w:rFonts w:asciiTheme="minorHAnsi" w:hAnsiTheme="minorHAnsi"/>
            <w:sz w:val="22"/>
            <w:szCs w:val="22"/>
          </w:rPr>
          <w:t xml:space="preserve">https://doi.org/10.1177/1947601911431081 </w:t>
        </w:r>
        <w:r w:rsidRPr="00CD30DE">
          <w:rPr>
            <w:rStyle w:val="Hyperlink"/>
            <w:rFonts w:asciiTheme="minorHAnsi" w:hAnsiTheme="minorHAnsi"/>
            <w:color w:val="auto"/>
            <w:sz w:val="22"/>
            <w:szCs w:val="22"/>
          </w:rPr>
          <w:t>(69</w:t>
        </w:r>
      </w:hyperlink>
      <w:r w:rsidRPr="00CD30DE">
        <w:rPr>
          <w:rStyle w:val="Hyperlink"/>
          <w:rFonts w:asciiTheme="minorHAnsi" w:hAnsiTheme="minorHAnsi"/>
          <w:color w:val="auto"/>
          <w:sz w:val="22"/>
          <w:szCs w:val="22"/>
        </w:rPr>
        <w:t>; 97)</w:t>
      </w:r>
      <w:r w:rsidRPr="00CD30DE">
        <w:rPr>
          <w:sz w:val="22"/>
          <w:szCs w:val="22"/>
        </w:rPr>
        <w:t>.</w:t>
      </w:r>
    </w:p>
    <w:p w:rsidR="004036DC" w:rsidRPr="00CD30DE" w:rsidRDefault="004036DC" w:rsidP="0096781E">
      <w:pPr>
        <w:pStyle w:val="ListParagraph"/>
        <w:numPr>
          <w:ilvl w:val="0"/>
          <w:numId w:val="25"/>
        </w:numPr>
        <w:spacing w:before="0" w:after="0" w:line="288" w:lineRule="auto"/>
        <w:ind w:left="0" w:firstLine="0"/>
        <w:rPr>
          <w:rFonts w:asciiTheme="minorHAnsi" w:hAnsiTheme="minorHAnsi"/>
          <w:sz w:val="22"/>
          <w:szCs w:val="22"/>
        </w:rPr>
      </w:pPr>
      <w:r w:rsidRPr="00CD30DE">
        <w:rPr>
          <w:rFonts w:asciiTheme="minorHAnsi" w:hAnsiTheme="minorHAnsi"/>
          <w:sz w:val="22"/>
          <w:szCs w:val="22"/>
        </w:rPr>
        <w:t xml:space="preserve">LaPointe LC, Pederson SK, Dunne R, Brown GS, Pimlott L, Gaur S, McEvoy A, Thomas M, Wattchow D, Molloy PL, Young GP. 2012. Discovery and Validation of Molecular Biomarkers for Colorectal Adenomas and Cancer with Application to Blood Testing. </w:t>
      </w:r>
      <w:r w:rsidRPr="00CD30DE">
        <w:rPr>
          <w:rFonts w:asciiTheme="minorHAnsi" w:hAnsiTheme="minorHAnsi"/>
          <w:i/>
          <w:sz w:val="22"/>
          <w:szCs w:val="22"/>
        </w:rPr>
        <w:t>PLoS ONE</w:t>
      </w:r>
      <w:r w:rsidRPr="00CD30DE">
        <w:rPr>
          <w:rFonts w:asciiTheme="minorHAnsi" w:hAnsiTheme="minorHAnsi"/>
          <w:sz w:val="22"/>
          <w:szCs w:val="22"/>
        </w:rPr>
        <w:t xml:space="preserve"> 7(1): e29059. </w:t>
      </w:r>
      <w:hyperlink r:id="rId14" w:history="1">
        <w:r w:rsidRPr="00CD30DE">
          <w:rPr>
            <w:rStyle w:val="Hyperlink"/>
            <w:rFonts w:asciiTheme="minorHAnsi" w:hAnsiTheme="minorHAnsi" w:cstheme="majorBidi"/>
            <w:sz w:val="22"/>
            <w:szCs w:val="22"/>
          </w:rPr>
          <w:t xml:space="preserve">http://doi.org/10.1371/journal.pone.0029059 </w:t>
        </w:r>
        <w:r w:rsidRPr="00CD30DE">
          <w:rPr>
            <w:rStyle w:val="Hyperlink"/>
            <w:rFonts w:asciiTheme="minorHAnsi" w:hAnsiTheme="minorHAnsi" w:cstheme="majorBidi"/>
            <w:color w:val="auto"/>
            <w:sz w:val="22"/>
            <w:szCs w:val="22"/>
          </w:rPr>
          <w:t>(17</w:t>
        </w:r>
      </w:hyperlink>
      <w:r w:rsidRPr="00CD30DE">
        <w:rPr>
          <w:rFonts w:asciiTheme="minorHAnsi" w:hAnsiTheme="minorHAnsi"/>
          <w:sz w:val="22"/>
          <w:szCs w:val="22"/>
        </w:rPr>
        <w:t>; 29).</w:t>
      </w:r>
    </w:p>
    <w:p w:rsidR="004036DC" w:rsidRPr="00CD30DE" w:rsidRDefault="004036DC" w:rsidP="0096781E">
      <w:pPr>
        <w:pStyle w:val="ListParagraph"/>
        <w:numPr>
          <w:ilvl w:val="0"/>
          <w:numId w:val="25"/>
        </w:numPr>
        <w:spacing w:before="0" w:after="0" w:line="288" w:lineRule="auto"/>
        <w:ind w:left="0" w:firstLine="0"/>
        <w:rPr>
          <w:rFonts w:asciiTheme="minorHAnsi" w:hAnsiTheme="minorHAnsi"/>
          <w:sz w:val="22"/>
          <w:szCs w:val="22"/>
        </w:rPr>
      </w:pPr>
      <w:r w:rsidRPr="00CD30DE">
        <w:rPr>
          <w:rFonts w:asciiTheme="minorHAnsi" w:hAnsiTheme="minorHAnsi"/>
          <w:sz w:val="22"/>
          <w:szCs w:val="22"/>
        </w:rPr>
        <w:t xml:space="preserve">Ross J, Shaw J &amp; Molloy P. 2013. Identification of differentially methylated regions using streptavidin bisulfite ligand methylation enrichment (SuBLiME), a new method to enrich for methylated DNA prior to deep bisulfite genomic sequencing. </w:t>
      </w:r>
      <w:r w:rsidRPr="00CD30DE">
        <w:rPr>
          <w:rFonts w:asciiTheme="minorHAnsi" w:hAnsiTheme="minorHAnsi"/>
          <w:i/>
          <w:sz w:val="22"/>
          <w:szCs w:val="22"/>
        </w:rPr>
        <w:t>Epigenetics.</w:t>
      </w:r>
      <w:r w:rsidRPr="00CD30DE">
        <w:rPr>
          <w:rFonts w:asciiTheme="minorHAnsi" w:hAnsiTheme="minorHAnsi"/>
          <w:sz w:val="22"/>
          <w:szCs w:val="22"/>
        </w:rPr>
        <w:t xml:space="preserve"> 8(1): 113-127 (6; 6)</w:t>
      </w:r>
    </w:p>
    <w:p w:rsidR="004036DC" w:rsidRPr="00CD30DE" w:rsidRDefault="004036DC" w:rsidP="0096781E">
      <w:pPr>
        <w:pStyle w:val="ListParagraph"/>
        <w:numPr>
          <w:ilvl w:val="0"/>
          <w:numId w:val="25"/>
        </w:numPr>
        <w:spacing w:before="0" w:after="0" w:line="288" w:lineRule="auto"/>
        <w:ind w:left="0" w:firstLine="0"/>
        <w:rPr>
          <w:rFonts w:asciiTheme="minorHAnsi" w:hAnsiTheme="minorHAnsi"/>
          <w:sz w:val="22"/>
          <w:szCs w:val="22"/>
        </w:rPr>
      </w:pPr>
      <w:r w:rsidRPr="00CD30DE">
        <w:rPr>
          <w:rFonts w:asciiTheme="minorHAnsi" w:hAnsiTheme="minorHAnsi"/>
          <w:sz w:val="22"/>
          <w:szCs w:val="22"/>
        </w:rPr>
        <w:t xml:space="preserve">Mitchell SM, Ross JP, Drew HR, Ho T, Brown GS, Saunders NFW, Duesing KR, Buckley MJ, Dunne R, Beetson R, Rand KN, McEvoy A, Thomas ML, Baker RT, Wattchow DA, Young GP, Lockett TL, Pederson SK, LaPointe LC, Molloy PL. 2014. A panel of genes methylated with high frequency in colorectal cancer. </w:t>
      </w:r>
      <w:r w:rsidRPr="00CD30DE">
        <w:rPr>
          <w:rFonts w:asciiTheme="minorHAnsi" w:hAnsiTheme="minorHAnsi"/>
          <w:i/>
          <w:sz w:val="22"/>
          <w:szCs w:val="22"/>
        </w:rPr>
        <w:t>BMC</w:t>
      </w:r>
      <w:r w:rsidRPr="00CD30DE">
        <w:rPr>
          <w:rFonts w:asciiTheme="minorHAnsi" w:hAnsiTheme="minorHAnsi"/>
          <w:sz w:val="22"/>
          <w:szCs w:val="22"/>
        </w:rPr>
        <w:t xml:space="preserve"> Cancer. 14(54). DOI: 10.1186/1471-2407-14-54 (41; 54)</w:t>
      </w:r>
    </w:p>
    <w:p w:rsidR="004036DC" w:rsidRPr="00CD30DE" w:rsidRDefault="004036DC" w:rsidP="0096781E">
      <w:pPr>
        <w:pStyle w:val="ListParagraph"/>
        <w:numPr>
          <w:ilvl w:val="0"/>
          <w:numId w:val="25"/>
        </w:numPr>
        <w:spacing w:before="0" w:after="0" w:line="288" w:lineRule="auto"/>
        <w:ind w:left="0" w:firstLine="0"/>
        <w:rPr>
          <w:rStyle w:val="Hyperlink"/>
          <w:rFonts w:asciiTheme="minorHAnsi" w:hAnsiTheme="minorHAnsi"/>
          <w:sz w:val="22"/>
          <w:szCs w:val="22"/>
        </w:rPr>
      </w:pPr>
      <w:r w:rsidRPr="00CD30DE">
        <w:rPr>
          <w:rFonts w:asciiTheme="minorHAnsi" w:hAnsiTheme="minorHAnsi"/>
          <w:sz w:val="22"/>
          <w:szCs w:val="22"/>
        </w:rPr>
        <w:lastRenderedPageBreak/>
        <w:t xml:space="preserve">Pederson SK, Mitchell SM, Graham LD, McEvoy A, Thomas ML, Baker RT, Ross JP, Xu Z-Z, Ho T, LaPointe LC, Young GP, Molloy PL. 2014. </w:t>
      </w:r>
      <w:r w:rsidRPr="00CD30DE">
        <w:rPr>
          <w:rFonts w:asciiTheme="minorHAnsi" w:hAnsiTheme="minorHAnsi"/>
          <w:i/>
          <w:sz w:val="22"/>
          <w:szCs w:val="22"/>
        </w:rPr>
        <w:t>CAHM</w:t>
      </w:r>
      <w:r w:rsidRPr="00CD30DE">
        <w:rPr>
          <w:rFonts w:asciiTheme="minorHAnsi" w:hAnsiTheme="minorHAnsi"/>
          <w:sz w:val="22"/>
          <w:szCs w:val="22"/>
        </w:rPr>
        <w:t xml:space="preserve">, a long non-coding RNA gene hypermethylated in colorectal neoplasia. </w:t>
      </w:r>
      <w:r w:rsidRPr="00CD30DE">
        <w:rPr>
          <w:rFonts w:asciiTheme="minorHAnsi" w:hAnsiTheme="minorHAnsi"/>
          <w:i/>
          <w:sz w:val="22"/>
          <w:szCs w:val="22"/>
        </w:rPr>
        <w:t>Epigenetics.</w:t>
      </w:r>
      <w:r w:rsidRPr="00CD30DE">
        <w:rPr>
          <w:rFonts w:asciiTheme="minorHAnsi" w:hAnsiTheme="minorHAnsi"/>
          <w:sz w:val="22"/>
          <w:szCs w:val="22"/>
        </w:rPr>
        <w:t xml:space="preserve"> 9(8): 1071-1082. </w:t>
      </w:r>
      <w:hyperlink r:id="rId15" w:history="1">
        <w:r w:rsidRPr="00CD30DE">
          <w:rPr>
            <w:rStyle w:val="Hyperlink"/>
            <w:rFonts w:asciiTheme="minorHAnsi" w:hAnsiTheme="minorHAnsi"/>
            <w:sz w:val="22"/>
            <w:szCs w:val="22"/>
          </w:rPr>
          <w:t>http://dx.doi.org/10.4161/epi.29046</w:t>
        </w:r>
      </w:hyperlink>
      <w:r w:rsidRPr="00CD30DE">
        <w:rPr>
          <w:rStyle w:val="Hyperlink"/>
          <w:rFonts w:asciiTheme="minorHAnsi" w:hAnsiTheme="minorHAnsi"/>
          <w:sz w:val="22"/>
          <w:szCs w:val="22"/>
        </w:rPr>
        <w:t xml:space="preserve"> (11; 19)</w:t>
      </w:r>
    </w:p>
    <w:p w:rsidR="004036DC" w:rsidRPr="00CD30DE" w:rsidRDefault="004036DC" w:rsidP="0096781E">
      <w:pPr>
        <w:pStyle w:val="ListParagraph"/>
        <w:numPr>
          <w:ilvl w:val="0"/>
          <w:numId w:val="25"/>
        </w:numPr>
        <w:spacing w:before="0" w:after="0" w:line="288" w:lineRule="auto"/>
        <w:ind w:left="0" w:firstLine="0"/>
        <w:rPr>
          <w:rFonts w:asciiTheme="minorHAnsi" w:hAnsiTheme="minorHAnsi"/>
          <w:sz w:val="22"/>
          <w:szCs w:val="22"/>
        </w:rPr>
      </w:pPr>
      <w:r w:rsidRPr="00CD30DE">
        <w:rPr>
          <w:rFonts w:asciiTheme="minorHAnsi" w:hAnsiTheme="minorHAnsi"/>
          <w:sz w:val="22"/>
          <w:szCs w:val="22"/>
        </w:rPr>
        <w:t>Pedersen</w:t>
      </w:r>
      <w:r w:rsidRPr="00CD30DE">
        <w:rPr>
          <w:rFonts w:asciiTheme="minorHAnsi" w:hAnsiTheme="minorHAnsi"/>
          <w:sz w:val="22"/>
          <w:szCs w:val="22"/>
          <w:vertAlign w:val="superscript"/>
        </w:rPr>
        <w:t xml:space="preserve"> </w:t>
      </w:r>
      <w:r w:rsidRPr="00CD30DE">
        <w:rPr>
          <w:rFonts w:asciiTheme="minorHAnsi" w:hAnsiTheme="minorHAnsi"/>
          <w:sz w:val="22"/>
          <w:szCs w:val="22"/>
        </w:rPr>
        <w:t xml:space="preserve">SK, Baker RT, McEvoy A, Murray D, Thomas ML, Molloy PL, Mitchell S, Lockett T, Young GP, LaPointe LC.2015. A two-gene blood test for methylated DNA sensitive for colorectal cancer. </w:t>
      </w:r>
      <w:r w:rsidRPr="00CD30DE">
        <w:rPr>
          <w:rFonts w:asciiTheme="minorHAnsi" w:hAnsiTheme="minorHAnsi"/>
          <w:i/>
          <w:sz w:val="22"/>
          <w:szCs w:val="22"/>
        </w:rPr>
        <w:t>PLoS One</w:t>
      </w:r>
      <w:r w:rsidRPr="00CD30DE">
        <w:rPr>
          <w:rFonts w:asciiTheme="minorHAnsi" w:hAnsiTheme="minorHAnsi"/>
          <w:sz w:val="22"/>
          <w:szCs w:val="22"/>
        </w:rPr>
        <w:t xml:space="preserve"> 10:e0125041. (11; 18)</w:t>
      </w:r>
    </w:p>
    <w:p w:rsidR="004036DC" w:rsidRPr="00CD30DE" w:rsidRDefault="004036DC" w:rsidP="0096781E">
      <w:pPr>
        <w:pStyle w:val="ListParagraph"/>
        <w:numPr>
          <w:ilvl w:val="0"/>
          <w:numId w:val="25"/>
        </w:numPr>
        <w:spacing w:before="0" w:after="0" w:line="288" w:lineRule="auto"/>
        <w:ind w:left="0" w:firstLine="0"/>
        <w:rPr>
          <w:rFonts w:asciiTheme="minorHAnsi" w:hAnsiTheme="minorHAnsi"/>
          <w:sz w:val="22"/>
          <w:szCs w:val="22"/>
        </w:rPr>
      </w:pPr>
      <w:r w:rsidRPr="00CD30DE">
        <w:rPr>
          <w:rFonts w:asciiTheme="minorHAnsi" w:hAnsiTheme="minorHAnsi"/>
          <w:sz w:val="22"/>
          <w:szCs w:val="22"/>
        </w:rPr>
        <w:t xml:space="preserve">Mitchell SM. Ho T, Broan GS, Baker RT, Thomas ML, McEvoy A, Xu ZZ, Ross JP, Lockett TJ, Young GP, LaPointe LC, Pederson SK, Molloy PL. 2016 Evaluation of Methylation Biomarkers for Detection of Circulating Tumor DNA and Application to Colorectal Cancer. </w:t>
      </w:r>
      <w:r w:rsidRPr="00CD30DE">
        <w:rPr>
          <w:rFonts w:asciiTheme="minorHAnsi" w:hAnsiTheme="minorHAnsi"/>
          <w:i/>
          <w:sz w:val="22"/>
          <w:szCs w:val="22"/>
        </w:rPr>
        <w:t>Genes</w:t>
      </w:r>
      <w:r w:rsidRPr="00CD30DE">
        <w:rPr>
          <w:rFonts w:asciiTheme="minorHAnsi" w:hAnsiTheme="minorHAnsi"/>
          <w:sz w:val="22"/>
          <w:szCs w:val="22"/>
        </w:rPr>
        <w:t xml:space="preserve"> 7(12): 125. Doi: 10.3390/genes7120125 (1; 2)</w:t>
      </w:r>
    </w:p>
    <w:p w:rsidR="004036DC" w:rsidRPr="00CD30DE" w:rsidRDefault="004036DC" w:rsidP="0096781E">
      <w:pPr>
        <w:pStyle w:val="ListParagraph"/>
        <w:numPr>
          <w:ilvl w:val="0"/>
          <w:numId w:val="25"/>
        </w:numPr>
        <w:autoSpaceDE w:val="0"/>
        <w:autoSpaceDN w:val="0"/>
        <w:adjustRightInd w:val="0"/>
        <w:spacing w:before="0" w:after="0" w:line="288" w:lineRule="auto"/>
        <w:ind w:left="0" w:firstLine="0"/>
        <w:rPr>
          <w:rFonts w:asciiTheme="minorHAnsi" w:hAnsiTheme="minorHAnsi"/>
          <w:vanish/>
          <w:sz w:val="22"/>
          <w:szCs w:val="22"/>
        </w:rPr>
      </w:pPr>
    </w:p>
    <w:p w:rsidR="004036DC" w:rsidRPr="00CD30DE" w:rsidRDefault="004036DC" w:rsidP="00267E5C">
      <w:pPr>
        <w:autoSpaceDE w:val="0"/>
        <w:autoSpaceDN w:val="0"/>
        <w:adjustRightInd w:val="0"/>
        <w:spacing w:after="0" w:line="288" w:lineRule="auto"/>
        <w:rPr>
          <w:rFonts w:asciiTheme="minorHAnsi" w:hAnsiTheme="minorHAnsi"/>
          <w:u w:val="single"/>
        </w:rPr>
      </w:pPr>
      <w:r w:rsidRPr="00CD30DE">
        <w:rPr>
          <w:rFonts w:asciiTheme="minorHAnsi" w:hAnsiTheme="minorHAnsi"/>
          <w:u w:val="single"/>
        </w:rPr>
        <w:t>Methods and technology publications supporting biomarker discovery and assay development</w:t>
      </w:r>
    </w:p>
    <w:p w:rsidR="004036DC" w:rsidRPr="00CD30DE" w:rsidRDefault="004036DC" w:rsidP="0096781E">
      <w:pPr>
        <w:pStyle w:val="ListParagraph"/>
        <w:keepNext/>
        <w:keepLines/>
        <w:numPr>
          <w:ilvl w:val="0"/>
          <w:numId w:val="26"/>
        </w:numPr>
        <w:tabs>
          <w:tab w:val="left" w:pos="1134"/>
        </w:tabs>
        <w:spacing w:before="0" w:after="0" w:line="288" w:lineRule="auto"/>
        <w:contextualSpacing w:val="0"/>
        <w:outlineLvl w:val="4"/>
        <w:rPr>
          <w:rFonts w:asciiTheme="minorHAnsi" w:eastAsiaTheme="majorEastAsia" w:hAnsiTheme="minorHAnsi" w:cstheme="majorBidi"/>
          <w:bCs/>
          <w:iCs/>
          <w:vanish/>
          <w:color w:val="auto"/>
          <w:spacing w:val="1"/>
          <w:sz w:val="22"/>
          <w:szCs w:val="22"/>
        </w:rPr>
      </w:pPr>
    </w:p>
    <w:p w:rsidR="004036DC" w:rsidRPr="00CD30DE" w:rsidRDefault="004036DC" w:rsidP="0096781E">
      <w:pPr>
        <w:pStyle w:val="ListParagraph"/>
        <w:keepNext/>
        <w:keepLines/>
        <w:numPr>
          <w:ilvl w:val="0"/>
          <w:numId w:val="26"/>
        </w:numPr>
        <w:tabs>
          <w:tab w:val="left" w:pos="1134"/>
        </w:tabs>
        <w:spacing w:before="0" w:after="0" w:line="288" w:lineRule="auto"/>
        <w:contextualSpacing w:val="0"/>
        <w:outlineLvl w:val="4"/>
        <w:rPr>
          <w:rFonts w:asciiTheme="minorHAnsi" w:eastAsiaTheme="majorEastAsia" w:hAnsiTheme="minorHAnsi" w:cstheme="majorBidi"/>
          <w:bCs/>
          <w:iCs/>
          <w:vanish/>
          <w:color w:val="auto"/>
          <w:spacing w:val="1"/>
          <w:sz w:val="22"/>
          <w:szCs w:val="22"/>
        </w:rPr>
      </w:pPr>
    </w:p>
    <w:p w:rsidR="004036DC" w:rsidRPr="00CD30DE" w:rsidRDefault="004036DC" w:rsidP="0096781E">
      <w:pPr>
        <w:pStyle w:val="ListParagraph"/>
        <w:keepNext/>
        <w:keepLines/>
        <w:numPr>
          <w:ilvl w:val="0"/>
          <w:numId w:val="26"/>
        </w:numPr>
        <w:tabs>
          <w:tab w:val="left" w:pos="1134"/>
        </w:tabs>
        <w:spacing w:before="0" w:after="0" w:line="288" w:lineRule="auto"/>
        <w:contextualSpacing w:val="0"/>
        <w:outlineLvl w:val="4"/>
        <w:rPr>
          <w:rFonts w:asciiTheme="minorHAnsi" w:eastAsiaTheme="majorEastAsia" w:hAnsiTheme="minorHAnsi" w:cstheme="majorBidi"/>
          <w:bCs/>
          <w:iCs/>
          <w:vanish/>
          <w:color w:val="auto"/>
          <w:spacing w:val="1"/>
          <w:sz w:val="22"/>
          <w:szCs w:val="22"/>
        </w:rPr>
      </w:pPr>
    </w:p>
    <w:p w:rsidR="004036DC" w:rsidRPr="00CD30DE" w:rsidRDefault="004036DC" w:rsidP="0096781E">
      <w:pPr>
        <w:pStyle w:val="ListParagraph"/>
        <w:keepNext/>
        <w:keepLines/>
        <w:numPr>
          <w:ilvl w:val="0"/>
          <w:numId w:val="26"/>
        </w:numPr>
        <w:tabs>
          <w:tab w:val="left" w:pos="1134"/>
        </w:tabs>
        <w:spacing w:before="0" w:after="0" w:line="288" w:lineRule="auto"/>
        <w:contextualSpacing w:val="0"/>
        <w:outlineLvl w:val="4"/>
        <w:rPr>
          <w:rFonts w:asciiTheme="minorHAnsi" w:eastAsiaTheme="majorEastAsia" w:hAnsiTheme="minorHAnsi" w:cstheme="majorBidi"/>
          <w:bCs/>
          <w:iCs/>
          <w:vanish/>
          <w:color w:val="auto"/>
          <w:spacing w:val="1"/>
          <w:sz w:val="22"/>
          <w:szCs w:val="22"/>
        </w:rPr>
      </w:pPr>
    </w:p>
    <w:p w:rsidR="004036DC" w:rsidRPr="00CD30DE" w:rsidRDefault="004036DC" w:rsidP="0096781E">
      <w:pPr>
        <w:pStyle w:val="ListParagraph"/>
        <w:keepNext/>
        <w:keepLines/>
        <w:numPr>
          <w:ilvl w:val="0"/>
          <w:numId w:val="26"/>
        </w:numPr>
        <w:tabs>
          <w:tab w:val="left" w:pos="1134"/>
        </w:tabs>
        <w:spacing w:before="0" w:after="0" w:line="288" w:lineRule="auto"/>
        <w:contextualSpacing w:val="0"/>
        <w:outlineLvl w:val="4"/>
        <w:rPr>
          <w:rFonts w:asciiTheme="minorHAnsi" w:eastAsiaTheme="majorEastAsia" w:hAnsiTheme="minorHAnsi" w:cstheme="majorBidi"/>
          <w:bCs/>
          <w:iCs/>
          <w:vanish/>
          <w:color w:val="auto"/>
          <w:spacing w:val="1"/>
          <w:sz w:val="22"/>
          <w:szCs w:val="22"/>
        </w:rPr>
      </w:pPr>
    </w:p>
    <w:p w:rsidR="004036DC" w:rsidRPr="00CD30DE" w:rsidRDefault="004036DC" w:rsidP="0096781E">
      <w:pPr>
        <w:pStyle w:val="ListParagraph"/>
        <w:keepNext/>
        <w:keepLines/>
        <w:numPr>
          <w:ilvl w:val="0"/>
          <w:numId w:val="26"/>
        </w:numPr>
        <w:tabs>
          <w:tab w:val="left" w:pos="1134"/>
        </w:tabs>
        <w:spacing w:before="0" w:after="0" w:line="288" w:lineRule="auto"/>
        <w:contextualSpacing w:val="0"/>
        <w:outlineLvl w:val="4"/>
        <w:rPr>
          <w:rFonts w:asciiTheme="minorHAnsi" w:eastAsiaTheme="majorEastAsia" w:hAnsiTheme="minorHAnsi" w:cstheme="majorBidi"/>
          <w:bCs/>
          <w:iCs/>
          <w:vanish/>
          <w:color w:val="auto"/>
          <w:spacing w:val="1"/>
          <w:sz w:val="22"/>
          <w:szCs w:val="22"/>
        </w:rPr>
      </w:pPr>
    </w:p>
    <w:p w:rsidR="004036DC" w:rsidRPr="00CD30DE" w:rsidRDefault="004036DC" w:rsidP="0096781E">
      <w:pPr>
        <w:pStyle w:val="ListParagraph"/>
        <w:keepNext/>
        <w:keepLines/>
        <w:numPr>
          <w:ilvl w:val="0"/>
          <w:numId w:val="26"/>
        </w:numPr>
        <w:tabs>
          <w:tab w:val="left" w:pos="1134"/>
        </w:tabs>
        <w:spacing w:before="0" w:after="0" w:line="288" w:lineRule="auto"/>
        <w:contextualSpacing w:val="0"/>
        <w:outlineLvl w:val="4"/>
        <w:rPr>
          <w:rFonts w:asciiTheme="minorHAnsi" w:eastAsiaTheme="majorEastAsia" w:hAnsiTheme="minorHAnsi" w:cstheme="majorBidi"/>
          <w:bCs/>
          <w:iCs/>
          <w:vanish/>
          <w:color w:val="auto"/>
          <w:spacing w:val="1"/>
          <w:sz w:val="22"/>
          <w:szCs w:val="22"/>
        </w:rPr>
      </w:pPr>
    </w:p>
    <w:p w:rsidR="004036DC" w:rsidRPr="00CD30DE" w:rsidRDefault="004036DC" w:rsidP="0096781E">
      <w:pPr>
        <w:pStyle w:val="ListParagraph"/>
        <w:keepNext/>
        <w:keepLines/>
        <w:numPr>
          <w:ilvl w:val="0"/>
          <w:numId w:val="26"/>
        </w:numPr>
        <w:tabs>
          <w:tab w:val="left" w:pos="1134"/>
        </w:tabs>
        <w:spacing w:before="0" w:after="0" w:line="288" w:lineRule="auto"/>
        <w:contextualSpacing w:val="0"/>
        <w:outlineLvl w:val="4"/>
        <w:rPr>
          <w:rFonts w:asciiTheme="minorHAnsi" w:eastAsiaTheme="majorEastAsia" w:hAnsiTheme="minorHAnsi" w:cstheme="majorBidi"/>
          <w:bCs/>
          <w:iCs/>
          <w:vanish/>
          <w:color w:val="auto"/>
          <w:spacing w:val="1"/>
          <w:sz w:val="22"/>
          <w:szCs w:val="22"/>
        </w:rPr>
      </w:pPr>
    </w:p>
    <w:p w:rsidR="004036DC" w:rsidRPr="00CD30DE" w:rsidRDefault="004036DC" w:rsidP="0096781E">
      <w:pPr>
        <w:pStyle w:val="ListParagraph"/>
        <w:keepNext/>
        <w:keepLines/>
        <w:numPr>
          <w:ilvl w:val="0"/>
          <w:numId w:val="26"/>
        </w:numPr>
        <w:tabs>
          <w:tab w:val="left" w:pos="1134"/>
        </w:tabs>
        <w:spacing w:before="0" w:after="0" w:line="288" w:lineRule="auto"/>
        <w:contextualSpacing w:val="0"/>
        <w:outlineLvl w:val="4"/>
        <w:rPr>
          <w:rFonts w:asciiTheme="minorHAnsi" w:eastAsiaTheme="majorEastAsia" w:hAnsiTheme="minorHAnsi" w:cstheme="majorBidi"/>
          <w:bCs/>
          <w:iCs/>
          <w:vanish/>
          <w:color w:val="auto"/>
          <w:spacing w:val="1"/>
          <w:sz w:val="22"/>
          <w:szCs w:val="22"/>
        </w:rPr>
      </w:pPr>
    </w:p>
    <w:p w:rsidR="004036DC" w:rsidRPr="00CD30DE" w:rsidRDefault="004036DC" w:rsidP="0096781E">
      <w:pPr>
        <w:pStyle w:val="ListParagraph"/>
        <w:numPr>
          <w:ilvl w:val="0"/>
          <w:numId w:val="27"/>
        </w:numPr>
        <w:spacing w:before="0" w:after="0" w:line="288" w:lineRule="auto"/>
        <w:ind w:left="0" w:firstLine="0"/>
        <w:rPr>
          <w:rFonts w:asciiTheme="minorHAnsi" w:hAnsiTheme="minorHAnsi"/>
          <w:b/>
          <w:sz w:val="22"/>
          <w:szCs w:val="22"/>
        </w:rPr>
      </w:pPr>
      <w:r w:rsidRPr="00CD30DE">
        <w:rPr>
          <w:rFonts w:asciiTheme="minorHAnsi" w:hAnsiTheme="minorHAnsi"/>
          <w:sz w:val="22"/>
          <w:szCs w:val="22"/>
        </w:rPr>
        <w:t>Rand KN, Molloy PL. 2010. Sensitive measurement of unmethylated repeat DNA sequences by End-Specific PCR. Biotechniques 49(4): xiii-xvii. (5; 7)</w:t>
      </w:r>
    </w:p>
    <w:p w:rsidR="004036DC" w:rsidRPr="00CD30DE" w:rsidRDefault="004036DC" w:rsidP="0096781E">
      <w:pPr>
        <w:pStyle w:val="ListParagraph"/>
        <w:numPr>
          <w:ilvl w:val="0"/>
          <w:numId w:val="27"/>
        </w:numPr>
        <w:spacing w:before="0" w:after="0" w:line="288" w:lineRule="auto"/>
        <w:ind w:left="0" w:firstLine="0"/>
        <w:rPr>
          <w:rFonts w:asciiTheme="minorHAnsi" w:hAnsiTheme="minorHAnsi"/>
          <w:sz w:val="22"/>
          <w:szCs w:val="22"/>
          <w:u w:val="single"/>
        </w:rPr>
      </w:pPr>
      <w:r w:rsidRPr="00CD30DE">
        <w:rPr>
          <w:rFonts w:asciiTheme="minorHAnsi" w:hAnsiTheme="minorHAnsi"/>
          <w:sz w:val="22"/>
          <w:szCs w:val="22"/>
        </w:rPr>
        <w:t>Rand KN, Young GP, Ho T, Molloy PL. 2013. Sensitive and selective amplification of methylated DNA sequences using helper-dependent chain reaction in combination with a methylation-dependent restriction enzymes. Nucleic Acids Res. 41:e15 (1; 1)</w:t>
      </w:r>
    </w:p>
    <w:p w:rsidR="004036DC" w:rsidRPr="00CD30DE" w:rsidRDefault="004036DC" w:rsidP="00267E5C">
      <w:pPr>
        <w:autoSpaceDE w:val="0"/>
        <w:autoSpaceDN w:val="0"/>
        <w:adjustRightInd w:val="0"/>
        <w:spacing w:after="0" w:line="288" w:lineRule="auto"/>
        <w:rPr>
          <w:rFonts w:asciiTheme="minorHAnsi" w:hAnsiTheme="minorHAnsi"/>
          <w:u w:val="single"/>
        </w:rPr>
      </w:pPr>
      <w:r w:rsidRPr="00CD30DE">
        <w:rPr>
          <w:rFonts w:asciiTheme="minorHAnsi" w:hAnsiTheme="minorHAnsi"/>
          <w:u w:val="single"/>
        </w:rPr>
        <w:t>Clinical Genomics Biomarker papers (clinical trials)</w:t>
      </w:r>
    </w:p>
    <w:p w:rsidR="004036DC" w:rsidRPr="00CD30DE" w:rsidRDefault="004036DC" w:rsidP="0096781E">
      <w:pPr>
        <w:pStyle w:val="ListParagraph"/>
        <w:numPr>
          <w:ilvl w:val="0"/>
          <w:numId w:val="27"/>
        </w:numPr>
        <w:spacing w:before="0" w:after="0" w:line="288" w:lineRule="auto"/>
        <w:ind w:left="0" w:firstLine="0"/>
        <w:rPr>
          <w:rFonts w:asciiTheme="minorHAnsi" w:hAnsiTheme="minorHAnsi"/>
          <w:b/>
          <w:sz w:val="22"/>
          <w:szCs w:val="22"/>
        </w:rPr>
      </w:pPr>
      <w:r w:rsidRPr="00CD30DE">
        <w:rPr>
          <w:rFonts w:asciiTheme="minorHAnsi" w:hAnsiTheme="minorHAnsi"/>
          <w:sz w:val="22"/>
          <w:szCs w:val="22"/>
        </w:rPr>
        <w:t>Pederson SK, Symonds EL, Baker RT, Murray DH, McEvoy A, Van Doorn SC, Mundt MW, Cole SR, Gopalsamy G, Mangira D, LaPointe LC, Dekker E, Young GP. 2015. Evaluation of an assay for methylated BCAT1 and IKZF1 in plasma for detection of colorectal neoplasia. BMC Cancer 15:654 (9; 15)</w:t>
      </w:r>
    </w:p>
    <w:p w:rsidR="004036DC" w:rsidRPr="00CD30DE" w:rsidRDefault="004036DC" w:rsidP="0096781E">
      <w:pPr>
        <w:pStyle w:val="ListParagraph"/>
        <w:numPr>
          <w:ilvl w:val="0"/>
          <w:numId w:val="27"/>
        </w:numPr>
        <w:spacing w:before="0" w:after="0" w:line="288" w:lineRule="auto"/>
        <w:ind w:left="0" w:firstLine="0"/>
        <w:rPr>
          <w:rFonts w:asciiTheme="minorHAnsi" w:hAnsiTheme="minorHAnsi"/>
          <w:sz w:val="22"/>
          <w:szCs w:val="22"/>
        </w:rPr>
      </w:pPr>
      <w:r w:rsidRPr="00CD30DE">
        <w:rPr>
          <w:rFonts w:asciiTheme="minorHAnsi" w:hAnsiTheme="minorHAnsi"/>
          <w:sz w:val="22"/>
          <w:szCs w:val="22"/>
        </w:rPr>
        <w:t>Symonds EL, Pederson S, Cole SR et al. 2015. Improving Participation in Colorectal Cancer Screening: a Randomised Controlled Trial of Sequential Offers of Faecal then Blood Based non-Invasive Tests. Asian Pacific Journal of Cancer Prevention 16: 8455-8460 (na; 3)</w:t>
      </w:r>
    </w:p>
    <w:p w:rsidR="004036DC" w:rsidRPr="00CD30DE" w:rsidRDefault="004036DC" w:rsidP="0096781E">
      <w:pPr>
        <w:pStyle w:val="ListParagraph"/>
        <w:numPr>
          <w:ilvl w:val="0"/>
          <w:numId w:val="27"/>
        </w:numPr>
        <w:spacing w:before="0" w:after="0" w:line="288" w:lineRule="auto"/>
        <w:ind w:left="0" w:firstLine="0"/>
        <w:rPr>
          <w:rFonts w:asciiTheme="minorHAnsi" w:hAnsiTheme="minorHAnsi"/>
          <w:b/>
          <w:sz w:val="22"/>
          <w:szCs w:val="22"/>
        </w:rPr>
      </w:pPr>
      <w:r w:rsidRPr="00CD30DE">
        <w:rPr>
          <w:rFonts w:asciiTheme="minorHAnsi" w:hAnsiTheme="minorHAnsi"/>
          <w:sz w:val="22"/>
          <w:szCs w:val="22"/>
        </w:rPr>
        <w:t>Symonds EL, Pederson SK, Baker RT et al. 2016. A Blood Test for Methylated BCAT1 and IKZF1 vs. a Fecal Immunochemical Test for Detection of Colorectal Neoplasia. Clinical and Translational Gastroenterology 7: e137. Doi. 10.1038/ctg.2015.67 (4; 5)</w:t>
      </w:r>
    </w:p>
    <w:p w:rsidR="004036DC" w:rsidRPr="00267E5C" w:rsidRDefault="004036DC" w:rsidP="0096781E">
      <w:pPr>
        <w:pStyle w:val="ListParagraph"/>
        <w:numPr>
          <w:ilvl w:val="0"/>
          <w:numId w:val="27"/>
        </w:numPr>
        <w:spacing w:before="0" w:after="0" w:line="288" w:lineRule="auto"/>
        <w:ind w:left="0" w:firstLine="0"/>
        <w:rPr>
          <w:sz w:val="22"/>
          <w:szCs w:val="22"/>
        </w:rPr>
      </w:pPr>
      <w:r w:rsidRPr="00CD30DE">
        <w:rPr>
          <w:sz w:val="22"/>
          <w:szCs w:val="22"/>
        </w:rPr>
        <w:t>Young GP, Pederson SK, Mansfield S, Murray</w:t>
      </w:r>
      <w:r w:rsidRPr="00CD30DE">
        <w:rPr>
          <w:rFonts w:asciiTheme="minorHAnsi" w:hAnsiTheme="minorHAnsi"/>
          <w:sz w:val="22"/>
          <w:szCs w:val="22"/>
        </w:rPr>
        <w:t xml:space="preserve"> DH, Baker RT, Rabbitt P, Byrne S, Bambacas L, Hollington P, Symonds EL. 2016. A cross-sectional study comparing a blood test for methylated BCAT1 and IKZF1 tumor-derived DNA with CEA for detection of recurrent colorectal cancer. Cancer Medicine. Doi. 10.1002/cam4.868 (1; -)</w:t>
      </w:r>
    </w:p>
    <w:p w:rsidR="00267E5C" w:rsidRPr="00CD30DE" w:rsidRDefault="00267E5C" w:rsidP="00267E5C">
      <w:pPr>
        <w:pStyle w:val="ListParagraph"/>
        <w:spacing w:before="0" w:after="0" w:line="288" w:lineRule="auto"/>
        <w:ind w:left="0"/>
        <w:rPr>
          <w:sz w:val="22"/>
          <w:szCs w:val="22"/>
        </w:rPr>
      </w:pPr>
    </w:p>
    <w:p w:rsidR="004036DC" w:rsidRPr="00161341" w:rsidRDefault="004036DC" w:rsidP="00161341">
      <w:pPr>
        <w:pStyle w:val="Heading3"/>
        <w:spacing w:before="40" w:after="0" w:line="360" w:lineRule="auto"/>
        <w:rPr>
          <w:sz w:val="24"/>
        </w:rPr>
      </w:pPr>
      <w:bookmarkStart w:id="13" w:name="_Graham_L._et"/>
      <w:bookmarkStart w:id="14" w:name="_LaPointe_LC,_Pederson"/>
      <w:bookmarkStart w:id="15" w:name="_Ross_J,_Shaw"/>
      <w:bookmarkStart w:id="16" w:name="_Mitchell_SM_et"/>
      <w:bookmarkStart w:id="17" w:name="_Mitchell_SM,_Ross"/>
      <w:bookmarkStart w:id="18" w:name="_Pederson_SK,_Mitchell"/>
      <w:bookmarkStart w:id="19" w:name="_Pedersen_SK,_Baker"/>
      <w:bookmarkStart w:id="20" w:name="_Symonds_EL,_Pederson"/>
      <w:bookmarkStart w:id="21" w:name="_Mitchell_SM._Ho"/>
      <w:bookmarkStart w:id="22" w:name="_Pederson_SK,_Symonds"/>
      <w:bookmarkStart w:id="23" w:name="_Symonds_EL,_Pederson_1"/>
      <w:bookmarkStart w:id="24" w:name="_Young_et_al."/>
      <w:bookmarkStart w:id="25" w:name="_Young_GP,_Pederson"/>
      <w:bookmarkEnd w:id="13"/>
      <w:bookmarkEnd w:id="14"/>
      <w:bookmarkEnd w:id="15"/>
      <w:bookmarkEnd w:id="16"/>
      <w:bookmarkEnd w:id="17"/>
      <w:bookmarkEnd w:id="18"/>
      <w:bookmarkEnd w:id="19"/>
      <w:bookmarkEnd w:id="20"/>
      <w:bookmarkEnd w:id="21"/>
      <w:bookmarkEnd w:id="22"/>
      <w:bookmarkEnd w:id="23"/>
      <w:bookmarkEnd w:id="24"/>
      <w:bookmarkEnd w:id="25"/>
      <w:r w:rsidRPr="00161341">
        <w:rPr>
          <w:sz w:val="24"/>
        </w:rPr>
        <w:t>Patents</w:t>
      </w:r>
    </w:p>
    <w:p w:rsidR="00267E5C" w:rsidRPr="004036DC" w:rsidRDefault="004036DC" w:rsidP="00267E5C">
      <w:pPr>
        <w:pStyle w:val="BodyText"/>
        <w:spacing w:before="0" w:after="0" w:line="288" w:lineRule="auto"/>
        <w:rPr>
          <w:sz w:val="22"/>
        </w:rPr>
      </w:pPr>
      <w:r w:rsidRPr="00161341">
        <w:t>Table 4.2 provides details of the title, registration number and status of the active Australian filed patents arising from the project</w:t>
      </w:r>
      <w:r w:rsidRPr="00F60E17">
        <w:rPr>
          <w:sz w:val="22"/>
        </w:rPr>
        <w:t>.</w:t>
      </w:r>
    </w:p>
    <w:p w:rsidR="004036DC" w:rsidRPr="00161341" w:rsidRDefault="0073449F" w:rsidP="00161341">
      <w:pPr>
        <w:pStyle w:val="Heading5"/>
        <w:spacing w:before="0" w:after="0" w:line="360" w:lineRule="auto"/>
        <w:rPr>
          <w:rFonts w:asciiTheme="minorHAnsi" w:hAnsiTheme="minorHAnsi"/>
          <w:color w:val="007E9A" w:themeColor="accent1" w:themeShade="BF"/>
          <w:sz w:val="20"/>
          <w:szCs w:val="20"/>
        </w:rPr>
      </w:pPr>
      <w:r w:rsidRPr="00161341">
        <w:rPr>
          <w:rFonts w:asciiTheme="minorHAnsi" w:hAnsiTheme="minorHAnsi"/>
          <w:color w:val="007E9A" w:themeColor="accent1" w:themeShade="BF"/>
          <w:sz w:val="20"/>
          <w:szCs w:val="20"/>
        </w:rPr>
        <w:t xml:space="preserve">Table 4.2: A list of patents from the project </w:t>
      </w:r>
    </w:p>
    <w:tbl>
      <w:tblPr>
        <w:tblStyle w:val="TableGrid"/>
        <w:tblW w:w="10060" w:type="dxa"/>
        <w:tblLook w:val="04A0" w:firstRow="1" w:lastRow="0" w:firstColumn="1" w:lastColumn="0" w:noHBand="0" w:noVBand="1"/>
      </w:tblPr>
      <w:tblGrid>
        <w:gridCol w:w="421"/>
        <w:gridCol w:w="6095"/>
        <w:gridCol w:w="3544"/>
      </w:tblGrid>
      <w:tr w:rsidR="00FB61A7" w:rsidRPr="00161341">
        <w:trPr>
          <w:trHeight w:val="230"/>
        </w:trPr>
        <w:tc>
          <w:tcPr>
            <w:tcW w:w="421" w:type="dxa"/>
          </w:tcPr>
          <w:p w:rsidR="004036DC" w:rsidRPr="00161341" w:rsidRDefault="004036DC" w:rsidP="004036DC">
            <w:pPr>
              <w:pStyle w:val="BodyText"/>
              <w:spacing w:before="0" w:after="0" w:line="240" w:lineRule="auto"/>
              <w:rPr>
                <w:rFonts w:asciiTheme="minorHAnsi" w:hAnsiTheme="minorHAnsi"/>
                <w:b/>
                <w:sz w:val="20"/>
              </w:rPr>
            </w:pPr>
          </w:p>
        </w:tc>
        <w:tc>
          <w:tcPr>
            <w:tcW w:w="6095" w:type="dxa"/>
          </w:tcPr>
          <w:p w:rsidR="004036DC" w:rsidRPr="00161341" w:rsidRDefault="004036DC" w:rsidP="004036DC">
            <w:pPr>
              <w:pStyle w:val="BodyText"/>
              <w:spacing w:before="0" w:after="0" w:line="240" w:lineRule="auto"/>
              <w:rPr>
                <w:rFonts w:asciiTheme="minorHAnsi" w:hAnsiTheme="minorHAnsi"/>
                <w:b/>
                <w:sz w:val="20"/>
              </w:rPr>
            </w:pPr>
            <w:r w:rsidRPr="00161341">
              <w:rPr>
                <w:rFonts w:asciiTheme="minorHAnsi" w:hAnsiTheme="minorHAnsi"/>
                <w:b/>
                <w:sz w:val="20"/>
              </w:rPr>
              <w:t>Title</w:t>
            </w:r>
          </w:p>
        </w:tc>
        <w:tc>
          <w:tcPr>
            <w:tcW w:w="3544" w:type="dxa"/>
          </w:tcPr>
          <w:p w:rsidR="004036DC" w:rsidRPr="00161341" w:rsidRDefault="004036DC" w:rsidP="004036DC">
            <w:pPr>
              <w:pStyle w:val="BodyText"/>
              <w:spacing w:before="0" w:after="0" w:line="240" w:lineRule="auto"/>
              <w:rPr>
                <w:rFonts w:asciiTheme="minorHAnsi" w:hAnsiTheme="minorHAnsi"/>
                <w:b/>
                <w:sz w:val="20"/>
              </w:rPr>
            </w:pPr>
            <w:r w:rsidRPr="00161341">
              <w:rPr>
                <w:rFonts w:asciiTheme="minorHAnsi" w:hAnsiTheme="minorHAnsi"/>
                <w:b/>
                <w:sz w:val="20"/>
              </w:rPr>
              <w:t>Registration Number</w:t>
            </w:r>
          </w:p>
        </w:tc>
      </w:tr>
      <w:tr w:rsidR="00FB61A7" w:rsidRPr="00161341">
        <w:trPr>
          <w:trHeight w:val="262"/>
        </w:trPr>
        <w:tc>
          <w:tcPr>
            <w:tcW w:w="421"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1</w:t>
            </w:r>
          </w:p>
        </w:tc>
        <w:tc>
          <w:tcPr>
            <w:tcW w:w="6095"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Colorectal cancer gene expression markers, upregulated.</w:t>
            </w:r>
          </w:p>
        </w:tc>
        <w:tc>
          <w:tcPr>
            <w:tcW w:w="3544"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WO 2009052573 A1</w:t>
            </w:r>
          </w:p>
        </w:tc>
      </w:tr>
      <w:tr w:rsidR="00FB61A7" w:rsidRPr="00161341">
        <w:trPr>
          <w:trHeight w:val="262"/>
        </w:trPr>
        <w:tc>
          <w:tcPr>
            <w:tcW w:w="421"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2</w:t>
            </w:r>
          </w:p>
        </w:tc>
        <w:tc>
          <w:tcPr>
            <w:tcW w:w="6095"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Colorectal cancer gene expression markers, downregulated.</w:t>
            </w:r>
          </w:p>
        </w:tc>
        <w:tc>
          <w:tcPr>
            <w:tcW w:w="3544"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WO</w:t>
            </w:r>
            <w:r w:rsidRPr="00161341">
              <w:rPr>
                <w:rFonts w:asciiTheme="minorHAnsi" w:hAnsiTheme="minorHAnsi"/>
                <w:b/>
                <w:sz w:val="20"/>
              </w:rPr>
              <w:t>2009</w:t>
            </w:r>
            <w:r w:rsidRPr="00161341">
              <w:rPr>
                <w:rFonts w:asciiTheme="minorHAnsi" w:hAnsiTheme="minorHAnsi"/>
                <w:sz w:val="20"/>
              </w:rPr>
              <w:t>052567-A1</w:t>
            </w:r>
          </w:p>
        </w:tc>
      </w:tr>
      <w:tr w:rsidR="00FB61A7" w:rsidRPr="00161341">
        <w:trPr>
          <w:trHeight w:val="262"/>
        </w:trPr>
        <w:tc>
          <w:tcPr>
            <w:tcW w:w="421"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3</w:t>
            </w:r>
          </w:p>
        </w:tc>
        <w:tc>
          <w:tcPr>
            <w:tcW w:w="6095"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A novel gene, CRNDE a RNA biomarker</w:t>
            </w:r>
          </w:p>
        </w:tc>
        <w:tc>
          <w:tcPr>
            <w:tcW w:w="3544"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eastAsia="Times New Roman" w:hAnsiTheme="minorHAnsi"/>
                <w:sz w:val="20"/>
              </w:rPr>
              <w:t>WO2009052571-A1</w:t>
            </w:r>
          </w:p>
        </w:tc>
      </w:tr>
      <w:tr w:rsidR="00FB61A7" w:rsidRPr="00161341">
        <w:trPr>
          <w:trHeight w:val="262"/>
        </w:trPr>
        <w:tc>
          <w:tcPr>
            <w:tcW w:w="421"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4</w:t>
            </w:r>
          </w:p>
        </w:tc>
        <w:tc>
          <w:tcPr>
            <w:tcW w:w="6095"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Candidate panel of 66 DNA methylation markers</w:t>
            </w:r>
          </w:p>
        </w:tc>
        <w:tc>
          <w:tcPr>
            <w:tcW w:w="3544"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bCs/>
                <w:sz w:val="20"/>
              </w:rPr>
              <w:t>WO</w:t>
            </w:r>
            <w:r w:rsidRPr="00161341">
              <w:rPr>
                <w:rFonts w:asciiTheme="minorHAnsi" w:hAnsiTheme="minorHAnsi"/>
                <w:b/>
                <w:bCs/>
                <w:sz w:val="20"/>
              </w:rPr>
              <w:t>2012</w:t>
            </w:r>
            <w:r w:rsidRPr="00161341">
              <w:rPr>
                <w:rFonts w:asciiTheme="minorHAnsi" w:hAnsiTheme="minorHAnsi"/>
                <w:bCs/>
                <w:sz w:val="20"/>
              </w:rPr>
              <w:t>034170-A1</w:t>
            </w:r>
          </w:p>
        </w:tc>
      </w:tr>
      <w:tr w:rsidR="00FB61A7" w:rsidRPr="00161341">
        <w:trPr>
          <w:trHeight w:val="238"/>
        </w:trPr>
        <w:tc>
          <w:tcPr>
            <w:tcW w:w="421" w:type="dxa"/>
          </w:tcPr>
          <w:p w:rsidR="004036DC" w:rsidRPr="00161341" w:rsidRDefault="004036DC" w:rsidP="004036DC">
            <w:pPr>
              <w:pStyle w:val="BodyText"/>
              <w:spacing w:before="0" w:after="0" w:line="240" w:lineRule="auto"/>
              <w:rPr>
                <w:rFonts w:asciiTheme="minorHAnsi" w:hAnsiTheme="minorHAnsi"/>
                <w:bCs/>
                <w:sz w:val="20"/>
              </w:rPr>
            </w:pPr>
            <w:r w:rsidRPr="00161341">
              <w:rPr>
                <w:rFonts w:asciiTheme="minorHAnsi" w:hAnsiTheme="minorHAnsi"/>
                <w:bCs/>
                <w:sz w:val="20"/>
              </w:rPr>
              <w:t>5</w:t>
            </w:r>
          </w:p>
        </w:tc>
        <w:tc>
          <w:tcPr>
            <w:tcW w:w="6095"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bCs/>
                <w:sz w:val="20"/>
              </w:rPr>
              <w:t xml:space="preserve">DNA methylation in colorectal and breast cancer diagnosis </w:t>
            </w:r>
            <w:r w:rsidRPr="00161341">
              <w:rPr>
                <w:rFonts w:asciiTheme="minorHAnsi" w:hAnsiTheme="minorHAnsi"/>
                <w:sz w:val="20"/>
              </w:rPr>
              <w:t>(CAHM gene).</w:t>
            </w:r>
          </w:p>
        </w:tc>
        <w:tc>
          <w:tcPr>
            <w:tcW w:w="3544"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bCs/>
                <w:sz w:val="20"/>
              </w:rPr>
              <w:t>WO</w:t>
            </w:r>
            <w:r w:rsidRPr="00161341">
              <w:rPr>
                <w:rFonts w:asciiTheme="minorHAnsi" w:hAnsiTheme="minorHAnsi"/>
                <w:b/>
                <w:bCs/>
                <w:sz w:val="20"/>
              </w:rPr>
              <w:t>2013</w:t>
            </w:r>
            <w:r w:rsidRPr="00161341">
              <w:rPr>
                <w:rFonts w:asciiTheme="minorHAnsi" w:hAnsiTheme="minorHAnsi"/>
                <w:bCs/>
                <w:sz w:val="20"/>
              </w:rPr>
              <w:t>026104-A1</w:t>
            </w:r>
          </w:p>
        </w:tc>
      </w:tr>
      <w:tr w:rsidR="00FB61A7" w:rsidRPr="00161341">
        <w:trPr>
          <w:trHeight w:val="238"/>
        </w:trPr>
        <w:tc>
          <w:tcPr>
            <w:tcW w:w="421" w:type="dxa"/>
            <w:tcBorders>
              <w:bottom w:val="single" w:sz="4" w:space="0" w:color="00313C"/>
            </w:tcBorders>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6</w:t>
            </w:r>
          </w:p>
        </w:tc>
        <w:tc>
          <w:tcPr>
            <w:tcW w:w="6095" w:type="dxa"/>
            <w:tcBorders>
              <w:bottom w:val="single" w:sz="4" w:space="0" w:color="00313C"/>
            </w:tcBorders>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A subset of five gene targets for CRC</w:t>
            </w:r>
          </w:p>
        </w:tc>
        <w:tc>
          <w:tcPr>
            <w:tcW w:w="3544" w:type="dxa"/>
            <w:tcBorders>
              <w:bottom w:val="single" w:sz="4" w:space="0" w:color="00313C"/>
            </w:tcBorders>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bCs/>
                <w:sz w:val="20"/>
              </w:rPr>
              <w:t>WO</w:t>
            </w:r>
            <w:r w:rsidRPr="00161341">
              <w:rPr>
                <w:rFonts w:asciiTheme="minorHAnsi" w:hAnsiTheme="minorHAnsi"/>
                <w:b/>
                <w:bCs/>
                <w:sz w:val="20"/>
              </w:rPr>
              <w:t>2013</w:t>
            </w:r>
            <w:r w:rsidRPr="00161341">
              <w:rPr>
                <w:rFonts w:asciiTheme="minorHAnsi" w:hAnsiTheme="minorHAnsi"/>
                <w:bCs/>
                <w:sz w:val="20"/>
              </w:rPr>
              <w:t>166558-A1</w:t>
            </w:r>
          </w:p>
        </w:tc>
      </w:tr>
      <w:tr w:rsidR="00FB61A7" w:rsidRPr="00161341">
        <w:trPr>
          <w:trHeight w:val="238"/>
        </w:trPr>
        <w:tc>
          <w:tcPr>
            <w:tcW w:w="421"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7</w:t>
            </w:r>
          </w:p>
        </w:tc>
        <w:tc>
          <w:tcPr>
            <w:tcW w:w="6095"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Genome-wide analysis of DNA methylation (Bisulphite tag)</w:t>
            </w:r>
          </w:p>
        </w:tc>
        <w:tc>
          <w:tcPr>
            <w:tcW w:w="3544" w:type="dxa"/>
          </w:tcPr>
          <w:p w:rsidR="004036DC" w:rsidRPr="00161341" w:rsidRDefault="004036DC" w:rsidP="004036DC">
            <w:pPr>
              <w:pStyle w:val="BodyText"/>
              <w:spacing w:before="0" w:after="0" w:line="240" w:lineRule="auto"/>
              <w:rPr>
                <w:rFonts w:asciiTheme="minorHAnsi" w:hAnsiTheme="minorHAnsi"/>
                <w:bCs/>
                <w:sz w:val="20"/>
              </w:rPr>
            </w:pPr>
            <w:r w:rsidRPr="00161341">
              <w:rPr>
                <w:rFonts w:asciiTheme="minorHAnsi" w:eastAsia="Times New Roman" w:hAnsiTheme="minorHAnsi"/>
                <w:sz w:val="20"/>
              </w:rPr>
              <w:t>WO</w:t>
            </w:r>
            <w:r w:rsidRPr="00161341">
              <w:rPr>
                <w:rFonts w:asciiTheme="minorHAnsi" w:eastAsia="Times New Roman" w:hAnsiTheme="minorHAnsi"/>
                <w:b/>
                <w:sz w:val="20"/>
              </w:rPr>
              <w:t>2011</w:t>
            </w:r>
            <w:r w:rsidRPr="00161341">
              <w:rPr>
                <w:rFonts w:asciiTheme="minorHAnsi" w:eastAsia="Times New Roman" w:hAnsiTheme="minorHAnsi"/>
                <w:sz w:val="20"/>
              </w:rPr>
              <w:t>017760-A1</w:t>
            </w:r>
          </w:p>
        </w:tc>
      </w:tr>
      <w:tr w:rsidR="00FB61A7" w:rsidRPr="00161341">
        <w:trPr>
          <w:trHeight w:val="238"/>
        </w:trPr>
        <w:tc>
          <w:tcPr>
            <w:tcW w:w="421"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8</w:t>
            </w:r>
          </w:p>
        </w:tc>
        <w:tc>
          <w:tcPr>
            <w:tcW w:w="6095" w:type="dxa"/>
          </w:tcPr>
          <w:p w:rsidR="004036DC" w:rsidRPr="00161341" w:rsidRDefault="004036DC" w:rsidP="004036DC">
            <w:pPr>
              <w:pStyle w:val="BodyText"/>
              <w:spacing w:before="0" w:after="0" w:line="240" w:lineRule="auto"/>
              <w:rPr>
                <w:rFonts w:asciiTheme="minorHAnsi" w:hAnsiTheme="minorHAnsi"/>
                <w:sz w:val="20"/>
              </w:rPr>
            </w:pPr>
            <w:r w:rsidRPr="00161341">
              <w:rPr>
                <w:rFonts w:asciiTheme="minorHAnsi" w:hAnsiTheme="minorHAnsi"/>
                <w:sz w:val="20"/>
              </w:rPr>
              <w:t>Genome-wide epigenetic analysis by enriching for methylated molecules (biotin capture)</w:t>
            </w:r>
          </w:p>
        </w:tc>
        <w:tc>
          <w:tcPr>
            <w:tcW w:w="3544" w:type="dxa"/>
          </w:tcPr>
          <w:p w:rsidR="004036DC" w:rsidRPr="00161341" w:rsidRDefault="004036DC" w:rsidP="004036DC">
            <w:pPr>
              <w:pStyle w:val="BodyText"/>
              <w:spacing w:before="0" w:after="0" w:line="240" w:lineRule="auto"/>
              <w:rPr>
                <w:rFonts w:asciiTheme="minorHAnsi" w:eastAsia="Times New Roman" w:hAnsiTheme="minorHAnsi"/>
                <w:sz w:val="20"/>
              </w:rPr>
            </w:pPr>
            <w:r w:rsidRPr="00161341">
              <w:rPr>
                <w:rFonts w:asciiTheme="minorHAnsi" w:eastAsia="Times New Roman" w:hAnsiTheme="minorHAnsi"/>
                <w:sz w:val="20"/>
              </w:rPr>
              <w:t>WO</w:t>
            </w:r>
            <w:r w:rsidRPr="00161341">
              <w:rPr>
                <w:rFonts w:asciiTheme="minorHAnsi" w:eastAsia="Times New Roman" w:hAnsiTheme="minorHAnsi"/>
                <w:b/>
                <w:sz w:val="20"/>
              </w:rPr>
              <w:t>2011</w:t>
            </w:r>
            <w:r w:rsidRPr="00161341">
              <w:rPr>
                <w:rFonts w:asciiTheme="minorHAnsi" w:eastAsia="Times New Roman" w:hAnsiTheme="minorHAnsi"/>
                <w:sz w:val="20"/>
              </w:rPr>
              <w:t>057354-A1</w:t>
            </w:r>
          </w:p>
        </w:tc>
      </w:tr>
    </w:tbl>
    <w:p w:rsidR="00900829" w:rsidRDefault="00900829" w:rsidP="002540C7">
      <w:pPr>
        <w:pStyle w:val="Heading2"/>
      </w:pPr>
      <w:bookmarkStart w:id="26" w:name="_Toc494707090"/>
      <w:bookmarkEnd w:id="6"/>
      <w:r w:rsidRPr="004A6CF2">
        <w:lastRenderedPageBreak/>
        <w:t>Outcomes</w:t>
      </w:r>
      <w:bookmarkEnd w:id="26"/>
    </w:p>
    <w:p w:rsidR="004036DC" w:rsidRPr="00161341" w:rsidRDefault="004036DC" w:rsidP="00161341">
      <w:pPr>
        <w:spacing w:after="0" w:line="276" w:lineRule="auto"/>
        <w:rPr>
          <w:rFonts w:asciiTheme="minorHAnsi" w:hAnsiTheme="minorHAnsi"/>
          <w:sz w:val="24"/>
          <w:szCs w:val="24"/>
        </w:rPr>
      </w:pPr>
      <w:r w:rsidRPr="00161341">
        <w:rPr>
          <w:rFonts w:asciiTheme="minorHAnsi" w:hAnsiTheme="minorHAnsi"/>
          <w:sz w:val="24"/>
          <w:szCs w:val="24"/>
        </w:rPr>
        <w:t>The Colvera™ assay is used for monitoring patients for recurrence following primary CRC treatment.</w:t>
      </w:r>
    </w:p>
    <w:p w:rsidR="004036DC" w:rsidRPr="00161341" w:rsidRDefault="004036DC" w:rsidP="00161341">
      <w:pPr>
        <w:spacing w:after="0" w:line="276" w:lineRule="auto"/>
        <w:rPr>
          <w:rFonts w:asciiTheme="minorHAnsi" w:hAnsiTheme="minorHAnsi"/>
          <w:sz w:val="24"/>
          <w:szCs w:val="24"/>
        </w:rPr>
      </w:pPr>
      <w:r w:rsidRPr="00161341">
        <w:rPr>
          <w:rFonts w:asciiTheme="minorHAnsi" w:hAnsiTheme="minorHAnsi"/>
          <w:sz w:val="24"/>
          <w:szCs w:val="24"/>
        </w:rPr>
        <w:t>Colvera™ has achieved a first mover advantage in the target market of detecting recurrent CRC using a blood test. It presents a new opportunity for oncologists to potentially improve detection and treatment regimens for CRC through improved early stage disease detection accuracy, thereby potentially leading to improved patient survival. Colvera™</w:t>
      </w:r>
      <w:r w:rsidRPr="00161341">
        <w:rPr>
          <w:rFonts w:asciiTheme="minorHAnsi" w:hAnsiTheme="minorHAnsi"/>
          <w:b/>
          <w:sz w:val="24"/>
          <w:szCs w:val="24"/>
        </w:rPr>
        <w:t xml:space="preserve"> </w:t>
      </w:r>
      <w:r w:rsidRPr="00161341">
        <w:rPr>
          <w:rFonts w:asciiTheme="minorHAnsi" w:hAnsiTheme="minorHAnsi"/>
          <w:sz w:val="24"/>
          <w:szCs w:val="24"/>
        </w:rPr>
        <w:t>has multiple potential applications, including pre- and post- curative therapy testing; prognosis; and therapy monitoring. Intended as a complement to existing surveillance procedures, a positive result indicates the high likelihood of recurrence, and is intended to be followed by radiographic imaging or other diagnostics as appropriate. A negative result indicates low probability of recurrence, and regular surveillance can continue. Curative intent therapies and survival rates for CRC recurrence are expected to increase. Adoption channels include commercialisation and capacity building, such as training and further research activities.</w:t>
      </w:r>
    </w:p>
    <w:p w:rsidR="007D35EF" w:rsidRPr="00161341" w:rsidRDefault="007D35EF" w:rsidP="00161341">
      <w:pPr>
        <w:spacing w:after="0" w:line="276" w:lineRule="auto"/>
        <w:rPr>
          <w:rFonts w:asciiTheme="minorHAnsi" w:hAnsiTheme="minorHAnsi"/>
          <w:sz w:val="24"/>
          <w:szCs w:val="24"/>
        </w:rPr>
      </w:pPr>
    </w:p>
    <w:p w:rsidR="004036DC" w:rsidRPr="00161341" w:rsidRDefault="004036DC" w:rsidP="00161341">
      <w:pPr>
        <w:pStyle w:val="Heading3"/>
        <w:spacing w:before="40" w:after="0" w:line="360" w:lineRule="auto"/>
        <w:rPr>
          <w:sz w:val="24"/>
          <w:szCs w:val="24"/>
        </w:rPr>
      </w:pPr>
      <w:r w:rsidRPr="00161341">
        <w:rPr>
          <w:sz w:val="24"/>
          <w:szCs w:val="24"/>
        </w:rPr>
        <w:t>Commercialisation</w:t>
      </w:r>
    </w:p>
    <w:p w:rsidR="004036DC" w:rsidRPr="00161341" w:rsidRDefault="004036DC" w:rsidP="00161341">
      <w:pPr>
        <w:autoSpaceDE w:val="0"/>
        <w:autoSpaceDN w:val="0"/>
        <w:adjustRightInd w:val="0"/>
        <w:spacing w:after="0" w:line="276" w:lineRule="auto"/>
        <w:rPr>
          <w:rFonts w:asciiTheme="minorHAnsi" w:hAnsiTheme="minorHAnsi"/>
          <w:sz w:val="24"/>
          <w:szCs w:val="24"/>
        </w:rPr>
      </w:pPr>
      <w:r w:rsidRPr="00161341">
        <w:rPr>
          <w:rFonts w:asciiTheme="minorHAnsi" w:hAnsiTheme="minorHAnsi"/>
          <w:sz w:val="24"/>
          <w:szCs w:val="24"/>
        </w:rPr>
        <w:t xml:space="preserve">In December 2016, Colvera™ was launched by CG in the US market, and is presently available throughout the US. It is marketed as providing a better monitoring tools for colorectal cancer survivors. It is expected the test will become available in Australia in 2018. </w:t>
      </w:r>
    </w:p>
    <w:p w:rsidR="007D35EF" w:rsidRPr="00161341" w:rsidRDefault="007D35EF" w:rsidP="00161341">
      <w:pPr>
        <w:autoSpaceDE w:val="0"/>
        <w:autoSpaceDN w:val="0"/>
        <w:adjustRightInd w:val="0"/>
        <w:spacing w:after="0" w:line="276" w:lineRule="auto"/>
        <w:rPr>
          <w:rFonts w:asciiTheme="minorHAnsi" w:eastAsiaTheme="minorHAnsi" w:hAnsiTheme="minorHAnsi" w:cs="Calibri"/>
          <w:color w:val="auto"/>
          <w:sz w:val="24"/>
          <w:szCs w:val="24"/>
        </w:rPr>
      </w:pPr>
    </w:p>
    <w:p w:rsidR="004036DC" w:rsidRPr="00161341" w:rsidRDefault="004036DC" w:rsidP="00161341">
      <w:pPr>
        <w:pStyle w:val="Heading3"/>
        <w:spacing w:before="40" w:after="0" w:line="360" w:lineRule="auto"/>
        <w:rPr>
          <w:sz w:val="24"/>
          <w:szCs w:val="24"/>
        </w:rPr>
      </w:pPr>
      <w:r w:rsidRPr="00161341">
        <w:rPr>
          <w:sz w:val="24"/>
          <w:szCs w:val="24"/>
        </w:rPr>
        <w:t xml:space="preserve">Recurrence Monitoring </w:t>
      </w:r>
    </w:p>
    <w:p w:rsidR="004036DC" w:rsidRPr="00161341" w:rsidRDefault="004036DC" w:rsidP="00161341">
      <w:pPr>
        <w:autoSpaceDE w:val="0"/>
        <w:autoSpaceDN w:val="0"/>
        <w:adjustRightInd w:val="0"/>
        <w:spacing w:after="0" w:line="276" w:lineRule="auto"/>
        <w:rPr>
          <w:rFonts w:asciiTheme="minorHAnsi" w:eastAsiaTheme="minorHAnsi" w:hAnsiTheme="minorHAnsi" w:cs="Calibri"/>
          <w:color w:val="auto"/>
          <w:sz w:val="24"/>
          <w:szCs w:val="24"/>
        </w:rPr>
      </w:pPr>
      <w:r w:rsidRPr="00161341">
        <w:rPr>
          <w:rFonts w:asciiTheme="minorHAnsi" w:eastAsiaTheme="minorHAnsi" w:hAnsiTheme="minorHAnsi" w:cs="Calibri"/>
          <w:color w:val="auto"/>
          <w:sz w:val="24"/>
          <w:szCs w:val="24"/>
        </w:rPr>
        <w:t xml:space="preserve">Colvera™ improves health outcomes by following a proven test/treatment pathway. The assay </w:t>
      </w:r>
      <w:r w:rsidRPr="00161341">
        <w:rPr>
          <w:rFonts w:asciiTheme="minorHAnsi" w:hAnsiTheme="minorHAnsi"/>
          <w:sz w:val="24"/>
          <w:szCs w:val="24"/>
        </w:rPr>
        <w:t xml:space="preserve">demonstrates an ability to </w:t>
      </w:r>
      <w:r w:rsidRPr="00161341">
        <w:rPr>
          <w:rFonts w:asciiTheme="minorHAnsi" w:eastAsiaTheme="minorHAnsi" w:hAnsiTheme="minorHAnsi" w:cs="Calibri"/>
          <w:color w:val="auto"/>
          <w:sz w:val="24"/>
          <w:szCs w:val="24"/>
        </w:rPr>
        <w:t>improve detection of early stage asymptomatic recurrent CRC compared to the current guidelines-recommended CEA test. It is therefore likely to provide an increased rate of curative intent therapy and improved survival benefit</w:t>
      </w:r>
      <w:r w:rsidRPr="00161341">
        <w:rPr>
          <w:rStyle w:val="FootnoteReference"/>
          <w:rFonts w:asciiTheme="minorHAnsi" w:eastAsiaTheme="minorHAnsi" w:hAnsiTheme="minorHAnsi"/>
          <w:color w:val="auto"/>
          <w:sz w:val="24"/>
          <w:szCs w:val="24"/>
        </w:rPr>
        <w:footnoteReference w:id="9"/>
      </w:r>
      <w:r w:rsidRPr="00161341">
        <w:rPr>
          <w:rFonts w:asciiTheme="minorHAnsi" w:eastAsiaTheme="minorHAnsi" w:hAnsiTheme="minorHAnsi" w:cs="Calibri"/>
          <w:color w:val="auto"/>
          <w:sz w:val="24"/>
          <w:szCs w:val="24"/>
        </w:rPr>
        <w:t>.</w:t>
      </w:r>
      <w:r w:rsidRPr="00161341">
        <w:rPr>
          <w:rFonts w:asciiTheme="minorHAnsi" w:hAnsiTheme="minorHAnsi"/>
          <w:sz w:val="24"/>
          <w:szCs w:val="24"/>
        </w:rPr>
        <w:t xml:space="preserve"> </w:t>
      </w:r>
      <w:r w:rsidRPr="00161341">
        <w:rPr>
          <w:rFonts w:asciiTheme="minorHAnsi" w:eastAsiaTheme="minorHAnsi" w:hAnsiTheme="minorHAnsi" w:cs="Calibri"/>
          <w:color w:val="auto"/>
          <w:sz w:val="24"/>
          <w:szCs w:val="24"/>
        </w:rPr>
        <w:t>Detecting recurring CRC at an asymptomatic stage may improve broader outcomes by providing doctors and patients with less-intensive improved treatment options.  Patients’ and carers’ well-being and quality of life is expected to be positively influenced.</w:t>
      </w:r>
    </w:p>
    <w:p w:rsidR="007D35EF" w:rsidRPr="00161341" w:rsidRDefault="007D35EF" w:rsidP="00161341">
      <w:pPr>
        <w:autoSpaceDE w:val="0"/>
        <w:autoSpaceDN w:val="0"/>
        <w:adjustRightInd w:val="0"/>
        <w:spacing w:after="0" w:line="276" w:lineRule="auto"/>
        <w:rPr>
          <w:rFonts w:asciiTheme="minorHAnsi" w:eastAsiaTheme="minorHAnsi" w:hAnsiTheme="minorHAnsi" w:cs="Calibri"/>
          <w:b/>
          <w:i/>
          <w:color w:val="auto"/>
          <w:sz w:val="24"/>
          <w:szCs w:val="24"/>
        </w:rPr>
      </w:pPr>
    </w:p>
    <w:p w:rsidR="004036DC" w:rsidRPr="00161341" w:rsidRDefault="004036DC" w:rsidP="00161341">
      <w:pPr>
        <w:pStyle w:val="Heading3"/>
        <w:spacing w:before="40" w:after="0" w:line="360" w:lineRule="auto"/>
        <w:rPr>
          <w:sz w:val="24"/>
          <w:szCs w:val="24"/>
        </w:rPr>
      </w:pPr>
      <w:r w:rsidRPr="00161341">
        <w:rPr>
          <w:sz w:val="24"/>
          <w:szCs w:val="24"/>
        </w:rPr>
        <w:t>Primary CRC screening (potential)</w:t>
      </w:r>
    </w:p>
    <w:p w:rsidR="004036DC" w:rsidRPr="00161341" w:rsidRDefault="004036DC" w:rsidP="00161341">
      <w:pPr>
        <w:autoSpaceDE w:val="0"/>
        <w:autoSpaceDN w:val="0"/>
        <w:adjustRightInd w:val="0"/>
        <w:spacing w:after="0" w:line="276" w:lineRule="auto"/>
        <w:rPr>
          <w:rFonts w:asciiTheme="minorHAnsi" w:eastAsiaTheme="minorHAnsi" w:hAnsiTheme="minorHAnsi" w:cs="Calibri"/>
          <w:color w:val="auto"/>
          <w:sz w:val="24"/>
          <w:szCs w:val="24"/>
        </w:rPr>
      </w:pPr>
      <w:r w:rsidRPr="00161341">
        <w:rPr>
          <w:rFonts w:asciiTheme="minorHAnsi" w:eastAsiaTheme="minorHAnsi" w:hAnsiTheme="minorHAnsi" w:cs="Calibri"/>
          <w:color w:val="auto"/>
          <w:sz w:val="24"/>
          <w:szCs w:val="24"/>
        </w:rPr>
        <w:t xml:space="preserve">Colvera’s™ ability to detect primary CRC has been clinically validated in multiple prospective, blinded clinical studies covering over 4,000 patients whose status has been confirmed by colonoscopy and/or imaging. These peer reviewed, published studies indicate that Colvera™ has a higher level of specificity (88-94%) for CRC detection compared to FIT, and a similar level of sensitivity. Currently &lt;40% of eligible Australians participate in the National Bowel Cancer Screening Program. It has been estimated that lifting the screening proportion to even 50% would result in the detection of about 200 additional cancers each year in Australia. Use of a blood-based </w:t>
      </w:r>
      <w:r w:rsidRPr="00161341">
        <w:rPr>
          <w:rFonts w:asciiTheme="minorHAnsi" w:eastAsiaTheme="minorHAnsi" w:hAnsiTheme="minorHAnsi" w:cs="Calibri"/>
          <w:color w:val="auto"/>
          <w:sz w:val="24"/>
          <w:szCs w:val="24"/>
        </w:rPr>
        <w:lastRenderedPageBreak/>
        <w:t>test such as Colvera™ as an adjunct to the screening program may improve overall screening participation by providing an alternative path for people currently not participating in stool testing for medical or personal reasons.</w:t>
      </w:r>
    </w:p>
    <w:p w:rsidR="007D35EF" w:rsidRPr="00161341" w:rsidRDefault="007D35EF" w:rsidP="00161341">
      <w:pPr>
        <w:autoSpaceDE w:val="0"/>
        <w:autoSpaceDN w:val="0"/>
        <w:adjustRightInd w:val="0"/>
        <w:spacing w:after="0" w:line="276" w:lineRule="auto"/>
        <w:rPr>
          <w:rFonts w:asciiTheme="minorHAnsi" w:eastAsiaTheme="minorHAnsi" w:hAnsiTheme="minorHAnsi" w:cs="Calibri"/>
          <w:color w:val="auto"/>
          <w:sz w:val="24"/>
          <w:szCs w:val="24"/>
        </w:rPr>
      </w:pPr>
    </w:p>
    <w:p w:rsidR="004036DC" w:rsidRPr="00161341" w:rsidRDefault="004036DC" w:rsidP="00161341">
      <w:pPr>
        <w:pStyle w:val="Heading3"/>
        <w:spacing w:before="40" w:after="0" w:line="360" w:lineRule="auto"/>
        <w:rPr>
          <w:sz w:val="24"/>
          <w:szCs w:val="24"/>
        </w:rPr>
      </w:pPr>
      <w:r w:rsidRPr="00161341">
        <w:rPr>
          <w:sz w:val="24"/>
          <w:szCs w:val="24"/>
        </w:rPr>
        <w:t>Expected adoption in the future</w:t>
      </w:r>
    </w:p>
    <w:p w:rsidR="004036DC" w:rsidRPr="00161341" w:rsidRDefault="004036DC" w:rsidP="00161341">
      <w:pPr>
        <w:pStyle w:val="ListDash"/>
        <w:spacing w:before="0" w:after="0" w:line="276" w:lineRule="auto"/>
        <w:ind w:left="0" w:firstLine="0"/>
        <w:rPr>
          <w:sz w:val="24"/>
          <w:szCs w:val="24"/>
        </w:rPr>
      </w:pPr>
      <w:r w:rsidRPr="00161341">
        <w:rPr>
          <w:sz w:val="24"/>
          <w:szCs w:val="24"/>
        </w:rPr>
        <w:t xml:space="preserve">As a complementary monitoring tool within existing oncological treatment procedures and processes, uptake and adoption of Colvera™ will rely on medical practitioners being aware that the test exists, having easy access to the test, and understanding its value to a point that they feel comfortable offering or recommending it to patients as standard diagnostic for routine surveillance. Utilising existing distribution channels of Quest Diagnostics for logistical purposes and direct access to medical practitioners in the US market is therefore accepted as contributing to adoption. Arranging contracts with Fortified Provider Network and MultiPlan PPO plans will allow access to Colvera™ at a discounted price through specific health insurance providers. This approach is expected to increase the adoption of the test. As adoption of Colvera™ in the US market increases, use of the CGP laboratory will also increase. </w:t>
      </w:r>
    </w:p>
    <w:p w:rsidR="00C83459" w:rsidRPr="00161341" w:rsidRDefault="00C83459" w:rsidP="00161341">
      <w:pPr>
        <w:pStyle w:val="ListDash"/>
        <w:spacing w:before="0" w:after="0" w:line="276" w:lineRule="auto"/>
        <w:ind w:left="0" w:firstLine="0"/>
        <w:rPr>
          <w:sz w:val="24"/>
          <w:szCs w:val="24"/>
        </w:rPr>
      </w:pPr>
    </w:p>
    <w:p w:rsidR="004036DC" w:rsidRPr="00161341" w:rsidRDefault="004036DC" w:rsidP="00161341">
      <w:pPr>
        <w:pStyle w:val="ListDash"/>
        <w:spacing w:before="0" w:after="0" w:line="276" w:lineRule="auto"/>
        <w:ind w:left="0" w:firstLine="0"/>
        <w:rPr>
          <w:sz w:val="24"/>
          <w:szCs w:val="24"/>
        </w:rPr>
      </w:pPr>
      <w:r w:rsidRPr="00161341">
        <w:rPr>
          <w:sz w:val="24"/>
          <w:szCs w:val="24"/>
        </w:rPr>
        <w:t>When the product is able to satisfy regulatory requirements for Australian market entry, the NATA accredited laboratory in North Ryde is expected to be used as the site for clinical testing. Colvera™ as a blood test for early detection of primary CRC</w:t>
      </w:r>
      <w:r w:rsidR="00C83459" w:rsidRPr="00161341">
        <w:rPr>
          <w:sz w:val="24"/>
          <w:szCs w:val="24"/>
        </w:rPr>
        <w:t>,</w:t>
      </w:r>
      <w:r w:rsidRPr="00161341">
        <w:rPr>
          <w:sz w:val="24"/>
          <w:szCs w:val="24"/>
        </w:rPr>
        <w:t xml:space="preserve"> will complete necessary clinical trials by the end of 2019, at which point all clinical trials completed to date</w:t>
      </w:r>
      <w:r w:rsidR="00C83459" w:rsidRPr="00161341">
        <w:rPr>
          <w:sz w:val="24"/>
          <w:szCs w:val="24"/>
        </w:rPr>
        <w:t>,</w:t>
      </w:r>
      <w:r w:rsidRPr="00161341">
        <w:rPr>
          <w:sz w:val="24"/>
          <w:szCs w:val="24"/>
        </w:rPr>
        <w:t xml:space="preserve"> and those expected as complete by the end of 2019</w:t>
      </w:r>
      <w:r w:rsidR="00C83459" w:rsidRPr="00161341">
        <w:rPr>
          <w:sz w:val="24"/>
          <w:szCs w:val="24"/>
        </w:rPr>
        <w:t>,</w:t>
      </w:r>
      <w:r w:rsidRPr="00161341">
        <w:rPr>
          <w:sz w:val="24"/>
          <w:szCs w:val="24"/>
        </w:rPr>
        <w:t xml:space="preserve"> will eventually allow introduction of an assay for detection of primary CRC. There is limited uptake of FIT for CRC screening in Australia; and existing studies have demonstrated potential efficacy of a blood test to complement or follow up the FIT for CRC screening. Adoption rates in Australia and globally will most likely depend on reimbursement opportunities and arrangements.</w:t>
      </w:r>
    </w:p>
    <w:p w:rsidR="007D35EF" w:rsidRPr="00161341" w:rsidRDefault="007D35EF" w:rsidP="00161341">
      <w:pPr>
        <w:pStyle w:val="ListDash"/>
        <w:spacing w:before="0" w:after="0" w:line="276" w:lineRule="auto"/>
        <w:ind w:left="0" w:firstLine="0"/>
        <w:rPr>
          <w:sz w:val="24"/>
          <w:szCs w:val="24"/>
        </w:rPr>
      </w:pPr>
    </w:p>
    <w:p w:rsidR="004036DC" w:rsidRPr="00161341" w:rsidRDefault="004036DC" w:rsidP="00161341">
      <w:pPr>
        <w:pStyle w:val="Heading3"/>
        <w:spacing w:before="40" w:after="0" w:line="360" w:lineRule="auto"/>
        <w:rPr>
          <w:sz w:val="24"/>
          <w:szCs w:val="24"/>
        </w:rPr>
      </w:pPr>
      <w:r w:rsidRPr="00161341">
        <w:rPr>
          <w:sz w:val="24"/>
          <w:szCs w:val="24"/>
        </w:rPr>
        <w:t xml:space="preserve">Capacity building </w:t>
      </w:r>
    </w:p>
    <w:p w:rsidR="004036DC" w:rsidRPr="00161341" w:rsidRDefault="004036DC" w:rsidP="00161341">
      <w:pPr>
        <w:pStyle w:val="CommentText"/>
        <w:spacing w:after="0" w:line="276" w:lineRule="auto"/>
        <w:rPr>
          <w:sz w:val="24"/>
          <w:szCs w:val="24"/>
        </w:rPr>
      </w:pPr>
      <w:r w:rsidRPr="00161341">
        <w:rPr>
          <w:rFonts w:asciiTheme="minorHAnsi" w:hAnsiTheme="minorHAnsi"/>
          <w:sz w:val="24"/>
          <w:szCs w:val="24"/>
        </w:rPr>
        <w:t>The research leading to the development of Colvera™  involved identification of sets of genes that showed significantly elevated or reduced expression in CRC relative to normal colon tissue. Changes in expression of many of these genes, including BCAT1 and IKZF1, may contribute to development of CRC. The research program also identified two previously uncharacterised long non-coding RNAs, CAHM (downregulated/methylated) and CRNDE (upregulated). The scientific impact is evidenced by the citation rates of publications, including the key biomarker paper (publication 5) and the papers describing the CRNDE and CAHM genes (publications 2 &amp; 6). The CRNDE gene became the focus of further research within CSIRO as an OCE postdoctoral fellow project. This further work characterised the gene in depth and showed its importance in regulating key aspects of growth regulation in response to insulin and insulin-like growth factor</w:t>
      </w:r>
      <w:r w:rsidRPr="00161341">
        <w:rPr>
          <w:rStyle w:val="FootnoteReference"/>
          <w:rFonts w:asciiTheme="minorHAnsi" w:hAnsiTheme="minorHAnsi"/>
          <w:sz w:val="24"/>
          <w:szCs w:val="24"/>
        </w:rPr>
        <w:footnoteReference w:id="10"/>
      </w:r>
      <w:r w:rsidRPr="00161341">
        <w:rPr>
          <w:rFonts w:asciiTheme="minorHAnsi" w:hAnsiTheme="minorHAnsi"/>
          <w:sz w:val="24"/>
          <w:szCs w:val="24"/>
        </w:rPr>
        <w:t xml:space="preserve">. </w:t>
      </w:r>
      <w:r w:rsidRPr="00161341">
        <w:rPr>
          <w:sz w:val="24"/>
          <w:szCs w:val="24"/>
        </w:rPr>
        <w:t xml:space="preserve">Amassing partners with distinct and unique expertise and experience in the field encouraged strategic decision making. All discoveries made through the project pushed the boundaries of their time in </w:t>
      </w:r>
      <w:r w:rsidRPr="00161341">
        <w:rPr>
          <w:sz w:val="24"/>
          <w:szCs w:val="24"/>
        </w:rPr>
        <w:lastRenderedPageBreak/>
        <w:t>epigenetics; and as such, this project is considered as advancing knowledge in this field with the potential of contributing to research for other cancer types. For example:</w:t>
      </w:r>
    </w:p>
    <w:p w:rsidR="004036DC" w:rsidRPr="00161341" w:rsidRDefault="004036DC" w:rsidP="0096781E">
      <w:pPr>
        <w:pStyle w:val="ListDash"/>
        <w:numPr>
          <w:ilvl w:val="0"/>
          <w:numId w:val="34"/>
        </w:numPr>
        <w:spacing w:before="0" w:after="0" w:line="276" w:lineRule="auto"/>
        <w:ind w:left="567"/>
        <w:rPr>
          <w:sz w:val="24"/>
          <w:szCs w:val="24"/>
        </w:rPr>
      </w:pPr>
      <w:r w:rsidRPr="00161341">
        <w:rPr>
          <w:sz w:val="24"/>
          <w:szCs w:val="24"/>
        </w:rPr>
        <w:t xml:space="preserve">The discovery of now patented unique non-coding RNA gene CRNDE has subsequently been shown by others to be an important driver of oncogenesis in a number of cancer types, including gliomas, gall bladder, and liver cancers. </w:t>
      </w:r>
    </w:p>
    <w:p w:rsidR="004036DC" w:rsidRPr="00161341" w:rsidRDefault="004036DC" w:rsidP="0096781E">
      <w:pPr>
        <w:pStyle w:val="ListDash"/>
        <w:numPr>
          <w:ilvl w:val="0"/>
          <w:numId w:val="34"/>
        </w:numPr>
        <w:spacing w:before="0" w:after="0" w:line="276" w:lineRule="auto"/>
        <w:ind w:left="567"/>
        <w:rPr>
          <w:sz w:val="24"/>
          <w:szCs w:val="24"/>
        </w:rPr>
      </w:pPr>
      <w:r w:rsidRPr="00161341">
        <w:rPr>
          <w:sz w:val="24"/>
          <w:szCs w:val="24"/>
        </w:rPr>
        <w:t xml:space="preserve">The project has allowed the CSIRO team to maintain high level expertise and capability in epigenetics and DNA methylation, as well as important insight into the diagnostic industry and its regulatory and commercial requirements. </w:t>
      </w:r>
    </w:p>
    <w:p w:rsidR="004036DC" w:rsidRPr="00161341" w:rsidRDefault="004036DC" w:rsidP="0096781E">
      <w:pPr>
        <w:pStyle w:val="ListDash"/>
        <w:numPr>
          <w:ilvl w:val="0"/>
          <w:numId w:val="34"/>
        </w:numPr>
        <w:spacing w:before="0" w:after="0" w:line="276" w:lineRule="auto"/>
        <w:ind w:left="567"/>
        <w:rPr>
          <w:sz w:val="24"/>
          <w:szCs w:val="24"/>
        </w:rPr>
      </w:pPr>
      <w:r w:rsidRPr="00161341">
        <w:rPr>
          <w:sz w:val="24"/>
          <w:szCs w:val="24"/>
        </w:rPr>
        <w:t xml:space="preserve">Collaborative projects are a feasible option for the future and under active discussion. </w:t>
      </w:r>
    </w:p>
    <w:p w:rsidR="004036DC" w:rsidRPr="00161341" w:rsidRDefault="004036DC" w:rsidP="0096781E">
      <w:pPr>
        <w:pStyle w:val="ListDash"/>
        <w:numPr>
          <w:ilvl w:val="0"/>
          <w:numId w:val="34"/>
        </w:numPr>
        <w:spacing w:before="0" w:after="0" w:line="276" w:lineRule="auto"/>
        <w:ind w:left="567"/>
        <w:rPr>
          <w:sz w:val="24"/>
          <w:szCs w:val="24"/>
        </w:rPr>
      </w:pPr>
      <w:r w:rsidRPr="00161341">
        <w:rPr>
          <w:sz w:val="24"/>
          <w:szCs w:val="24"/>
        </w:rPr>
        <w:t>Internally, within CSIRO, the technology and bioinformatics expertise developed through the program has led to significant involvement in the Probing Biosystems Future Science Platform. This new program is targeted to identification and characterisation of brain injury through DNA released into the blood stream post trauma.</w:t>
      </w:r>
    </w:p>
    <w:p w:rsidR="00C83459" w:rsidRPr="00161341" w:rsidRDefault="00C83459" w:rsidP="00161341">
      <w:pPr>
        <w:spacing w:after="0" w:line="276" w:lineRule="auto"/>
        <w:rPr>
          <w:rFonts w:asciiTheme="minorHAnsi" w:hAnsiTheme="minorHAnsi"/>
          <w:sz w:val="24"/>
          <w:szCs w:val="24"/>
        </w:rPr>
      </w:pPr>
    </w:p>
    <w:p w:rsidR="004036DC" w:rsidRPr="00161341" w:rsidRDefault="004036DC" w:rsidP="00161341">
      <w:pPr>
        <w:spacing w:after="0" w:line="276" w:lineRule="auto"/>
        <w:rPr>
          <w:rFonts w:asciiTheme="minorHAnsi" w:hAnsiTheme="minorHAnsi"/>
          <w:sz w:val="24"/>
          <w:szCs w:val="24"/>
        </w:rPr>
      </w:pPr>
      <w:r w:rsidRPr="00161341">
        <w:rPr>
          <w:rFonts w:asciiTheme="minorHAnsi" w:hAnsiTheme="minorHAnsi"/>
          <w:sz w:val="24"/>
          <w:szCs w:val="24"/>
        </w:rPr>
        <w:t>The Colvera™ assay is used for monitoring patients for recurrence following primary CRC treatment.</w:t>
      </w:r>
    </w:p>
    <w:p w:rsidR="004036DC" w:rsidRPr="00161341" w:rsidRDefault="004036DC" w:rsidP="00161341">
      <w:pPr>
        <w:spacing w:after="0" w:line="276" w:lineRule="auto"/>
        <w:rPr>
          <w:rFonts w:asciiTheme="minorHAnsi" w:hAnsiTheme="minorHAnsi"/>
          <w:sz w:val="24"/>
          <w:szCs w:val="24"/>
        </w:rPr>
      </w:pPr>
      <w:r w:rsidRPr="00161341">
        <w:rPr>
          <w:rFonts w:asciiTheme="minorHAnsi" w:hAnsiTheme="minorHAnsi"/>
          <w:sz w:val="24"/>
          <w:szCs w:val="24"/>
        </w:rPr>
        <w:t>Colvera™ has achieved a first mover advantage in the target market of detecting recurrent CRC using a blood test. It presents a new opportunity for oncologists to potentially improve detection and treatment regimens for CRC through improved early stage disease detection accuracy, thereby potentially leading to improved patient survival. Colvera™</w:t>
      </w:r>
      <w:r w:rsidRPr="00161341">
        <w:rPr>
          <w:rFonts w:asciiTheme="minorHAnsi" w:hAnsiTheme="minorHAnsi"/>
          <w:b/>
          <w:sz w:val="24"/>
          <w:szCs w:val="24"/>
        </w:rPr>
        <w:t xml:space="preserve"> </w:t>
      </w:r>
      <w:r w:rsidRPr="00161341">
        <w:rPr>
          <w:rFonts w:asciiTheme="minorHAnsi" w:hAnsiTheme="minorHAnsi"/>
          <w:sz w:val="24"/>
          <w:szCs w:val="24"/>
        </w:rPr>
        <w:t>has multiple potential applications, including pre- and post- curative therapy testing; prognosis; and therapy monitoring. Intended as a complement to existing surveillance procedures, a positive result indicates the high likelihood of recurrence, and is intended to be followed by radiographic imaging or other diagnostics as appropriate. A negative result indicates low probability of recurrence, and regular surveillance can continue. Curative intent therapies and survival rates for CRC recurrence are expected to increase. Adoption channels include commercialisation and capacity building, such as training and further research activities.</w:t>
      </w:r>
    </w:p>
    <w:p w:rsidR="00202A72" w:rsidRDefault="00900829" w:rsidP="002540C7">
      <w:pPr>
        <w:pStyle w:val="Heading2"/>
      </w:pPr>
      <w:bookmarkStart w:id="27" w:name="_Toc494707091"/>
      <w:r w:rsidRPr="004A6CF2">
        <w:t>Impacts</w:t>
      </w:r>
      <w:bookmarkEnd w:id="27"/>
    </w:p>
    <w:p w:rsidR="00E20F47" w:rsidRPr="00161341" w:rsidRDefault="00E20F47" w:rsidP="00161341">
      <w:pPr>
        <w:pStyle w:val="BodyText"/>
        <w:spacing w:before="0" w:after="0" w:line="276" w:lineRule="auto"/>
      </w:pPr>
      <w:r w:rsidRPr="00161341">
        <w:t xml:space="preserve">Colvera™ </w:t>
      </w:r>
      <w:r w:rsidR="00412921">
        <w:t xml:space="preserve">is </w:t>
      </w:r>
      <w:r w:rsidRPr="00161341">
        <w:t>targeted at improving health information management which leads to a variety of impacts, most significantly reduced health system costs, improved health outcomes, and time savings. The economic and social benefits of this project to date are potential impacts due to the only recent launch of the commercial product Colvera™ as a recurrence monitoring test.  CG is leading clinical trials with partners to satisfy regulatory requirement for US and Australian market entry as an early detection blood test for primary CRC screening. Using CSIRO’s triple bottom line impact classification approach, Table 4.3 summarises the nature of the existing and potential impacts of the Colvera™ technology.</w:t>
      </w:r>
    </w:p>
    <w:p w:rsidR="00735BEC" w:rsidRPr="00F60E17" w:rsidRDefault="00161341" w:rsidP="00161341">
      <w:pPr>
        <w:spacing w:after="0"/>
      </w:pPr>
      <w:r>
        <w:br w:type="page"/>
      </w:r>
    </w:p>
    <w:p w:rsidR="00E20F47" w:rsidRPr="00161341" w:rsidRDefault="0073449F" w:rsidP="00161341">
      <w:pPr>
        <w:pStyle w:val="Heading5"/>
        <w:spacing w:before="0" w:after="0" w:line="360" w:lineRule="auto"/>
        <w:rPr>
          <w:rFonts w:asciiTheme="minorHAnsi" w:hAnsiTheme="minorHAnsi"/>
          <w:color w:val="007E9A" w:themeColor="accent1" w:themeShade="BF"/>
          <w:sz w:val="20"/>
          <w:szCs w:val="20"/>
        </w:rPr>
      </w:pPr>
      <w:r w:rsidRPr="00161341">
        <w:rPr>
          <w:rFonts w:asciiTheme="minorHAnsi" w:hAnsiTheme="minorHAnsi"/>
          <w:color w:val="007E9A" w:themeColor="accent1" w:themeShade="BF"/>
          <w:sz w:val="20"/>
          <w:szCs w:val="20"/>
        </w:rPr>
        <w:lastRenderedPageBreak/>
        <w:t>Table 4.3: Summary of project impacts</w:t>
      </w:r>
    </w:p>
    <w:tbl>
      <w:tblPr>
        <w:tblStyle w:val="TableCSIRO"/>
        <w:tblpPr w:leftFromText="180" w:rightFromText="180" w:vertAnchor="text" w:horzAnchor="margin" w:tblpXSpec="center" w:tblpY="24"/>
        <w:tblW w:w="10495" w:type="dxa"/>
        <w:tblInd w:w="0" w:type="dxa"/>
        <w:tblLayout w:type="fixed"/>
        <w:tblLook w:val="04A0" w:firstRow="1" w:lastRow="0" w:firstColumn="1" w:lastColumn="0" w:noHBand="0" w:noVBand="1"/>
      </w:tblPr>
      <w:tblGrid>
        <w:gridCol w:w="1139"/>
        <w:gridCol w:w="1418"/>
        <w:gridCol w:w="3118"/>
        <w:gridCol w:w="4820"/>
      </w:tblGrid>
      <w:tr w:rsidR="00FB61A7" w:rsidTr="00FB61A7">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139" w:type="dxa"/>
          </w:tcPr>
          <w:p w:rsidR="00E20F47" w:rsidRPr="00B6387C" w:rsidRDefault="00E20F47" w:rsidP="007861A7">
            <w:pPr>
              <w:rPr>
                <w:rFonts w:asciiTheme="minorHAnsi" w:hAnsiTheme="minorHAnsi"/>
                <w:bCs w:val="0"/>
                <w:caps/>
                <w:color w:val="FFFFFF" w:themeColor="background1"/>
                <w:sz w:val="24"/>
                <w:szCs w:val="24"/>
              </w:rPr>
            </w:pPr>
            <w:r w:rsidRPr="00B6387C">
              <w:rPr>
                <w:rFonts w:asciiTheme="minorHAnsi" w:hAnsiTheme="minorHAnsi"/>
                <w:bCs w:val="0"/>
                <w:caps/>
                <w:color w:val="FFFFFF" w:themeColor="background1"/>
                <w:sz w:val="24"/>
                <w:szCs w:val="24"/>
              </w:rPr>
              <w:t>type</w:t>
            </w:r>
          </w:p>
        </w:tc>
        <w:tc>
          <w:tcPr>
            <w:tcW w:w="1418" w:type="dxa"/>
          </w:tcPr>
          <w:p w:rsidR="00E20F47" w:rsidRPr="00B6387C" w:rsidRDefault="00E20F47" w:rsidP="007861A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24"/>
                <w:szCs w:val="24"/>
              </w:rPr>
            </w:pPr>
            <w:r w:rsidRPr="00B6387C">
              <w:rPr>
                <w:rFonts w:asciiTheme="minorHAnsi" w:hAnsiTheme="minorHAnsi"/>
                <w:bCs w:val="0"/>
                <w:caps/>
                <w:color w:val="FFFFFF" w:themeColor="background1"/>
                <w:sz w:val="24"/>
                <w:szCs w:val="24"/>
              </w:rPr>
              <w:t>category</w:t>
            </w:r>
          </w:p>
        </w:tc>
        <w:tc>
          <w:tcPr>
            <w:tcW w:w="3118" w:type="dxa"/>
          </w:tcPr>
          <w:p w:rsidR="00E20F47" w:rsidRPr="00B6387C" w:rsidRDefault="00E20F47" w:rsidP="007861A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24"/>
                <w:szCs w:val="24"/>
              </w:rPr>
            </w:pPr>
            <w:r w:rsidRPr="00B6387C">
              <w:rPr>
                <w:rFonts w:asciiTheme="minorHAnsi" w:hAnsiTheme="minorHAnsi"/>
                <w:bCs w:val="0"/>
                <w:caps/>
                <w:color w:val="FFFFFF" w:themeColor="background1"/>
                <w:sz w:val="24"/>
                <w:szCs w:val="24"/>
              </w:rPr>
              <w:t>indicator</w:t>
            </w:r>
          </w:p>
        </w:tc>
        <w:tc>
          <w:tcPr>
            <w:tcW w:w="4820" w:type="dxa"/>
          </w:tcPr>
          <w:p w:rsidR="00E20F47" w:rsidRPr="00B6387C" w:rsidRDefault="00E20F47" w:rsidP="007861A7">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sz w:val="24"/>
                <w:szCs w:val="24"/>
              </w:rPr>
            </w:pPr>
            <w:r w:rsidRPr="00B6387C">
              <w:rPr>
                <w:rFonts w:asciiTheme="minorHAnsi" w:hAnsiTheme="minorHAnsi"/>
                <w:bCs w:val="0"/>
                <w:caps/>
                <w:color w:val="FFFFFF" w:themeColor="background1"/>
                <w:sz w:val="24"/>
                <w:szCs w:val="24"/>
              </w:rPr>
              <w:t>description</w:t>
            </w:r>
          </w:p>
        </w:tc>
      </w:tr>
      <w:tr w:rsidR="00FB61A7" w:rsidTr="00FB61A7">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39" w:type="dxa"/>
          </w:tcPr>
          <w:p w:rsidR="00E20F47" w:rsidRPr="00161341" w:rsidRDefault="00E20F47" w:rsidP="007861A7">
            <w:pPr>
              <w:rPr>
                <w:rFonts w:asciiTheme="minorHAnsi" w:hAnsiTheme="minorHAnsi"/>
                <w:b w:val="0"/>
                <w:bCs w:val="0"/>
              </w:rPr>
            </w:pPr>
            <w:r w:rsidRPr="00161341">
              <w:rPr>
                <w:rFonts w:asciiTheme="minorHAnsi" w:hAnsiTheme="minorHAnsi"/>
                <w:b w:val="0"/>
              </w:rPr>
              <w:t>Economic</w:t>
            </w:r>
          </w:p>
        </w:tc>
        <w:tc>
          <w:tcPr>
            <w:tcW w:w="1418" w:type="dxa"/>
          </w:tcPr>
          <w:p w:rsidR="00E20F47" w:rsidRPr="00161341" w:rsidRDefault="00E20F47" w:rsidP="007861A7">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Productivity and efficiency</w:t>
            </w:r>
          </w:p>
        </w:tc>
        <w:tc>
          <w:tcPr>
            <w:tcW w:w="3118" w:type="dxa"/>
          </w:tcPr>
          <w:p w:rsidR="00E20F47" w:rsidRPr="00161341" w:rsidRDefault="00E20F47" w:rsidP="007861A7">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Reduced economic burden on healthcare system</w:t>
            </w:r>
          </w:p>
        </w:tc>
        <w:tc>
          <w:tcPr>
            <w:tcW w:w="4820" w:type="dxa"/>
          </w:tcPr>
          <w:p w:rsidR="00E20F47" w:rsidRPr="00161341" w:rsidRDefault="00E20F47" w:rsidP="00B60A01">
            <w:pPr>
              <w:pStyle w:val="ListDash"/>
              <w:spacing w:before="0" w:after="0" w:line="240" w:lineRule="auto"/>
              <w:ind w:left="0" w:firstLine="0"/>
              <w:cnfStyle w:val="000000100000" w:firstRow="0" w:lastRow="0" w:firstColumn="0" w:lastColumn="0" w:oddVBand="0" w:evenVBand="0" w:oddHBand="1" w:evenHBand="0" w:firstRowFirstColumn="0" w:firstRowLastColumn="0" w:lastRowFirstColumn="0" w:lastRowLastColumn="0"/>
              <w:rPr>
                <w:szCs w:val="16"/>
              </w:rPr>
            </w:pPr>
            <w:r w:rsidRPr="00161341">
              <w:rPr>
                <w:szCs w:val="16"/>
              </w:rPr>
              <w:t>Early stage detection and diagnosis can reduce associated healthcare costs</w:t>
            </w:r>
            <w:r w:rsidR="00B60A01" w:rsidRPr="00161341">
              <w:rPr>
                <w:szCs w:val="16"/>
              </w:rPr>
              <w:t>²</w:t>
            </w:r>
            <w:r w:rsidRPr="00161341">
              <w:rPr>
                <w:szCs w:val="16"/>
              </w:rPr>
              <w:t xml:space="preserve">, reduce intensive treatments and improve survival rates. </w:t>
            </w:r>
          </w:p>
        </w:tc>
      </w:tr>
      <w:tr w:rsidR="00FB61A7" w:rsidTr="00FB61A7">
        <w:trPr>
          <w:trHeight w:val="411"/>
        </w:trPr>
        <w:tc>
          <w:tcPr>
            <w:cnfStyle w:val="001000000000" w:firstRow="0" w:lastRow="0" w:firstColumn="1" w:lastColumn="0" w:oddVBand="0" w:evenVBand="0" w:oddHBand="0" w:evenHBand="0" w:firstRowFirstColumn="0" w:firstRowLastColumn="0" w:lastRowFirstColumn="0" w:lastRowLastColumn="0"/>
            <w:tcW w:w="1139" w:type="dxa"/>
          </w:tcPr>
          <w:p w:rsidR="00E20F47" w:rsidRPr="00161341" w:rsidRDefault="00E20F47" w:rsidP="007861A7">
            <w:pPr>
              <w:rPr>
                <w:rFonts w:asciiTheme="minorHAnsi" w:hAnsiTheme="minorHAnsi"/>
                <w:b w:val="0"/>
              </w:rPr>
            </w:pPr>
            <w:r w:rsidRPr="00161341">
              <w:rPr>
                <w:rFonts w:asciiTheme="minorHAnsi" w:hAnsiTheme="minorHAnsi"/>
                <w:b w:val="0"/>
              </w:rPr>
              <w:t>Economic</w:t>
            </w:r>
          </w:p>
        </w:tc>
        <w:tc>
          <w:tcPr>
            <w:tcW w:w="1418" w:type="dxa"/>
          </w:tcPr>
          <w:p w:rsidR="00E20F47" w:rsidRPr="00161341" w:rsidRDefault="00E20F47" w:rsidP="007861A7">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Productivity and efficiency</w:t>
            </w:r>
          </w:p>
        </w:tc>
        <w:tc>
          <w:tcPr>
            <w:tcW w:w="3118" w:type="dxa"/>
          </w:tcPr>
          <w:p w:rsidR="00E20F47" w:rsidRPr="00161341" w:rsidRDefault="00E20F47" w:rsidP="007861A7">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Increase in labour productivity and labour force participation</w:t>
            </w:r>
          </w:p>
        </w:tc>
        <w:tc>
          <w:tcPr>
            <w:tcW w:w="4820" w:type="dxa"/>
          </w:tcPr>
          <w:p w:rsidR="00E20F47" w:rsidRPr="00161341" w:rsidRDefault="00E20F47" w:rsidP="007861A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161341">
              <w:rPr>
                <w:rFonts w:asciiTheme="minorHAnsi" w:hAnsiTheme="minorHAnsi"/>
                <w:bCs/>
                <w:iCs/>
                <w:szCs w:val="24"/>
              </w:rPr>
              <w:t>A more targeted and timely treatment will lead to an increase in labour productivity and labour force participation. This impact encompasses illness-related lost earnings, absenteeism, premature death and additional search and hiring costs for replacement workers.</w:t>
            </w:r>
          </w:p>
        </w:tc>
      </w:tr>
      <w:tr w:rsidR="00FB61A7" w:rsidTr="00FB61A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39" w:type="dxa"/>
          </w:tcPr>
          <w:p w:rsidR="00E20F47" w:rsidRPr="00161341" w:rsidRDefault="00E20F47" w:rsidP="007861A7">
            <w:pPr>
              <w:rPr>
                <w:rFonts w:asciiTheme="minorHAnsi" w:hAnsiTheme="minorHAnsi"/>
                <w:b w:val="0"/>
              </w:rPr>
            </w:pPr>
            <w:r w:rsidRPr="00161341">
              <w:rPr>
                <w:rFonts w:asciiTheme="minorHAnsi" w:hAnsiTheme="minorHAnsi"/>
                <w:b w:val="0"/>
              </w:rPr>
              <w:t>Economic</w:t>
            </w:r>
          </w:p>
        </w:tc>
        <w:tc>
          <w:tcPr>
            <w:tcW w:w="1418" w:type="dxa"/>
          </w:tcPr>
          <w:p w:rsidR="00E20F47" w:rsidRPr="00161341" w:rsidRDefault="00E20F47" w:rsidP="007861A7">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New products</w:t>
            </w:r>
          </w:p>
        </w:tc>
        <w:tc>
          <w:tcPr>
            <w:tcW w:w="3118" w:type="dxa"/>
          </w:tcPr>
          <w:p w:rsidR="00E20F47" w:rsidRPr="00161341" w:rsidRDefault="00E20F47" w:rsidP="007861A7">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 xml:space="preserve">Blood test for detection of asymptomatic CRC recurrence </w:t>
            </w:r>
          </w:p>
        </w:tc>
        <w:tc>
          <w:tcPr>
            <w:tcW w:w="4820" w:type="dxa"/>
          </w:tcPr>
          <w:p w:rsidR="00E20F47" w:rsidRPr="00161341" w:rsidRDefault="00E20F47" w:rsidP="00786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161341">
              <w:rPr>
                <w:rFonts w:asciiTheme="minorHAnsi" w:hAnsiTheme="minorHAnsi"/>
                <w:bCs/>
                <w:iCs/>
                <w:szCs w:val="24"/>
              </w:rPr>
              <w:t>Colvera™ is a new blood test that can detect asymptomatic CRC in patients under surveillance post-treatment. This reaches a market niche for CRC recurrence detection a market currently dominated by one test, the CEA test</w:t>
            </w:r>
          </w:p>
        </w:tc>
      </w:tr>
      <w:tr w:rsidR="00FB61A7" w:rsidTr="00FB61A7">
        <w:trPr>
          <w:trHeight w:val="439"/>
        </w:trPr>
        <w:tc>
          <w:tcPr>
            <w:cnfStyle w:val="001000000000" w:firstRow="0" w:lastRow="0" w:firstColumn="1" w:lastColumn="0" w:oddVBand="0" w:evenVBand="0" w:oddHBand="0" w:evenHBand="0" w:firstRowFirstColumn="0" w:firstRowLastColumn="0" w:lastRowFirstColumn="0" w:lastRowLastColumn="0"/>
            <w:tcW w:w="1139" w:type="dxa"/>
          </w:tcPr>
          <w:p w:rsidR="00E20F47" w:rsidRPr="00161341" w:rsidRDefault="00E20F47" w:rsidP="007861A7">
            <w:pPr>
              <w:rPr>
                <w:rFonts w:asciiTheme="minorHAnsi" w:hAnsiTheme="minorHAnsi"/>
                <w:b w:val="0"/>
                <w:bCs w:val="0"/>
              </w:rPr>
            </w:pPr>
            <w:r w:rsidRPr="00161341">
              <w:rPr>
                <w:rFonts w:asciiTheme="minorHAnsi" w:hAnsiTheme="minorHAnsi"/>
                <w:b w:val="0"/>
              </w:rPr>
              <w:t>Social</w:t>
            </w:r>
          </w:p>
        </w:tc>
        <w:tc>
          <w:tcPr>
            <w:tcW w:w="1418" w:type="dxa"/>
          </w:tcPr>
          <w:p w:rsidR="00E20F47" w:rsidRPr="00161341" w:rsidRDefault="00E20F47" w:rsidP="007861A7">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Health and Wellbeing/Quality of life</w:t>
            </w:r>
          </w:p>
        </w:tc>
        <w:tc>
          <w:tcPr>
            <w:tcW w:w="3118" w:type="dxa"/>
          </w:tcPr>
          <w:p w:rsidR="00E20F47" w:rsidRPr="00161341" w:rsidRDefault="00E20F47" w:rsidP="007861A7">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Where CRC recurrence is detected as asymptomatic, curative intent therapies will increase and intensive long-term treatment decrease.</w:t>
            </w:r>
          </w:p>
        </w:tc>
        <w:tc>
          <w:tcPr>
            <w:tcW w:w="4820" w:type="dxa"/>
          </w:tcPr>
          <w:p w:rsidR="00E20F47" w:rsidRPr="00161341" w:rsidRDefault="00E20F47" w:rsidP="007861A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161341">
              <w:rPr>
                <w:rFonts w:asciiTheme="minorHAnsi" w:hAnsiTheme="minorHAnsi"/>
                <w:bCs/>
                <w:iCs/>
                <w:szCs w:val="24"/>
              </w:rPr>
              <w:t>Where CRC recurrence is detected as asymptomatic, curative intent therapies will increase and intensive long-term treatment decrease. This is expected to improve the health and wellbeing of CRC patients and carers post-treatment.</w:t>
            </w:r>
          </w:p>
        </w:tc>
      </w:tr>
      <w:tr w:rsidR="00FB61A7" w:rsidTr="00FB61A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139" w:type="dxa"/>
          </w:tcPr>
          <w:p w:rsidR="00E20F47" w:rsidRPr="00161341" w:rsidRDefault="00E20F47" w:rsidP="007861A7">
            <w:pPr>
              <w:rPr>
                <w:rFonts w:asciiTheme="minorHAnsi" w:hAnsiTheme="minorHAnsi"/>
                <w:b w:val="0"/>
              </w:rPr>
            </w:pPr>
            <w:r w:rsidRPr="00161341">
              <w:rPr>
                <w:rFonts w:asciiTheme="minorHAnsi" w:hAnsiTheme="minorHAnsi"/>
                <w:b w:val="0"/>
              </w:rPr>
              <w:t>Social</w:t>
            </w:r>
          </w:p>
        </w:tc>
        <w:tc>
          <w:tcPr>
            <w:tcW w:w="1418" w:type="dxa"/>
          </w:tcPr>
          <w:p w:rsidR="00E20F47" w:rsidRPr="00161341" w:rsidRDefault="00E20F47" w:rsidP="007861A7">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Innovation and human capital</w:t>
            </w:r>
          </w:p>
        </w:tc>
        <w:tc>
          <w:tcPr>
            <w:tcW w:w="3118" w:type="dxa"/>
          </w:tcPr>
          <w:p w:rsidR="00E20F47" w:rsidRPr="00161341" w:rsidRDefault="00E20F47" w:rsidP="007861A7">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24"/>
              </w:rPr>
            </w:pPr>
            <w:r w:rsidRPr="00161341">
              <w:rPr>
                <w:rFonts w:asciiTheme="minorHAnsi" w:hAnsiTheme="minorHAnsi"/>
                <w:bCs/>
                <w:iCs/>
                <w:szCs w:val="24"/>
              </w:rPr>
              <w:t>Development and advancement of niche and valuable skillsets.</w:t>
            </w:r>
          </w:p>
        </w:tc>
        <w:tc>
          <w:tcPr>
            <w:tcW w:w="4820" w:type="dxa"/>
          </w:tcPr>
          <w:p w:rsidR="00E20F47" w:rsidRPr="00161341" w:rsidRDefault="00E20F47" w:rsidP="00786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161341">
              <w:rPr>
                <w:rFonts w:asciiTheme="minorHAnsi" w:hAnsiTheme="minorHAnsi"/>
                <w:bCs/>
                <w:iCs/>
                <w:szCs w:val="24"/>
              </w:rPr>
              <w:t>Innovative epigenetics and biomarker discovery research has led to numerous licenses, patents and the eventual release of Colvera™. Through this process of innovation human capital has increased through the development and advancement of niche and valuable skills.</w:t>
            </w:r>
          </w:p>
        </w:tc>
      </w:tr>
    </w:tbl>
    <w:p w:rsidR="00E92057" w:rsidRDefault="00152B73" w:rsidP="00E92057">
      <w:pPr>
        <w:pStyle w:val="Heading1"/>
        <w:ind w:left="1134" w:hanging="1134"/>
      </w:pPr>
      <w:bookmarkStart w:id="28" w:name="_Toc494707092"/>
      <w:bookmarkStart w:id="29" w:name="_Toc446334231"/>
      <w:r>
        <w:t>5</w:t>
      </w:r>
      <w:r>
        <w:tab/>
      </w:r>
      <w:r w:rsidR="00E92057" w:rsidRPr="004A6CF2">
        <w:t>Clarifying the Impacts</w:t>
      </w:r>
      <w:bookmarkEnd w:id="28"/>
    </w:p>
    <w:p w:rsidR="00E20F47" w:rsidRPr="00CD30DE" w:rsidRDefault="00E20F47" w:rsidP="00E20F47">
      <w:pPr>
        <w:pStyle w:val="Heading2"/>
        <w:spacing w:before="120" w:after="120"/>
        <w:rPr>
          <w:rFonts w:asciiTheme="minorHAnsi" w:hAnsiTheme="minorHAnsi"/>
          <w:b/>
        </w:rPr>
      </w:pPr>
      <w:bookmarkStart w:id="30" w:name="_Toc488653954"/>
      <w:bookmarkStart w:id="31" w:name="_Toc494707093"/>
      <w:r w:rsidRPr="00CD30DE">
        <w:rPr>
          <w:rFonts w:asciiTheme="minorHAnsi" w:hAnsiTheme="minorHAnsi"/>
          <w:b/>
        </w:rPr>
        <w:t>Counterfactual</w:t>
      </w:r>
      <w:bookmarkEnd w:id="30"/>
      <w:bookmarkEnd w:id="31"/>
      <w:r w:rsidRPr="00CD30DE">
        <w:rPr>
          <w:rFonts w:asciiTheme="minorHAnsi" w:hAnsiTheme="minorHAnsi"/>
          <w:b/>
        </w:rPr>
        <w:t xml:space="preserve"> </w:t>
      </w:r>
    </w:p>
    <w:p w:rsidR="00267E5C" w:rsidRDefault="00E20F47" w:rsidP="00E243A6">
      <w:pPr>
        <w:pStyle w:val="ListDash"/>
        <w:spacing w:before="0" w:after="0" w:line="276" w:lineRule="auto"/>
        <w:ind w:left="0" w:firstLine="0"/>
      </w:pPr>
      <w:r w:rsidRPr="00161341">
        <w:rPr>
          <w:sz w:val="24"/>
        </w:rPr>
        <w:t>CSIRO had established history and expertise in research area</w:t>
      </w:r>
      <w:r w:rsidRPr="00161341">
        <w:rPr>
          <w:rStyle w:val="FootnoteReference"/>
          <w:sz w:val="24"/>
        </w:rPr>
        <w:footnoteReference w:id="11"/>
      </w:r>
      <w:r w:rsidRPr="00161341">
        <w:rPr>
          <w:sz w:val="24"/>
        </w:rPr>
        <w:t xml:space="preserve">  which influenced</w:t>
      </w:r>
      <w:r w:rsidR="00BA7D1D" w:rsidRPr="00161341">
        <w:rPr>
          <w:sz w:val="24"/>
        </w:rPr>
        <w:t xml:space="preserve"> the</w:t>
      </w:r>
      <w:r w:rsidRPr="00161341">
        <w:rPr>
          <w:sz w:val="24"/>
        </w:rPr>
        <w:t xml:space="preserve"> decision to re-focus work on DNA methylation markers for downregulated genes in 2008. Work towards creating new biomarkers and focusing on upregulated genes in CRC cells was proving resource intensive and difficult. If the re-focusing had not occurred, the amount of progress and eventual development of Colvera™ may not have occurred within the same timeframe</w:t>
      </w:r>
      <w:r w:rsidRPr="00F60E17">
        <w:t xml:space="preserve">. </w:t>
      </w:r>
    </w:p>
    <w:p w:rsidR="00E243A6" w:rsidRPr="00E243A6" w:rsidRDefault="00E243A6" w:rsidP="00E243A6">
      <w:pPr>
        <w:pStyle w:val="ListDash"/>
        <w:spacing w:before="0" w:after="0" w:line="276" w:lineRule="auto"/>
        <w:ind w:left="0" w:firstLine="0"/>
      </w:pPr>
    </w:p>
    <w:p w:rsidR="00E20F47" w:rsidRDefault="00E20F47" w:rsidP="00E20F47">
      <w:pPr>
        <w:pStyle w:val="ListDash"/>
        <w:spacing w:before="0" w:after="0" w:line="240" w:lineRule="auto"/>
        <w:ind w:left="0" w:firstLine="0"/>
        <w:jc w:val="center"/>
      </w:pPr>
      <w:r w:rsidRPr="00940D1C">
        <w:rPr>
          <w:noProof/>
          <w:vertAlign w:val="superscript"/>
        </w:rPr>
        <w:lastRenderedPageBreak/>
        <w:drawing>
          <wp:inline distT="0" distB="0" distL="0" distR="0" wp14:anchorId="50DFF9B4" wp14:editId="3B7B4250">
            <wp:extent cx="4783315" cy="2674189"/>
            <wp:effectExtent l="0" t="0" r="0" b="0"/>
            <wp:docPr id="1580" name="Picture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
                    <pic:cNvPicPr/>
                  </pic:nvPicPr>
                  <pic:blipFill rotWithShape="1">
                    <a:blip r:embed="rId16" cstate="print">
                      <a:extLst>
                        <a:ext uri="{28A0092B-C50C-407E-A947-70E740481C1C}">
                          <a14:useLocalDpi xmlns:a14="http://schemas.microsoft.com/office/drawing/2010/main" val="0"/>
                        </a:ext>
                      </a:extLst>
                    </a:blip>
                    <a:srcRect l="18959" t="15382" r="3316" b="5164"/>
                    <a:stretch/>
                  </pic:blipFill>
                  <pic:spPr bwMode="auto">
                    <a:xfrm>
                      <a:off x="0" y="0"/>
                      <a:ext cx="4884714" cy="2730878"/>
                    </a:xfrm>
                    <a:prstGeom prst="rect">
                      <a:avLst/>
                    </a:prstGeom>
                    <a:ln>
                      <a:noFill/>
                    </a:ln>
                    <a:extLst>
                      <a:ext uri="{53640926-AAD7-44D8-BBD7-CCE9431645EC}">
                        <a14:shadowObscured xmlns:a14="http://schemas.microsoft.com/office/drawing/2010/main"/>
                      </a:ext>
                    </a:extLst>
                  </pic:spPr>
                </pic:pic>
              </a:graphicData>
            </a:graphic>
          </wp:inline>
        </w:drawing>
      </w:r>
    </w:p>
    <w:p w:rsidR="00E20F47" w:rsidRPr="00626D62" w:rsidRDefault="00626D62" w:rsidP="00626D62">
      <w:pPr>
        <w:pStyle w:val="BodyText"/>
        <w:spacing w:before="0" w:line="240" w:lineRule="auto"/>
        <w:jc w:val="right"/>
        <w:rPr>
          <w:sz w:val="32"/>
        </w:rPr>
      </w:pPr>
      <w:r w:rsidRPr="00626D62">
        <w:rPr>
          <w:sz w:val="20"/>
          <w:szCs w:val="20"/>
        </w:rPr>
        <w:t>Source: CSIRO via Clinical Genomics 2017</w:t>
      </w:r>
    </w:p>
    <w:p w:rsidR="00E243A6" w:rsidRDefault="00E243A6" w:rsidP="00E243A6">
      <w:pPr>
        <w:pStyle w:val="Heading5"/>
        <w:spacing w:before="0" w:after="0" w:line="360" w:lineRule="auto"/>
        <w:rPr>
          <w:rFonts w:asciiTheme="minorHAnsi" w:hAnsiTheme="minorHAnsi"/>
          <w:color w:val="007E9A" w:themeColor="accent1" w:themeShade="BF"/>
          <w:sz w:val="20"/>
          <w:szCs w:val="20"/>
        </w:rPr>
      </w:pPr>
      <w:r w:rsidRPr="00161341">
        <w:rPr>
          <w:rFonts w:asciiTheme="minorHAnsi" w:hAnsiTheme="minorHAnsi"/>
          <w:color w:val="007E9A" w:themeColor="accent1" w:themeShade="BF"/>
          <w:sz w:val="20"/>
          <w:szCs w:val="20"/>
        </w:rPr>
        <w:t>Figure 5.1: Competitors operating in similar domain</w:t>
      </w:r>
    </w:p>
    <w:p w:rsidR="00E243A6" w:rsidRPr="00E243A6" w:rsidRDefault="00E243A6" w:rsidP="00E243A6">
      <w:pPr>
        <w:pStyle w:val="BodyText"/>
      </w:pPr>
    </w:p>
    <w:p w:rsidR="00E20F47" w:rsidRPr="00161341" w:rsidRDefault="00E20F47" w:rsidP="00161341">
      <w:pPr>
        <w:pStyle w:val="ListDash"/>
        <w:spacing w:before="0" w:after="0" w:line="276" w:lineRule="auto"/>
        <w:ind w:left="0" w:firstLine="0"/>
        <w:rPr>
          <w:sz w:val="24"/>
          <w:szCs w:val="24"/>
        </w:rPr>
      </w:pPr>
      <w:r w:rsidRPr="00161341">
        <w:rPr>
          <w:sz w:val="24"/>
          <w:szCs w:val="24"/>
        </w:rPr>
        <w:t>There are a number of competing tests used in screening for primary CRC (e.g. FIT, Exact Science</w:t>
      </w:r>
      <w:r w:rsidR="00BA7D1D" w:rsidRPr="00161341">
        <w:rPr>
          <w:sz w:val="24"/>
          <w:szCs w:val="24"/>
        </w:rPr>
        <w:t>,</w:t>
      </w:r>
      <w:r w:rsidRPr="00161341">
        <w:rPr>
          <w:sz w:val="24"/>
          <w:szCs w:val="24"/>
        </w:rPr>
        <w:t xml:space="preserve"> and SEPT9) and monitoring for recurrent CRC (e.g. CEA) (see Figure 5</w:t>
      </w:r>
      <w:r w:rsidR="00BA7D1D" w:rsidRPr="00161341">
        <w:rPr>
          <w:sz w:val="24"/>
          <w:szCs w:val="24"/>
        </w:rPr>
        <w:t>.1</w:t>
      </w:r>
      <w:r w:rsidRPr="00161341">
        <w:rPr>
          <w:sz w:val="24"/>
          <w:szCs w:val="24"/>
        </w:rPr>
        <w:t xml:space="preserve">). Given the data constraints and scope of this evaluation, discussion will focus on the evaluation of the effect on recurrent CRC detection. CEA, the blood test currently used in post-treatment surveillance programs, has low sensitivity, and is subject to false-positive results, limiting </w:t>
      </w:r>
      <w:r w:rsidR="00BA7D1D" w:rsidRPr="00161341">
        <w:rPr>
          <w:sz w:val="24"/>
          <w:szCs w:val="24"/>
        </w:rPr>
        <w:t xml:space="preserve">its </w:t>
      </w:r>
      <w:r w:rsidRPr="00161341">
        <w:rPr>
          <w:sz w:val="24"/>
          <w:szCs w:val="24"/>
        </w:rPr>
        <w:t>usefulness in early detection. The goal of early detection of primary or recurrent CRC is to allow for surgical resection of the tumour with curative intent</w:t>
      </w:r>
      <w:r w:rsidR="00BA7D1D" w:rsidRPr="00161341">
        <w:rPr>
          <w:sz w:val="24"/>
          <w:szCs w:val="24"/>
        </w:rPr>
        <w:t>.</w:t>
      </w:r>
      <w:r w:rsidRPr="00161341">
        <w:rPr>
          <w:rStyle w:val="FootnoteReference"/>
          <w:sz w:val="24"/>
          <w:szCs w:val="24"/>
        </w:rPr>
        <w:footnoteReference w:id="12"/>
      </w:r>
      <w:r w:rsidRPr="00161341">
        <w:rPr>
          <w:sz w:val="24"/>
          <w:szCs w:val="24"/>
        </w:rPr>
        <w:t xml:space="preserve"> As identified in the discussions above, the CSIRO project scenario has been simplified into three broad key elements:</w:t>
      </w:r>
    </w:p>
    <w:p w:rsidR="00E20F47" w:rsidRPr="00161341" w:rsidRDefault="00E20F47" w:rsidP="00161341">
      <w:pPr>
        <w:pStyle w:val="ListDash"/>
        <w:spacing w:before="0" w:after="0" w:line="276" w:lineRule="auto"/>
        <w:ind w:left="714" w:hanging="357"/>
        <w:rPr>
          <w:sz w:val="24"/>
          <w:szCs w:val="24"/>
        </w:rPr>
      </w:pPr>
      <w:r w:rsidRPr="00161341">
        <w:rPr>
          <w:sz w:val="24"/>
          <w:szCs w:val="24"/>
        </w:rPr>
        <w:t>Without CSIRO involvement, progress</w:t>
      </w:r>
      <w:r w:rsidR="00BA7D1D" w:rsidRPr="00161341">
        <w:rPr>
          <w:sz w:val="24"/>
          <w:szCs w:val="24"/>
        </w:rPr>
        <w:t>,</w:t>
      </w:r>
      <w:r w:rsidRPr="00161341">
        <w:rPr>
          <w:sz w:val="24"/>
          <w:szCs w:val="24"/>
        </w:rPr>
        <w:t xml:space="preserve"> and the eventual development of Colvera™</w:t>
      </w:r>
      <w:r w:rsidR="00BA7D1D" w:rsidRPr="00161341">
        <w:rPr>
          <w:sz w:val="24"/>
          <w:szCs w:val="24"/>
        </w:rPr>
        <w:t>,</w:t>
      </w:r>
      <w:r w:rsidRPr="00161341">
        <w:rPr>
          <w:sz w:val="24"/>
          <w:szCs w:val="24"/>
        </w:rPr>
        <w:t xml:space="preserve"> may not have occurred within the same timeframe. The commercial value of first mover advantage is difficult to determine precisely, but given the lack of equivalent technology available at the time Colvera™ was commercialised, we estimate that it would have taken roughly 5 years for other researchers to develop technology that is similar to Colvera™ in the absence of CSIRO.</w:t>
      </w:r>
    </w:p>
    <w:p w:rsidR="00E20F47" w:rsidRPr="00161341" w:rsidRDefault="00E20F47" w:rsidP="00161341">
      <w:pPr>
        <w:pStyle w:val="ListDash"/>
        <w:spacing w:before="0" w:after="0" w:line="276" w:lineRule="auto"/>
        <w:ind w:left="714" w:hanging="357"/>
        <w:rPr>
          <w:sz w:val="24"/>
          <w:szCs w:val="24"/>
        </w:rPr>
      </w:pPr>
      <w:r w:rsidRPr="00161341">
        <w:rPr>
          <w:sz w:val="24"/>
          <w:szCs w:val="24"/>
        </w:rPr>
        <w:t xml:space="preserve">Colvera™ will be launched in the Australian market in 2018 once Australian regulatory requirements, including commercial laboratory accreditation, are met. The impacts are expected similar to those projected for the US market. </w:t>
      </w:r>
    </w:p>
    <w:p w:rsidR="00E20F47" w:rsidRPr="00161341" w:rsidRDefault="00E20F47" w:rsidP="00161341">
      <w:pPr>
        <w:pStyle w:val="ListDash"/>
        <w:spacing w:before="0" w:after="0" w:line="276" w:lineRule="auto"/>
        <w:ind w:left="714" w:hanging="357"/>
        <w:rPr>
          <w:sz w:val="24"/>
          <w:szCs w:val="24"/>
        </w:rPr>
      </w:pPr>
      <w:r w:rsidRPr="00161341">
        <w:rPr>
          <w:sz w:val="24"/>
          <w:szCs w:val="24"/>
        </w:rPr>
        <w:t>The healthcare system and patients in Australia will have access to a blood test that will increase ability to detect primary CRC in early stages.</w:t>
      </w:r>
    </w:p>
    <w:p w:rsidR="00E20F47" w:rsidRPr="00161341" w:rsidRDefault="00E20F47" w:rsidP="00161341">
      <w:pPr>
        <w:pStyle w:val="ListDash"/>
        <w:spacing w:before="0" w:after="0" w:line="276" w:lineRule="auto"/>
        <w:ind w:left="714" w:firstLine="0"/>
        <w:rPr>
          <w:sz w:val="24"/>
          <w:szCs w:val="24"/>
        </w:rPr>
      </w:pP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lastRenderedPageBreak/>
        <w:t>The counterfactual scenario describes what happens if CSIRO’s Colvera™ technology is not implemented and the status quo or extension of current technology prevails. Conversely, the Counterfactual scenario includes the following two broad key elements:</w:t>
      </w:r>
    </w:p>
    <w:p w:rsidR="00E20F47" w:rsidRPr="00161341" w:rsidRDefault="00E20F47" w:rsidP="0096781E">
      <w:pPr>
        <w:pStyle w:val="ListDash"/>
        <w:numPr>
          <w:ilvl w:val="0"/>
          <w:numId w:val="28"/>
        </w:numPr>
        <w:spacing w:before="0" w:after="0" w:line="276" w:lineRule="auto"/>
        <w:rPr>
          <w:sz w:val="24"/>
          <w:szCs w:val="24"/>
        </w:rPr>
      </w:pPr>
      <w:r w:rsidRPr="00161341">
        <w:rPr>
          <w:sz w:val="24"/>
          <w:szCs w:val="24"/>
        </w:rPr>
        <w:t>The current approach, CEA testing for CRC recurrence, would prevail, resulting in slower and less effective monitoring of CRC recurrence.</w:t>
      </w:r>
    </w:p>
    <w:p w:rsidR="00E20F47" w:rsidRPr="00161341" w:rsidRDefault="00E20F47" w:rsidP="0096781E">
      <w:pPr>
        <w:pStyle w:val="ListDash"/>
        <w:numPr>
          <w:ilvl w:val="0"/>
          <w:numId w:val="28"/>
        </w:numPr>
        <w:spacing w:before="0" w:after="0" w:line="276" w:lineRule="auto"/>
        <w:rPr>
          <w:sz w:val="24"/>
          <w:szCs w:val="24"/>
        </w:rPr>
      </w:pPr>
      <w:r w:rsidRPr="00161341">
        <w:rPr>
          <w:sz w:val="24"/>
          <w:szCs w:val="24"/>
        </w:rPr>
        <w:t xml:space="preserve">No adoption of technology similar to Colvera™ as a benign and relatively cost-effective method of monitoring of CRC recurrence in the next 5 years.  </w:t>
      </w:r>
    </w:p>
    <w:p w:rsidR="007E3F58" w:rsidRDefault="007D6047" w:rsidP="00502A60">
      <w:pPr>
        <w:pStyle w:val="Heading1"/>
        <w:ind w:left="1134" w:hanging="1134"/>
      </w:pPr>
      <w:bookmarkStart w:id="32" w:name="_Toc433720768"/>
      <w:bookmarkStart w:id="33" w:name="_Toc494707094"/>
      <w:bookmarkEnd w:id="29"/>
      <w:r>
        <w:t>6</w:t>
      </w:r>
      <w:r>
        <w:tab/>
      </w:r>
      <w:r w:rsidR="00A6092F" w:rsidRPr="004A6CF2">
        <w:t>Evaluating the I</w:t>
      </w:r>
      <w:r w:rsidR="007E3F58" w:rsidRPr="004A6CF2">
        <w:t>mpacts</w:t>
      </w:r>
      <w:bookmarkEnd w:id="32"/>
      <w:bookmarkEnd w:id="33"/>
    </w:p>
    <w:p w:rsidR="00E20F47" w:rsidRPr="00CD30DE" w:rsidRDefault="00E20F47" w:rsidP="00E20F47">
      <w:pPr>
        <w:pStyle w:val="Heading2"/>
        <w:spacing w:before="120" w:after="120"/>
        <w:rPr>
          <w:rFonts w:asciiTheme="minorHAnsi" w:hAnsiTheme="minorHAnsi"/>
          <w:b/>
        </w:rPr>
      </w:pPr>
      <w:bookmarkStart w:id="34" w:name="_Toc488653956"/>
      <w:bookmarkStart w:id="35" w:name="_Toc494707095"/>
      <w:r w:rsidRPr="00CD30DE">
        <w:rPr>
          <w:rFonts w:asciiTheme="minorHAnsi" w:hAnsiTheme="minorHAnsi"/>
          <w:b/>
        </w:rPr>
        <w:t>Cost Benefit Analysis</w:t>
      </w:r>
      <w:bookmarkEnd w:id="34"/>
      <w:r>
        <w:rPr>
          <w:rFonts w:asciiTheme="minorHAnsi" w:hAnsiTheme="minorHAnsi"/>
          <w:b/>
        </w:rPr>
        <w:t xml:space="preserve"> (CBA)</w:t>
      </w:r>
      <w:bookmarkEnd w:id="35"/>
    </w:p>
    <w:p w:rsidR="00E20F47" w:rsidRPr="00161341" w:rsidRDefault="00E20F47" w:rsidP="00161341">
      <w:pPr>
        <w:pStyle w:val="Heading3"/>
        <w:spacing w:before="40" w:after="0" w:line="360" w:lineRule="auto"/>
        <w:rPr>
          <w:sz w:val="24"/>
        </w:rPr>
      </w:pPr>
      <w:r w:rsidRPr="00161341">
        <w:rPr>
          <w:sz w:val="24"/>
        </w:rPr>
        <w:t xml:space="preserve">Modelling approach </w:t>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This section examines the impacts that Colvera™ technology has generated (economic, social, and environmental). This analysis examines two specific types of impacts: economic and non-economic. Economic impacts are considered to be impacts that have a definitive dollar value, such as an increase in productivity or a reduction in costs expended to the Australian healthcare system. Non-economic impacts are those qualitative impacts, such as improved health outcomes. We calculated Colvera™ deployment as a new technology for monitoring CRC recurrence and the counterfactual (or base) scenarios to determine the value of the entire research program’s benefits (where quantification was possible). The counterfactual scenario represents the pathway where the Colvera™ technology is not implemented</w:t>
      </w:r>
      <w:r w:rsidR="005D4F50" w:rsidRPr="00161341">
        <w:rPr>
          <w:rFonts w:asciiTheme="minorHAnsi" w:hAnsiTheme="minorHAnsi"/>
          <w:sz w:val="24"/>
          <w:szCs w:val="24"/>
        </w:rPr>
        <w:t>,</w:t>
      </w:r>
      <w:r w:rsidRPr="00161341">
        <w:rPr>
          <w:rFonts w:asciiTheme="minorHAnsi" w:hAnsiTheme="minorHAnsi"/>
          <w:sz w:val="24"/>
          <w:szCs w:val="24"/>
        </w:rPr>
        <w:t xml:space="preserve"> and a ‘status quo’ or extension of current technology, CEA in this case, prevails. The benefits calculated in the analysis are the net benefits from the program, that is, they are not the difference between the ‘with-’ and ‘without program’ scenarios. The analysis is equivalent to carrying out separate analyses for the ‘with’ and ‘without’ program scenarios, and calculating the difference between them. </w:t>
      </w:r>
    </w:p>
    <w:p w:rsidR="005D4F50" w:rsidRPr="00161341" w:rsidRDefault="005D4F50" w:rsidP="00161341">
      <w:pPr>
        <w:spacing w:after="0" w:line="276" w:lineRule="auto"/>
        <w:rPr>
          <w:rFonts w:asciiTheme="minorHAnsi" w:hAnsiTheme="minorHAnsi"/>
          <w:sz w:val="24"/>
          <w:szCs w:val="24"/>
        </w:rPr>
      </w:pP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Due to data constraints, many of the assumptions required to value the impacts are uncertain. While reasonable and conservative assumptions have been made in the analyses, the results should be viewed with caution. This valuation provides a ball-park estimate of the potential net benefits. Therefore, there is a need for a revision of the valuation once the results of the accurate uptake/adoption become available.</w:t>
      </w:r>
    </w:p>
    <w:p w:rsidR="007D35EF" w:rsidRPr="00161341" w:rsidRDefault="007D35EF" w:rsidP="00161341">
      <w:pPr>
        <w:spacing w:after="0" w:line="276" w:lineRule="auto"/>
        <w:rPr>
          <w:rFonts w:asciiTheme="minorHAnsi" w:hAnsiTheme="minorHAnsi"/>
          <w:sz w:val="28"/>
          <w:szCs w:val="24"/>
        </w:rPr>
      </w:pPr>
    </w:p>
    <w:p w:rsidR="00E20F47" w:rsidRPr="00161341" w:rsidRDefault="00E20F47" w:rsidP="00161341">
      <w:pPr>
        <w:pStyle w:val="Heading3"/>
        <w:spacing w:before="40" w:after="0" w:line="360" w:lineRule="auto"/>
        <w:rPr>
          <w:sz w:val="24"/>
        </w:rPr>
      </w:pPr>
      <w:r w:rsidRPr="00161341">
        <w:rPr>
          <w:sz w:val="24"/>
        </w:rPr>
        <w:t xml:space="preserve">Intervention modelled    </w:t>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 xml:space="preserve">Guidelines for primary CRC patients are generally consistent as recommended by both the American Society of Clinical Oncology (ASCO) and the National Comprehensive Cancer Network (NCCN). A multi-pronged surveillance regimen over five years after initial treatment for patients other than those unable to tolerate curative intent surgical or adjuvant therapy is recommended due to comorbidities. These guidelines are targeted primarily at patients with Stage 2 and 3 primary CRC; but it is also recommended that selected patients with Stage 1 colon and rectal cancer with increased risk factors be considered for surveillance following resection with curative </w:t>
      </w:r>
      <w:r w:rsidRPr="00161341">
        <w:rPr>
          <w:rFonts w:asciiTheme="minorHAnsi" w:hAnsiTheme="minorHAnsi"/>
          <w:sz w:val="24"/>
          <w:szCs w:val="24"/>
        </w:rPr>
        <w:lastRenderedPageBreak/>
        <w:t>intent</w:t>
      </w:r>
      <w:r w:rsidR="00B60A01" w:rsidRPr="00161341">
        <w:rPr>
          <w:rFonts w:asciiTheme="minorHAnsi" w:hAnsiTheme="minorHAnsi"/>
          <w:sz w:val="24"/>
          <w:szCs w:val="24"/>
        </w:rPr>
        <w:t>²</w:t>
      </w:r>
      <w:r w:rsidRPr="00161341">
        <w:rPr>
          <w:rFonts w:asciiTheme="minorHAnsi" w:hAnsiTheme="minorHAnsi"/>
          <w:sz w:val="24"/>
          <w:szCs w:val="24"/>
        </w:rPr>
        <w:t>. The Colvera™ test is recommended as either a replacement for, or adjunct to, CEA</w:t>
      </w:r>
      <w:r w:rsidR="005D4F50" w:rsidRPr="00161341">
        <w:rPr>
          <w:rFonts w:asciiTheme="minorHAnsi" w:hAnsiTheme="minorHAnsi"/>
          <w:sz w:val="24"/>
          <w:szCs w:val="24"/>
        </w:rPr>
        <w:t>,</w:t>
      </w:r>
      <w:r w:rsidRPr="00161341">
        <w:rPr>
          <w:rFonts w:asciiTheme="minorHAnsi" w:hAnsiTheme="minorHAnsi"/>
          <w:sz w:val="24"/>
          <w:szCs w:val="24"/>
        </w:rPr>
        <w:t xml:space="preserve"> as it is twice as sensitive in detection of CRC recurrence. Colvera™ is available by physician order only and </w:t>
      </w:r>
      <w:r w:rsidR="005D4F50" w:rsidRPr="00161341">
        <w:rPr>
          <w:rFonts w:asciiTheme="minorHAnsi" w:hAnsiTheme="minorHAnsi"/>
          <w:sz w:val="24"/>
          <w:szCs w:val="24"/>
        </w:rPr>
        <w:t xml:space="preserve">its </w:t>
      </w:r>
      <w:r w:rsidRPr="00161341">
        <w:rPr>
          <w:rFonts w:asciiTheme="minorHAnsi" w:hAnsiTheme="minorHAnsi"/>
          <w:sz w:val="24"/>
          <w:szCs w:val="24"/>
        </w:rPr>
        <w:t xml:space="preserve">use is limited to patients currently under surveillance for recurrent CRC. The Colvera™ pathway is consistent with, and improves upon, the use of CEA when selecting patients for accelerated imaging and further follow up. Colvera™ is likely to provide improved survival benefit compared to CEA; and to reduce the high costs associated with the detection of more advanced symptomatic recurrent CRC. A positive Colvera™ result indicates a high likelihood of recurrent CRC tumour; and should be followed up with radiographic imaging (chest, abdomen and pelvic CT scans) or other diagnostic workup as clinically appropriate. A negative Colvera™ result indicates a low probability of CRC tumour in the patient; and that no radiographic imaging outside of guideline-recommended intervals scans is warranted. </w:t>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The steps in quantifying the gains from the program are as follows:</w:t>
      </w:r>
    </w:p>
    <w:p w:rsidR="00E20F47" w:rsidRPr="00161341" w:rsidRDefault="00E20F47" w:rsidP="0096781E">
      <w:pPr>
        <w:pStyle w:val="ListParagraph"/>
        <w:numPr>
          <w:ilvl w:val="0"/>
          <w:numId w:val="29"/>
        </w:numPr>
        <w:spacing w:before="0" w:after="0" w:line="276" w:lineRule="auto"/>
        <w:ind w:left="714" w:hanging="357"/>
        <w:rPr>
          <w:rFonts w:asciiTheme="minorHAnsi" w:hAnsiTheme="minorHAnsi"/>
          <w:szCs w:val="22"/>
        </w:rPr>
      </w:pPr>
      <w:r w:rsidRPr="00161341">
        <w:rPr>
          <w:rFonts w:asciiTheme="minorHAnsi" w:hAnsiTheme="minorHAnsi"/>
          <w:szCs w:val="22"/>
        </w:rPr>
        <w:t xml:space="preserve">Estimate the benefits for CRC patients and Australian health systems in the counterfactual case (world without Colvera™ and the world with Colvera™). </w:t>
      </w:r>
    </w:p>
    <w:p w:rsidR="00E20F47" w:rsidRPr="00161341" w:rsidRDefault="00E20F47" w:rsidP="0096781E">
      <w:pPr>
        <w:pStyle w:val="ListParagraph"/>
        <w:numPr>
          <w:ilvl w:val="0"/>
          <w:numId w:val="29"/>
        </w:numPr>
        <w:spacing w:before="0" w:after="0" w:line="276" w:lineRule="auto"/>
        <w:rPr>
          <w:rFonts w:asciiTheme="minorHAnsi" w:hAnsiTheme="minorHAnsi"/>
          <w:szCs w:val="22"/>
        </w:rPr>
      </w:pPr>
      <w:r w:rsidRPr="00161341">
        <w:rPr>
          <w:rFonts w:asciiTheme="minorHAnsi" w:hAnsiTheme="minorHAnsi"/>
          <w:szCs w:val="22"/>
        </w:rPr>
        <w:t xml:space="preserve">Estimate the costs of research and implementation to adopt the technology. </w:t>
      </w:r>
    </w:p>
    <w:p w:rsidR="00E20F47" w:rsidRPr="00E243A6" w:rsidRDefault="00E20F47" w:rsidP="0096781E">
      <w:pPr>
        <w:pStyle w:val="ListParagraph"/>
        <w:numPr>
          <w:ilvl w:val="0"/>
          <w:numId w:val="29"/>
        </w:numPr>
        <w:spacing w:before="0" w:after="0" w:line="276" w:lineRule="auto"/>
        <w:ind w:left="714" w:hanging="357"/>
        <w:rPr>
          <w:rFonts w:asciiTheme="minorHAnsi" w:hAnsiTheme="minorHAnsi"/>
          <w:szCs w:val="22"/>
        </w:rPr>
      </w:pPr>
      <w:r w:rsidRPr="00161341">
        <w:rPr>
          <w:rFonts w:asciiTheme="minorHAnsi" w:hAnsiTheme="minorHAnsi"/>
          <w:szCs w:val="22"/>
        </w:rPr>
        <w:t>Aggregate the costs and benefits to obtain a net benefit. All past benefit flows are compounded forward to 2016/17; and the benefits from 2016/17 are discounted back to 2016/17 at a real discount rate of 7% to convert to a present value in 2016/17.</w:t>
      </w:r>
    </w:p>
    <w:tbl>
      <w:tblPr>
        <w:tblStyle w:val="TableGrid20"/>
        <w:tblW w:w="81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362"/>
        <w:gridCol w:w="437"/>
        <w:gridCol w:w="1900"/>
        <w:gridCol w:w="1853"/>
      </w:tblGrid>
      <w:tr w:rsidR="00F21C70" w:rsidTr="006E79D9">
        <w:trPr>
          <w:cantSplit/>
          <w:trHeight w:val="371"/>
          <w:jc w:val="center"/>
        </w:trPr>
        <w:tc>
          <w:tcPr>
            <w:tcW w:w="570" w:type="dxa"/>
            <w:shd w:val="clear" w:color="auto" w:fill="auto"/>
            <w:tcMar>
              <w:left w:w="57" w:type="dxa"/>
              <w:right w:w="57" w:type="dxa"/>
            </w:tcMar>
            <w:textDirection w:val="btLr"/>
            <w:vAlign w:val="center"/>
          </w:tcPr>
          <w:p w:rsidR="00F21C70" w:rsidRPr="00232FC5" w:rsidRDefault="00F21C70" w:rsidP="00F21C70">
            <w:pPr>
              <w:keepNext/>
              <w:keepLines/>
              <w:numPr>
                <w:ilvl w:val="0"/>
                <w:numId w:val="31"/>
              </w:numPr>
              <w:spacing w:after="0" w:line="200" w:lineRule="atLeast"/>
              <w:ind w:left="113" w:right="113" w:firstLine="0"/>
              <w:jc w:val="center"/>
              <w:rPr>
                <w:rFonts w:ascii="Franklin Gothic Demi" w:eastAsia="Times New Roman" w:hAnsi="Franklin Gothic Demi"/>
                <w:color w:val="FFFFFF" w:themeColor="background1"/>
                <w:sz w:val="20"/>
                <w:szCs w:val="20"/>
                <w:lang w:eastAsia="en-US"/>
              </w:rPr>
            </w:pPr>
          </w:p>
        </w:tc>
        <w:tc>
          <w:tcPr>
            <w:tcW w:w="3362" w:type="dxa"/>
            <w:tcBorders>
              <w:right w:val="single" w:sz="24" w:space="0" w:color="FFFFFF" w:themeColor="background1"/>
            </w:tcBorders>
            <w:shd w:val="clear" w:color="auto" w:fill="008CAC" w:themeFill="accent2" w:themeFillTint="BF"/>
            <w:tcMar>
              <w:left w:w="57" w:type="dxa"/>
              <w:right w:w="57" w:type="dxa"/>
            </w:tcMar>
          </w:tcPr>
          <w:p w:rsidR="00F21C70" w:rsidRPr="00232FC5" w:rsidRDefault="00F21C70" w:rsidP="00C742C5">
            <w:pPr>
              <w:keepNext/>
              <w:keepLines/>
              <w:spacing w:before="80" w:after="80" w:line="200" w:lineRule="atLeast"/>
              <w:jc w:val="center"/>
              <w:rPr>
                <w:rFonts w:ascii="Franklin Gothic Demi" w:eastAsia="Times New Roman" w:hAnsi="Franklin Gothic Demi"/>
                <w:color w:val="FFFFFF"/>
                <w:sz w:val="20"/>
                <w:szCs w:val="20"/>
                <w:lang w:eastAsia="en-US"/>
              </w:rPr>
            </w:pPr>
            <w:r w:rsidRPr="00232FC5">
              <w:rPr>
                <w:rFonts w:ascii="Franklin Gothic Demi" w:eastAsia="Times New Roman" w:hAnsi="Franklin Gothic Demi"/>
                <w:color w:val="FFFFFF"/>
                <w:sz w:val="20"/>
                <w:szCs w:val="20"/>
                <w:lang w:eastAsia="en-US"/>
              </w:rPr>
              <w:t>Base case (without Colvera)</w:t>
            </w:r>
          </w:p>
        </w:tc>
        <w:tc>
          <w:tcPr>
            <w:tcW w:w="4190" w:type="dxa"/>
            <w:gridSpan w:val="3"/>
            <w:tcBorders>
              <w:left w:val="single" w:sz="24" w:space="0" w:color="FFFFFF" w:themeColor="background1"/>
            </w:tcBorders>
            <w:shd w:val="clear" w:color="auto" w:fill="0070C0"/>
            <w:tcMar>
              <w:left w:w="57" w:type="dxa"/>
              <w:right w:w="57" w:type="dxa"/>
            </w:tcMar>
          </w:tcPr>
          <w:p w:rsidR="00F21C70" w:rsidRPr="00232FC5" w:rsidRDefault="00F21C70" w:rsidP="00C742C5">
            <w:pPr>
              <w:keepNext/>
              <w:keepLines/>
              <w:spacing w:before="80" w:after="80" w:line="200" w:lineRule="atLeast"/>
              <w:jc w:val="center"/>
              <w:rPr>
                <w:rFonts w:ascii="Franklin Gothic Demi" w:eastAsia="Times New Roman" w:hAnsi="Franklin Gothic Demi"/>
                <w:color w:val="FFFFFF"/>
                <w:sz w:val="20"/>
                <w:szCs w:val="20"/>
                <w:lang w:eastAsia="en-US"/>
              </w:rPr>
            </w:pPr>
            <w:r w:rsidRPr="00232FC5">
              <w:rPr>
                <w:rFonts w:ascii="Franklin Gothic Demi" w:eastAsia="Times New Roman" w:hAnsi="Franklin Gothic Demi"/>
                <w:color w:val="FFFFFF"/>
                <w:sz w:val="20"/>
                <w:szCs w:val="20"/>
                <w:lang w:eastAsia="en-US"/>
              </w:rPr>
              <w:t>Project case (with Colvera)</w:t>
            </w:r>
          </w:p>
        </w:tc>
      </w:tr>
      <w:tr w:rsidR="00F21C70" w:rsidTr="00C742C5">
        <w:trPr>
          <w:cantSplit/>
          <w:trHeight w:val="1863"/>
          <w:jc w:val="center"/>
        </w:trPr>
        <w:tc>
          <w:tcPr>
            <w:tcW w:w="570" w:type="dxa"/>
            <w:tcBorders>
              <w:bottom w:val="single" w:sz="36" w:space="0" w:color="FFFFFF" w:themeColor="background1"/>
            </w:tcBorders>
            <w:shd w:val="clear" w:color="auto" w:fill="808080" w:themeFill="background2" w:themeFillShade="80"/>
            <w:tcMar>
              <w:left w:w="57" w:type="dxa"/>
              <w:right w:w="57" w:type="dxa"/>
            </w:tcMar>
            <w:textDirection w:val="btLr"/>
            <w:vAlign w:val="center"/>
          </w:tcPr>
          <w:p w:rsidR="00F21C70" w:rsidRPr="005D3596" w:rsidRDefault="00F21C70" w:rsidP="00C742C5">
            <w:pPr>
              <w:keepNext/>
              <w:keepLines/>
              <w:spacing w:line="200" w:lineRule="atLeast"/>
              <w:ind w:right="57"/>
              <w:jc w:val="center"/>
              <w:rPr>
                <w:rFonts w:ascii="Franklin Gothic Demi" w:eastAsia="Times New Roman" w:hAnsi="Franklin Gothic Demi"/>
                <w:color w:val="FFFFFF" w:themeColor="background1"/>
                <w:sz w:val="18"/>
                <w:szCs w:val="17"/>
                <w:lang w:eastAsia="en-US"/>
              </w:rPr>
            </w:pPr>
            <w:r w:rsidRPr="005D3596">
              <w:rPr>
                <w:rFonts w:ascii="Franklin Gothic Demi" w:eastAsia="Times New Roman" w:hAnsi="Franklin Gothic Demi"/>
                <w:color w:val="FFFFFF" w:themeColor="background1"/>
                <w:sz w:val="18"/>
                <w:szCs w:val="17"/>
                <w:lang w:eastAsia="en-US"/>
              </w:rPr>
              <w:t xml:space="preserve">Adoption of Colvera testing </w:t>
            </w:r>
          </w:p>
        </w:tc>
        <w:tc>
          <w:tcPr>
            <w:tcW w:w="3362" w:type="dxa"/>
            <w:tcBorders>
              <w:bottom w:val="single" w:sz="36" w:space="0" w:color="FFFFFF" w:themeColor="background1"/>
              <w:right w:val="single" w:sz="24" w:space="0" w:color="FFFFFF" w:themeColor="background1"/>
            </w:tcBorders>
            <w:shd w:val="clear" w:color="auto" w:fill="D9D9D9" w:themeFill="background2" w:themeFillShade="D9"/>
            <w:tcMar>
              <w:left w:w="57" w:type="dxa"/>
              <w:right w:w="57" w:type="dxa"/>
            </w:tcMar>
          </w:tcPr>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r>
              <w:rPr>
                <w:rFonts w:ascii="Franklin Gothic Book" w:eastAsia="Times New Roman" w:hAnsi="Franklin Gothic Book"/>
                <w:noProof/>
                <w:color w:val="auto"/>
                <w:sz w:val="16"/>
                <w:szCs w:val="17"/>
              </w:rPr>
              <mc:AlternateContent>
                <mc:Choice Requires="wps">
                  <w:drawing>
                    <wp:anchor distT="0" distB="0" distL="114300" distR="114300" simplePos="0" relativeHeight="251831808" behindDoc="0" locked="0" layoutInCell="1" allowOverlap="1" wp14:anchorId="34845629" wp14:editId="53EA2B46">
                      <wp:simplePos x="0" y="0"/>
                      <wp:positionH relativeFrom="column">
                        <wp:posOffset>588270</wp:posOffset>
                      </wp:positionH>
                      <wp:positionV relativeFrom="paragraph">
                        <wp:posOffset>745798</wp:posOffset>
                      </wp:positionV>
                      <wp:extent cx="4578" cy="533707"/>
                      <wp:effectExtent l="76200" t="0" r="71755" b="57150"/>
                      <wp:wrapNone/>
                      <wp:docPr id="210" name="Straight Arrow Connector 210"/>
                      <wp:cNvGraphicFramePr/>
                      <a:graphic xmlns:a="http://schemas.openxmlformats.org/drawingml/2006/main">
                        <a:graphicData uri="http://schemas.microsoft.com/office/word/2010/wordprocessingShape">
                          <wps:wsp>
                            <wps:cNvCnPr/>
                            <wps:spPr>
                              <a:xfrm>
                                <a:off x="0" y="0"/>
                                <a:ext cx="4578" cy="533707"/>
                              </a:xfrm>
                              <a:prstGeom prst="straightConnector1">
                                <a:avLst/>
                              </a:prstGeom>
                              <a:noFill/>
                              <a:ln w="12700" cap="flat" cmpd="sng" algn="ctr">
                                <a:solidFill>
                                  <a:srgbClr val="5B9BD5"/>
                                </a:solidFill>
                                <a:prstDash val="solid"/>
                                <a:miter lim="800000"/>
                                <a:tailEnd type="triangle"/>
                              </a:ln>
                              <a:effectLst/>
                            </wps:spPr>
                            <wps:bodyPr/>
                          </wps:wsp>
                        </a:graphicData>
                      </a:graphic>
                    </wp:anchor>
                  </w:drawing>
                </mc:Choice>
                <mc:Fallback>
                  <w:pict>
                    <v:shapetype w14:anchorId="3576B960" id="_x0000_t32" coordsize="21600,21600" o:spt="32" o:oned="t" path="m,l21600,21600e" filled="f">
                      <v:path arrowok="t" fillok="f" o:connecttype="none"/>
                      <o:lock v:ext="edit" shapetype="t"/>
                    </v:shapetype>
                    <v:shape id="Straight Arrow Connector 210" o:spid="_x0000_s1026" type="#_x0000_t32" style="position:absolute;margin-left:46.3pt;margin-top:58.7pt;width:.35pt;height:42pt;z-index:251831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" strokecolor="#5b9bd5" strokeweight="1pt">
                      <v:stroke endarrow="block" joinstyle="miter"/>
                    </v:shape>
                  </w:pict>
                </mc:Fallback>
              </mc:AlternateContent>
            </w:r>
            <w:r>
              <w:rPr>
                <w:rFonts w:ascii="Franklin Gothic Book" w:eastAsia="Times New Roman" w:hAnsi="Franklin Gothic Book"/>
                <w:noProof/>
                <w:color w:val="auto"/>
                <w:sz w:val="16"/>
                <w:szCs w:val="17"/>
              </w:rPr>
              <mc:AlternateContent>
                <mc:Choice Requires="wps">
                  <w:drawing>
                    <wp:anchor distT="0" distB="0" distL="114300" distR="114300" simplePos="0" relativeHeight="251832832" behindDoc="0" locked="0" layoutInCell="1" allowOverlap="1" wp14:anchorId="598B081A" wp14:editId="45C2A7F5">
                      <wp:simplePos x="0" y="0"/>
                      <wp:positionH relativeFrom="column">
                        <wp:posOffset>48482</wp:posOffset>
                      </wp:positionH>
                      <wp:positionV relativeFrom="paragraph">
                        <wp:posOffset>44258</wp:posOffset>
                      </wp:positionV>
                      <wp:extent cx="1089329" cy="1033654"/>
                      <wp:effectExtent l="0" t="0" r="15875" b="14605"/>
                      <wp:wrapNone/>
                      <wp:docPr id="211" name="Rectangle 211"/>
                      <wp:cNvGraphicFramePr/>
                      <a:graphic xmlns:a="http://schemas.openxmlformats.org/drawingml/2006/main">
                        <a:graphicData uri="http://schemas.microsoft.com/office/word/2010/wordprocessingShape">
                          <wps:wsp>
                            <wps:cNvSpPr/>
                            <wps:spPr>
                              <a:xfrm>
                                <a:off x="0" y="0"/>
                                <a:ext cx="1089329" cy="1033654"/>
                              </a:xfrm>
                              <a:prstGeom prst="rect">
                                <a:avLst/>
                              </a:prstGeom>
                              <a:solidFill>
                                <a:schemeClr val="accent2">
                                  <a:lumMod val="10000"/>
                                  <a:lumOff val="90000"/>
                                </a:schemeClr>
                              </a:solidFill>
                              <a:ln w="9525" cap="flat" cmpd="sng" algn="ctr">
                                <a:solidFill>
                                  <a:srgbClr val="5B9BD5"/>
                                </a:solidFill>
                                <a:prstDash val="solid"/>
                                <a:miter lim="800000"/>
                              </a:ln>
                              <a:effectLst/>
                            </wps:spPr>
                            <wps:txbx>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Adoption of CEA testing and other multi-pronged surveillance regime (office visit, CT scans, </w:t>
                                  </w:r>
                                  <w:r w:rsidRPr="009562CD">
                                    <w:rPr>
                                      <w:rFonts w:asciiTheme="minorHAnsi" w:hAnsiTheme="minorHAnsi" w:cstheme="minorHAnsi"/>
                                      <w:color w:val="000000" w:themeColor="text2"/>
                                      <w:szCs w:val="15"/>
                                      <w:lang w:val="en-US"/>
                                    </w:rPr>
                                    <w:t>colonoscopy</w:t>
                                  </w:r>
                                  <w:r w:rsidRPr="009562CD">
                                    <w:rPr>
                                      <w:rFonts w:asciiTheme="minorHAnsi" w:hAnsiTheme="minorHAnsi" w:cstheme="minorHAnsi"/>
                                      <w:color w:val="000000" w:themeColor="text1"/>
                                      <w:szCs w:val="15"/>
                                      <w:lang w:val="en-US"/>
                                    </w:rPr>
                                    <w:t>, proctoscopy)</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598B081A" id="Rectangle 211" o:spid="_x0000_s1071" style="position:absolute;left:0;text-align:left;margin-left:3.8pt;margin-top:3.5pt;width:85.75pt;height:81.4pt;z-index:25183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" fillcolor="#d2f6ff [341]" strokecolor="#5b9bd5">
                      <v:textbox inset="1mm,1mm,1mm,1mm">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Adoption of CEA testing and other multi-pronged surveillance regime (office visit, CT scans, </w:t>
                            </w:r>
                            <w:r w:rsidRPr="009562CD">
                              <w:rPr>
                                <w:rFonts w:asciiTheme="minorHAnsi" w:hAnsiTheme="minorHAnsi" w:cstheme="minorHAnsi"/>
                                <w:color w:val="000000" w:themeColor="text2"/>
                                <w:szCs w:val="15"/>
                                <w:lang w:val="en-US"/>
                              </w:rPr>
                              <w:t>colonoscopy</w:t>
                            </w:r>
                            <w:r w:rsidRPr="009562CD">
                              <w:rPr>
                                <w:rFonts w:asciiTheme="minorHAnsi" w:hAnsiTheme="minorHAnsi" w:cstheme="minorHAnsi"/>
                                <w:color w:val="000000" w:themeColor="text1"/>
                                <w:szCs w:val="15"/>
                                <w:lang w:val="en-US"/>
                              </w:rPr>
                              <w:t>, proctoscopy)</w:t>
                            </w:r>
                          </w:p>
                        </w:txbxContent>
                      </v:textbox>
                    </v:rect>
                  </w:pict>
                </mc:Fallback>
              </mc:AlternateContent>
            </w:r>
          </w:p>
          <w:p w:rsidR="00F21C70" w:rsidRPr="009562CD" w:rsidRDefault="00F21C70" w:rsidP="00C742C5">
            <w:pPr>
              <w:rPr>
                <w:rFonts w:ascii="Franklin Gothic Book" w:eastAsia="Times New Roman" w:hAnsi="Franklin Gothic Book"/>
                <w:sz w:val="16"/>
                <w:szCs w:val="17"/>
                <w:lang w:eastAsia="en-US"/>
              </w:rPr>
            </w:pPr>
          </w:p>
          <w:p w:rsidR="00F21C70" w:rsidRPr="009562CD" w:rsidRDefault="00F21C70" w:rsidP="00C742C5">
            <w:pPr>
              <w:rPr>
                <w:rFonts w:ascii="Franklin Gothic Book" w:eastAsia="Times New Roman" w:hAnsi="Franklin Gothic Book"/>
                <w:sz w:val="16"/>
                <w:szCs w:val="17"/>
                <w:lang w:eastAsia="en-US"/>
              </w:rPr>
            </w:pPr>
          </w:p>
          <w:p w:rsidR="00F21C70" w:rsidRDefault="00F21C70" w:rsidP="00C742C5">
            <w:pPr>
              <w:rPr>
                <w:rFonts w:ascii="Franklin Gothic Book" w:eastAsia="Times New Roman" w:hAnsi="Franklin Gothic Book"/>
                <w:sz w:val="16"/>
                <w:szCs w:val="17"/>
                <w:lang w:eastAsia="en-US"/>
              </w:rPr>
            </w:pPr>
          </w:p>
          <w:p w:rsidR="00F21C70" w:rsidRPr="009562CD" w:rsidRDefault="00F21C70" w:rsidP="00C742C5">
            <w:pPr>
              <w:jc w:val="right"/>
              <w:rPr>
                <w:rFonts w:ascii="Franklin Gothic Book" w:eastAsia="Times New Roman" w:hAnsi="Franklin Gothic Book"/>
                <w:sz w:val="16"/>
                <w:szCs w:val="17"/>
                <w:lang w:eastAsia="en-US"/>
              </w:rPr>
            </w:pPr>
          </w:p>
        </w:tc>
        <w:tc>
          <w:tcPr>
            <w:tcW w:w="437" w:type="dxa"/>
            <w:tcBorders>
              <w:left w:val="single" w:sz="24" w:space="0" w:color="FFFFFF" w:themeColor="background1"/>
              <w:bottom w:val="single" w:sz="36" w:space="0" w:color="FFFFFF" w:themeColor="background1"/>
              <w:right w:val="single" w:sz="12" w:space="0" w:color="FFFFFF" w:themeColor="background1"/>
            </w:tcBorders>
            <w:shd w:val="clear" w:color="auto" w:fill="F2F2F2" w:themeFill="background2" w:themeFillShade="F2"/>
            <w:tcMar>
              <w:left w:w="57" w:type="dxa"/>
              <w:right w:w="57" w:type="dxa"/>
            </w:tcMar>
          </w:tcPr>
          <w:p w:rsidR="00F21C70" w:rsidRPr="00232FC5"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tc>
        <w:tc>
          <w:tcPr>
            <w:tcW w:w="1900" w:type="dxa"/>
            <w:tcBorders>
              <w:left w:val="single" w:sz="12" w:space="0" w:color="FFFFFF" w:themeColor="background1"/>
              <w:bottom w:val="single" w:sz="36" w:space="0" w:color="FFFFFF" w:themeColor="background1"/>
              <w:right w:val="single" w:sz="12" w:space="0" w:color="FFFFFF" w:themeColor="background1"/>
            </w:tcBorders>
            <w:shd w:val="clear" w:color="auto" w:fill="F2F2F2" w:themeFill="background2" w:themeFillShade="F2"/>
          </w:tcPr>
          <w:p w:rsidR="00F21C70" w:rsidRPr="00232FC5" w:rsidRDefault="00F21C70" w:rsidP="00C742C5">
            <w:pPr>
              <w:keepNext/>
              <w:keepLines/>
              <w:numPr>
                <w:ilvl w:val="0"/>
                <w:numId w:val="8"/>
              </w:numPr>
              <w:tabs>
                <w:tab w:val="clear" w:pos="227"/>
                <w:tab w:val="num" w:pos="360"/>
              </w:tabs>
              <w:spacing w:before="80" w:after="80" w:line="200" w:lineRule="atLeast"/>
              <w:ind w:left="0" w:firstLine="0"/>
              <w:jc w:val="right"/>
              <w:rPr>
                <w:rFonts w:ascii="Franklin Gothic Book" w:eastAsia="Times New Roman" w:hAnsi="Franklin Gothic Book"/>
                <w:color w:val="auto"/>
                <w:sz w:val="16"/>
                <w:szCs w:val="17"/>
                <w:lang w:eastAsia="en-US"/>
              </w:rPr>
            </w:pPr>
            <w:r>
              <w:rPr>
                <w:rFonts w:ascii="Franklin Gothic Book" w:eastAsia="Times New Roman" w:hAnsi="Franklin Gothic Book"/>
                <w:noProof/>
                <w:color w:val="auto"/>
                <w:sz w:val="16"/>
                <w:szCs w:val="17"/>
              </w:rPr>
              <mc:AlternateContent>
                <mc:Choice Requires="wps">
                  <w:drawing>
                    <wp:anchor distT="0" distB="0" distL="114300" distR="114300" simplePos="0" relativeHeight="251827712" behindDoc="0" locked="0" layoutInCell="1" allowOverlap="1" wp14:anchorId="57B24C07" wp14:editId="6E1B8334">
                      <wp:simplePos x="0" y="0"/>
                      <wp:positionH relativeFrom="column">
                        <wp:posOffset>523508</wp:posOffset>
                      </wp:positionH>
                      <wp:positionV relativeFrom="paragraph">
                        <wp:posOffset>795098</wp:posOffset>
                      </wp:positionV>
                      <wp:extent cx="3887" cy="467755"/>
                      <wp:effectExtent l="76200" t="0" r="72390" b="66040"/>
                      <wp:wrapNone/>
                      <wp:docPr id="1578" name="Straight Arrow Connector 1578"/>
                      <wp:cNvGraphicFramePr/>
                      <a:graphic xmlns:a="http://schemas.openxmlformats.org/drawingml/2006/main">
                        <a:graphicData uri="http://schemas.microsoft.com/office/word/2010/wordprocessingShape">
                          <wps:wsp>
                            <wps:cNvCnPr/>
                            <wps:spPr>
                              <a:xfrm>
                                <a:off x="0" y="0"/>
                                <a:ext cx="3887" cy="467755"/>
                              </a:xfrm>
                              <a:prstGeom prst="straightConnector1">
                                <a:avLst/>
                              </a:prstGeom>
                              <a:solidFill>
                                <a:srgbClr val="ED7D31">
                                  <a:lumMod val="20000"/>
                                  <a:lumOff val="80000"/>
                                </a:srgbClr>
                              </a:solidFill>
                              <a:ln w="12700" cap="flat" cmpd="sng" algn="ctr">
                                <a:solidFill>
                                  <a:schemeClr val="accent5">
                                    <a:lumMod val="75000"/>
                                  </a:schemeClr>
                                </a:solidFill>
                                <a:prstDash val="solid"/>
                                <a:miter lim="800000"/>
                                <a:tailEnd type="triangle"/>
                              </a:ln>
                              <a:effectLst/>
                            </wps:spPr>
                            <wps:bodyPr/>
                          </wps:wsp>
                        </a:graphicData>
                      </a:graphic>
                    </wp:anchor>
                  </w:drawing>
                </mc:Choice>
                <mc:Fallback>
                  <w:pict>
                    <v:shape w14:anchorId="479E5ABE" id="Straight Arrow Connector 1578" o:spid="_x0000_s1026" type="#_x0000_t32" style="position:absolute;margin-left:41.2pt;margin-top:62.6pt;width:.3pt;height:36.85pt;z-index:25182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" filled="t" fillcolor="#fbe5d6" strokecolor="#526cd0 [2408]" strokeweight="1pt">
                      <v:stroke endarrow="block" joinstyle="miter"/>
                    </v:shape>
                  </w:pict>
                </mc:Fallback>
              </mc:AlternateContent>
            </w:r>
            <w:r>
              <w:rPr>
                <w:rFonts w:ascii="Franklin Gothic Book" w:eastAsia="Times New Roman" w:hAnsi="Franklin Gothic Book"/>
                <w:noProof/>
                <w:color w:val="auto"/>
                <w:sz w:val="16"/>
                <w:szCs w:val="17"/>
              </w:rPr>
              <mc:AlternateContent>
                <mc:Choice Requires="wps">
                  <w:drawing>
                    <wp:anchor distT="0" distB="0" distL="114300" distR="114300" simplePos="0" relativeHeight="251828736" behindDoc="0" locked="0" layoutInCell="1" allowOverlap="1" wp14:anchorId="308559DA" wp14:editId="06D4D2B2">
                      <wp:simplePos x="0" y="0"/>
                      <wp:positionH relativeFrom="column">
                        <wp:posOffset>6690</wp:posOffset>
                      </wp:positionH>
                      <wp:positionV relativeFrom="paragraph">
                        <wp:posOffset>44258</wp:posOffset>
                      </wp:positionV>
                      <wp:extent cx="1033110" cy="1026465"/>
                      <wp:effectExtent l="0" t="0" r="15240" b="21590"/>
                      <wp:wrapNone/>
                      <wp:docPr id="1579" name="Rectangle 1579"/>
                      <wp:cNvGraphicFramePr/>
                      <a:graphic xmlns:a="http://schemas.openxmlformats.org/drawingml/2006/main">
                        <a:graphicData uri="http://schemas.microsoft.com/office/word/2010/wordprocessingShape">
                          <wps:wsp>
                            <wps:cNvSpPr/>
                            <wps:spPr>
                              <a:xfrm>
                                <a:off x="0" y="0"/>
                                <a:ext cx="1033110" cy="1026465"/>
                              </a:xfrm>
                              <a:prstGeom prst="rect">
                                <a:avLst/>
                              </a:prstGeom>
                              <a:solidFill>
                                <a:schemeClr val="accent5">
                                  <a:lumMod val="20000"/>
                                  <a:lumOff val="80000"/>
                                </a:schemeClr>
                              </a:solidFill>
                              <a:ln w="9525" cap="flat" cmpd="sng" algn="ctr">
                                <a:solidFill>
                                  <a:schemeClr val="accent5">
                                    <a:lumMod val="75000"/>
                                  </a:schemeClr>
                                </a:solidFill>
                                <a:prstDash val="solid"/>
                                <a:miter lim="800000"/>
                              </a:ln>
                              <a:effectLst/>
                            </wps:spPr>
                            <wps:txbx>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Adoption of Colvera testing and other multi-pronged surveillance regime (office visit, CT scans, colonoscopy, proctoscopy)</w:t>
                                  </w:r>
                                </w:p>
                                <w:p w:rsidR="00F21C70" w:rsidRPr="00B62C3D" w:rsidRDefault="00F21C70" w:rsidP="00F21C70">
                                  <w:pPr>
                                    <w:pStyle w:val="ChartText"/>
                                    <w:spacing w:after="0" w:line="240" w:lineRule="auto"/>
                                    <w:jc w:val="center"/>
                                    <w:rPr>
                                      <w:color w:val="000000" w:themeColor="text1"/>
                                      <w:sz w:val="15"/>
                                      <w:szCs w:val="15"/>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308559DA" id="Rectangle 1579" o:spid="_x0000_s1072" style="position:absolute;left:0;text-align:left;margin-left:.55pt;margin-top:3.5pt;width:81.35pt;height:80.8pt;z-index:25182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" fillcolor="#ebeef9 [664]" strokecolor="#526cd0 [2408]">
                      <v:textbox inset="1mm,1mm,1mm,1mm">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Adoption of </w:t>
                            </w:r>
                            <w:proofErr w:type="spellStart"/>
                            <w:r w:rsidRPr="009562CD">
                              <w:rPr>
                                <w:rFonts w:asciiTheme="minorHAnsi" w:hAnsiTheme="minorHAnsi" w:cstheme="minorHAnsi"/>
                                <w:color w:val="000000" w:themeColor="text1"/>
                                <w:szCs w:val="15"/>
                                <w:lang w:val="en-US"/>
                              </w:rPr>
                              <w:t>Colvera</w:t>
                            </w:r>
                            <w:proofErr w:type="spellEnd"/>
                            <w:r w:rsidRPr="009562CD">
                              <w:rPr>
                                <w:rFonts w:asciiTheme="minorHAnsi" w:hAnsiTheme="minorHAnsi" w:cstheme="minorHAnsi"/>
                                <w:color w:val="000000" w:themeColor="text1"/>
                                <w:szCs w:val="15"/>
                                <w:lang w:val="en-US"/>
                              </w:rPr>
                              <w:t xml:space="preserve"> testing and other multi-pronged surveillance regime (office visit, CT scans, colonoscopy, proctoscopy)</w:t>
                            </w:r>
                          </w:p>
                          <w:p w:rsidR="00F21C70" w:rsidRPr="00B62C3D" w:rsidRDefault="00F21C70" w:rsidP="00F21C70">
                            <w:pPr>
                              <w:pStyle w:val="ChartText"/>
                              <w:spacing w:after="0" w:line="240" w:lineRule="auto"/>
                              <w:jc w:val="center"/>
                              <w:rPr>
                                <w:color w:val="000000" w:themeColor="text1"/>
                                <w:sz w:val="15"/>
                                <w:szCs w:val="15"/>
                                <w:lang w:val="en-US"/>
                              </w:rPr>
                            </w:pPr>
                          </w:p>
                        </w:txbxContent>
                      </v:textbox>
                    </v:rect>
                  </w:pict>
                </mc:Fallback>
              </mc:AlternateContent>
            </w:r>
          </w:p>
        </w:tc>
        <w:tc>
          <w:tcPr>
            <w:tcW w:w="1853" w:type="dxa"/>
            <w:tcBorders>
              <w:left w:val="single" w:sz="12" w:space="0" w:color="FFFFFF" w:themeColor="background1"/>
              <w:bottom w:val="single" w:sz="36" w:space="0" w:color="FFFFFF" w:themeColor="background1"/>
            </w:tcBorders>
            <w:shd w:val="clear" w:color="auto" w:fill="F2F2F2" w:themeFill="background2" w:themeFillShade="F2"/>
          </w:tcPr>
          <w:p w:rsidR="00F21C70" w:rsidRPr="00232FC5"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tc>
      </w:tr>
      <w:tr w:rsidR="00F21C70" w:rsidTr="00C742C5">
        <w:trPr>
          <w:cantSplit/>
          <w:trHeight w:val="3273"/>
          <w:jc w:val="center"/>
        </w:trPr>
        <w:tc>
          <w:tcPr>
            <w:tcW w:w="570" w:type="dxa"/>
            <w:tcBorders>
              <w:top w:val="single" w:sz="36" w:space="0" w:color="FFFFFF" w:themeColor="background1"/>
              <w:bottom w:val="single" w:sz="36" w:space="0" w:color="FFFFFF" w:themeColor="background1"/>
            </w:tcBorders>
            <w:shd w:val="clear" w:color="auto" w:fill="808080" w:themeFill="background2" w:themeFillShade="80"/>
            <w:tcMar>
              <w:left w:w="57" w:type="dxa"/>
              <w:right w:w="57" w:type="dxa"/>
            </w:tcMar>
            <w:textDirection w:val="btLr"/>
            <w:vAlign w:val="center"/>
          </w:tcPr>
          <w:p w:rsidR="00F21C70" w:rsidRPr="005D3596" w:rsidRDefault="00F21C70" w:rsidP="00C742C5">
            <w:pPr>
              <w:keepNext/>
              <w:keepLines/>
              <w:spacing w:line="200" w:lineRule="atLeast"/>
              <w:ind w:right="113"/>
              <w:jc w:val="center"/>
              <w:rPr>
                <w:rFonts w:ascii="Franklin Gothic Demi" w:eastAsia="Times New Roman" w:hAnsi="Franklin Gothic Demi"/>
                <w:color w:val="FFFFFF" w:themeColor="background1"/>
                <w:sz w:val="18"/>
                <w:szCs w:val="17"/>
                <w:lang w:eastAsia="en-US"/>
              </w:rPr>
            </w:pPr>
            <w:r w:rsidRPr="005D3596">
              <w:rPr>
                <w:rFonts w:ascii="Franklin Gothic Demi" w:eastAsia="Times New Roman" w:hAnsi="Franklin Gothic Demi"/>
                <w:color w:val="FFFFFF" w:themeColor="background1"/>
                <w:sz w:val="18"/>
                <w:szCs w:val="17"/>
                <w:lang w:eastAsia="en-US"/>
              </w:rPr>
              <w:t>Costs</w:t>
            </w:r>
          </w:p>
        </w:tc>
        <w:tc>
          <w:tcPr>
            <w:tcW w:w="3362" w:type="dxa"/>
            <w:tcBorders>
              <w:top w:val="single" w:sz="36" w:space="0" w:color="FFFFFF" w:themeColor="background1"/>
              <w:bottom w:val="single" w:sz="36" w:space="0" w:color="FFFFFF" w:themeColor="background1"/>
              <w:right w:val="single" w:sz="24" w:space="0" w:color="FFFFFF" w:themeColor="background1"/>
            </w:tcBorders>
            <w:shd w:val="clear" w:color="auto" w:fill="D9D9D9" w:themeFill="background2" w:themeFillShade="D9"/>
            <w:tcMar>
              <w:left w:w="57" w:type="dxa"/>
              <w:right w:w="57" w:type="dxa"/>
            </w:tcMar>
          </w:tcPr>
          <w:p w:rsidR="00F21C70" w:rsidRPr="00232FC5"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r>
              <w:rPr>
                <w:rFonts w:ascii="Franklin Gothic Book" w:eastAsia="Times New Roman" w:hAnsi="Franklin Gothic Book"/>
                <w:noProof/>
                <w:color w:val="auto"/>
                <w:sz w:val="16"/>
                <w:szCs w:val="17"/>
              </w:rPr>
              <mc:AlternateContent>
                <mc:Choice Requires="wps">
                  <w:drawing>
                    <wp:anchor distT="0" distB="0" distL="114300" distR="114300" simplePos="0" relativeHeight="251833856" behindDoc="0" locked="0" layoutInCell="1" allowOverlap="1" wp14:anchorId="2DA3A99E" wp14:editId="7AAED9A7">
                      <wp:simplePos x="0" y="0"/>
                      <wp:positionH relativeFrom="column">
                        <wp:posOffset>69747</wp:posOffset>
                      </wp:positionH>
                      <wp:positionV relativeFrom="paragraph">
                        <wp:posOffset>728596</wp:posOffset>
                      </wp:positionV>
                      <wp:extent cx="1033200" cy="797442"/>
                      <wp:effectExtent l="0" t="0" r="14605" b="22225"/>
                      <wp:wrapNone/>
                      <wp:docPr id="209" name="Rectangle 209"/>
                      <wp:cNvGraphicFramePr/>
                      <a:graphic xmlns:a="http://schemas.openxmlformats.org/drawingml/2006/main">
                        <a:graphicData uri="http://schemas.microsoft.com/office/word/2010/wordprocessingShape">
                          <wps:wsp>
                            <wps:cNvSpPr/>
                            <wps:spPr>
                              <a:xfrm>
                                <a:off x="0" y="0"/>
                                <a:ext cx="1033200" cy="797442"/>
                              </a:xfrm>
                              <a:prstGeom prst="rect">
                                <a:avLst/>
                              </a:prstGeom>
                              <a:solidFill>
                                <a:schemeClr val="accent2">
                                  <a:lumMod val="10000"/>
                                  <a:lumOff val="90000"/>
                                </a:schemeClr>
                              </a:solidFill>
                              <a:ln w="9525" cap="flat" cmpd="sng" algn="ctr">
                                <a:solidFill>
                                  <a:srgbClr val="5B9BD5"/>
                                </a:solidFill>
                                <a:prstDash val="solid"/>
                                <a:miter lim="800000"/>
                              </a:ln>
                              <a:effectLst/>
                            </wps:spPr>
                            <wps:txbx>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Costs to society for lost productivity and health care costs for diagnosis and treatments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A3A99E" id="Rectangle 209" o:spid="_x0000_s1073" style="position:absolute;left:0;text-align:left;margin-left:5.5pt;margin-top:57.35pt;width:81.35pt;height:62.8pt;z-index:251833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" fillcolor="#d2f6ff [341]" strokecolor="#5b9bd5">
                      <v:textbox inset="1mm,1mm,1mm,1mm">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Costs to society for lost productivity and health care costs for diagnosis and treatments </w:t>
                            </w:r>
                          </w:p>
                        </w:txbxContent>
                      </v:textbox>
                    </v:rect>
                  </w:pict>
                </mc:Fallback>
              </mc:AlternateContent>
            </w:r>
            <w:r w:rsidRPr="00232FC5">
              <w:rPr>
                <w:rFonts w:ascii="Franklin Gothic Book" w:eastAsia="Times New Roman" w:hAnsi="Franklin Gothic Book"/>
                <w:noProof/>
                <w:color w:val="auto"/>
                <w:sz w:val="16"/>
                <w:szCs w:val="17"/>
              </w:rPr>
              <mc:AlternateContent>
                <mc:Choice Requires="wps">
                  <w:drawing>
                    <wp:anchor distT="0" distB="0" distL="114300" distR="114300" simplePos="0" relativeHeight="251838976" behindDoc="0" locked="0" layoutInCell="1" allowOverlap="1" wp14:anchorId="20E0D1E8" wp14:editId="6BE17D08">
                      <wp:simplePos x="0" y="0"/>
                      <wp:positionH relativeFrom="column">
                        <wp:posOffset>62865</wp:posOffset>
                      </wp:positionH>
                      <wp:positionV relativeFrom="paragraph">
                        <wp:posOffset>49202</wp:posOffset>
                      </wp:positionV>
                      <wp:extent cx="1033200" cy="644400"/>
                      <wp:effectExtent l="0" t="0" r="14605" b="22860"/>
                      <wp:wrapNone/>
                      <wp:docPr id="239" name="Rectangle 239"/>
                      <wp:cNvGraphicFramePr/>
                      <a:graphic xmlns:a="http://schemas.openxmlformats.org/drawingml/2006/main">
                        <a:graphicData uri="http://schemas.microsoft.com/office/word/2010/wordprocessingShape">
                          <wps:wsp>
                            <wps:cNvSpPr/>
                            <wps:spPr>
                              <a:xfrm>
                                <a:off x="0" y="0"/>
                                <a:ext cx="1033200" cy="644400"/>
                              </a:xfrm>
                              <a:prstGeom prst="rect">
                                <a:avLst/>
                              </a:prstGeom>
                              <a:solidFill>
                                <a:schemeClr val="accent2">
                                  <a:lumMod val="10000"/>
                                  <a:lumOff val="90000"/>
                                </a:schemeClr>
                              </a:solidFill>
                              <a:ln w="9525" cap="flat" cmpd="sng" algn="ctr">
                                <a:solidFill>
                                  <a:srgbClr val="5B9BD5"/>
                                </a:solidFill>
                                <a:prstDash val="solid"/>
                                <a:miter lim="800000"/>
                              </a:ln>
                              <a:effectLst/>
                            </wps:spPr>
                            <wps:txbx>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Costs to CRC patients for the surveillance regimen over five years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0D1E8" id="Rectangle 239" o:spid="_x0000_s1074" style="position:absolute;left:0;text-align:left;margin-left:4.95pt;margin-top:3.85pt;width:81.35pt;height:50.7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" fillcolor="#d2f6ff [341]" strokecolor="#5b9bd5">
                      <v:textbox inset="1mm,1mm,1mm,1mm">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Costs to CRC patients for the surveillance regimen over five years</w:t>
                            </w:r>
                          </w:p>
                        </w:txbxContent>
                      </v:textbox>
                    </v:rect>
                  </w:pict>
                </mc:Fallback>
              </mc:AlternateContent>
            </w:r>
          </w:p>
        </w:tc>
        <w:tc>
          <w:tcPr>
            <w:tcW w:w="437" w:type="dxa"/>
            <w:tcBorders>
              <w:top w:val="single" w:sz="36" w:space="0" w:color="FFFFFF" w:themeColor="background1"/>
              <w:left w:val="single" w:sz="24" w:space="0" w:color="FFFFFF" w:themeColor="background1"/>
              <w:bottom w:val="single" w:sz="36" w:space="0" w:color="FFFFFF" w:themeColor="background1"/>
              <w:right w:val="single" w:sz="12" w:space="0" w:color="FFFFFF" w:themeColor="background1"/>
            </w:tcBorders>
            <w:shd w:val="clear" w:color="auto" w:fill="F2F2F2" w:themeFill="background2" w:themeFillShade="F2"/>
            <w:tcMar>
              <w:left w:w="57" w:type="dxa"/>
              <w:right w:w="57" w:type="dxa"/>
            </w:tcMar>
          </w:tcPr>
          <w:p w:rsidR="00F21C70" w:rsidRPr="00232FC5"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tc>
        <w:tc>
          <w:tcPr>
            <w:tcW w:w="1900" w:type="dxa"/>
            <w:tcBorders>
              <w:top w:val="single" w:sz="36" w:space="0" w:color="FFFFFF" w:themeColor="background1"/>
              <w:left w:val="single" w:sz="12" w:space="0" w:color="FFFFFF" w:themeColor="background1"/>
              <w:bottom w:val="single" w:sz="36" w:space="0" w:color="FFFFFF" w:themeColor="background1"/>
              <w:right w:val="single" w:sz="12" w:space="0" w:color="FFFFFF" w:themeColor="background1"/>
            </w:tcBorders>
            <w:shd w:val="clear" w:color="auto" w:fill="F2F2F2" w:themeFill="background2" w:themeFillShade="F2"/>
          </w:tcPr>
          <w:p w:rsidR="00F21C70" w:rsidRPr="00232FC5" w:rsidRDefault="00F21C70" w:rsidP="00C742C5">
            <w:pPr>
              <w:keepNext/>
              <w:keepLines/>
              <w:numPr>
                <w:ilvl w:val="0"/>
                <w:numId w:val="8"/>
              </w:numPr>
              <w:tabs>
                <w:tab w:val="clear" w:pos="227"/>
                <w:tab w:val="num" w:pos="360"/>
              </w:tabs>
              <w:spacing w:before="80" w:after="80" w:line="200" w:lineRule="atLeast"/>
              <w:ind w:left="0" w:firstLine="0"/>
              <w:jc w:val="right"/>
              <w:rPr>
                <w:rFonts w:ascii="Franklin Gothic Book" w:eastAsia="Times New Roman" w:hAnsi="Franklin Gothic Book"/>
                <w:color w:val="auto"/>
                <w:sz w:val="16"/>
                <w:szCs w:val="17"/>
                <w:lang w:eastAsia="en-US"/>
              </w:rPr>
            </w:pPr>
            <w:r w:rsidRPr="00232FC5">
              <w:rPr>
                <w:noProof/>
              </w:rPr>
              <mc:AlternateContent>
                <mc:Choice Requires="wps">
                  <w:drawing>
                    <wp:anchor distT="0" distB="0" distL="114300" distR="114300" simplePos="0" relativeHeight="251826688" behindDoc="0" locked="0" layoutInCell="1" allowOverlap="1" wp14:anchorId="44868E3F" wp14:editId="790BE7EA">
                      <wp:simplePos x="0" y="0"/>
                      <wp:positionH relativeFrom="column">
                        <wp:posOffset>6350</wp:posOffset>
                      </wp:positionH>
                      <wp:positionV relativeFrom="paragraph">
                        <wp:posOffset>1587973</wp:posOffset>
                      </wp:positionV>
                      <wp:extent cx="1032510" cy="584791"/>
                      <wp:effectExtent l="0" t="0" r="15240" b="25400"/>
                      <wp:wrapNone/>
                      <wp:docPr id="241" name="Rectangle 241"/>
                      <wp:cNvGraphicFramePr/>
                      <a:graphic xmlns:a="http://schemas.openxmlformats.org/drawingml/2006/main">
                        <a:graphicData uri="http://schemas.microsoft.com/office/word/2010/wordprocessingShape">
                          <wps:wsp>
                            <wps:cNvSpPr/>
                            <wps:spPr>
                              <a:xfrm>
                                <a:off x="0" y="0"/>
                                <a:ext cx="1032510" cy="584791"/>
                              </a:xfrm>
                              <a:prstGeom prst="rect">
                                <a:avLst/>
                              </a:prstGeom>
                              <a:solidFill>
                                <a:schemeClr val="accent5">
                                  <a:lumMod val="20000"/>
                                  <a:lumOff val="80000"/>
                                </a:schemeClr>
                              </a:solidFill>
                              <a:ln w="9525" cap="flat" cmpd="sng" algn="ctr">
                                <a:solidFill>
                                  <a:schemeClr val="accent5">
                                    <a:lumMod val="75000"/>
                                  </a:schemeClr>
                                </a:solidFill>
                                <a:prstDash val="solid"/>
                                <a:miter lim="800000"/>
                              </a:ln>
                              <a:effectLst/>
                            </wps:spPr>
                            <wps:txbx>
                              <w:txbxContent>
                                <w:p w:rsidR="00F21C70" w:rsidRPr="009562CD" w:rsidRDefault="00F21C70" w:rsidP="00F21C70">
                                  <w:pPr>
                                    <w:spacing w:after="0"/>
                                    <w:jc w:val="center"/>
                                    <w:rPr>
                                      <w:rFonts w:asciiTheme="minorHAnsi" w:eastAsia="Times New Roman" w:hAnsiTheme="minorHAnsi" w:cstheme="minorHAnsi"/>
                                      <w:color w:val="000000" w:themeColor="text1"/>
                                      <w:sz w:val="16"/>
                                      <w:szCs w:val="15"/>
                                      <w:lang w:val="en-US" w:eastAsia="en-US"/>
                                    </w:rPr>
                                  </w:pPr>
                                  <w:r w:rsidRPr="009562CD">
                                    <w:rPr>
                                      <w:rFonts w:asciiTheme="minorHAnsi" w:eastAsia="Times New Roman" w:hAnsiTheme="minorHAnsi" w:cstheme="minorHAnsi"/>
                                      <w:color w:val="000000" w:themeColor="text1"/>
                                      <w:sz w:val="16"/>
                                      <w:szCs w:val="15"/>
                                      <w:lang w:val="en-US" w:eastAsia="en-US"/>
                                    </w:rPr>
                                    <w:t>Broad base of costs per year to further</w:t>
                                  </w:r>
                                  <w:r w:rsidR="009E6B25">
                                    <w:rPr>
                                      <w:rFonts w:asciiTheme="minorHAnsi" w:eastAsia="Times New Roman" w:hAnsiTheme="minorHAnsi" w:cstheme="minorHAnsi"/>
                                      <w:color w:val="000000" w:themeColor="text1"/>
                                      <w:sz w:val="16"/>
                                      <w:szCs w:val="15"/>
                                      <w:lang w:val="en-US" w:eastAsia="en-US"/>
                                    </w:rPr>
                                    <w:t xml:space="preserve"> R&amp;D, manage and market Colvera</w:t>
                                  </w:r>
                                </w:p>
                                <w:p w:rsidR="00F21C70" w:rsidRPr="00B62C3D" w:rsidRDefault="00F21C70" w:rsidP="00F21C70">
                                  <w:pPr>
                                    <w:spacing w:after="0"/>
                                    <w:jc w:val="center"/>
                                    <w:rPr>
                                      <w:color w:val="000000" w:themeColor="text1"/>
                                      <w:sz w:val="15"/>
                                      <w:szCs w:val="15"/>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68E3F" id="Rectangle 241" o:spid="_x0000_s1075" style="position:absolute;left:0;text-align:left;margin-left:.5pt;margin-top:125.05pt;width:81.3pt;height:46.05pt;z-index:251826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" fillcolor="#ebeef9 [664]" strokecolor="#526cd0 [2408]">
                      <v:textbox inset="1mm,1mm,1mm,1mm">
                        <w:txbxContent>
                          <w:p w:rsidR="00F21C70" w:rsidRPr="009562CD" w:rsidRDefault="00F21C70" w:rsidP="00F21C70">
                            <w:pPr>
                              <w:spacing w:after="0"/>
                              <w:jc w:val="center"/>
                              <w:rPr>
                                <w:rFonts w:asciiTheme="minorHAnsi" w:eastAsia="Times New Roman" w:hAnsiTheme="minorHAnsi" w:cstheme="minorHAnsi"/>
                                <w:color w:val="000000" w:themeColor="text1"/>
                                <w:sz w:val="16"/>
                                <w:szCs w:val="15"/>
                                <w:lang w:val="en-US" w:eastAsia="en-US"/>
                              </w:rPr>
                            </w:pPr>
                            <w:r w:rsidRPr="009562CD">
                              <w:rPr>
                                <w:rFonts w:asciiTheme="minorHAnsi" w:eastAsia="Times New Roman" w:hAnsiTheme="minorHAnsi" w:cstheme="minorHAnsi"/>
                                <w:color w:val="000000" w:themeColor="text1"/>
                                <w:sz w:val="16"/>
                                <w:szCs w:val="15"/>
                                <w:lang w:val="en-US" w:eastAsia="en-US"/>
                              </w:rPr>
                              <w:t>Broad base of costs per year to further</w:t>
                            </w:r>
                            <w:r w:rsidR="009E6B25">
                              <w:rPr>
                                <w:rFonts w:asciiTheme="minorHAnsi" w:eastAsia="Times New Roman" w:hAnsiTheme="minorHAnsi" w:cstheme="minorHAnsi"/>
                                <w:color w:val="000000" w:themeColor="text1"/>
                                <w:sz w:val="16"/>
                                <w:szCs w:val="15"/>
                                <w:lang w:val="en-US" w:eastAsia="en-US"/>
                              </w:rPr>
                              <w:t xml:space="preserve"> R&amp;D, manage and market </w:t>
                            </w:r>
                            <w:proofErr w:type="spellStart"/>
                            <w:r w:rsidR="009E6B25">
                              <w:rPr>
                                <w:rFonts w:asciiTheme="minorHAnsi" w:eastAsia="Times New Roman" w:hAnsiTheme="minorHAnsi" w:cstheme="minorHAnsi"/>
                                <w:color w:val="000000" w:themeColor="text1"/>
                                <w:sz w:val="16"/>
                                <w:szCs w:val="15"/>
                                <w:lang w:val="en-US" w:eastAsia="en-US"/>
                              </w:rPr>
                              <w:t>Colvera</w:t>
                            </w:r>
                            <w:proofErr w:type="spellEnd"/>
                          </w:p>
                          <w:p w:rsidR="00F21C70" w:rsidRPr="00B62C3D" w:rsidRDefault="00F21C70" w:rsidP="00F21C70">
                            <w:pPr>
                              <w:spacing w:after="0"/>
                              <w:jc w:val="center"/>
                              <w:rPr>
                                <w:color w:val="000000" w:themeColor="text1"/>
                                <w:sz w:val="15"/>
                                <w:szCs w:val="15"/>
                                <w:lang w:val="en-US"/>
                              </w:rPr>
                            </w:pPr>
                          </w:p>
                        </w:txbxContent>
                      </v:textbox>
                    </v:rect>
                  </w:pict>
                </mc:Fallback>
              </mc:AlternateContent>
            </w:r>
            <w:r>
              <w:rPr>
                <w:noProof/>
              </w:rPr>
              <mc:AlternateContent>
                <mc:Choice Requires="wps">
                  <w:drawing>
                    <wp:anchor distT="0" distB="0" distL="114300" distR="114300" simplePos="0" relativeHeight="251841024" behindDoc="0" locked="0" layoutInCell="1" allowOverlap="1" wp14:anchorId="58CD04D3" wp14:editId="4C3F0691">
                      <wp:simplePos x="0" y="0"/>
                      <wp:positionH relativeFrom="column">
                        <wp:posOffset>17322</wp:posOffset>
                      </wp:positionH>
                      <wp:positionV relativeFrom="paragraph">
                        <wp:posOffset>760494</wp:posOffset>
                      </wp:positionV>
                      <wp:extent cx="1032510" cy="712381"/>
                      <wp:effectExtent l="0" t="0" r="15240" b="12065"/>
                      <wp:wrapNone/>
                      <wp:docPr id="1582" name="Rectangle 1582"/>
                      <wp:cNvGraphicFramePr/>
                      <a:graphic xmlns:a="http://schemas.openxmlformats.org/drawingml/2006/main">
                        <a:graphicData uri="http://schemas.microsoft.com/office/word/2010/wordprocessingShape">
                          <wps:wsp>
                            <wps:cNvSpPr/>
                            <wps:spPr>
                              <a:xfrm>
                                <a:off x="0" y="0"/>
                                <a:ext cx="1032510" cy="712381"/>
                              </a:xfrm>
                              <a:prstGeom prst="rect">
                                <a:avLst/>
                              </a:prstGeom>
                              <a:solidFill>
                                <a:schemeClr val="accent5">
                                  <a:lumMod val="20000"/>
                                  <a:lumOff val="80000"/>
                                </a:schemeClr>
                              </a:solidFill>
                              <a:ln w="9525" cap="flat" cmpd="sng" algn="ctr">
                                <a:solidFill>
                                  <a:schemeClr val="accent5">
                                    <a:lumMod val="75000"/>
                                  </a:schemeClr>
                                </a:solidFill>
                                <a:prstDash val="solid"/>
                                <a:miter lim="800000"/>
                              </a:ln>
                              <a:effectLst/>
                            </wps:spPr>
                            <wps:txbx>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Costs to society for lost productivity and health care costs for diagnosis and treatments </w:t>
                                  </w:r>
                                </w:p>
                                <w:p w:rsidR="00F21C70" w:rsidRPr="00B62C3D" w:rsidRDefault="00F21C70" w:rsidP="00F21C70">
                                  <w:pPr>
                                    <w:pStyle w:val="ChartText"/>
                                    <w:spacing w:after="0" w:line="240" w:lineRule="auto"/>
                                    <w:jc w:val="center"/>
                                    <w:rPr>
                                      <w:color w:val="000000" w:themeColor="text1"/>
                                      <w:sz w:val="15"/>
                                      <w:szCs w:val="15"/>
                                      <w:lang w:val="en-US"/>
                                    </w:rPr>
                                  </w:pPr>
                                </w:p>
                                <w:p w:rsidR="00F21C70" w:rsidRPr="00B62C3D" w:rsidRDefault="00F21C70" w:rsidP="00F21C70">
                                  <w:pPr>
                                    <w:pStyle w:val="ChartText"/>
                                    <w:spacing w:after="0" w:line="240" w:lineRule="auto"/>
                                    <w:jc w:val="center"/>
                                    <w:rPr>
                                      <w:color w:val="000000" w:themeColor="text1"/>
                                      <w:sz w:val="15"/>
                                      <w:szCs w:val="15"/>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D04D3" id="Rectangle 1582" o:spid="_x0000_s1076" style="position:absolute;left:0;text-align:left;margin-left:1.35pt;margin-top:59.9pt;width:81.3pt;height:56.1pt;z-index:25184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" fillcolor="#ebeef9 [664]" strokecolor="#526cd0 [2408]">
                      <v:textbox inset="1mm,1mm,1mm,1mm">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Costs to society for lost productivity and health care costs for diagnosis and treatments </w:t>
                            </w:r>
                          </w:p>
                          <w:p w:rsidR="00F21C70" w:rsidRPr="00B62C3D" w:rsidRDefault="00F21C70" w:rsidP="00F21C70">
                            <w:pPr>
                              <w:pStyle w:val="ChartText"/>
                              <w:spacing w:after="0" w:line="240" w:lineRule="auto"/>
                              <w:jc w:val="center"/>
                              <w:rPr>
                                <w:color w:val="000000" w:themeColor="text1"/>
                                <w:sz w:val="15"/>
                                <w:szCs w:val="15"/>
                                <w:lang w:val="en-US"/>
                              </w:rPr>
                            </w:pPr>
                          </w:p>
                          <w:p w:rsidR="00F21C70" w:rsidRPr="00B62C3D" w:rsidRDefault="00F21C70" w:rsidP="00F21C70">
                            <w:pPr>
                              <w:pStyle w:val="ChartText"/>
                              <w:spacing w:after="0" w:line="240" w:lineRule="auto"/>
                              <w:jc w:val="center"/>
                              <w:rPr>
                                <w:color w:val="000000" w:themeColor="text1"/>
                                <w:sz w:val="15"/>
                                <w:szCs w:val="15"/>
                                <w:lang w:val="en-US"/>
                              </w:rPr>
                            </w:pPr>
                          </w:p>
                        </w:txbxContent>
                      </v:textbox>
                    </v:rect>
                  </w:pict>
                </mc:Fallback>
              </mc:AlternateContent>
            </w:r>
            <w:r>
              <w:rPr>
                <w:noProof/>
              </w:rPr>
              <mc:AlternateContent>
                <mc:Choice Requires="wps">
                  <w:drawing>
                    <wp:anchor distT="0" distB="0" distL="114300" distR="114300" simplePos="0" relativeHeight="251830784" behindDoc="0" locked="0" layoutInCell="1" allowOverlap="1" wp14:anchorId="28EBC271" wp14:editId="778F33C0">
                      <wp:simplePos x="0" y="0"/>
                      <wp:positionH relativeFrom="column">
                        <wp:posOffset>527050</wp:posOffset>
                      </wp:positionH>
                      <wp:positionV relativeFrom="paragraph">
                        <wp:posOffset>1134583</wp:posOffset>
                      </wp:positionV>
                      <wp:extent cx="3810" cy="467360"/>
                      <wp:effectExtent l="76200" t="0" r="72390" b="66040"/>
                      <wp:wrapNone/>
                      <wp:docPr id="227" name="Straight Arrow Connector 227"/>
                      <wp:cNvGraphicFramePr/>
                      <a:graphic xmlns:a="http://schemas.openxmlformats.org/drawingml/2006/main">
                        <a:graphicData uri="http://schemas.microsoft.com/office/word/2010/wordprocessingShape">
                          <wps:wsp>
                            <wps:cNvCnPr/>
                            <wps:spPr>
                              <a:xfrm>
                                <a:off x="0" y="0"/>
                                <a:ext cx="3810" cy="467360"/>
                              </a:xfrm>
                              <a:prstGeom prst="straightConnector1">
                                <a:avLst/>
                              </a:prstGeom>
                              <a:solidFill>
                                <a:srgbClr val="ED7D31">
                                  <a:lumMod val="20000"/>
                                  <a:lumOff val="80000"/>
                                </a:srgbClr>
                              </a:solidFill>
                              <a:ln w="12700" cap="flat" cmpd="sng" algn="ctr">
                                <a:solidFill>
                                  <a:schemeClr val="accent5">
                                    <a:lumMod val="75000"/>
                                  </a:scheme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2C35B4" id="Straight Arrow Connector 227" o:spid="_x0000_s1026" type="#_x0000_t32" style="position:absolute;margin-left:41.5pt;margin-top:89.35pt;width:.3pt;height:36.8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" filled="t" fillcolor="#fbe5d6" strokecolor="#526cd0 [2408]" strokeweight="1pt">
                      <v:stroke endarrow="block" joinstyle="miter"/>
                    </v:shape>
                  </w:pict>
                </mc:Fallback>
              </mc:AlternateContent>
            </w:r>
            <w:r>
              <w:rPr>
                <w:noProof/>
              </w:rPr>
              <mc:AlternateContent>
                <mc:Choice Requires="wps">
                  <w:drawing>
                    <wp:anchor distT="0" distB="0" distL="114300" distR="114300" simplePos="0" relativeHeight="251829760" behindDoc="0" locked="0" layoutInCell="1" allowOverlap="1" wp14:anchorId="4BC150A0" wp14:editId="523ED7FA">
                      <wp:simplePos x="0" y="0"/>
                      <wp:positionH relativeFrom="column">
                        <wp:posOffset>6690</wp:posOffset>
                      </wp:positionH>
                      <wp:positionV relativeFrom="paragraph">
                        <wp:posOffset>16215</wp:posOffset>
                      </wp:positionV>
                      <wp:extent cx="1043142" cy="691116"/>
                      <wp:effectExtent l="0" t="0" r="24130" b="13970"/>
                      <wp:wrapNone/>
                      <wp:docPr id="228" name="Rectangle 228"/>
                      <wp:cNvGraphicFramePr/>
                      <a:graphic xmlns:a="http://schemas.openxmlformats.org/drawingml/2006/main">
                        <a:graphicData uri="http://schemas.microsoft.com/office/word/2010/wordprocessingShape">
                          <wps:wsp>
                            <wps:cNvSpPr/>
                            <wps:spPr>
                              <a:xfrm>
                                <a:off x="0" y="0"/>
                                <a:ext cx="1043142" cy="691116"/>
                              </a:xfrm>
                              <a:prstGeom prst="rect">
                                <a:avLst/>
                              </a:prstGeom>
                              <a:solidFill>
                                <a:schemeClr val="accent5">
                                  <a:lumMod val="20000"/>
                                  <a:lumOff val="80000"/>
                                </a:schemeClr>
                              </a:solidFill>
                              <a:ln w="9525" cap="flat" cmpd="sng" algn="ctr">
                                <a:solidFill>
                                  <a:schemeClr val="accent5">
                                    <a:lumMod val="75000"/>
                                  </a:schemeClr>
                                </a:solidFill>
                                <a:prstDash val="solid"/>
                                <a:miter lim="800000"/>
                              </a:ln>
                              <a:effectLst/>
                            </wps:spPr>
                            <wps:txbx>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Costs to society for lost productivity and health care costs for diagnosis and treatments </w:t>
                                  </w:r>
                                </w:p>
                                <w:p w:rsidR="00F21C70" w:rsidRPr="00B62C3D" w:rsidRDefault="00F21C70" w:rsidP="00F21C70">
                                  <w:pPr>
                                    <w:pStyle w:val="ChartText"/>
                                    <w:spacing w:after="0" w:line="240" w:lineRule="auto"/>
                                    <w:jc w:val="center"/>
                                    <w:rPr>
                                      <w:color w:val="000000" w:themeColor="text1"/>
                                      <w:sz w:val="15"/>
                                      <w:szCs w:val="15"/>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150A0" id="Rectangle 228" o:spid="_x0000_s1077" style="position:absolute;left:0;text-align:left;margin-left:.55pt;margin-top:1.3pt;width:82.15pt;height:54.4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" fillcolor="#ebeef9 [664]" strokecolor="#526cd0 [2408]">
                      <v:textbox inset="1mm,1mm,1mm,1mm">
                        <w:txbxContent>
                          <w:p w:rsidR="00F21C70" w:rsidRPr="009562CD" w:rsidRDefault="00F21C70" w:rsidP="00F21C70">
                            <w:pPr>
                              <w:pStyle w:val="ChartText"/>
                              <w:spacing w:after="0" w:line="240" w:lineRule="auto"/>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Costs to society for lost productivity and health care costs for diagnosis and treatments </w:t>
                            </w:r>
                          </w:p>
                          <w:p w:rsidR="00F21C70" w:rsidRPr="00B62C3D" w:rsidRDefault="00F21C70" w:rsidP="00F21C70">
                            <w:pPr>
                              <w:pStyle w:val="ChartText"/>
                              <w:spacing w:after="0" w:line="240" w:lineRule="auto"/>
                              <w:jc w:val="center"/>
                              <w:rPr>
                                <w:color w:val="000000" w:themeColor="text1"/>
                                <w:sz w:val="15"/>
                                <w:szCs w:val="15"/>
                                <w:lang w:val="en-US"/>
                              </w:rPr>
                            </w:pPr>
                          </w:p>
                        </w:txbxContent>
                      </v:textbox>
                    </v:rect>
                  </w:pict>
                </mc:Fallback>
              </mc:AlternateContent>
            </w:r>
          </w:p>
        </w:tc>
        <w:tc>
          <w:tcPr>
            <w:tcW w:w="1853" w:type="dxa"/>
            <w:tcBorders>
              <w:top w:val="single" w:sz="36" w:space="0" w:color="FFFFFF" w:themeColor="background1"/>
              <w:left w:val="single" w:sz="12" w:space="0" w:color="FFFFFF" w:themeColor="background1"/>
              <w:bottom w:val="single" w:sz="36" w:space="0" w:color="FFFFFF" w:themeColor="background1"/>
            </w:tcBorders>
            <w:shd w:val="clear" w:color="auto" w:fill="F2F2F2" w:themeFill="background2" w:themeFillShade="F2"/>
          </w:tcPr>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p w:rsidR="00F21C70" w:rsidRPr="00232FC5"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tc>
      </w:tr>
      <w:tr w:rsidR="00F21C70" w:rsidTr="00C753A4">
        <w:trPr>
          <w:cantSplit/>
          <w:trHeight w:val="4897"/>
          <w:jc w:val="center"/>
        </w:trPr>
        <w:tc>
          <w:tcPr>
            <w:tcW w:w="570" w:type="dxa"/>
            <w:tcBorders>
              <w:top w:val="single" w:sz="36" w:space="0" w:color="FFFFFF" w:themeColor="background1"/>
            </w:tcBorders>
            <w:shd w:val="clear" w:color="auto" w:fill="808080" w:themeFill="background2" w:themeFillShade="80"/>
            <w:tcMar>
              <w:left w:w="57" w:type="dxa"/>
              <w:right w:w="57" w:type="dxa"/>
            </w:tcMar>
            <w:textDirection w:val="btLr"/>
            <w:vAlign w:val="center"/>
          </w:tcPr>
          <w:p w:rsidR="00F21C70" w:rsidRPr="005D3596" w:rsidRDefault="00F21C70" w:rsidP="00C742C5">
            <w:pPr>
              <w:keepNext/>
              <w:keepLines/>
              <w:spacing w:line="200" w:lineRule="atLeast"/>
              <w:ind w:right="113"/>
              <w:jc w:val="center"/>
              <w:rPr>
                <w:rFonts w:ascii="Franklin Gothic Demi" w:eastAsia="Times New Roman" w:hAnsi="Franklin Gothic Demi"/>
                <w:color w:val="FFFFFF" w:themeColor="background1"/>
                <w:sz w:val="18"/>
                <w:szCs w:val="17"/>
                <w:lang w:eastAsia="en-US"/>
              </w:rPr>
            </w:pPr>
            <w:r w:rsidRPr="005D3596">
              <w:rPr>
                <w:rFonts w:ascii="Franklin Gothic Demi" w:eastAsia="Times New Roman" w:hAnsi="Franklin Gothic Demi"/>
                <w:color w:val="FFFFFF" w:themeColor="background1"/>
                <w:sz w:val="18"/>
                <w:szCs w:val="17"/>
                <w:lang w:eastAsia="en-US"/>
              </w:rPr>
              <w:t>Incremental benefits</w:t>
            </w:r>
          </w:p>
        </w:tc>
        <w:tc>
          <w:tcPr>
            <w:tcW w:w="3362" w:type="dxa"/>
            <w:tcBorders>
              <w:top w:val="single" w:sz="36" w:space="0" w:color="FFFFFF" w:themeColor="background1"/>
              <w:right w:val="single" w:sz="24" w:space="0" w:color="FFFFFF" w:themeColor="background1"/>
            </w:tcBorders>
            <w:shd w:val="clear" w:color="auto" w:fill="D9D9D9" w:themeFill="background2" w:themeFillShade="D9"/>
            <w:tcMar>
              <w:left w:w="57" w:type="dxa"/>
              <w:right w:w="57" w:type="dxa"/>
            </w:tcMar>
          </w:tcPr>
          <w:p w:rsidR="00F21C70" w:rsidRPr="00232FC5"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tc>
        <w:tc>
          <w:tcPr>
            <w:tcW w:w="437" w:type="dxa"/>
            <w:tcBorders>
              <w:top w:val="single" w:sz="36" w:space="0" w:color="FFFFFF" w:themeColor="background1"/>
              <w:left w:val="single" w:sz="24" w:space="0" w:color="FFFFFF" w:themeColor="background1"/>
              <w:right w:val="single" w:sz="12" w:space="0" w:color="FFFFFF" w:themeColor="background1"/>
            </w:tcBorders>
            <w:shd w:val="clear" w:color="auto" w:fill="D9D9D9" w:themeFill="background2" w:themeFillShade="D9"/>
            <w:tcMar>
              <w:left w:w="57" w:type="dxa"/>
              <w:right w:w="57" w:type="dxa"/>
            </w:tcMar>
          </w:tcPr>
          <w:p w:rsidR="00F21C70" w:rsidRPr="00232FC5"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tc>
        <w:tc>
          <w:tcPr>
            <w:tcW w:w="1900" w:type="dxa"/>
            <w:tcBorders>
              <w:top w:val="single" w:sz="36" w:space="0" w:color="FFFFFF" w:themeColor="background1"/>
              <w:left w:val="single" w:sz="12" w:space="0" w:color="FFFFFF" w:themeColor="background1"/>
              <w:right w:val="single" w:sz="12" w:space="0" w:color="FFFFFF" w:themeColor="background1"/>
            </w:tcBorders>
            <w:shd w:val="clear" w:color="auto" w:fill="F2F2F2" w:themeFill="background2" w:themeFillShade="F2"/>
          </w:tcPr>
          <w:p w:rsidR="00F21C70" w:rsidRPr="00232FC5" w:rsidRDefault="00F21C70" w:rsidP="00C742C5">
            <w:pPr>
              <w:keepNext/>
              <w:keepLines/>
              <w:numPr>
                <w:ilvl w:val="0"/>
                <w:numId w:val="8"/>
              </w:numPr>
              <w:tabs>
                <w:tab w:val="clear" w:pos="227"/>
                <w:tab w:val="num" w:pos="360"/>
              </w:tabs>
              <w:spacing w:before="80" w:after="80" w:line="200" w:lineRule="atLeast"/>
              <w:ind w:left="0" w:firstLine="0"/>
              <w:jc w:val="right"/>
              <w:rPr>
                <w:rFonts w:ascii="Franklin Gothic Book" w:eastAsia="Times New Roman" w:hAnsi="Franklin Gothic Book"/>
                <w:color w:val="auto"/>
                <w:sz w:val="16"/>
                <w:szCs w:val="17"/>
                <w:lang w:eastAsia="en-US"/>
              </w:rPr>
            </w:pPr>
            <w:r>
              <w:rPr>
                <w:rFonts w:ascii="Franklin Gothic Book" w:eastAsia="Times New Roman" w:hAnsi="Franklin Gothic Book"/>
                <w:noProof/>
                <w:color w:val="auto"/>
                <w:sz w:val="16"/>
                <w:szCs w:val="17"/>
              </w:rPr>
              <mc:AlternateContent>
                <mc:Choice Requires="wps">
                  <w:drawing>
                    <wp:anchor distT="0" distB="0" distL="114300" distR="114300" simplePos="0" relativeHeight="251834880" behindDoc="0" locked="0" layoutInCell="1" allowOverlap="1" wp14:anchorId="4FF06118" wp14:editId="53C9B64D">
                      <wp:simplePos x="0" y="0"/>
                      <wp:positionH relativeFrom="column">
                        <wp:posOffset>6690</wp:posOffset>
                      </wp:positionH>
                      <wp:positionV relativeFrom="paragraph">
                        <wp:posOffset>1214548</wp:posOffset>
                      </wp:positionV>
                      <wp:extent cx="1031121" cy="761912"/>
                      <wp:effectExtent l="0" t="0" r="17145" b="19685"/>
                      <wp:wrapNone/>
                      <wp:docPr id="230" name="Rectangle 230"/>
                      <wp:cNvGraphicFramePr/>
                      <a:graphic xmlns:a="http://schemas.openxmlformats.org/drawingml/2006/main">
                        <a:graphicData uri="http://schemas.microsoft.com/office/word/2010/wordprocessingShape">
                          <wps:wsp>
                            <wps:cNvSpPr/>
                            <wps:spPr>
                              <a:xfrm>
                                <a:off x="0" y="0"/>
                                <a:ext cx="1031121" cy="761912"/>
                              </a:xfrm>
                              <a:prstGeom prst="rect">
                                <a:avLst/>
                              </a:prstGeom>
                              <a:solidFill>
                                <a:schemeClr val="accent5">
                                  <a:lumMod val="20000"/>
                                  <a:lumOff val="80000"/>
                                </a:schemeClr>
                              </a:solidFill>
                              <a:ln w="9525" cap="flat" cmpd="sng" algn="ctr">
                                <a:solidFill>
                                  <a:schemeClr val="accent5">
                                    <a:lumMod val="75000"/>
                                  </a:schemeClr>
                                </a:solidFill>
                                <a:prstDash val="solid"/>
                                <a:miter lim="800000"/>
                              </a:ln>
                              <a:effectLst/>
                            </wps:spPr>
                            <wps:txbx>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Increased labor productivity from better management of CRC </w:t>
                                  </w:r>
                                </w:p>
                                <w:p w:rsidR="00F21C70" w:rsidRPr="00B62C3D" w:rsidRDefault="00F21C70" w:rsidP="00F21C70">
                                  <w:pPr>
                                    <w:pStyle w:val="ChartText"/>
                                    <w:spacing w:after="0"/>
                                    <w:jc w:val="center"/>
                                    <w:rPr>
                                      <w:color w:val="000000" w:themeColor="text1"/>
                                      <w:sz w:val="15"/>
                                      <w:szCs w:val="15"/>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4FF06118" id="Rectangle 230" o:spid="_x0000_s1078" style="position:absolute;left:0;text-align:left;margin-left:.55pt;margin-top:95.65pt;width:81.2pt;height:60pt;z-index:25183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" fillcolor="#ebeef9 [664]" strokecolor="#526cd0 [2408]">
                      <v:textbox inset="1mm,1mm,1mm,1mm">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Increased labor productivity from better management of CRC </w:t>
                            </w:r>
                          </w:p>
                          <w:p w:rsidR="00F21C70" w:rsidRPr="00B62C3D" w:rsidRDefault="00F21C70" w:rsidP="00F21C70">
                            <w:pPr>
                              <w:pStyle w:val="ChartText"/>
                              <w:spacing w:after="0"/>
                              <w:jc w:val="center"/>
                              <w:rPr>
                                <w:color w:val="000000" w:themeColor="text1"/>
                                <w:sz w:val="15"/>
                                <w:szCs w:val="15"/>
                                <w:lang w:val="en-US"/>
                              </w:rPr>
                            </w:pPr>
                          </w:p>
                        </w:txbxContent>
                      </v:textbox>
                    </v:rect>
                  </w:pict>
                </mc:Fallback>
              </mc:AlternateContent>
            </w:r>
            <w:r>
              <w:rPr>
                <w:rFonts w:ascii="Franklin Gothic Book" w:eastAsia="Times New Roman" w:hAnsi="Franklin Gothic Book"/>
                <w:noProof/>
                <w:color w:val="auto"/>
                <w:sz w:val="16"/>
                <w:szCs w:val="17"/>
              </w:rPr>
              <mc:AlternateContent>
                <mc:Choice Requires="wps">
                  <w:drawing>
                    <wp:anchor distT="0" distB="0" distL="114300" distR="114300" simplePos="0" relativeHeight="251835904" behindDoc="0" locked="0" layoutInCell="1" allowOverlap="1" wp14:anchorId="7C6386FA" wp14:editId="113E3150">
                      <wp:simplePos x="0" y="0"/>
                      <wp:positionH relativeFrom="column">
                        <wp:posOffset>29034</wp:posOffset>
                      </wp:positionH>
                      <wp:positionV relativeFrom="paragraph">
                        <wp:posOffset>2568728</wp:posOffset>
                      </wp:positionV>
                      <wp:extent cx="1031121" cy="478475"/>
                      <wp:effectExtent l="0" t="0" r="17145" b="17145"/>
                      <wp:wrapNone/>
                      <wp:docPr id="231" name="Rectangle 231"/>
                      <wp:cNvGraphicFramePr/>
                      <a:graphic xmlns:a="http://schemas.openxmlformats.org/drawingml/2006/main">
                        <a:graphicData uri="http://schemas.microsoft.com/office/word/2010/wordprocessingShape">
                          <wps:wsp>
                            <wps:cNvSpPr/>
                            <wps:spPr>
                              <a:xfrm>
                                <a:off x="0" y="0"/>
                                <a:ext cx="1031121" cy="478475"/>
                              </a:xfrm>
                              <a:prstGeom prst="rect">
                                <a:avLst/>
                              </a:prstGeom>
                              <a:solidFill>
                                <a:schemeClr val="accent5">
                                  <a:lumMod val="20000"/>
                                  <a:lumOff val="80000"/>
                                </a:schemeClr>
                              </a:solidFill>
                              <a:ln w="9525" cap="flat" cmpd="sng" algn="ctr">
                                <a:solidFill>
                                  <a:schemeClr val="accent5">
                                    <a:lumMod val="75000"/>
                                  </a:schemeClr>
                                </a:solidFill>
                                <a:prstDash val="solid"/>
                                <a:miter lim="800000"/>
                              </a:ln>
                              <a:effectLst/>
                            </wps:spPr>
                            <wps:txbx>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Royalty revenue from exports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7C6386FA" id="Rectangle 231" o:spid="_x0000_s1079" style="position:absolute;left:0;text-align:left;margin-left:2.3pt;margin-top:202.25pt;width:81.2pt;height:37.7pt;z-index:25183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" fillcolor="#ebeef9 [664]" strokecolor="#526cd0 [2408]">
                      <v:textbox inset="1mm,1mm,1mm,1mm">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Royalty revenue from exports</w:t>
                            </w:r>
                          </w:p>
                        </w:txbxContent>
                      </v:textbox>
                    </v:rect>
                  </w:pict>
                </mc:Fallback>
              </mc:AlternateContent>
            </w:r>
            <w:r>
              <w:rPr>
                <w:rFonts w:ascii="Franklin Gothic Book" w:eastAsia="Times New Roman" w:hAnsi="Franklin Gothic Book"/>
                <w:noProof/>
                <w:color w:val="auto"/>
                <w:sz w:val="16"/>
                <w:szCs w:val="17"/>
              </w:rPr>
              <mc:AlternateContent>
                <mc:Choice Requires="wps">
                  <w:drawing>
                    <wp:anchor distT="0" distB="0" distL="114300" distR="114300" simplePos="0" relativeHeight="251836928" behindDoc="0" locked="0" layoutInCell="1" allowOverlap="1" wp14:anchorId="19F693B8" wp14:editId="238DC287">
                      <wp:simplePos x="0" y="0"/>
                      <wp:positionH relativeFrom="column">
                        <wp:posOffset>11284</wp:posOffset>
                      </wp:positionH>
                      <wp:positionV relativeFrom="paragraph">
                        <wp:posOffset>698338</wp:posOffset>
                      </wp:positionV>
                      <wp:extent cx="1031121" cy="482670"/>
                      <wp:effectExtent l="0" t="0" r="17145" b="12700"/>
                      <wp:wrapNone/>
                      <wp:docPr id="232" name="Rectangle 232"/>
                      <wp:cNvGraphicFramePr/>
                      <a:graphic xmlns:a="http://schemas.openxmlformats.org/drawingml/2006/main">
                        <a:graphicData uri="http://schemas.microsoft.com/office/word/2010/wordprocessingShape">
                          <wps:wsp>
                            <wps:cNvSpPr/>
                            <wps:spPr>
                              <a:xfrm>
                                <a:off x="0" y="0"/>
                                <a:ext cx="1031121" cy="482670"/>
                              </a:xfrm>
                              <a:prstGeom prst="rect">
                                <a:avLst/>
                              </a:prstGeom>
                              <a:solidFill>
                                <a:schemeClr val="accent5">
                                  <a:lumMod val="20000"/>
                                  <a:lumOff val="80000"/>
                                </a:schemeClr>
                              </a:solidFill>
                              <a:ln w="9525" cap="flat" cmpd="sng" algn="ctr">
                                <a:solidFill>
                                  <a:schemeClr val="accent5">
                                    <a:lumMod val="75000"/>
                                  </a:schemeClr>
                                </a:solidFill>
                                <a:prstDash val="solid"/>
                                <a:miter lim="800000"/>
                              </a:ln>
                              <a:effectLst/>
                            </wps:spPr>
                            <wps:txbx>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Lower treatment costs of managing CRC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19F693B8" id="Rectangle 232" o:spid="_x0000_s1080" style="position:absolute;left:0;text-align:left;margin-left:.9pt;margin-top:55pt;width:81.2pt;height:38pt;z-index:25183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" fillcolor="#ebeef9 [664]" strokecolor="#526cd0 [2408]">
                      <v:textbox inset="1mm,1mm,1mm,1mm">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Lower treatment costs of managing CRC </w:t>
                            </w:r>
                          </w:p>
                        </w:txbxContent>
                      </v:textbox>
                    </v:rect>
                  </w:pict>
                </mc:Fallback>
              </mc:AlternateContent>
            </w:r>
            <w:r w:rsidRPr="00232FC5">
              <w:rPr>
                <w:rFonts w:ascii="Franklin Gothic Book" w:eastAsia="Times New Roman" w:hAnsi="Franklin Gothic Book"/>
                <w:noProof/>
                <w:color w:val="auto"/>
                <w:sz w:val="16"/>
                <w:szCs w:val="17"/>
              </w:rPr>
              <mc:AlternateContent>
                <mc:Choice Requires="wps">
                  <w:drawing>
                    <wp:anchor distT="0" distB="0" distL="114300" distR="114300" simplePos="0" relativeHeight="251837952" behindDoc="0" locked="0" layoutInCell="1" allowOverlap="1" wp14:anchorId="106C6FDD" wp14:editId="2B0C3B51">
                      <wp:simplePos x="0" y="0"/>
                      <wp:positionH relativeFrom="column">
                        <wp:posOffset>6189</wp:posOffset>
                      </wp:positionH>
                      <wp:positionV relativeFrom="paragraph">
                        <wp:posOffset>2046962</wp:posOffset>
                      </wp:positionV>
                      <wp:extent cx="1031240" cy="434444"/>
                      <wp:effectExtent l="0" t="0" r="16510" b="22860"/>
                      <wp:wrapNone/>
                      <wp:docPr id="237" name="Rectangle 237"/>
                      <wp:cNvGraphicFramePr/>
                      <a:graphic xmlns:a="http://schemas.openxmlformats.org/drawingml/2006/main">
                        <a:graphicData uri="http://schemas.microsoft.com/office/word/2010/wordprocessingShape">
                          <wps:wsp>
                            <wps:cNvSpPr/>
                            <wps:spPr>
                              <a:xfrm>
                                <a:off x="0" y="0"/>
                                <a:ext cx="1031240" cy="434444"/>
                              </a:xfrm>
                              <a:prstGeom prst="rect">
                                <a:avLst/>
                              </a:prstGeom>
                              <a:solidFill>
                                <a:schemeClr val="accent5">
                                  <a:lumMod val="20000"/>
                                  <a:lumOff val="80000"/>
                                </a:schemeClr>
                              </a:solidFill>
                              <a:ln w="9525" cap="flat" cmpd="sng" algn="ctr">
                                <a:solidFill>
                                  <a:schemeClr val="accent5">
                                    <a:lumMod val="75000"/>
                                  </a:schemeClr>
                                </a:solidFill>
                                <a:prstDash val="solid"/>
                                <a:miter lim="800000"/>
                              </a:ln>
                              <a:effectLst/>
                            </wps:spPr>
                            <wps:txbx>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Revenue per client from sale of Colvera </w:t>
                                  </w:r>
                                </w:p>
                                <w:p w:rsidR="00F21C70" w:rsidRPr="00B62C3D" w:rsidRDefault="00F21C70" w:rsidP="00F21C70">
                                  <w:pPr>
                                    <w:pStyle w:val="ChartText"/>
                                    <w:spacing w:after="0"/>
                                    <w:rPr>
                                      <w:color w:val="000000" w:themeColor="text1"/>
                                      <w:sz w:val="15"/>
                                      <w:szCs w:val="15"/>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6C6FDD" id="Rectangle 237" o:spid="_x0000_s1081" style="position:absolute;left:0;text-align:left;margin-left:.5pt;margin-top:161.2pt;width:81.2pt;height:34.2pt;z-index:25183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" fillcolor="#ebeef9 [664]" strokecolor="#526cd0 [2408]">
                      <v:textbox inset="1mm,1mm,1mm,1mm">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Revenue per client from sale of </w:t>
                            </w:r>
                            <w:proofErr w:type="spellStart"/>
                            <w:r w:rsidRPr="009562CD">
                              <w:rPr>
                                <w:rFonts w:asciiTheme="minorHAnsi" w:hAnsiTheme="minorHAnsi" w:cstheme="minorHAnsi"/>
                                <w:color w:val="000000" w:themeColor="text1"/>
                                <w:szCs w:val="15"/>
                                <w:lang w:val="en-US"/>
                              </w:rPr>
                              <w:t>Colvera</w:t>
                            </w:r>
                            <w:proofErr w:type="spellEnd"/>
                            <w:r w:rsidRPr="009562CD">
                              <w:rPr>
                                <w:rFonts w:asciiTheme="minorHAnsi" w:hAnsiTheme="minorHAnsi" w:cstheme="minorHAnsi"/>
                                <w:color w:val="000000" w:themeColor="text1"/>
                                <w:szCs w:val="15"/>
                                <w:lang w:val="en-US"/>
                              </w:rPr>
                              <w:t xml:space="preserve"> </w:t>
                            </w:r>
                          </w:p>
                          <w:p w:rsidR="00F21C70" w:rsidRPr="00B62C3D" w:rsidRDefault="00F21C70" w:rsidP="00F21C70">
                            <w:pPr>
                              <w:pStyle w:val="ChartText"/>
                              <w:spacing w:after="0"/>
                              <w:rPr>
                                <w:color w:val="000000" w:themeColor="text1"/>
                                <w:sz w:val="15"/>
                                <w:szCs w:val="15"/>
                                <w:lang w:val="en-US"/>
                              </w:rPr>
                            </w:pPr>
                          </w:p>
                        </w:txbxContent>
                      </v:textbox>
                    </v:rect>
                  </w:pict>
                </mc:Fallback>
              </mc:AlternateContent>
            </w:r>
            <w:r w:rsidRPr="00232FC5">
              <w:rPr>
                <w:rFonts w:ascii="Franklin Gothic Book" w:eastAsia="Times New Roman" w:hAnsi="Franklin Gothic Book"/>
                <w:noProof/>
                <w:color w:val="auto"/>
                <w:sz w:val="16"/>
                <w:szCs w:val="17"/>
              </w:rPr>
              <mc:AlternateContent>
                <mc:Choice Requires="wps">
                  <w:drawing>
                    <wp:anchor distT="0" distB="0" distL="114300" distR="114300" simplePos="0" relativeHeight="251840000" behindDoc="0" locked="0" layoutInCell="1" allowOverlap="1" wp14:anchorId="0F4C5797" wp14:editId="7EC8E211">
                      <wp:simplePos x="0" y="0"/>
                      <wp:positionH relativeFrom="column">
                        <wp:posOffset>10160</wp:posOffset>
                      </wp:positionH>
                      <wp:positionV relativeFrom="paragraph">
                        <wp:posOffset>46662</wp:posOffset>
                      </wp:positionV>
                      <wp:extent cx="1031240" cy="608221"/>
                      <wp:effectExtent l="0" t="0" r="16510" b="20955"/>
                      <wp:wrapNone/>
                      <wp:docPr id="242" name="Rectangle 242"/>
                      <wp:cNvGraphicFramePr/>
                      <a:graphic xmlns:a="http://schemas.openxmlformats.org/drawingml/2006/main">
                        <a:graphicData uri="http://schemas.microsoft.com/office/word/2010/wordprocessingShape">
                          <wps:wsp>
                            <wps:cNvSpPr/>
                            <wps:spPr>
                              <a:xfrm>
                                <a:off x="0" y="0"/>
                                <a:ext cx="1031240" cy="608221"/>
                              </a:xfrm>
                              <a:prstGeom prst="rect">
                                <a:avLst/>
                              </a:prstGeom>
                              <a:solidFill>
                                <a:schemeClr val="accent5">
                                  <a:lumMod val="20000"/>
                                  <a:lumOff val="80000"/>
                                </a:schemeClr>
                              </a:solidFill>
                              <a:ln w="9525" cap="flat" cmpd="sng" algn="ctr">
                                <a:solidFill>
                                  <a:schemeClr val="accent5">
                                    <a:lumMod val="75000"/>
                                  </a:schemeClr>
                                </a:solidFill>
                                <a:prstDash val="solid"/>
                                <a:miter lim="800000"/>
                              </a:ln>
                              <a:effectLst/>
                            </wps:spPr>
                            <wps:txbx>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Lower risk of recurrence and associated QALY improvements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4C5797" id="Rectangle 242" o:spid="_x0000_s1082" style="position:absolute;left:0;text-align:left;margin-left:.8pt;margin-top:3.65pt;width:81.2pt;height:47.9pt;z-index:251840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" fillcolor="#ebeef9 [664]" strokecolor="#526cd0 [2408]">
                      <v:textbox inset="1mm,1mm,1mm,1mm">
                        <w:txbxContent>
                          <w:p w:rsidR="00F21C70" w:rsidRPr="009562CD" w:rsidRDefault="00F21C70" w:rsidP="00F21C70">
                            <w:pPr>
                              <w:pStyle w:val="ChartText"/>
                              <w:spacing w:after="0"/>
                              <w:jc w:val="center"/>
                              <w:rPr>
                                <w:rFonts w:asciiTheme="minorHAnsi" w:hAnsiTheme="minorHAnsi" w:cstheme="minorHAnsi"/>
                                <w:color w:val="000000" w:themeColor="text1"/>
                                <w:szCs w:val="15"/>
                                <w:lang w:val="en-US"/>
                              </w:rPr>
                            </w:pPr>
                            <w:r w:rsidRPr="009562CD">
                              <w:rPr>
                                <w:rFonts w:asciiTheme="minorHAnsi" w:hAnsiTheme="minorHAnsi" w:cstheme="minorHAnsi"/>
                                <w:color w:val="000000" w:themeColor="text1"/>
                                <w:szCs w:val="15"/>
                                <w:lang w:val="en-US"/>
                              </w:rPr>
                              <w:t xml:space="preserve">Lower risk of recurrence and associated QALY improvements </w:t>
                            </w:r>
                          </w:p>
                        </w:txbxContent>
                      </v:textbox>
                    </v:rect>
                  </w:pict>
                </mc:Fallback>
              </mc:AlternateContent>
            </w:r>
          </w:p>
        </w:tc>
        <w:tc>
          <w:tcPr>
            <w:tcW w:w="1853" w:type="dxa"/>
            <w:tcBorders>
              <w:top w:val="single" w:sz="36" w:space="0" w:color="FFFFFF" w:themeColor="background1"/>
              <w:left w:val="single" w:sz="12" w:space="0" w:color="FFFFFF" w:themeColor="background1"/>
            </w:tcBorders>
            <w:shd w:val="clear" w:color="auto" w:fill="F2F2F2" w:themeFill="background2" w:themeFillShade="F2"/>
          </w:tcPr>
          <w:p w:rsidR="00F21C70" w:rsidRPr="00232FC5" w:rsidRDefault="00F21C70" w:rsidP="00C742C5">
            <w:pPr>
              <w:keepNext/>
              <w:keepLines/>
              <w:spacing w:before="80" w:after="80" w:line="200" w:lineRule="atLeast"/>
              <w:jc w:val="center"/>
              <w:rPr>
                <w:rFonts w:ascii="Franklin Gothic Book" w:eastAsia="Times New Roman" w:hAnsi="Franklin Gothic Book"/>
                <w:color w:val="auto"/>
                <w:sz w:val="16"/>
                <w:szCs w:val="17"/>
                <w:lang w:eastAsia="en-US"/>
              </w:rPr>
            </w:pPr>
          </w:p>
        </w:tc>
      </w:tr>
    </w:tbl>
    <w:p w:rsidR="00267E5C" w:rsidRPr="00EC6465" w:rsidRDefault="00E243A6" w:rsidP="00267E5C">
      <w:pPr>
        <w:rPr>
          <w:rFonts w:asciiTheme="minorHAnsi" w:hAnsiTheme="minorHAnsi"/>
          <w:b/>
          <w:color w:val="007E9A" w:themeColor="accent1" w:themeShade="BF"/>
          <w:sz w:val="20"/>
          <w:szCs w:val="20"/>
        </w:rPr>
      </w:pPr>
      <w:r w:rsidRPr="00EC6465">
        <w:rPr>
          <w:rFonts w:asciiTheme="minorHAnsi" w:hAnsiTheme="minorHAnsi"/>
          <w:b/>
          <w:color w:val="007E9A" w:themeColor="accent1" w:themeShade="BF"/>
          <w:sz w:val="20"/>
          <w:szCs w:val="20"/>
        </w:rPr>
        <w:t>Figure 6.1: The costs and benefits associated with the adoption of Colvera testing</w:t>
      </w:r>
    </w:p>
    <w:p w:rsidR="00E243A6" w:rsidRDefault="00E243A6" w:rsidP="00267E5C"/>
    <w:p w:rsidR="00E20F47" w:rsidRPr="00161341" w:rsidRDefault="00E20F47" w:rsidP="00161341">
      <w:pPr>
        <w:pStyle w:val="Heading3"/>
        <w:spacing w:before="40" w:after="0" w:line="360" w:lineRule="auto"/>
        <w:rPr>
          <w:sz w:val="24"/>
          <w:szCs w:val="24"/>
        </w:rPr>
      </w:pPr>
      <w:r w:rsidRPr="00161341">
        <w:rPr>
          <w:sz w:val="24"/>
          <w:szCs w:val="24"/>
        </w:rPr>
        <w:t>Perspective and stakeholders</w:t>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This CBA was conducted from a societal perspective of the Australian Healthcare System, including all important economic costs and benefits arising from such an intervention. Costs and benefits to other potential stakeholders of this project will be taken into consideration, including:</w:t>
      </w:r>
    </w:p>
    <w:p w:rsidR="00E20F47" w:rsidRPr="00161341" w:rsidRDefault="00E20F47" w:rsidP="0096781E">
      <w:pPr>
        <w:pStyle w:val="ListParagraph"/>
        <w:numPr>
          <w:ilvl w:val="0"/>
          <w:numId w:val="30"/>
        </w:numPr>
        <w:spacing w:before="0" w:after="0" w:line="276" w:lineRule="auto"/>
        <w:ind w:left="714" w:hanging="357"/>
        <w:rPr>
          <w:rFonts w:asciiTheme="minorHAnsi" w:hAnsiTheme="minorHAnsi"/>
        </w:rPr>
      </w:pPr>
      <w:r w:rsidRPr="00161341">
        <w:rPr>
          <w:rFonts w:asciiTheme="minorHAnsi" w:hAnsiTheme="minorHAnsi"/>
        </w:rPr>
        <w:t>Clinical Genomics</w:t>
      </w:r>
    </w:p>
    <w:p w:rsidR="00E20F47" w:rsidRPr="00161341" w:rsidRDefault="00E20F47" w:rsidP="0096781E">
      <w:pPr>
        <w:pStyle w:val="ListParagraph"/>
        <w:numPr>
          <w:ilvl w:val="0"/>
          <w:numId w:val="30"/>
        </w:numPr>
        <w:spacing w:before="0" w:after="0" w:line="276" w:lineRule="auto"/>
        <w:ind w:left="714" w:hanging="357"/>
        <w:rPr>
          <w:rFonts w:asciiTheme="minorHAnsi" w:hAnsiTheme="minorHAnsi"/>
        </w:rPr>
      </w:pPr>
      <w:r w:rsidRPr="00161341">
        <w:rPr>
          <w:rFonts w:asciiTheme="minorHAnsi" w:hAnsiTheme="minorHAnsi"/>
        </w:rPr>
        <w:t xml:space="preserve">CSIRO </w:t>
      </w:r>
    </w:p>
    <w:p w:rsidR="00E20F47" w:rsidRPr="00161341" w:rsidRDefault="00E20F47" w:rsidP="0096781E">
      <w:pPr>
        <w:pStyle w:val="ListParagraph"/>
        <w:numPr>
          <w:ilvl w:val="0"/>
          <w:numId w:val="30"/>
        </w:numPr>
        <w:spacing w:before="0" w:after="0" w:line="276" w:lineRule="auto"/>
        <w:ind w:left="714" w:hanging="357"/>
        <w:rPr>
          <w:rFonts w:asciiTheme="minorHAnsi" w:hAnsiTheme="minorHAnsi"/>
        </w:rPr>
      </w:pPr>
      <w:r w:rsidRPr="00161341">
        <w:rPr>
          <w:rFonts w:asciiTheme="minorHAnsi" w:hAnsiTheme="minorHAnsi"/>
        </w:rPr>
        <w:t>Prima</w:t>
      </w:r>
      <w:r w:rsidR="005D4F50" w:rsidRPr="00161341">
        <w:rPr>
          <w:rFonts w:asciiTheme="minorHAnsi" w:hAnsiTheme="minorHAnsi"/>
        </w:rPr>
        <w:t>r</w:t>
      </w:r>
      <w:r w:rsidRPr="00161341">
        <w:rPr>
          <w:rFonts w:asciiTheme="minorHAnsi" w:hAnsiTheme="minorHAnsi"/>
        </w:rPr>
        <w:t xml:space="preserve">y CRC patients </w:t>
      </w:r>
    </w:p>
    <w:p w:rsidR="007D35EF" w:rsidRPr="00161341" w:rsidRDefault="00E20F47" w:rsidP="0096781E">
      <w:pPr>
        <w:pStyle w:val="ListParagraph"/>
        <w:numPr>
          <w:ilvl w:val="0"/>
          <w:numId w:val="30"/>
        </w:numPr>
        <w:spacing w:before="0" w:after="0" w:line="276" w:lineRule="auto"/>
        <w:ind w:left="714" w:hanging="357"/>
        <w:rPr>
          <w:rFonts w:asciiTheme="minorHAnsi" w:hAnsiTheme="minorHAnsi"/>
        </w:rPr>
      </w:pPr>
      <w:r w:rsidRPr="00161341">
        <w:rPr>
          <w:rFonts w:asciiTheme="minorHAnsi" w:hAnsiTheme="minorHAnsi"/>
        </w:rPr>
        <w:t xml:space="preserve">Australian health care system. </w:t>
      </w:r>
    </w:p>
    <w:p w:rsidR="00E20F47" w:rsidRPr="00161341" w:rsidRDefault="00E20F47" w:rsidP="00161341">
      <w:pPr>
        <w:pStyle w:val="Heading3"/>
        <w:spacing w:before="40" w:after="0" w:line="360" w:lineRule="auto"/>
        <w:rPr>
          <w:sz w:val="24"/>
          <w:szCs w:val="24"/>
        </w:rPr>
      </w:pPr>
      <w:r w:rsidRPr="00161341">
        <w:rPr>
          <w:sz w:val="24"/>
          <w:szCs w:val="24"/>
        </w:rPr>
        <w:lastRenderedPageBreak/>
        <w:t>Time horizon and target population</w:t>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While the research program is an ongoing activity, it is necessary to define a particular period for the CBA. Given the history of the project, the analysis is based on research activity since 2006/07.</w:t>
      </w:r>
    </w:p>
    <w:p w:rsidR="005D4F50" w:rsidRPr="00161341" w:rsidRDefault="005D4F50" w:rsidP="00161341">
      <w:pPr>
        <w:spacing w:after="0" w:line="276" w:lineRule="auto"/>
        <w:rPr>
          <w:rFonts w:asciiTheme="minorHAnsi" w:hAnsiTheme="minorHAnsi"/>
          <w:sz w:val="24"/>
          <w:szCs w:val="24"/>
        </w:rPr>
      </w:pP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In the program, there were lags between the scientific discovery, and the realisation of benefits after adoption by government agencies and other end users. In recent years, the lag has averaged 10 years. On that basis, the benefits are only measured from 2017/18 onwards. We assume that the first year of surveillance regimen is 2017/18, giving a period of five years after initial treatment for patients until the end of 2021/22, where necessary until the end of 2026/27. In the analysis, the costs from 2006/07 are included.</w:t>
      </w:r>
    </w:p>
    <w:p w:rsidR="005D4F50" w:rsidRPr="00161341" w:rsidRDefault="005D4F50" w:rsidP="00161341">
      <w:pPr>
        <w:spacing w:after="0" w:line="276" w:lineRule="auto"/>
        <w:rPr>
          <w:rFonts w:asciiTheme="minorHAnsi" w:hAnsiTheme="minorHAnsi"/>
          <w:sz w:val="24"/>
          <w:szCs w:val="24"/>
        </w:rPr>
      </w:pP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 xml:space="preserve">Thus, the analysis involves a small component of ex-post analysis (relating to the costs in the period 2006/07-2017/18), but also a large component of ex-ante analysis, forecasting the benefits flowing from the research activities over the period to 2026/27.  All input data are based on the latest data available, adjusted to reflect these start and end dates. A discount rate of 7% for both costs and benefits will be used.  The starting year for costs will be dependent on the research costs record. Population coverage refers to Australia’s population at the end of 2015, using Australian Bureau of Statistics (ABS) data on Australian census in 2016. The target population refers to CRC patients with primary treatments (e.g. curative intent surgical or adjuvant therapy), calculated by using the prevalence in Australia. The target population is divided into two groups based on the stage of CRC: stage 2 and 3 only according to the surveillance regimen guidelines provided. </w:t>
      </w:r>
    </w:p>
    <w:p w:rsidR="007D35EF" w:rsidRPr="00161341" w:rsidRDefault="007D35EF" w:rsidP="00161341">
      <w:pPr>
        <w:spacing w:after="0" w:line="276" w:lineRule="auto"/>
        <w:rPr>
          <w:rFonts w:asciiTheme="minorHAnsi" w:hAnsiTheme="minorHAnsi"/>
          <w:b/>
          <w:sz w:val="24"/>
          <w:szCs w:val="24"/>
        </w:rPr>
      </w:pPr>
    </w:p>
    <w:p w:rsidR="00E20F47" w:rsidRPr="00161341" w:rsidRDefault="00E20F47" w:rsidP="00161341">
      <w:pPr>
        <w:pStyle w:val="Heading3"/>
        <w:spacing w:before="40" w:after="0" w:line="360" w:lineRule="auto"/>
        <w:rPr>
          <w:sz w:val="24"/>
          <w:szCs w:val="24"/>
        </w:rPr>
      </w:pPr>
      <w:r w:rsidRPr="00161341">
        <w:rPr>
          <w:sz w:val="24"/>
          <w:szCs w:val="24"/>
        </w:rPr>
        <w:t>Benefits of risk reduction and associated quality of life improvement</w:t>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 xml:space="preserve">Clinical benefit to the patients and their families will be the enhanced quality of life due to early detection. Value of a Statistical Life (VSL) has been introduced in economic evaluation by economists to assess the benefits of risk reduction efforts. VSL is defined as the additional cost that individuals would be willing to bear for improvements in reductions in risks such as driving an automobile, smoking a cigarette, and eating a medium-rare hamburger. By convention this is usually assumed to be the life of a young adult with at least 40 years of life ahead. For many purposes, we want to know the value of a year of life because in many cases, especially in health interventions, we can save a small number of years of life rather than 40 years. Therefore, the value of a life year (VLY) is used instead of VSL. Most often VLY is taken to be the constant annual sum which, taken over a remaining life span, has a discounted value equal to the estimated VSL. The VLY may also be described as the value of a quality adjusted life year (QALY). </w:t>
      </w:r>
    </w:p>
    <w:p w:rsidR="005D4F50" w:rsidRPr="00161341" w:rsidRDefault="005D4F50" w:rsidP="00161341">
      <w:pPr>
        <w:spacing w:after="0" w:line="276" w:lineRule="auto"/>
        <w:rPr>
          <w:rFonts w:asciiTheme="minorHAnsi" w:hAnsiTheme="minorHAnsi"/>
          <w:sz w:val="24"/>
          <w:szCs w:val="24"/>
        </w:rPr>
      </w:pP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In Australia, a constant VLY of $1</w:t>
      </w:r>
      <w:r w:rsidR="00435800" w:rsidRPr="00161341">
        <w:rPr>
          <w:rFonts w:asciiTheme="minorHAnsi" w:hAnsiTheme="minorHAnsi"/>
          <w:sz w:val="24"/>
          <w:szCs w:val="24"/>
        </w:rPr>
        <w:t>87,104</w:t>
      </w:r>
      <w:r w:rsidRPr="00161341">
        <w:rPr>
          <w:rFonts w:asciiTheme="minorHAnsi" w:hAnsiTheme="minorHAnsi"/>
          <w:sz w:val="24"/>
          <w:szCs w:val="24"/>
        </w:rPr>
        <w:t xml:space="preserve"> is proposed, which is independent of age. During the calculation of benefits, we have to assume the life expectancy gains for each patient from getting the new intervention, Colvera™, will have at least the identical life expectancy gains with getting the current best intervention, CEA, as no research has been conducted to measure the effectiveness of the new intervention. The mean life expectancy gain of using CEA is 0.3%</w:t>
      </w:r>
      <w:r w:rsidR="00B60A01" w:rsidRPr="00161341">
        <w:rPr>
          <w:rFonts w:asciiTheme="minorHAnsi" w:hAnsiTheme="minorHAnsi"/>
          <w:sz w:val="24"/>
          <w:szCs w:val="24"/>
        </w:rPr>
        <w:t>⁵</w:t>
      </w:r>
      <w:r w:rsidR="005D4F50" w:rsidRPr="00161341">
        <w:rPr>
          <w:rFonts w:asciiTheme="minorHAnsi" w:hAnsiTheme="minorHAnsi"/>
          <w:sz w:val="24"/>
          <w:szCs w:val="24"/>
        </w:rPr>
        <w:t>.</w:t>
      </w:r>
      <w:r w:rsidRPr="00161341">
        <w:rPr>
          <w:rFonts w:asciiTheme="minorHAnsi" w:hAnsiTheme="minorHAnsi"/>
          <w:sz w:val="24"/>
          <w:szCs w:val="24"/>
        </w:rPr>
        <w:t xml:space="preserve"> Therefore, the main clinical benefit of having Colvera™ will be the extra number of patients </w:t>
      </w:r>
      <w:r w:rsidRPr="00161341">
        <w:rPr>
          <w:rFonts w:asciiTheme="minorHAnsi" w:hAnsiTheme="minorHAnsi"/>
          <w:sz w:val="24"/>
          <w:szCs w:val="24"/>
        </w:rPr>
        <w:lastRenderedPageBreak/>
        <w:t xml:space="preserve">detected by the new intervention and the increase in their life expectancy.  These assumptions will be tested in sensitivity analysis. </w:t>
      </w:r>
    </w:p>
    <w:p w:rsidR="00E20F47" w:rsidRPr="00161341" w:rsidRDefault="00E20F47" w:rsidP="0096781E">
      <w:pPr>
        <w:pStyle w:val="ListDash"/>
        <w:numPr>
          <w:ilvl w:val="0"/>
          <w:numId w:val="31"/>
        </w:numPr>
        <w:spacing w:before="0" w:after="0" w:line="276" w:lineRule="auto"/>
        <w:rPr>
          <w:sz w:val="24"/>
          <w:szCs w:val="24"/>
        </w:rPr>
      </w:pPr>
      <w:r w:rsidRPr="00161341">
        <w:rPr>
          <w:sz w:val="24"/>
          <w:szCs w:val="24"/>
        </w:rPr>
        <w:t>CRC new cases: This number is taken from the Australian Institute of Health and Welfare (AIHW) report in 2017</w:t>
      </w:r>
      <w:r w:rsidR="00B60A01" w:rsidRPr="00161341">
        <w:rPr>
          <w:sz w:val="24"/>
          <w:szCs w:val="24"/>
        </w:rPr>
        <w:t>⁴</w:t>
      </w:r>
      <w:r w:rsidRPr="00161341">
        <w:rPr>
          <w:sz w:val="24"/>
          <w:szCs w:val="24"/>
        </w:rPr>
        <w:t xml:space="preserve">. However, no relationship between CRC new cases and population can be discovered so far. This figure is assumed to be fixed in each year over the project period. </w:t>
      </w:r>
    </w:p>
    <w:p w:rsidR="00E20F47" w:rsidRPr="00161341" w:rsidRDefault="00E20F47" w:rsidP="0096781E">
      <w:pPr>
        <w:pStyle w:val="ListDash"/>
        <w:numPr>
          <w:ilvl w:val="0"/>
          <w:numId w:val="31"/>
        </w:numPr>
        <w:spacing w:before="0" w:after="0" w:line="276" w:lineRule="auto"/>
        <w:rPr>
          <w:sz w:val="24"/>
          <w:szCs w:val="24"/>
        </w:rPr>
      </w:pPr>
      <w:r w:rsidRPr="00161341">
        <w:rPr>
          <w:sz w:val="24"/>
          <w:szCs w:val="24"/>
        </w:rPr>
        <w:t>CRC existing cases: Similar to the CRC new cases, this figure is also taken from AIHW report</w:t>
      </w:r>
      <w:r w:rsidR="00B60A01" w:rsidRPr="00161341">
        <w:rPr>
          <w:sz w:val="24"/>
          <w:szCs w:val="24"/>
        </w:rPr>
        <w:t>⁴</w:t>
      </w:r>
      <w:r w:rsidRPr="00161341">
        <w:rPr>
          <w:sz w:val="24"/>
          <w:szCs w:val="24"/>
        </w:rPr>
        <w:t xml:space="preserve">, and is assumed to be constant over the project period. In addition, all existing CRC cases are assumed to be primary patients that are eligible for the modern surveillance protocols. </w:t>
      </w:r>
    </w:p>
    <w:p w:rsidR="00E20F47" w:rsidRPr="00161341" w:rsidRDefault="00E20F47" w:rsidP="0096781E">
      <w:pPr>
        <w:pStyle w:val="ListDash"/>
        <w:numPr>
          <w:ilvl w:val="0"/>
          <w:numId w:val="31"/>
        </w:numPr>
        <w:spacing w:before="0" w:after="0" w:line="276" w:lineRule="auto"/>
        <w:rPr>
          <w:sz w:val="24"/>
          <w:szCs w:val="24"/>
        </w:rPr>
      </w:pPr>
      <w:r w:rsidRPr="00161341">
        <w:rPr>
          <w:sz w:val="24"/>
          <w:szCs w:val="24"/>
        </w:rPr>
        <w:t>Colvera™ uptake rate: The coverage of new intervention (Colvera™ ) that will replace the current test (CEA) is assumed to be 20%, 40%, 60%, 80% and 100% from Year 1 to 5 (2017-2020).  From 2021 onward, the Colvera™ will replace all CEA as the recurrence monitoring test for CRC patients.</w:t>
      </w:r>
    </w:p>
    <w:p w:rsidR="005D4F50" w:rsidRPr="00161341" w:rsidRDefault="005D4F50" w:rsidP="00161341">
      <w:pPr>
        <w:spacing w:after="0" w:line="276" w:lineRule="auto"/>
        <w:rPr>
          <w:rFonts w:asciiTheme="minorHAnsi" w:hAnsiTheme="minorHAnsi"/>
          <w:sz w:val="24"/>
          <w:szCs w:val="24"/>
        </w:rPr>
      </w:pP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Based on the above assumptions, the value of ‘quality of life’ is $5.7 million by 2026-27. The calculation for this impact is presented in Table 6.1.</w:t>
      </w:r>
    </w:p>
    <w:p w:rsidR="00267E5C" w:rsidRPr="00161341" w:rsidRDefault="00267E5C" w:rsidP="00267E5C">
      <w:pPr>
        <w:spacing w:after="0" w:line="288" w:lineRule="auto"/>
        <w:rPr>
          <w:rFonts w:asciiTheme="minorHAnsi" w:hAnsiTheme="minorHAnsi"/>
          <w:sz w:val="28"/>
          <w:szCs w:val="24"/>
        </w:rPr>
      </w:pPr>
    </w:p>
    <w:p w:rsidR="00E20F47" w:rsidRPr="00161341" w:rsidRDefault="00EE3050" w:rsidP="00E20F47">
      <w:pPr>
        <w:pStyle w:val="Heading5"/>
        <w:spacing w:before="0" w:after="0"/>
        <w:rPr>
          <w:rFonts w:asciiTheme="minorHAnsi" w:hAnsiTheme="minorHAnsi"/>
          <w:color w:val="007E9A" w:themeColor="accent1" w:themeShade="BF"/>
          <w:sz w:val="20"/>
          <w:szCs w:val="20"/>
        </w:rPr>
      </w:pPr>
      <w:r w:rsidRPr="00161341">
        <w:rPr>
          <w:rFonts w:asciiTheme="minorHAnsi" w:hAnsiTheme="minorHAnsi"/>
          <w:color w:val="007E9A" w:themeColor="accent1" w:themeShade="BF"/>
          <w:sz w:val="20"/>
          <w:szCs w:val="20"/>
        </w:rPr>
        <w:t>Table 6.</w:t>
      </w:r>
      <w:r w:rsidR="00E20F47" w:rsidRPr="00161341">
        <w:rPr>
          <w:rFonts w:asciiTheme="minorHAnsi" w:hAnsiTheme="minorHAnsi"/>
          <w:color w:val="007E9A" w:themeColor="accent1" w:themeShade="BF"/>
          <w:sz w:val="20"/>
          <w:szCs w:val="20"/>
        </w:rPr>
        <w:t>1</w:t>
      </w:r>
      <w:r w:rsidRPr="00161341">
        <w:rPr>
          <w:rFonts w:asciiTheme="minorHAnsi" w:hAnsiTheme="minorHAnsi"/>
          <w:color w:val="007E9A" w:themeColor="accent1" w:themeShade="BF"/>
          <w:sz w:val="20"/>
          <w:szCs w:val="20"/>
        </w:rPr>
        <w:t>: Impact calculation of improved health outcomes</w:t>
      </w:r>
    </w:p>
    <w:tbl>
      <w:tblPr>
        <w:tblW w:w="9725" w:type="dxa"/>
        <w:jc w:val="center"/>
        <w:shd w:val="clear" w:color="auto" w:fill="FFFFFF"/>
        <w:tblCellMar>
          <w:left w:w="0" w:type="dxa"/>
          <w:right w:w="0" w:type="dxa"/>
        </w:tblCellMar>
        <w:tblLook w:val="04A0" w:firstRow="1" w:lastRow="0" w:firstColumn="1" w:lastColumn="0" w:noHBand="0" w:noVBand="1"/>
      </w:tblPr>
      <w:tblGrid>
        <w:gridCol w:w="1247"/>
        <w:gridCol w:w="5013"/>
        <w:gridCol w:w="1344"/>
        <w:gridCol w:w="2121"/>
      </w:tblGrid>
      <w:tr w:rsidR="00FB61A7" w:rsidRPr="00161341" w:rsidTr="00161341">
        <w:trPr>
          <w:trHeight w:hRule="exact" w:val="272"/>
          <w:jc w:val="center"/>
        </w:trPr>
        <w:tc>
          <w:tcPr>
            <w:tcW w:w="1247" w:type="dxa"/>
            <w:tcBorders>
              <w:top w:val="single" w:sz="8" w:space="0" w:color="auto"/>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eastAsiaTheme="minorHAnsi" w:hAnsiTheme="minorHAnsi"/>
                <w:color w:val="212121"/>
                <w:sz w:val="18"/>
                <w:szCs w:val="18"/>
                <w:lang w:eastAsia="en-US"/>
              </w:rPr>
            </w:pPr>
            <w:r w:rsidRPr="00161341">
              <w:rPr>
                <w:rFonts w:asciiTheme="minorHAnsi" w:hAnsiTheme="minorHAnsi"/>
                <w:b/>
                <w:bCs/>
                <w:color w:val="212121"/>
                <w:sz w:val="18"/>
                <w:szCs w:val="18"/>
                <w:lang w:val="en-US" w:eastAsia="en-US"/>
              </w:rPr>
              <w:t>Measure</w:t>
            </w:r>
          </w:p>
        </w:tc>
        <w:tc>
          <w:tcPr>
            <w:tcW w:w="5013" w:type="dxa"/>
            <w:tcBorders>
              <w:top w:val="single" w:sz="8" w:space="0" w:color="auto"/>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p>
        </w:tc>
        <w:tc>
          <w:tcPr>
            <w:tcW w:w="1344" w:type="dxa"/>
            <w:tcBorders>
              <w:top w:val="single" w:sz="8" w:space="0" w:color="auto"/>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eastAsiaTheme="minorHAnsi" w:hAnsiTheme="minorHAnsi"/>
                <w:color w:val="212121"/>
                <w:sz w:val="18"/>
                <w:szCs w:val="18"/>
                <w:lang w:eastAsia="en-US"/>
              </w:rPr>
            </w:pPr>
            <w:r w:rsidRPr="00161341">
              <w:rPr>
                <w:rFonts w:asciiTheme="minorHAnsi" w:hAnsiTheme="minorHAnsi"/>
                <w:b/>
                <w:bCs/>
                <w:color w:val="212121"/>
                <w:sz w:val="18"/>
                <w:szCs w:val="18"/>
                <w:lang w:val="en-US" w:eastAsia="en-US"/>
              </w:rPr>
              <w:t>Value</w:t>
            </w:r>
          </w:p>
        </w:tc>
        <w:tc>
          <w:tcPr>
            <w:tcW w:w="2120" w:type="dxa"/>
            <w:tcBorders>
              <w:top w:val="single" w:sz="8" w:space="0" w:color="auto"/>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Source</w:t>
            </w:r>
          </w:p>
        </w:tc>
      </w:tr>
      <w:tr w:rsidR="00FB61A7" w:rsidRPr="00161341" w:rsidTr="00161341">
        <w:trPr>
          <w:trHeight w:hRule="exact" w:val="272"/>
          <w:jc w:val="center"/>
        </w:trPr>
        <w:tc>
          <w:tcPr>
            <w:tcW w:w="9725" w:type="dxa"/>
            <w:gridSpan w:val="4"/>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With CSIRO research</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A</w:t>
            </w:r>
            <w:r w:rsidRPr="00161341">
              <w:rPr>
                <w:rFonts w:asciiTheme="minorHAnsi" w:hAnsiTheme="minorHAnsi"/>
                <w:b/>
                <w:bCs/>
                <w:color w:val="212121"/>
                <w:sz w:val="18"/>
                <w:szCs w:val="18"/>
                <w:vertAlign w:val="subscript"/>
                <w:lang w:val="en-US" w:eastAsia="en-US"/>
              </w:rPr>
              <w:t>R</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Number of CRC primary recur under surveillance</w:t>
            </w:r>
          </w:p>
        </w:tc>
        <w:tc>
          <w:tcPr>
            <w:tcW w:w="1344"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Various</w:t>
            </w:r>
          </w:p>
        </w:tc>
        <w:tc>
          <w:tcPr>
            <w:tcW w:w="212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AIHW 2016</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b/>
                <w:bCs/>
                <w:color w:val="212121"/>
                <w:sz w:val="18"/>
                <w:szCs w:val="18"/>
                <w:lang w:val="en-US" w:eastAsia="en-US"/>
              </w:rPr>
            </w:pPr>
            <w:r w:rsidRPr="00161341">
              <w:rPr>
                <w:rFonts w:asciiTheme="minorHAnsi" w:hAnsiTheme="minorHAnsi"/>
                <w:b/>
                <w:bCs/>
                <w:color w:val="212121"/>
                <w:sz w:val="18"/>
                <w:szCs w:val="18"/>
                <w:lang w:val="en-US" w:eastAsia="en-US"/>
              </w:rPr>
              <w:t>B</w:t>
            </w:r>
            <w:r w:rsidRPr="00161341">
              <w:rPr>
                <w:rFonts w:asciiTheme="minorHAnsi" w:hAnsiTheme="minorHAnsi"/>
                <w:b/>
                <w:bCs/>
                <w:color w:val="212121"/>
                <w:sz w:val="18"/>
                <w:szCs w:val="18"/>
                <w:vertAlign w:val="subscript"/>
                <w:lang w:val="en-US" w:eastAsia="en-US"/>
              </w:rPr>
              <w:t>R</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 xml:space="preserve">Uptake rate of Colvera™ </w:t>
            </w:r>
          </w:p>
        </w:tc>
        <w:tc>
          <w:tcPr>
            <w:tcW w:w="1344" w:type="dxa"/>
            <w:tcBorders>
              <w:top w:val="nil"/>
              <w:left w:val="nil"/>
              <w:bottom w:val="single" w:sz="8" w:space="0" w:color="auto"/>
              <w:right w:val="single" w:sz="8" w:space="0" w:color="auto"/>
            </w:tcBorders>
            <w:shd w:val="clear" w:color="auto" w:fill="FFFFFF"/>
            <w:noWrap/>
            <w:hideMark/>
          </w:tcPr>
          <w:p w:rsidR="00E20F47" w:rsidRPr="00161341" w:rsidRDefault="006E571A" w:rsidP="006D712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100</w:t>
            </w:r>
            <w:r w:rsidR="00E20F47" w:rsidRPr="00161341">
              <w:rPr>
                <w:rFonts w:asciiTheme="minorHAnsi" w:eastAsia="Times New Roman" w:hAnsiTheme="minorHAnsi"/>
                <w:color w:val="212121"/>
                <w:sz w:val="18"/>
                <w:szCs w:val="18"/>
                <w:lang w:val="en-US"/>
              </w:rPr>
              <w:t>% by year 5</w:t>
            </w:r>
          </w:p>
        </w:tc>
        <w:tc>
          <w:tcPr>
            <w:tcW w:w="212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Author’s assumptions</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C</w:t>
            </w:r>
            <w:r w:rsidRPr="00161341">
              <w:rPr>
                <w:rFonts w:asciiTheme="minorHAnsi" w:hAnsiTheme="minorHAnsi"/>
                <w:b/>
                <w:bCs/>
                <w:color w:val="212121"/>
                <w:sz w:val="18"/>
                <w:szCs w:val="18"/>
                <w:vertAlign w:val="subscript"/>
                <w:lang w:val="en-US" w:eastAsia="en-US"/>
              </w:rPr>
              <w:t>R</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Detection rate of Colvera™</w:t>
            </w:r>
          </w:p>
        </w:tc>
        <w:tc>
          <w:tcPr>
            <w:tcW w:w="1344"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 30%</w:t>
            </w:r>
          </w:p>
        </w:tc>
        <w:tc>
          <w:tcPr>
            <w:tcW w:w="212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ECRI Institute 2017</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D</w:t>
            </w:r>
            <w:r w:rsidRPr="00161341">
              <w:rPr>
                <w:rFonts w:asciiTheme="minorHAnsi" w:hAnsiTheme="minorHAnsi"/>
                <w:b/>
                <w:bCs/>
                <w:color w:val="212121"/>
                <w:sz w:val="18"/>
                <w:szCs w:val="18"/>
                <w:vertAlign w:val="subscript"/>
                <w:lang w:val="en-US" w:eastAsia="en-US"/>
              </w:rPr>
              <w:t>R</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Positive detection rate of Colvera™</w:t>
            </w:r>
          </w:p>
        </w:tc>
        <w:tc>
          <w:tcPr>
            <w:tcW w:w="1344"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 </w:t>
            </w:r>
          </w:p>
        </w:tc>
        <w:tc>
          <w:tcPr>
            <w:tcW w:w="212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ECRI Institute 2017</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
                <w:bCs/>
                <w:color w:val="212121"/>
                <w:sz w:val="18"/>
                <w:szCs w:val="18"/>
                <w:lang w:val="en-US"/>
              </w:rPr>
            </w:pP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jc w:val="center"/>
              <w:rPr>
                <w:rFonts w:asciiTheme="minorHAnsi" w:eastAsia="Times New Roman" w:hAnsiTheme="minorHAnsi"/>
                <w:bCs/>
                <w:color w:val="212121"/>
                <w:sz w:val="18"/>
                <w:szCs w:val="18"/>
                <w:lang w:val="en-US"/>
              </w:rPr>
            </w:pPr>
            <w:r w:rsidRPr="00161341">
              <w:rPr>
                <w:rFonts w:asciiTheme="minorHAnsi" w:eastAsia="Times New Roman" w:hAnsiTheme="minorHAnsi"/>
                <w:bCs/>
                <w:color w:val="212121"/>
                <w:sz w:val="18"/>
                <w:szCs w:val="18"/>
                <w:lang w:val="en-US"/>
              </w:rPr>
              <w:t>Stage 2</w:t>
            </w:r>
          </w:p>
        </w:tc>
        <w:tc>
          <w:tcPr>
            <w:tcW w:w="1344"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bCs/>
                <w:color w:val="212121"/>
                <w:sz w:val="18"/>
                <w:szCs w:val="18"/>
                <w:lang w:val="en-US"/>
              </w:rPr>
            </w:pPr>
            <w:r w:rsidRPr="00161341">
              <w:rPr>
                <w:rFonts w:asciiTheme="minorHAnsi" w:eastAsia="Times New Roman" w:hAnsiTheme="minorHAnsi"/>
                <w:bCs/>
                <w:color w:val="212121"/>
                <w:sz w:val="18"/>
                <w:szCs w:val="18"/>
                <w:lang w:val="en-US"/>
              </w:rPr>
              <w:t>10.2%</w:t>
            </w:r>
          </w:p>
        </w:tc>
        <w:tc>
          <w:tcPr>
            <w:tcW w:w="2120"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Cs/>
                <w:color w:val="212121"/>
                <w:sz w:val="18"/>
                <w:szCs w:val="18"/>
                <w:lang w:val="en-US"/>
              </w:rPr>
            </w:pP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
                <w:bCs/>
                <w:color w:val="212121"/>
                <w:sz w:val="18"/>
                <w:szCs w:val="18"/>
                <w:lang w:val="en-US"/>
              </w:rPr>
            </w:pP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jc w:val="center"/>
              <w:rPr>
                <w:rFonts w:asciiTheme="minorHAnsi" w:eastAsia="Times New Roman" w:hAnsiTheme="minorHAnsi"/>
                <w:bCs/>
                <w:color w:val="212121"/>
                <w:sz w:val="18"/>
                <w:szCs w:val="18"/>
                <w:lang w:val="en-US"/>
              </w:rPr>
            </w:pPr>
            <w:r w:rsidRPr="00161341">
              <w:rPr>
                <w:rFonts w:asciiTheme="minorHAnsi" w:eastAsia="Times New Roman" w:hAnsiTheme="minorHAnsi"/>
                <w:bCs/>
                <w:color w:val="212121"/>
                <w:sz w:val="18"/>
                <w:szCs w:val="18"/>
                <w:lang w:val="en-US"/>
              </w:rPr>
              <w:t>Stage 3</w:t>
            </w:r>
          </w:p>
        </w:tc>
        <w:tc>
          <w:tcPr>
            <w:tcW w:w="1344"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bCs/>
                <w:color w:val="212121"/>
                <w:sz w:val="18"/>
                <w:szCs w:val="18"/>
                <w:lang w:val="en-US"/>
              </w:rPr>
            </w:pPr>
            <w:r w:rsidRPr="00161341">
              <w:rPr>
                <w:rFonts w:asciiTheme="minorHAnsi" w:eastAsia="Times New Roman" w:hAnsiTheme="minorHAnsi"/>
                <w:bCs/>
                <w:color w:val="212121"/>
                <w:sz w:val="18"/>
                <w:szCs w:val="18"/>
                <w:lang w:val="en-US"/>
              </w:rPr>
              <w:t>20.4%</w:t>
            </w:r>
          </w:p>
        </w:tc>
        <w:tc>
          <w:tcPr>
            <w:tcW w:w="2120"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Cs/>
                <w:color w:val="212121"/>
                <w:sz w:val="18"/>
                <w:szCs w:val="18"/>
                <w:lang w:val="en-US"/>
              </w:rPr>
            </w:pP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E</w:t>
            </w:r>
            <w:r w:rsidRPr="00161341">
              <w:rPr>
                <w:rFonts w:asciiTheme="minorHAnsi" w:hAnsiTheme="minorHAnsi"/>
                <w:b/>
                <w:bCs/>
                <w:color w:val="212121"/>
                <w:sz w:val="18"/>
                <w:szCs w:val="18"/>
                <w:vertAlign w:val="subscript"/>
                <w:lang w:val="en-US" w:eastAsia="en-US"/>
              </w:rPr>
              <w:t>R</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 xml:space="preserve">Number of positive detection of Colvera™ </w:t>
            </w:r>
          </w:p>
        </w:tc>
        <w:tc>
          <w:tcPr>
            <w:tcW w:w="3464" w:type="dxa"/>
            <w:gridSpan w:val="2"/>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w:t>
            </w:r>
            <w:r w:rsidRPr="00161341">
              <w:rPr>
                <w:rFonts w:asciiTheme="minorHAnsi" w:hAnsiTheme="minorHAnsi"/>
                <w:b/>
                <w:bCs/>
                <w:color w:val="212121"/>
                <w:sz w:val="18"/>
                <w:szCs w:val="18"/>
                <w:lang w:val="en-US" w:eastAsia="en-US"/>
              </w:rPr>
              <w:t> A</w:t>
            </w:r>
            <w:r w:rsidRPr="00161341">
              <w:rPr>
                <w:rFonts w:asciiTheme="minorHAnsi" w:hAnsiTheme="minorHAnsi"/>
                <w:b/>
                <w:bCs/>
                <w:color w:val="212121"/>
                <w:sz w:val="18"/>
                <w:szCs w:val="18"/>
                <w:vertAlign w:val="subscript"/>
                <w:lang w:val="en-US" w:eastAsia="en-US"/>
              </w:rPr>
              <w:t>R</w:t>
            </w:r>
            <w:r w:rsidRPr="00161341">
              <w:rPr>
                <w:rFonts w:asciiTheme="minorHAnsi" w:hAnsiTheme="minorHAnsi"/>
                <w:b/>
                <w:bCs/>
                <w:color w:val="212121"/>
                <w:sz w:val="18"/>
                <w:szCs w:val="18"/>
                <w:lang w:val="en-US" w:eastAsia="en-US"/>
              </w:rPr>
              <w:t> </w:t>
            </w:r>
            <w:r w:rsidRPr="00161341">
              <w:rPr>
                <w:rFonts w:asciiTheme="minorHAnsi" w:hAnsiTheme="minorHAnsi"/>
                <w:color w:val="212121"/>
                <w:sz w:val="18"/>
                <w:szCs w:val="18"/>
                <w:lang w:val="en-US" w:eastAsia="en-US"/>
              </w:rPr>
              <w:t>*</w:t>
            </w:r>
            <w:r w:rsidRPr="00161341">
              <w:rPr>
                <w:rFonts w:asciiTheme="minorHAnsi" w:hAnsiTheme="minorHAnsi"/>
                <w:b/>
                <w:bCs/>
                <w:color w:val="212121"/>
                <w:sz w:val="18"/>
                <w:szCs w:val="18"/>
                <w:lang w:val="en-US" w:eastAsia="en-US"/>
              </w:rPr>
              <w:t> B</w:t>
            </w:r>
            <w:r w:rsidRPr="00161341">
              <w:rPr>
                <w:rFonts w:asciiTheme="minorHAnsi" w:hAnsiTheme="minorHAnsi"/>
                <w:b/>
                <w:bCs/>
                <w:color w:val="212121"/>
                <w:sz w:val="18"/>
                <w:szCs w:val="18"/>
                <w:vertAlign w:val="subscript"/>
                <w:lang w:val="en-US" w:eastAsia="en-US"/>
              </w:rPr>
              <w:t>R</w:t>
            </w:r>
            <w:r w:rsidRPr="00161341">
              <w:rPr>
                <w:rFonts w:asciiTheme="minorHAnsi" w:hAnsiTheme="minorHAnsi"/>
                <w:b/>
                <w:bCs/>
                <w:color w:val="212121"/>
                <w:sz w:val="18"/>
                <w:szCs w:val="18"/>
                <w:lang w:val="en-US" w:eastAsia="en-US"/>
              </w:rPr>
              <w:t> </w:t>
            </w:r>
            <w:r w:rsidRPr="00161341">
              <w:rPr>
                <w:rFonts w:asciiTheme="minorHAnsi" w:hAnsiTheme="minorHAnsi"/>
                <w:color w:val="212121"/>
                <w:sz w:val="18"/>
                <w:szCs w:val="18"/>
                <w:lang w:val="en-US" w:eastAsia="en-US"/>
              </w:rPr>
              <w:t>*</w:t>
            </w:r>
            <w:r w:rsidRPr="00161341">
              <w:rPr>
                <w:rFonts w:asciiTheme="minorHAnsi" w:hAnsiTheme="minorHAnsi"/>
                <w:b/>
                <w:bCs/>
                <w:color w:val="212121"/>
                <w:sz w:val="18"/>
                <w:szCs w:val="18"/>
                <w:lang w:val="en-US" w:eastAsia="en-US"/>
              </w:rPr>
              <w:t> C</w:t>
            </w:r>
            <w:r w:rsidRPr="00161341">
              <w:rPr>
                <w:rFonts w:asciiTheme="minorHAnsi" w:hAnsiTheme="minorHAnsi"/>
                <w:b/>
                <w:bCs/>
                <w:color w:val="212121"/>
                <w:sz w:val="18"/>
                <w:szCs w:val="18"/>
                <w:vertAlign w:val="subscript"/>
                <w:lang w:val="en-US" w:eastAsia="en-US"/>
              </w:rPr>
              <w:t>R</w:t>
            </w:r>
            <w:r w:rsidRPr="00161341">
              <w:rPr>
                <w:rFonts w:asciiTheme="minorHAnsi" w:hAnsiTheme="minorHAnsi"/>
                <w:color w:val="212121"/>
                <w:sz w:val="18"/>
                <w:szCs w:val="18"/>
                <w:lang w:val="en-US" w:eastAsia="en-US"/>
              </w:rPr>
              <w:t>* </w:t>
            </w:r>
            <w:r w:rsidRPr="00161341">
              <w:rPr>
                <w:rFonts w:asciiTheme="minorHAnsi" w:hAnsiTheme="minorHAnsi"/>
                <w:b/>
                <w:bCs/>
                <w:color w:val="212121"/>
                <w:sz w:val="18"/>
                <w:szCs w:val="18"/>
                <w:lang w:val="en-US" w:eastAsia="en-US"/>
              </w:rPr>
              <w:t>D</w:t>
            </w:r>
            <w:r w:rsidRPr="00161341">
              <w:rPr>
                <w:rFonts w:asciiTheme="minorHAnsi" w:hAnsiTheme="minorHAnsi"/>
                <w:b/>
                <w:bCs/>
                <w:color w:val="212121"/>
                <w:sz w:val="18"/>
                <w:szCs w:val="18"/>
                <w:vertAlign w:val="subscript"/>
                <w:lang w:val="en-US" w:eastAsia="en-US"/>
              </w:rPr>
              <w:t>R</w:t>
            </w:r>
            <w:r w:rsidRPr="00161341">
              <w:rPr>
                <w:rFonts w:asciiTheme="minorHAnsi" w:hAnsiTheme="minorHAnsi"/>
                <w:color w:val="212121"/>
                <w:sz w:val="18"/>
                <w:szCs w:val="18"/>
                <w:lang w:val="en-US" w:eastAsia="en-US"/>
              </w:rPr>
              <w:t> </w:t>
            </w:r>
          </w:p>
        </w:tc>
      </w:tr>
      <w:tr w:rsidR="00FB61A7" w:rsidRPr="00161341" w:rsidTr="00161341">
        <w:trPr>
          <w:trHeight w:hRule="exact" w:val="272"/>
          <w:jc w:val="center"/>
        </w:trPr>
        <w:tc>
          <w:tcPr>
            <w:tcW w:w="9725" w:type="dxa"/>
            <w:gridSpan w:val="4"/>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Counterfactual</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C</w:t>
            </w:r>
            <w:r w:rsidRPr="00161341">
              <w:rPr>
                <w:rFonts w:asciiTheme="minorHAnsi" w:hAnsiTheme="minorHAnsi"/>
                <w:b/>
                <w:bCs/>
                <w:color w:val="212121"/>
                <w:sz w:val="18"/>
                <w:szCs w:val="18"/>
                <w:vertAlign w:val="subscript"/>
                <w:lang w:val="en-US" w:eastAsia="en-US"/>
              </w:rPr>
              <w:t>c</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Detection rate of CEA</w:t>
            </w:r>
          </w:p>
        </w:tc>
        <w:tc>
          <w:tcPr>
            <w:tcW w:w="1344"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 30%</w:t>
            </w:r>
          </w:p>
        </w:tc>
        <w:tc>
          <w:tcPr>
            <w:tcW w:w="212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ECRI Institute 2017</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rPr>
                <w:rFonts w:asciiTheme="minorHAnsi" w:hAnsiTheme="minorHAnsi"/>
                <w:b/>
                <w:bCs/>
                <w:color w:val="212121"/>
                <w:sz w:val="18"/>
                <w:szCs w:val="18"/>
                <w:lang w:val="en-US" w:eastAsia="en-US"/>
              </w:rPr>
            </w:pPr>
            <w:r w:rsidRPr="00161341">
              <w:rPr>
                <w:rFonts w:asciiTheme="minorHAnsi" w:hAnsiTheme="minorHAnsi"/>
                <w:b/>
                <w:bCs/>
                <w:color w:val="212121"/>
                <w:sz w:val="18"/>
                <w:szCs w:val="18"/>
                <w:lang w:val="en-US" w:eastAsia="en-US"/>
              </w:rPr>
              <w:t>D</w:t>
            </w:r>
            <w:r w:rsidRPr="00161341">
              <w:rPr>
                <w:rFonts w:asciiTheme="minorHAnsi" w:hAnsiTheme="minorHAnsi"/>
                <w:b/>
                <w:bCs/>
                <w:color w:val="212121"/>
                <w:sz w:val="18"/>
                <w:szCs w:val="18"/>
                <w:vertAlign w:val="subscript"/>
                <w:lang w:val="en-US" w:eastAsia="en-US"/>
              </w:rPr>
              <w:t>c</w:t>
            </w:r>
          </w:p>
        </w:tc>
        <w:tc>
          <w:tcPr>
            <w:tcW w:w="5013"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Positive detection rate of CEA</w:t>
            </w:r>
          </w:p>
        </w:tc>
        <w:tc>
          <w:tcPr>
            <w:tcW w:w="1344"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8"/>
                <w:lang w:val="en-US"/>
              </w:rPr>
            </w:pPr>
          </w:p>
        </w:tc>
        <w:tc>
          <w:tcPr>
            <w:tcW w:w="2120"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8"/>
                <w:lang w:val="en-US"/>
              </w:rPr>
            </w:pPr>
            <w:r w:rsidRPr="00161341">
              <w:rPr>
                <w:rFonts w:asciiTheme="minorHAnsi" w:eastAsia="Times New Roman" w:hAnsiTheme="minorHAnsi"/>
                <w:color w:val="212121"/>
                <w:sz w:val="18"/>
                <w:szCs w:val="18"/>
                <w:lang w:val="en-US"/>
              </w:rPr>
              <w:t>ECRI Institute 2017</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rPr>
                <w:rFonts w:asciiTheme="minorHAnsi" w:hAnsiTheme="minorHAnsi"/>
                <w:b/>
                <w:bCs/>
                <w:color w:val="212121"/>
                <w:sz w:val="18"/>
                <w:szCs w:val="18"/>
                <w:lang w:val="en-US" w:eastAsia="en-US"/>
              </w:rPr>
            </w:pPr>
          </w:p>
        </w:tc>
        <w:tc>
          <w:tcPr>
            <w:tcW w:w="5013"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jc w:val="center"/>
              <w:rPr>
                <w:rFonts w:asciiTheme="minorHAnsi" w:eastAsia="Times New Roman" w:hAnsiTheme="minorHAnsi"/>
                <w:bCs/>
                <w:color w:val="212121"/>
                <w:sz w:val="18"/>
                <w:szCs w:val="18"/>
                <w:lang w:val="en-US"/>
              </w:rPr>
            </w:pPr>
            <w:r w:rsidRPr="00161341">
              <w:rPr>
                <w:rFonts w:asciiTheme="minorHAnsi" w:eastAsia="Times New Roman" w:hAnsiTheme="minorHAnsi"/>
                <w:bCs/>
                <w:color w:val="212121"/>
                <w:sz w:val="18"/>
                <w:szCs w:val="18"/>
                <w:lang w:val="en-US"/>
              </w:rPr>
              <w:t>Stage 2</w:t>
            </w:r>
          </w:p>
        </w:tc>
        <w:tc>
          <w:tcPr>
            <w:tcW w:w="1344"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Cs/>
                <w:color w:val="212121"/>
                <w:sz w:val="18"/>
                <w:szCs w:val="18"/>
                <w:lang w:val="en-US"/>
              </w:rPr>
            </w:pPr>
            <w:r w:rsidRPr="00161341">
              <w:rPr>
                <w:rFonts w:asciiTheme="minorHAnsi" w:eastAsia="Times New Roman" w:hAnsiTheme="minorHAnsi"/>
                <w:bCs/>
                <w:color w:val="212121"/>
                <w:sz w:val="18"/>
                <w:szCs w:val="18"/>
                <w:lang w:val="en-US"/>
              </w:rPr>
              <w:t>4.8%</w:t>
            </w:r>
          </w:p>
        </w:tc>
        <w:tc>
          <w:tcPr>
            <w:tcW w:w="2120"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Cs/>
                <w:color w:val="212121"/>
                <w:sz w:val="18"/>
                <w:szCs w:val="18"/>
                <w:lang w:val="en-US"/>
              </w:rPr>
            </w:pP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rPr>
                <w:rFonts w:asciiTheme="minorHAnsi" w:hAnsiTheme="minorHAnsi"/>
                <w:b/>
                <w:bCs/>
                <w:color w:val="212121"/>
                <w:sz w:val="18"/>
                <w:szCs w:val="18"/>
                <w:lang w:val="en-US" w:eastAsia="en-US"/>
              </w:rPr>
            </w:pPr>
          </w:p>
        </w:tc>
        <w:tc>
          <w:tcPr>
            <w:tcW w:w="5013"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jc w:val="center"/>
              <w:rPr>
                <w:rFonts w:asciiTheme="minorHAnsi" w:eastAsia="Times New Roman" w:hAnsiTheme="minorHAnsi"/>
                <w:bCs/>
                <w:color w:val="212121"/>
                <w:sz w:val="18"/>
                <w:szCs w:val="18"/>
                <w:lang w:val="en-US"/>
              </w:rPr>
            </w:pPr>
            <w:r w:rsidRPr="00161341">
              <w:rPr>
                <w:rFonts w:asciiTheme="minorHAnsi" w:eastAsia="Times New Roman" w:hAnsiTheme="minorHAnsi"/>
                <w:bCs/>
                <w:color w:val="212121"/>
                <w:sz w:val="18"/>
                <w:szCs w:val="18"/>
                <w:lang w:val="en-US"/>
              </w:rPr>
              <w:t>Stage 3</w:t>
            </w:r>
          </w:p>
        </w:tc>
        <w:tc>
          <w:tcPr>
            <w:tcW w:w="1344"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Cs/>
                <w:color w:val="212121"/>
                <w:sz w:val="18"/>
                <w:szCs w:val="18"/>
                <w:lang w:val="en-US"/>
              </w:rPr>
            </w:pPr>
            <w:r w:rsidRPr="00161341">
              <w:rPr>
                <w:rFonts w:asciiTheme="minorHAnsi" w:eastAsia="Times New Roman" w:hAnsiTheme="minorHAnsi"/>
                <w:bCs/>
                <w:color w:val="212121"/>
                <w:sz w:val="18"/>
                <w:szCs w:val="18"/>
                <w:lang w:val="en-US"/>
              </w:rPr>
              <w:t>9.6%</w:t>
            </w:r>
          </w:p>
        </w:tc>
        <w:tc>
          <w:tcPr>
            <w:tcW w:w="2120"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Cs/>
                <w:color w:val="212121"/>
                <w:sz w:val="18"/>
                <w:szCs w:val="18"/>
                <w:lang w:val="en-US"/>
              </w:rPr>
            </w:pP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E</w:t>
            </w:r>
            <w:r w:rsidRPr="00161341">
              <w:rPr>
                <w:rFonts w:asciiTheme="minorHAnsi" w:hAnsiTheme="minorHAnsi"/>
                <w:b/>
                <w:bCs/>
                <w:color w:val="212121"/>
                <w:sz w:val="18"/>
                <w:szCs w:val="18"/>
                <w:vertAlign w:val="subscript"/>
                <w:lang w:val="en-US" w:eastAsia="en-US"/>
              </w:rPr>
              <w:t>c</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Number of positive detection of CEA</w:t>
            </w:r>
          </w:p>
        </w:tc>
        <w:tc>
          <w:tcPr>
            <w:tcW w:w="3464" w:type="dxa"/>
            <w:gridSpan w:val="2"/>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w:t>
            </w:r>
            <w:r w:rsidRPr="00161341">
              <w:rPr>
                <w:rFonts w:asciiTheme="minorHAnsi" w:hAnsiTheme="minorHAnsi"/>
                <w:b/>
                <w:bCs/>
                <w:color w:val="212121"/>
                <w:sz w:val="18"/>
                <w:szCs w:val="18"/>
                <w:lang w:val="en-US" w:eastAsia="en-US"/>
              </w:rPr>
              <w:t> A</w:t>
            </w:r>
            <w:r w:rsidRPr="00161341">
              <w:rPr>
                <w:rFonts w:asciiTheme="minorHAnsi" w:hAnsiTheme="minorHAnsi"/>
                <w:b/>
                <w:bCs/>
                <w:color w:val="212121"/>
                <w:sz w:val="18"/>
                <w:szCs w:val="18"/>
                <w:vertAlign w:val="subscript"/>
                <w:lang w:val="en-US" w:eastAsia="en-US"/>
              </w:rPr>
              <w:t>R</w:t>
            </w:r>
            <w:r w:rsidRPr="00161341">
              <w:rPr>
                <w:rFonts w:asciiTheme="minorHAnsi" w:hAnsiTheme="minorHAnsi"/>
                <w:b/>
                <w:bCs/>
                <w:color w:val="212121"/>
                <w:sz w:val="18"/>
                <w:szCs w:val="18"/>
                <w:lang w:val="en-US" w:eastAsia="en-US"/>
              </w:rPr>
              <w:t> </w:t>
            </w:r>
            <w:r w:rsidRPr="00161341">
              <w:rPr>
                <w:rFonts w:asciiTheme="minorHAnsi" w:hAnsiTheme="minorHAnsi"/>
                <w:color w:val="212121"/>
                <w:sz w:val="18"/>
                <w:szCs w:val="18"/>
                <w:lang w:val="en-US" w:eastAsia="en-US"/>
              </w:rPr>
              <w:t>*</w:t>
            </w:r>
            <w:r w:rsidRPr="00161341">
              <w:rPr>
                <w:rFonts w:asciiTheme="minorHAnsi" w:hAnsiTheme="minorHAnsi"/>
                <w:b/>
                <w:bCs/>
                <w:color w:val="212121"/>
                <w:sz w:val="18"/>
                <w:szCs w:val="18"/>
                <w:lang w:val="en-US" w:eastAsia="en-US"/>
              </w:rPr>
              <w:t>  B</w:t>
            </w:r>
            <w:r w:rsidRPr="00161341">
              <w:rPr>
                <w:rFonts w:asciiTheme="minorHAnsi" w:hAnsiTheme="minorHAnsi"/>
                <w:b/>
                <w:bCs/>
                <w:color w:val="212121"/>
                <w:sz w:val="18"/>
                <w:szCs w:val="18"/>
                <w:vertAlign w:val="subscript"/>
                <w:lang w:val="en-US" w:eastAsia="en-US"/>
              </w:rPr>
              <w:t>R</w:t>
            </w:r>
            <w:r w:rsidRPr="00161341">
              <w:rPr>
                <w:rFonts w:asciiTheme="minorHAnsi" w:hAnsiTheme="minorHAnsi"/>
                <w:b/>
                <w:bCs/>
                <w:color w:val="212121"/>
                <w:sz w:val="18"/>
                <w:szCs w:val="18"/>
                <w:lang w:val="en-US" w:eastAsia="en-US"/>
              </w:rPr>
              <w:t xml:space="preserve">  * Cc* D</w:t>
            </w:r>
            <w:r w:rsidRPr="00161341">
              <w:rPr>
                <w:rFonts w:asciiTheme="minorHAnsi" w:hAnsiTheme="minorHAnsi"/>
                <w:b/>
                <w:bCs/>
                <w:color w:val="212121"/>
                <w:sz w:val="18"/>
                <w:szCs w:val="18"/>
                <w:vertAlign w:val="subscript"/>
                <w:lang w:val="en-US" w:eastAsia="en-US"/>
              </w:rPr>
              <w:t>R</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F</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Life expectancy gains attributable to CRC</w:t>
            </w:r>
          </w:p>
        </w:tc>
        <w:tc>
          <w:tcPr>
            <w:tcW w:w="1344"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 0.3%</w:t>
            </w:r>
          </w:p>
        </w:tc>
        <w:tc>
          <w:tcPr>
            <w:tcW w:w="212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Kievit 1990</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G</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Value of a life yea (VLY) ($)</w:t>
            </w:r>
          </w:p>
        </w:tc>
        <w:tc>
          <w:tcPr>
            <w:tcW w:w="1344"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 $151,000</w:t>
            </w:r>
          </w:p>
        </w:tc>
        <w:tc>
          <w:tcPr>
            <w:tcW w:w="212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Abelson 2008</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b/>
                <w:bCs/>
                <w:color w:val="212121"/>
                <w:sz w:val="18"/>
                <w:szCs w:val="18"/>
                <w:lang w:val="en-US" w:eastAsia="en-US"/>
              </w:rPr>
            </w:pPr>
            <w:r w:rsidRPr="00161341">
              <w:rPr>
                <w:rFonts w:asciiTheme="minorHAnsi" w:hAnsiTheme="minorHAnsi"/>
                <w:b/>
                <w:bCs/>
                <w:color w:val="212121"/>
                <w:sz w:val="18"/>
                <w:szCs w:val="18"/>
                <w:lang w:val="en-US" w:eastAsia="en-US"/>
              </w:rPr>
              <w:t>Impact</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val="en-US" w:eastAsia="en-US"/>
              </w:rPr>
            </w:pPr>
            <w:r w:rsidRPr="00161341">
              <w:rPr>
                <w:rFonts w:asciiTheme="minorHAnsi" w:hAnsiTheme="minorHAnsi"/>
                <w:color w:val="212121"/>
                <w:sz w:val="18"/>
                <w:szCs w:val="18"/>
                <w:lang w:val="en-US" w:eastAsia="en-US"/>
              </w:rPr>
              <w:t>World with CSIRO research – counterfactual</w:t>
            </w:r>
          </w:p>
        </w:tc>
        <w:tc>
          <w:tcPr>
            <w:tcW w:w="3464" w:type="dxa"/>
            <w:gridSpan w:val="2"/>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val="en-US" w:eastAsia="en-US"/>
              </w:rPr>
            </w:pPr>
            <w:r w:rsidRPr="00161341">
              <w:rPr>
                <w:rFonts w:asciiTheme="minorHAnsi" w:hAnsiTheme="minorHAnsi"/>
                <w:color w:val="212121"/>
                <w:sz w:val="18"/>
                <w:szCs w:val="18"/>
                <w:lang w:val="en-US" w:eastAsia="en-US"/>
              </w:rPr>
              <w:t> </w:t>
            </w:r>
          </w:p>
        </w:tc>
      </w:tr>
      <w:tr w:rsidR="00FB61A7" w:rsidRPr="00161341" w:rsidTr="00161341">
        <w:trPr>
          <w:trHeight w:hRule="exact" w:val="272"/>
          <w:jc w:val="center"/>
        </w:trPr>
        <w:tc>
          <w:tcPr>
            <w:tcW w:w="1247"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b/>
                <w:bCs/>
                <w:color w:val="212121"/>
                <w:sz w:val="18"/>
                <w:szCs w:val="18"/>
                <w:lang w:val="en-US" w:eastAsia="en-US"/>
              </w:rPr>
              <w:t> </w:t>
            </w:r>
          </w:p>
        </w:tc>
        <w:tc>
          <w:tcPr>
            <w:tcW w:w="501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val="en-US" w:eastAsia="en-US"/>
              </w:rPr>
              <w:t>Increase in quality of life due to early detection ($ per annum)</w:t>
            </w:r>
          </w:p>
        </w:tc>
        <w:tc>
          <w:tcPr>
            <w:tcW w:w="3464" w:type="dxa"/>
            <w:gridSpan w:val="2"/>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8"/>
                <w:lang w:eastAsia="en-US"/>
              </w:rPr>
            </w:pPr>
            <w:r w:rsidRPr="00161341">
              <w:rPr>
                <w:rFonts w:asciiTheme="minorHAnsi" w:hAnsiTheme="minorHAnsi"/>
                <w:color w:val="212121"/>
                <w:sz w:val="18"/>
                <w:szCs w:val="18"/>
                <w:lang w:eastAsia="en-US"/>
              </w:rPr>
              <w:t>=(E</w:t>
            </w:r>
            <w:r w:rsidRPr="00161341">
              <w:rPr>
                <w:rFonts w:asciiTheme="minorHAnsi" w:hAnsiTheme="minorHAnsi"/>
                <w:color w:val="212121"/>
                <w:sz w:val="18"/>
                <w:szCs w:val="18"/>
                <w:vertAlign w:val="subscript"/>
                <w:lang w:val="en-US" w:eastAsia="en-US"/>
              </w:rPr>
              <w:t>R -</w:t>
            </w:r>
            <w:r w:rsidRPr="00161341">
              <w:rPr>
                <w:rFonts w:asciiTheme="minorHAnsi" w:hAnsiTheme="minorHAnsi"/>
                <w:color w:val="212121"/>
                <w:sz w:val="18"/>
                <w:szCs w:val="18"/>
                <w:lang w:val="en-US" w:eastAsia="en-US"/>
              </w:rPr>
              <w:t xml:space="preserve"> E</w:t>
            </w:r>
            <w:r w:rsidRPr="00161341">
              <w:rPr>
                <w:rFonts w:asciiTheme="minorHAnsi" w:hAnsiTheme="minorHAnsi"/>
                <w:color w:val="212121"/>
                <w:sz w:val="18"/>
                <w:szCs w:val="18"/>
                <w:vertAlign w:val="subscript"/>
                <w:lang w:val="en-US" w:eastAsia="en-US"/>
              </w:rPr>
              <w:t>c</w:t>
            </w:r>
            <w:r w:rsidRPr="00161341">
              <w:rPr>
                <w:rFonts w:asciiTheme="minorHAnsi" w:hAnsiTheme="minorHAnsi"/>
                <w:color w:val="212121"/>
                <w:sz w:val="18"/>
                <w:szCs w:val="18"/>
                <w:lang w:val="en-US" w:eastAsia="en-US"/>
              </w:rPr>
              <w:t> ) * F*G</w:t>
            </w:r>
          </w:p>
        </w:tc>
      </w:tr>
    </w:tbl>
    <w:p w:rsidR="00E20F47" w:rsidRDefault="00E20F47" w:rsidP="00E20F47">
      <w:pPr>
        <w:spacing w:after="0" w:line="288" w:lineRule="auto"/>
        <w:jc w:val="both"/>
        <w:rPr>
          <w:rFonts w:asciiTheme="minorHAnsi" w:hAnsiTheme="minorHAnsi"/>
          <w:i/>
          <w:sz w:val="16"/>
          <w:szCs w:val="20"/>
        </w:rPr>
      </w:pPr>
      <w:r w:rsidRPr="00EE6AB1">
        <w:rPr>
          <w:rFonts w:asciiTheme="minorHAnsi" w:hAnsiTheme="minorHAnsi"/>
          <w:i/>
          <w:sz w:val="16"/>
          <w:szCs w:val="20"/>
        </w:rPr>
        <w:t>Note: the number of positive detection are not based on full 5 year follow-up</w:t>
      </w:r>
    </w:p>
    <w:p w:rsidR="00E20F47" w:rsidRPr="00161341" w:rsidRDefault="00E20F47" w:rsidP="00E20F47">
      <w:pPr>
        <w:spacing w:after="0" w:line="288" w:lineRule="auto"/>
        <w:jc w:val="both"/>
        <w:rPr>
          <w:rFonts w:asciiTheme="minorHAnsi" w:hAnsiTheme="minorHAnsi"/>
          <w:sz w:val="28"/>
          <w:szCs w:val="24"/>
        </w:rPr>
      </w:pPr>
    </w:p>
    <w:p w:rsidR="00E20F47" w:rsidRPr="00161341" w:rsidRDefault="00E20F47" w:rsidP="00161341">
      <w:pPr>
        <w:pStyle w:val="Heading3"/>
        <w:spacing w:before="40" w:after="0" w:line="360" w:lineRule="auto"/>
        <w:rPr>
          <w:sz w:val="24"/>
        </w:rPr>
      </w:pPr>
      <w:r w:rsidRPr="00161341">
        <w:rPr>
          <w:sz w:val="24"/>
        </w:rPr>
        <w:t>Benefit of reduced health system costs</w:t>
      </w:r>
    </w:p>
    <w:p w:rsidR="00E20F47" w:rsidRPr="00161341" w:rsidRDefault="00E20F47" w:rsidP="00267E5C">
      <w:pPr>
        <w:spacing w:after="0" w:line="288" w:lineRule="auto"/>
        <w:rPr>
          <w:rFonts w:asciiTheme="minorHAnsi" w:hAnsiTheme="minorHAnsi"/>
          <w:sz w:val="24"/>
          <w:szCs w:val="24"/>
        </w:rPr>
      </w:pPr>
      <w:r w:rsidRPr="00161341">
        <w:rPr>
          <w:rFonts w:asciiTheme="minorHAnsi" w:hAnsiTheme="minorHAnsi"/>
          <w:sz w:val="24"/>
          <w:szCs w:val="24"/>
        </w:rPr>
        <w:t xml:space="preserve">Reduced pressure on the healthcare system for advanced stage treatment in cases of CRC recurrence is expected. Under conservative assumptions, Colvera™ is cost saving within the first year of use. A payer’s specific difference between the costs of identification and 12 month </w:t>
      </w:r>
      <w:r w:rsidRPr="00161341">
        <w:rPr>
          <w:rFonts w:asciiTheme="minorHAnsi" w:hAnsiTheme="minorHAnsi"/>
          <w:sz w:val="24"/>
          <w:szCs w:val="24"/>
        </w:rPr>
        <w:lastRenderedPageBreak/>
        <w:t xml:space="preserve">treatment of asymptomatic recurrences and symptomatic recurrences is a significant determinant of the value of improved surveillance methods. </w:t>
      </w:r>
    </w:p>
    <w:p w:rsidR="005D4F50" w:rsidRPr="00161341" w:rsidRDefault="005D4F50" w:rsidP="00267E5C">
      <w:pPr>
        <w:spacing w:after="0" w:line="288" w:lineRule="auto"/>
        <w:rPr>
          <w:rFonts w:asciiTheme="minorHAnsi" w:hAnsiTheme="minorHAnsi"/>
          <w:sz w:val="24"/>
          <w:szCs w:val="24"/>
        </w:rPr>
      </w:pPr>
    </w:p>
    <w:p w:rsidR="00267E5C" w:rsidRPr="00161341" w:rsidRDefault="00E20F47" w:rsidP="00267E5C">
      <w:pPr>
        <w:spacing w:after="0" w:line="288" w:lineRule="auto"/>
        <w:rPr>
          <w:rFonts w:asciiTheme="minorHAnsi" w:hAnsiTheme="minorHAnsi"/>
          <w:sz w:val="24"/>
          <w:szCs w:val="24"/>
        </w:rPr>
      </w:pPr>
      <w:r w:rsidRPr="00161341">
        <w:rPr>
          <w:rFonts w:asciiTheme="minorHAnsi" w:hAnsiTheme="minorHAnsi"/>
          <w:sz w:val="24"/>
          <w:szCs w:val="24"/>
        </w:rPr>
        <w:t>Detection of additional recurrence cases moves patients to a relatively lower cost and much less significant clinical impact cohort. Each recurrence moved from a symptomatic detection state to an asymptomatic detection state via improved surveillance tools saves an estimate $US100</w:t>
      </w:r>
      <w:r w:rsidR="005D4F50" w:rsidRPr="00161341">
        <w:rPr>
          <w:rFonts w:asciiTheme="minorHAnsi" w:hAnsiTheme="minorHAnsi"/>
          <w:sz w:val="24"/>
          <w:szCs w:val="24"/>
        </w:rPr>
        <w:t>,</w:t>
      </w:r>
      <w:r w:rsidR="00267E5C" w:rsidRPr="00161341">
        <w:rPr>
          <w:rFonts w:asciiTheme="minorHAnsi" w:hAnsiTheme="minorHAnsi"/>
          <w:sz w:val="24"/>
          <w:szCs w:val="24"/>
        </w:rPr>
        <w:t xml:space="preserve"> </w:t>
      </w:r>
      <w:r w:rsidR="005D4F50" w:rsidRPr="00161341">
        <w:rPr>
          <w:rFonts w:asciiTheme="minorHAnsi" w:hAnsiTheme="minorHAnsi"/>
          <w:sz w:val="24"/>
          <w:szCs w:val="24"/>
        </w:rPr>
        <w:t>000</w:t>
      </w:r>
      <w:r w:rsidRPr="00161341">
        <w:rPr>
          <w:rFonts w:asciiTheme="minorHAnsi" w:hAnsiTheme="minorHAnsi"/>
          <w:sz w:val="24"/>
          <w:szCs w:val="24"/>
        </w:rPr>
        <w:t xml:space="preserve"> ($A132,</w:t>
      </w:r>
      <w:r w:rsidR="00FF0ABB" w:rsidRPr="00161341">
        <w:rPr>
          <w:rFonts w:asciiTheme="minorHAnsi" w:hAnsiTheme="minorHAnsi"/>
          <w:sz w:val="24"/>
          <w:szCs w:val="24"/>
        </w:rPr>
        <w:t xml:space="preserve"> </w:t>
      </w:r>
      <w:r w:rsidRPr="00161341">
        <w:rPr>
          <w:rFonts w:asciiTheme="minorHAnsi" w:hAnsiTheme="minorHAnsi"/>
          <w:sz w:val="24"/>
          <w:szCs w:val="24"/>
        </w:rPr>
        <w:t xml:space="preserve">538). Colvera™ is therefore expected to reduce the high costs associated with the detection of advanced stage recurrence. The value of reduced health system costs is $1.7 billion by 2026/27. The calculation for this impact is presented in Table 6.2. </w:t>
      </w:r>
    </w:p>
    <w:p w:rsidR="00FF0ABB" w:rsidRPr="00161341" w:rsidRDefault="00FF0ABB" w:rsidP="00267E5C">
      <w:pPr>
        <w:spacing w:after="0" w:line="288" w:lineRule="auto"/>
        <w:rPr>
          <w:rFonts w:asciiTheme="minorHAnsi" w:hAnsiTheme="minorHAnsi"/>
          <w:sz w:val="28"/>
          <w:szCs w:val="24"/>
        </w:rPr>
      </w:pPr>
    </w:p>
    <w:p w:rsidR="00E20F47" w:rsidRPr="00161341" w:rsidRDefault="00EE3050" w:rsidP="00E20F47">
      <w:pPr>
        <w:pStyle w:val="Heading5"/>
        <w:spacing w:before="0" w:after="0"/>
        <w:rPr>
          <w:rFonts w:asciiTheme="minorHAnsi" w:hAnsiTheme="minorHAnsi"/>
          <w:color w:val="007E9A" w:themeColor="accent1" w:themeShade="BF"/>
          <w:sz w:val="20"/>
          <w:szCs w:val="20"/>
        </w:rPr>
      </w:pPr>
      <w:r w:rsidRPr="00161341">
        <w:rPr>
          <w:rFonts w:asciiTheme="minorHAnsi" w:hAnsiTheme="minorHAnsi"/>
          <w:color w:val="007E9A" w:themeColor="accent1" w:themeShade="BF"/>
          <w:sz w:val="20"/>
          <w:szCs w:val="20"/>
        </w:rPr>
        <w:t>Table 6.</w:t>
      </w:r>
      <w:r w:rsidR="00E20F47" w:rsidRPr="00161341">
        <w:rPr>
          <w:rFonts w:asciiTheme="minorHAnsi" w:hAnsiTheme="minorHAnsi"/>
          <w:color w:val="007E9A" w:themeColor="accent1" w:themeShade="BF"/>
          <w:sz w:val="20"/>
          <w:szCs w:val="20"/>
        </w:rPr>
        <w:t>2</w:t>
      </w:r>
      <w:r w:rsidRPr="00161341">
        <w:rPr>
          <w:rFonts w:asciiTheme="minorHAnsi" w:hAnsiTheme="minorHAnsi"/>
          <w:color w:val="007E9A" w:themeColor="accent1" w:themeShade="BF"/>
          <w:sz w:val="20"/>
          <w:szCs w:val="20"/>
        </w:rPr>
        <w:t>: Impact calculation for health system costs</w:t>
      </w:r>
    </w:p>
    <w:tbl>
      <w:tblPr>
        <w:tblW w:w="9842" w:type="dxa"/>
        <w:jc w:val="center"/>
        <w:shd w:val="clear" w:color="auto" w:fill="FFFFFF"/>
        <w:tblCellMar>
          <w:left w:w="0" w:type="dxa"/>
          <w:right w:w="0" w:type="dxa"/>
        </w:tblCellMar>
        <w:tblLook w:val="04A0" w:firstRow="1" w:lastRow="0" w:firstColumn="1" w:lastColumn="0" w:noHBand="0" w:noVBand="1"/>
      </w:tblPr>
      <w:tblGrid>
        <w:gridCol w:w="1262"/>
        <w:gridCol w:w="5073"/>
        <w:gridCol w:w="1360"/>
        <w:gridCol w:w="2147"/>
      </w:tblGrid>
      <w:tr w:rsidR="00FB61A7" w:rsidRPr="00161341" w:rsidTr="00161341">
        <w:trPr>
          <w:trHeight w:hRule="exact" w:val="282"/>
          <w:jc w:val="center"/>
        </w:trPr>
        <w:tc>
          <w:tcPr>
            <w:tcW w:w="1262" w:type="dxa"/>
            <w:tcBorders>
              <w:top w:val="single" w:sz="8" w:space="0" w:color="auto"/>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eastAsiaTheme="minorHAnsi" w:hAnsiTheme="minorHAnsi"/>
                <w:color w:val="212121"/>
                <w:sz w:val="18"/>
                <w:szCs w:val="16"/>
                <w:lang w:eastAsia="en-US"/>
              </w:rPr>
            </w:pPr>
            <w:r w:rsidRPr="00161341">
              <w:rPr>
                <w:rFonts w:asciiTheme="minorHAnsi" w:hAnsiTheme="minorHAnsi"/>
                <w:b/>
                <w:bCs/>
                <w:color w:val="212121"/>
                <w:sz w:val="18"/>
                <w:szCs w:val="16"/>
                <w:lang w:val="en-US" w:eastAsia="en-US"/>
              </w:rPr>
              <w:t>Measure</w:t>
            </w:r>
          </w:p>
        </w:tc>
        <w:tc>
          <w:tcPr>
            <w:tcW w:w="5073" w:type="dxa"/>
            <w:tcBorders>
              <w:top w:val="single" w:sz="8" w:space="0" w:color="auto"/>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p>
        </w:tc>
        <w:tc>
          <w:tcPr>
            <w:tcW w:w="1360" w:type="dxa"/>
            <w:tcBorders>
              <w:top w:val="single" w:sz="8" w:space="0" w:color="auto"/>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eastAsiaTheme="minorHAnsi" w:hAnsiTheme="minorHAnsi"/>
                <w:color w:val="212121"/>
                <w:sz w:val="18"/>
                <w:szCs w:val="16"/>
                <w:lang w:eastAsia="en-US"/>
              </w:rPr>
            </w:pPr>
            <w:r w:rsidRPr="00161341">
              <w:rPr>
                <w:rFonts w:asciiTheme="minorHAnsi" w:hAnsiTheme="minorHAnsi"/>
                <w:b/>
                <w:bCs/>
                <w:color w:val="212121"/>
                <w:sz w:val="18"/>
                <w:szCs w:val="16"/>
                <w:lang w:val="en-US" w:eastAsia="en-US"/>
              </w:rPr>
              <w:t>Value</w:t>
            </w:r>
          </w:p>
        </w:tc>
        <w:tc>
          <w:tcPr>
            <w:tcW w:w="2146" w:type="dxa"/>
            <w:tcBorders>
              <w:top w:val="single" w:sz="8" w:space="0" w:color="auto"/>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Source</w:t>
            </w:r>
          </w:p>
        </w:tc>
      </w:tr>
      <w:tr w:rsidR="00FB61A7" w:rsidRPr="00161341" w:rsidTr="00161341">
        <w:trPr>
          <w:trHeight w:hRule="exact" w:val="282"/>
          <w:jc w:val="center"/>
        </w:trPr>
        <w:tc>
          <w:tcPr>
            <w:tcW w:w="9842" w:type="dxa"/>
            <w:gridSpan w:val="4"/>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With CSIRO research</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A</w:t>
            </w:r>
            <w:r w:rsidRPr="00161341">
              <w:rPr>
                <w:rFonts w:asciiTheme="minorHAnsi" w:hAnsiTheme="minorHAnsi"/>
                <w:b/>
                <w:bCs/>
                <w:color w:val="212121"/>
                <w:sz w:val="18"/>
                <w:szCs w:val="16"/>
                <w:vertAlign w:val="subscript"/>
                <w:lang w:val="en-US" w:eastAsia="en-US"/>
              </w:rPr>
              <w:t>R</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Number of CRC primary recur under surveillance</w:t>
            </w:r>
          </w:p>
        </w:tc>
        <w:tc>
          <w:tcPr>
            <w:tcW w:w="136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Various</w:t>
            </w:r>
          </w:p>
        </w:tc>
        <w:tc>
          <w:tcPr>
            <w:tcW w:w="2146"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AIHW 2016</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b/>
                <w:bCs/>
                <w:color w:val="212121"/>
                <w:sz w:val="18"/>
                <w:szCs w:val="16"/>
                <w:lang w:val="en-US" w:eastAsia="en-US"/>
              </w:rPr>
            </w:pPr>
            <w:r w:rsidRPr="00161341">
              <w:rPr>
                <w:rFonts w:asciiTheme="minorHAnsi" w:hAnsiTheme="minorHAnsi"/>
                <w:b/>
                <w:bCs/>
                <w:color w:val="212121"/>
                <w:sz w:val="18"/>
                <w:szCs w:val="16"/>
                <w:lang w:val="en-US" w:eastAsia="en-US"/>
              </w:rPr>
              <w:t>B</w:t>
            </w:r>
            <w:r w:rsidRPr="00161341">
              <w:rPr>
                <w:rFonts w:asciiTheme="minorHAnsi" w:hAnsiTheme="minorHAnsi"/>
                <w:b/>
                <w:bCs/>
                <w:color w:val="212121"/>
                <w:sz w:val="18"/>
                <w:szCs w:val="16"/>
                <w:vertAlign w:val="subscript"/>
                <w:lang w:val="en-US" w:eastAsia="en-US"/>
              </w:rPr>
              <w:t>R</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 xml:space="preserve">Uptake rate of Colvera™ </w:t>
            </w:r>
          </w:p>
        </w:tc>
        <w:tc>
          <w:tcPr>
            <w:tcW w:w="1360" w:type="dxa"/>
            <w:tcBorders>
              <w:top w:val="nil"/>
              <w:left w:val="nil"/>
              <w:bottom w:val="single" w:sz="8" w:space="0" w:color="auto"/>
              <w:right w:val="single" w:sz="8" w:space="0" w:color="auto"/>
            </w:tcBorders>
            <w:shd w:val="clear" w:color="auto" w:fill="FFFFFF"/>
            <w:noWrap/>
            <w:hideMark/>
          </w:tcPr>
          <w:p w:rsidR="00E20F47" w:rsidRPr="00161341" w:rsidRDefault="006D712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100</w:t>
            </w:r>
            <w:r w:rsidR="00E20F47" w:rsidRPr="00161341">
              <w:rPr>
                <w:rFonts w:asciiTheme="minorHAnsi" w:eastAsia="Times New Roman" w:hAnsiTheme="minorHAnsi"/>
                <w:color w:val="212121"/>
                <w:sz w:val="18"/>
                <w:szCs w:val="16"/>
                <w:lang w:val="en-US"/>
              </w:rPr>
              <w:t>% by year 5</w:t>
            </w:r>
          </w:p>
        </w:tc>
        <w:tc>
          <w:tcPr>
            <w:tcW w:w="2146"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Author’s assumptions</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C</w:t>
            </w:r>
            <w:r w:rsidRPr="00161341">
              <w:rPr>
                <w:rFonts w:asciiTheme="minorHAnsi" w:hAnsiTheme="minorHAnsi"/>
                <w:b/>
                <w:bCs/>
                <w:color w:val="212121"/>
                <w:sz w:val="18"/>
                <w:szCs w:val="16"/>
                <w:vertAlign w:val="subscript"/>
                <w:lang w:val="en-US" w:eastAsia="en-US"/>
              </w:rPr>
              <w:t>R</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Detection rate of Colvera™</w:t>
            </w:r>
          </w:p>
        </w:tc>
        <w:tc>
          <w:tcPr>
            <w:tcW w:w="136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 30%</w:t>
            </w:r>
          </w:p>
        </w:tc>
        <w:tc>
          <w:tcPr>
            <w:tcW w:w="2146"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ECRI Institute 2017</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D</w:t>
            </w:r>
            <w:r w:rsidRPr="00161341">
              <w:rPr>
                <w:rFonts w:asciiTheme="minorHAnsi" w:hAnsiTheme="minorHAnsi"/>
                <w:b/>
                <w:bCs/>
                <w:color w:val="212121"/>
                <w:sz w:val="18"/>
                <w:szCs w:val="16"/>
                <w:vertAlign w:val="subscript"/>
                <w:lang w:val="en-US" w:eastAsia="en-US"/>
              </w:rPr>
              <w:t>R</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Positive detection rate of Colvera™</w:t>
            </w:r>
          </w:p>
        </w:tc>
        <w:tc>
          <w:tcPr>
            <w:tcW w:w="136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 </w:t>
            </w:r>
          </w:p>
        </w:tc>
        <w:tc>
          <w:tcPr>
            <w:tcW w:w="2146"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ECRI Institute 2017</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
                <w:bCs/>
                <w:color w:val="212121"/>
                <w:sz w:val="18"/>
                <w:szCs w:val="16"/>
                <w:lang w:val="en-US"/>
              </w:rPr>
            </w:pP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jc w:val="center"/>
              <w:rPr>
                <w:rFonts w:asciiTheme="minorHAnsi" w:eastAsia="Times New Roman" w:hAnsiTheme="minorHAnsi"/>
                <w:bCs/>
                <w:color w:val="212121"/>
                <w:sz w:val="18"/>
                <w:szCs w:val="16"/>
                <w:lang w:val="en-US"/>
              </w:rPr>
            </w:pPr>
            <w:r w:rsidRPr="00161341">
              <w:rPr>
                <w:rFonts w:asciiTheme="minorHAnsi" w:eastAsia="Times New Roman" w:hAnsiTheme="minorHAnsi"/>
                <w:bCs/>
                <w:color w:val="212121"/>
                <w:sz w:val="18"/>
                <w:szCs w:val="16"/>
                <w:lang w:val="en-US"/>
              </w:rPr>
              <w:t>Stage 2</w:t>
            </w:r>
          </w:p>
        </w:tc>
        <w:tc>
          <w:tcPr>
            <w:tcW w:w="136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bCs/>
                <w:color w:val="212121"/>
                <w:sz w:val="18"/>
                <w:szCs w:val="16"/>
                <w:lang w:val="en-US"/>
              </w:rPr>
            </w:pPr>
            <w:r w:rsidRPr="00161341">
              <w:rPr>
                <w:rFonts w:asciiTheme="minorHAnsi" w:eastAsia="Times New Roman" w:hAnsiTheme="minorHAnsi"/>
                <w:bCs/>
                <w:color w:val="212121"/>
                <w:sz w:val="18"/>
                <w:szCs w:val="16"/>
                <w:lang w:val="en-US"/>
              </w:rPr>
              <w:t>10.2%</w:t>
            </w:r>
          </w:p>
        </w:tc>
        <w:tc>
          <w:tcPr>
            <w:tcW w:w="2146"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Cs/>
                <w:color w:val="212121"/>
                <w:sz w:val="18"/>
                <w:szCs w:val="16"/>
                <w:lang w:val="en-US"/>
              </w:rPr>
            </w:pP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
                <w:bCs/>
                <w:color w:val="212121"/>
                <w:sz w:val="18"/>
                <w:szCs w:val="16"/>
                <w:lang w:val="en-US"/>
              </w:rPr>
            </w:pP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jc w:val="center"/>
              <w:rPr>
                <w:rFonts w:asciiTheme="minorHAnsi" w:eastAsia="Times New Roman" w:hAnsiTheme="minorHAnsi"/>
                <w:bCs/>
                <w:color w:val="212121"/>
                <w:sz w:val="18"/>
                <w:szCs w:val="16"/>
                <w:lang w:val="en-US"/>
              </w:rPr>
            </w:pPr>
            <w:r w:rsidRPr="00161341">
              <w:rPr>
                <w:rFonts w:asciiTheme="minorHAnsi" w:eastAsia="Times New Roman" w:hAnsiTheme="minorHAnsi"/>
                <w:bCs/>
                <w:color w:val="212121"/>
                <w:sz w:val="18"/>
                <w:szCs w:val="16"/>
                <w:lang w:val="en-US"/>
              </w:rPr>
              <w:t>Stage 3</w:t>
            </w:r>
          </w:p>
        </w:tc>
        <w:tc>
          <w:tcPr>
            <w:tcW w:w="136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bCs/>
                <w:color w:val="212121"/>
                <w:sz w:val="18"/>
                <w:szCs w:val="16"/>
                <w:lang w:val="en-US"/>
              </w:rPr>
            </w:pPr>
            <w:r w:rsidRPr="00161341">
              <w:rPr>
                <w:rFonts w:asciiTheme="minorHAnsi" w:eastAsia="Times New Roman" w:hAnsiTheme="minorHAnsi"/>
                <w:bCs/>
                <w:color w:val="212121"/>
                <w:sz w:val="18"/>
                <w:szCs w:val="16"/>
                <w:lang w:val="en-US"/>
              </w:rPr>
              <w:t>20.4%</w:t>
            </w:r>
          </w:p>
        </w:tc>
        <w:tc>
          <w:tcPr>
            <w:tcW w:w="2146"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bCs/>
                <w:color w:val="212121"/>
                <w:sz w:val="18"/>
                <w:szCs w:val="16"/>
                <w:lang w:val="en-US"/>
              </w:rPr>
            </w:pP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E</w:t>
            </w:r>
            <w:r w:rsidRPr="00161341">
              <w:rPr>
                <w:rFonts w:asciiTheme="minorHAnsi" w:hAnsiTheme="minorHAnsi"/>
                <w:b/>
                <w:bCs/>
                <w:color w:val="212121"/>
                <w:sz w:val="18"/>
                <w:szCs w:val="16"/>
                <w:vertAlign w:val="subscript"/>
                <w:lang w:val="en-US" w:eastAsia="en-US"/>
              </w:rPr>
              <w:t>R</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color w:val="212121"/>
                <w:sz w:val="18"/>
                <w:szCs w:val="16"/>
                <w:lang w:val="en-US" w:eastAsia="en-US"/>
              </w:rPr>
              <w:t xml:space="preserve">Number of positive detection of Colvera™ </w:t>
            </w:r>
          </w:p>
        </w:tc>
        <w:tc>
          <w:tcPr>
            <w:tcW w:w="3506" w:type="dxa"/>
            <w:gridSpan w:val="2"/>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color w:val="212121"/>
                <w:sz w:val="18"/>
                <w:szCs w:val="16"/>
                <w:lang w:val="en-US" w:eastAsia="en-US"/>
              </w:rPr>
              <w:t>=</w:t>
            </w:r>
            <w:r w:rsidRPr="00161341">
              <w:rPr>
                <w:rFonts w:asciiTheme="minorHAnsi" w:hAnsiTheme="minorHAnsi"/>
                <w:b/>
                <w:bCs/>
                <w:color w:val="212121"/>
                <w:sz w:val="18"/>
                <w:szCs w:val="16"/>
                <w:lang w:val="en-US" w:eastAsia="en-US"/>
              </w:rPr>
              <w:t> A</w:t>
            </w:r>
            <w:r w:rsidRPr="00161341">
              <w:rPr>
                <w:rFonts w:asciiTheme="minorHAnsi" w:hAnsiTheme="minorHAnsi"/>
                <w:b/>
                <w:bCs/>
                <w:color w:val="212121"/>
                <w:sz w:val="18"/>
                <w:szCs w:val="16"/>
                <w:vertAlign w:val="subscript"/>
                <w:lang w:val="en-US" w:eastAsia="en-US"/>
              </w:rPr>
              <w:t>R</w:t>
            </w:r>
            <w:r w:rsidRPr="00161341">
              <w:rPr>
                <w:rFonts w:asciiTheme="minorHAnsi" w:hAnsiTheme="minorHAnsi"/>
                <w:b/>
                <w:bCs/>
                <w:color w:val="212121"/>
                <w:sz w:val="18"/>
                <w:szCs w:val="16"/>
                <w:lang w:val="en-US" w:eastAsia="en-US"/>
              </w:rPr>
              <w:t> </w:t>
            </w:r>
            <w:r w:rsidRPr="00161341">
              <w:rPr>
                <w:rFonts w:asciiTheme="minorHAnsi" w:hAnsiTheme="minorHAnsi"/>
                <w:color w:val="212121"/>
                <w:sz w:val="18"/>
                <w:szCs w:val="16"/>
                <w:lang w:val="en-US" w:eastAsia="en-US"/>
              </w:rPr>
              <w:t>*</w:t>
            </w:r>
            <w:r w:rsidRPr="00161341">
              <w:rPr>
                <w:rFonts w:asciiTheme="minorHAnsi" w:hAnsiTheme="minorHAnsi"/>
                <w:b/>
                <w:bCs/>
                <w:color w:val="212121"/>
                <w:sz w:val="18"/>
                <w:szCs w:val="16"/>
                <w:lang w:val="en-US" w:eastAsia="en-US"/>
              </w:rPr>
              <w:t> B</w:t>
            </w:r>
            <w:r w:rsidRPr="00161341">
              <w:rPr>
                <w:rFonts w:asciiTheme="minorHAnsi" w:hAnsiTheme="minorHAnsi"/>
                <w:b/>
                <w:bCs/>
                <w:color w:val="212121"/>
                <w:sz w:val="18"/>
                <w:szCs w:val="16"/>
                <w:vertAlign w:val="subscript"/>
                <w:lang w:val="en-US" w:eastAsia="en-US"/>
              </w:rPr>
              <w:t>R</w:t>
            </w:r>
            <w:r w:rsidRPr="00161341">
              <w:rPr>
                <w:rFonts w:asciiTheme="minorHAnsi" w:hAnsiTheme="minorHAnsi"/>
                <w:b/>
                <w:bCs/>
                <w:color w:val="212121"/>
                <w:sz w:val="18"/>
                <w:szCs w:val="16"/>
                <w:lang w:val="en-US" w:eastAsia="en-US"/>
              </w:rPr>
              <w:t> </w:t>
            </w:r>
            <w:r w:rsidRPr="00161341">
              <w:rPr>
                <w:rFonts w:asciiTheme="minorHAnsi" w:hAnsiTheme="minorHAnsi"/>
                <w:color w:val="212121"/>
                <w:sz w:val="18"/>
                <w:szCs w:val="16"/>
                <w:lang w:val="en-US" w:eastAsia="en-US"/>
              </w:rPr>
              <w:t>*</w:t>
            </w:r>
            <w:r w:rsidRPr="00161341">
              <w:rPr>
                <w:rFonts w:asciiTheme="minorHAnsi" w:hAnsiTheme="minorHAnsi"/>
                <w:b/>
                <w:bCs/>
                <w:color w:val="212121"/>
                <w:sz w:val="18"/>
                <w:szCs w:val="16"/>
                <w:lang w:val="en-US" w:eastAsia="en-US"/>
              </w:rPr>
              <w:t> C</w:t>
            </w:r>
            <w:r w:rsidRPr="00161341">
              <w:rPr>
                <w:rFonts w:asciiTheme="minorHAnsi" w:hAnsiTheme="minorHAnsi"/>
                <w:b/>
                <w:bCs/>
                <w:color w:val="212121"/>
                <w:sz w:val="18"/>
                <w:szCs w:val="16"/>
                <w:vertAlign w:val="subscript"/>
                <w:lang w:val="en-US" w:eastAsia="en-US"/>
              </w:rPr>
              <w:t>R</w:t>
            </w:r>
            <w:r w:rsidRPr="00161341">
              <w:rPr>
                <w:rFonts w:asciiTheme="minorHAnsi" w:hAnsiTheme="minorHAnsi"/>
                <w:color w:val="212121"/>
                <w:sz w:val="18"/>
                <w:szCs w:val="16"/>
                <w:lang w:val="en-US" w:eastAsia="en-US"/>
              </w:rPr>
              <w:t>* </w:t>
            </w:r>
            <w:r w:rsidRPr="00161341">
              <w:rPr>
                <w:rFonts w:asciiTheme="minorHAnsi" w:hAnsiTheme="minorHAnsi"/>
                <w:b/>
                <w:bCs/>
                <w:color w:val="212121"/>
                <w:sz w:val="18"/>
                <w:szCs w:val="16"/>
                <w:lang w:val="en-US" w:eastAsia="en-US"/>
              </w:rPr>
              <w:t>D</w:t>
            </w:r>
            <w:r w:rsidRPr="00161341">
              <w:rPr>
                <w:rFonts w:asciiTheme="minorHAnsi" w:hAnsiTheme="minorHAnsi"/>
                <w:b/>
                <w:bCs/>
                <w:color w:val="212121"/>
                <w:sz w:val="18"/>
                <w:szCs w:val="16"/>
                <w:vertAlign w:val="subscript"/>
                <w:lang w:val="en-US" w:eastAsia="en-US"/>
              </w:rPr>
              <w:t>R</w:t>
            </w:r>
            <w:r w:rsidRPr="00161341">
              <w:rPr>
                <w:rFonts w:asciiTheme="minorHAnsi" w:hAnsiTheme="minorHAnsi"/>
                <w:color w:val="212121"/>
                <w:sz w:val="18"/>
                <w:szCs w:val="16"/>
                <w:lang w:val="en-US" w:eastAsia="en-US"/>
              </w:rPr>
              <w:t> </w:t>
            </w:r>
          </w:p>
        </w:tc>
      </w:tr>
      <w:tr w:rsidR="00FB61A7" w:rsidRPr="00161341" w:rsidTr="00161341">
        <w:trPr>
          <w:trHeight w:hRule="exact" w:val="282"/>
          <w:jc w:val="center"/>
        </w:trPr>
        <w:tc>
          <w:tcPr>
            <w:tcW w:w="9842" w:type="dxa"/>
            <w:gridSpan w:val="4"/>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Counterfactual</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C</w:t>
            </w:r>
            <w:r w:rsidRPr="00161341">
              <w:rPr>
                <w:rFonts w:asciiTheme="minorHAnsi" w:hAnsiTheme="minorHAnsi"/>
                <w:b/>
                <w:bCs/>
                <w:color w:val="212121"/>
                <w:sz w:val="18"/>
                <w:szCs w:val="16"/>
                <w:vertAlign w:val="subscript"/>
                <w:lang w:val="en-US" w:eastAsia="en-US"/>
              </w:rPr>
              <w:t>c</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Detection rate of CEA</w:t>
            </w:r>
          </w:p>
        </w:tc>
        <w:tc>
          <w:tcPr>
            <w:tcW w:w="136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 30%</w:t>
            </w:r>
          </w:p>
        </w:tc>
        <w:tc>
          <w:tcPr>
            <w:tcW w:w="2146"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ECRI Institute 2017</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rPr>
                <w:rFonts w:asciiTheme="minorHAnsi" w:hAnsiTheme="minorHAnsi"/>
                <w:b/>
                <w:bCs/>
                <w:color w:val="212121"/>
                <w:sz w:val="18"/>
                <w:szCs w:val="16"/>
                <w:lang w:val="en-US" w:eastAsia="en-US"/>
              </w:rPr>
            </w:pPr>
            <w:r w:rsidRPr="00161341">
              <w:rPr>
                <w:rFonts w:asciiTheme="minorHAnsi" w:hAnsiTheme="minorHAnsi"/>
                <w:b/>
                <w:bCs/>
                <w:color w:val="212121"/>
                <w:sz w:val="18"/>
                <w:szCs w:val="16"/>
                <w:lang w:val="en-US" w:eastAsia="en-US"/>
              </w:rPr>
              <w:t>D</w:t>
            </w:r>
            <w:r w:rsidRPr="00161341">
              <w:rPr>
                <w:rFonts w:asciiTheme="minorHAnsi" w:hAnsiTheme="minorHAnsi"/>
                <w:b/>
                <w:bCs/>
                <w:color w:val="212121"/>
                <w:sz w:val="18"/>
                <w:szCs w:val="16"/>
                <w:vertAlign w:val="subscript"/>
                <w:lang w:val="en-US" w:eastAsia="en-US"/>
              </w:rPr>
              <w:t>c</w:t>
            </w:r>
          </w:p>
        </w:tc>
        <w:tc>
          <w:tcPr>
            <w:tcW w:w="5073"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Positive detection rate of CEA</w:t>
            </w:r>
          </w:p>
        </w:tc>
        <w:tc>
          <w:tcPr>
            <w:tcW w:w="1360"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6"/>
                <w:lang w:val="en-US"/>
              </w:rPr>
            </w:pPr>
          </w:p>
        </w:tc>
        <w:tc>
          <w:tcPr>
            <w:tcW w:w="2146"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color w:val="212121"/>
                <w:sz w:val="18"/>
                <w:szCs w:val="16"/>
                <w:lang w:val="en-US"/>
              </w:rPr>
              <w:t>ECRI Institute 2017</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rPr>
                <w:rFonts w:asciiTheme="minorHAnsi" w:hAnsiTheme="minorHAnsi"/>
                <w:b/>
                <w:bCs/>
                <w:color w:val="212121"/>
                <w:sz w:val="18"/>
                <w:szCs w:val="16"/>
                <w:lang w:val="en-US" w:eastAsia="en-US"/>
              </w:rPr>
            </w:pPr>
          </w:p>
        </w:tc>
        <w:tc>
          <w:tcPr>
            <w:tcW w:w="5073"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jc w:val="center"/>
              <w:rPr>
                <w:rFonts w:asciiTheme="minorHAnsi" w:eastAsia="Times New Roman" w:hAnsiTheme="minorHAnsi"/>
                <w:color w:val="212121"/>
                <w:sz w:val="18"/>
                <w:szCs w:val="16"/>
                <w:lang w:val="en-US"/>
              </w:rPr>
            </w:pPr>
            <w:r w:rsidRPr="00161341">
              <w:rPr>
                <w:rFonts w:asciiTheme="minorHAnsi" w:eastAsia="Times New Roman" w:hAnsiTheme="minorHAnsi"/>
                <w:bCs/>
                <w:color w:val="212121"/>
                <w:sz w:val="18"/>
                <w:szCs w:val="16"/>
                <w:lang w:val="en-US"/>
              </w:rPr>
              <w:t>Stage 2</w:t>
            </w:r>
          </w:p>
        </w:tc>
        <w:tc>
          <w:tcPr>
            <w:tcW w:w="1360"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bCs/>
                <w:color w:val="212121"/>
                <w:sz w:val="18"/>
                <w:szCs w:val="16"/>
                <w:lang w:val="en-US"/>
              </w:rPr>
              <w:t>4.8%</w:t>
            </w:r>
          </w:p>
        </w:tc>
        <w:tc>
          <w:tcPr>
            <w:tcW w:w="2146"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6"/>
                <w:lang w:val="en-US"/>
              </w:rPr>
            </w:pP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tcPr>
          <w:p w:rsidR="00E20F47" w:rsidRPr="00161341" w:rsidRDefault="00E20F47" w:rsidP="007861A7">
            <w:pPr>
              <w:rPr>
                <w:rFonts w:asciiTheme="minorHAnsi" w:hAnsiTheme="minorHAnsi"/>
                <w:b/>
                <w:bCs/>
                <w:color w:val="212121"/>
                <w:sz w:val="18"/>
                <w:szCs w:val="16"/>
                <w:lang w:val="en-US" w:eastAsia="en-US"/>
              </w:rPr>
            </w:pPr>
          </w:p>
        </w:tc>
        <w:tc>
          <w:tcPr>
            <w:tcW w:w="5073"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jc w:val="center"/>
              <w:rPr>
                <w:rFonts w:asciiTheme="minorHAnsi" w:eastAsia="Times New Roman" w:hAnsiTheme="minorHAnsi"/>
                <w:color w:val="212121"/>
                <w:sz w:val="18"/>
                <w:szCs w:val="16"/>
                <w:lang w:val="en-US"/>
              </w:rPr>
            </w:pPr>
            <w:r w:rsidRPr="00161341">
              <w:rPr>
                <w:rFonts w:asciiTheme="minorHAnsi" w:eastAsia="Times New Roman" w:hAnsiTheme="minorHAnsi"/>
                <w:bCs/>
                <w:color w:val="212121"/>
                <w:sz w:val="18"/>
                <w:szCs w:val="16"/>
                <w:lang w:val="en-US"/>
              </w:rPr>
              <w:t>Stage 3</w:t>
            </w:r>
          </w:p>
        </w:tc>
        <w:tc>
          <w:tcPr>
            <w:tcW w:w="1360"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6"/>
                <w:lang w:val="en-US"/>
              </w:rPr>
            </w:pPr>
            <w:r w:rsidRPr="00161341">
              <w:rPr>
                <w:rFonts w:asciiTheme="minorHAnsi" w:eastAsia="Times New Roman" w:hAnsiTheme="minorHAnsi"/>
                <w:bCs/>
                <w:color w:val="212121"/>
                <w:sz w:val="18"/>
                <w:szCs w:val="16"/>
                <w:lang w:val="en-US"/>
              </w:rPr>
              <w:t>9.6%</w:t>
            </w:r>
          </w:p>
        </w:tc>
        <w:tc>
          <w:tcPr>
            <w:tcW w:w="2146" w:type="dxa"/>
            <w:tcBorders>
              <w:top w:val="nil"/>
              <w:left w:val="nil"/>
              <w:bottom w:val="single" w:sz="8" w:space="0" w:color="auto"/>
              <w:right w:val="single" w:sz="8" w:space="0" w:color="auto"/>
            </w:tcBorders>
            <w:shd w:val="clear" w:color="auto" w:fill="FFFFFF"/>
            <w:noWrap/>
          </w:tcPr>
          <w:p w:rsidR="00E20F47" w:rsidRPr="00161341" w:rsidRDefault="00E20F47" w:rsidP="007861A7">
            <w:pPr>
              <w:spacing w:after="0"/>
              <w:rPr>
                <w:rFonts w:asciiTheme="minorHAnsi" w:eastAsia="Times New Roman" w:hAnsiTheme="minorHAnsi"/>
                <w:color w:val="212121"/>
                <w:sz w:val="18"/>
                <w:szCs w:val="16"/>
                <w:lang w:val="en-US"/>
              </w:rPr>
            </w:pP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E</w:t>
            </w:r>
            <w:r w:rsidRPr="00161341">
              <w:rPr>
                <w:rFonts w:asciiTheme="minorHAnsi" w:hAnsiTheme="minorHAnsi"/>
                <w:b/>
                <w:bCs/>
                <w:color w:val="212121"/>
                <w:sz w:val="18"/>
                <w:szCs w:val="16"/>
                <w:vertAlign w:val="subscript"/>
                <w:lang w:val="en-US" w:eastAsia="en-US"/>
              </w:rPr>
              <w:t>c</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color w:val="212121"/>
                <w:sz w:val="18"/>
                <w:szCs w:val="16"/>
                <w:lang w:val="en-US" w:eastAsia="en-US"/>
              </w:rPr>
              <w:t>Number of positive detection of CEA</w:t>
            </w:r>
          </w:p>
        </w:tc>
        <w:tc>
          <w:tcPr>
            <w:tcW w:w="3506" w:type="dxa"/>
            <w:gridSpan w:val="2"/>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color w:val="212121"/>
                <w:sz w:val="18"/>
                <w:szCs w:val="16"/>
                <w:lang w:val="en-US" w:eastAsia="en-US"/>
              </w:rPr>
              <w:t>=</w:t>
            </w:r>
            <w:r w:rsidRPr="00161341">
              <w:rPr>
                <w:rFonts w:asciiTheme="minorHAnsi" w:hAnsiTheme="minorHAnsi"/>
                <w:b/>
                <w:bCs/>
                <w:color w:val="212121"/>
                <w:sz w:val="18"/>
                <w:szCs w:val="16"/>
                <w:lang w:val="en-US" w:eastAsia="en-US"/>
              </w:rPr>
              <w:t> A</w:t>
            </w:r>
            <w:r w:rsidRPr="00161341">
              <w:rPr>
                <w:rFonts w:asciiTheme="minorHAnsi" w:hAnsiTheme="minorHAnsi"/>
                <w:b/>
                <w:bCs/>
                <w:color w:val="212121"/>
                <w:sz w:val="18"/>
                <w:szCs w:val="16"/>
                <w:vertAlign w:val="subscript"/>
                <w:lang w:val="en-US" w:eastAsia="en-US"/>
              </w:rPr>
              <w:t>R</w:t>
            </w:r>
            <w:r w:rsidRPr="00161341">
              <w:rPr>
                <w:rFonts w:asciiTheme="minorHAnsi" w:hAnsiTheme="minorHAnsi"/>
                <w:b/>
                <w:bCs/>
                <w:color w:val="212121"/>
                <w:sz w:val="18"/>
                <w:szCs w:val="16"/>
                <w:lang w:val="en-US" w:eastAsia="en-US"/>
              </w:rPr>
              <w:t> </w:t>
            </w:r>
            <w:r w:rsidRPr="00161341">
              <w:rPr>
                <w:rFonts w:asciiTheme="minorHAnsi" w:hAnsiTheme="minorHAnsi"/>
                <w:color w:val="212121"/>
                <w:sz w:val="18"/>
                <w:szCs w:val="16"/>
                <w:lang w:val="en-US" w:eastAsia="en-US"/>
              </w:rPr>
              <w:t>*</w:t>
            </w:r>
            <w:r w:rsidRPr="00161341">
              <w:rPr>
                <w:rFonts w:asciiTheme="minorHAnsi" w:hAnsiTheme="minorHAnsi"/>
                <w:b/>
                <w:bCs/>
                <w:color w:val="212121"/>
                <w:sz w:val="18"/>
                <w:szCs w:val="16"/>
                <w:lang w:val="en-US" w:eastAsia="en-US"/>
              </w:rPr>
              <w:t>  B</w:t>
            </w:r>
            <w:r w:rsidRPr="00161341">
              <w:rPr>
                <w:rFonts w:asciiTheme="minorHAnsi" w:hAnsiTheme="minorHAnsi"/>
                <w:b/>
                <w:bCs/>
                <w:color w:val="212121"/>
                <w:sz w:val="18"/>
                <w:szCs w:val="16"/>
                <w:vertAlign w:val="subscript"/>
                <w:lang w:val="en-US" w:eastAsia="en-US"/>
              </w:rPr>
              <w:t>R</w:t>
            </w:r>
            <w:r w:rsidRPr="00161341">
              <w:rPr>
                <w:rFonts w:asciiTheme="minorHAnsi" w:hAnsiTheme="minorHAnsi"/>
                <w:b/>
                <w:bCs/>
                <w:color w:val="212121"/>
                <w:sz w:val="18"/>
                <w:szCs w:val="16"/>
                <w:lang w:val="en-US" w:eastAsia="en-US"/>
              </w:rPr>
              <w:t xml:space="preserve">  * Cc* D</w:t>
            </w:r>
            <w:r w:rsidRPr="00161341">
              <w:rPr>
                <w:rFonts w:asciiTheme="minorHAnsi" w:hAnsiTheme="minorHAnsi"/>
                <w:b/>
                <w:bCs/>
                <w:color w:val="212121"/>
                <w:sz w:val="18"/>
                <w:szCs w:val="16"/>
                <w:vertAlign w:val="subscript"/>
                <w:lang w:val="en-US" w:eastAsia="en-US"/>
              </w:rPr>
              <w:t>R</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rPr>
              <w:t>F</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color w:val="212121"/>
                <w:sz w:val="18"/>
                <w:szCs w:val="16"/>
                <w:lang w:val="en-US"/>
              </w:rPr>
              <w:t>Saving from each early detection patient</w:t>
            </w:r>
          </w:p>
        </w:tc>
        <w:tc>
          <w:tcPr>
            <w:tcW w:w="1360"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eastAsia="Times New Roman" w:hAnsiTheme="minorHAnsi"/>
                <w:color w:val="212121"/>
                <w:sz w:val="18"/>
                <w:szCs w:val="16"/>
                <w:lang w:val="en-US"/>
              </w:rPr>
              <w:t xml:space="preserve"> $132,538</w:t>
            </w:r>
          </w:p>
        </w:tc>
        <w:tc>
          <w:tcPr>
            <w:tcW w:w="2146"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eastAsia="Times New Roman" w:hAnsiTheme="minorHAnsi"/>
                <w:color w:val="212121"/>
                <w:sz w:val="18"/>
                <w:szCs w:val="16"/>
                <w:lang w:val="en-US"/>
              </w:rPr>
              <w:t>ECRI Institute 2017</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b/>
                <w:bCs/>
                <w:color w:val="212121"/>
                <w:sz w:val="18"/>
                <w:szCs w:val="16"/>
                <w:lang w:val="en-US" w:eastAsia="en-US"/>
              </w:rPr>
            </w:pPr>
            <w:r w:rsidRPr="00161341">
              <w:rPr>
                <w:rFonts w:asciiTheme="minorHAnsi" w:hAnsiTheme="minorHAnsi"/>
                <w:b/>
                <w:bCs/>
                <w:color w:val="212121"/>
                <w:sz w:val="18"/>
                <w:szCs w:val="16"/>
                <w:lang w:val="en-US" w:eastAsia="en-US"/>
              </w:rPr>
              <w:t>Impact</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val="en-US" w:eastAsia="en-US"/>
              </w:rPr>
            </w:pPr>
            <w:r w:rsidRPr="00161341">
              <w:rPr>
                <w:rFonts w:asciiTheme="minorHAnsi" w:hAnsiTheme="minorHAnsi"/>
                <w:color w:val="212121"/>
                <w:sz w:val="18"/>
                <w:szCs w:val="16"/>
                <w:lang w:val="en-US" w:eastAsia="en-US"/>
              </w:rPr>
              <w:t>World with CSIRO research – counterfactual</w:t>
            </w:r>
          </w:p>
        </w:tc>
        <w:tc>
          <w:tcPr>
            <w:tcW w:w="3506" w:type="dxa"/>
            <w:gridSpan w:val="2"/>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val="en-US" w:eastAsia="en-US"/>
              </w:rPr>
            </w:pPr>
            <w:r w:rsidRPr="00161341">
              <w:rPr>
                <w:rFonts w:asciiTheme="minorHAnsi" w:hAnsiTheme="minorHAnsi"/>
                <w:color w:val="212121"/>
                <w:sz w:val="18"/>
                <w:szCs w:val="16"/>
                <w:lang w:val="en-US" w:eastAsia="en-US"/>
              </w:rPr>
              <w:t> </w:t>
            </w:r>
          </w:p>
        </w:tc>
      </w:tr>
      <w:tr w:rsidR="00FB61A7" w:rsidRPr="00161341" w:rsidTr="00161341">
        <w:trPr>
          <w:trHeight w:hRule="exact" w:val="282"/>
          <w:jc w:val="center"/>
        </w:trPr>
        <w:tc>
          <w:tcPr>
            <w:tcW w:w="1262" w:type="dxa"/>
            <w:tcBorders>
              <w:top w:val="nil"/>
              <w:left w:val="single" w:sz="8" w:space="0" w:color="auto"/>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b/>
                <w:bCs/>
                <w:color w:val="212121"/>
                <w:sz w:val="18"/>
                <w:szCs w:val="16"/>
                <w:lang w:val="en-US" w:eastAsia="en-US"/>
              </w:rPr>
              <w:t> </w:t>
            </w:r>
          </w:p>
        </w:tc>
        <w:tc>
          <w:tcPr>
            <w:tcW w:w="5073" w:type="dxa"/>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eastAsia="Times New Roman" w:hAnsiTheme="minorHAnsi"/>
                <w:color w:val="212121"/>
                <w:sz w:val="18"/>
                <w:szCs w:val="16"/>
                <w:lang w:val="en-US"/>
              </w:rPr>
              <w:t>Saving in health system costs of burden of CRC recurrence with other testing due to early detection ($ per annum)</w:t>
            </w:r>
          </w:p>
        </w:tc>
        <w:tc>
          <w:tcPr>
            <w:tcW w:w="3506" w:type="dxa"/>
            <w:gridSpan w:val="2"/>
            <w:tcBorders>
              <w:top w:val="nil"/>
              <w:left w:val="nil"/>
              <w:bottom w:val="single" w:sz="8" w:space="0" w:color="auto"/>
              <w:right w:val="single" w:sz="8" w:space="0" w:color="auto"/>
            </w:tcBorders>
            <w:shd w:val="clear" w:color="auto" w:fill="FFFFFF"/>
            <w:noWrap/>
            <w:hideMark/>
          </w:tcPr>
          <w:p w:rsidR="00E20F47" w:rsidRPr="00161341" w:rsidRDefault="00E20F47" w:rsidP="007861A7">
            <w:pPr>
              <w:rPr>
                <w:rFonts w:asciiTheme="minorHAnsi" w:hAnsiTheme="minorHAnsi"/>
                <w:color w:val="212121"/>
                <w:sz w:val="18"/>
                <w:szCs w:val="16"/>
                <w:lang w:eastAsia="en-US"/>
              </w:rPr>
            </w:pPr>
            <w:r w:rsidRPr="00161341">
              <w:rPr>
                <w:rFonts w:asciiTheme="minorHAnsi" w:hAnsiTheme="minorHAnsi"/>
                <w:color w:val="212121"/>
                <w:sz w:val="18"/>
                <w:szCs w:val="16"/>
                <w:lang w:val="en-US"/>
              </w:rPr>
              <w:t>=</w:t>
            </w:r>
            <w:r w:rsidRPr="00161341">
              <w:rPr>
                <w:rFonts w:asciiTheme="minorHAnsi" w:hAnsiTheme="minorHAnsi" w:cs="Segoe UI"/>
                <w:color w:val="212121"/>
                <w:sz w:val="18"/>
                <w:szCs w:val="16"/>
              </w:rPr>
              <w:t>(</w:t>
            </w:r>
            <w:r w:rsidRPr="00161341">
              <w:rPr>
                <w:rFonts w:asciiTheme="minorHAnsi" w:eastAsia="Times New Roman" w:hAnsiTheme="minorHAnsi"/>
                <w:color w:val="212121"/>
                <w:sz w:val="18"/>
                <w:szCs w:val="16"/>
                <w:lang w:val="en-US"/>
              </w:rPr>
              <w:t xml:space="preserve"> E</w:t>
            </w:r>
            <w:r w:rsidRPr="00161341">
              <w:rPr>
                <w:rFonts w:asciiTheme="minorHAnsi" w:eastAsia="Times New Roman" w:hAnsiTheme="minorHAnsi"/>
                <w:color w:val="212121"/>
                <w:sz w:val="18"/>
                <w:szCs w:val="16"/>
                <w:vertAlign w:val="subscript"/>
                <w:lang w:val="en-US"/>
              </w:rPr>
              <w:t>R -</w:t>
            </w:r>
            <w:r w:rsidRPr="00161341">
              <w:rPr>
                <w:rFonts w:asciiTheme="minorHAnsi" w:eastAsia="Times New Roman" w:hAnsiTheme="minorHAnsi"/>
                <w:color w:val="212121"/>
                <w:sz w:val="18"/>
                <w:szCs w:val="16"/>
                <w:lang w:val="en-US"/>
              </w:rPr>
              <w:t xml:space="preserve"> E</w:t>
            </w:r>
            <w:r w:rsidRPr="00161341">
              <w:rPr>
                <w:rFonts w:asciiTheme="minorHAnsi" w:eastAsia="Times New Roman" w:hAnsiTheme="minorHAnsi"/>
                <w:color w:val="212121"/>
                <w:sz w:val="18"/>
                <w:szCs w:val="16"/>
                <w:vertAlign w:val="subscript"/>
                <w:lang w:val="en-US"/>
              </w:rPr>
              <w:t>c</w:t>
            </w:r>
            <w:r w:rsidRPr="00161341">
              <w:rPr>
                <w:rFonts w:asciiTheme="minorHAnsi" w:eastAsia="Times New Roman" w:hAnsiTheme="minorHAnsi"/>
                <w:color w:val="212121"/>
                <w:sz w:val="18"/>
                <w:szCs w:val="16"/>
                <w:lang w:val="en-US"/>
              </w:rPr>
              <w:t> ) * F</w:t>
            </w:r>
          </w:p>
        </w:tc>
      </w:tr>
    </w:tbl>
    <w:p w:rsidR="00E20F47" w:rsidRPr="00161341" w:rsidRDefault="00E20F47" w:rsidP="00161341">
      <w:pPr>
        <w:spacing w:after="0" w:line="276" w:lineRule="auto"/>
        <w:rPr>
          <w:sz w:val="24"/>
          <w:szCs w:val="24"/>
        </w:rPr>
      </w:pPr>
    </w:p>
    <w:p w:rsidR="00E20F47" w:rsidRPr="00161341" w:rsidRDefault="00E20F47" w:rsidP="00161341">
      <w:pPr>
        <w:pStyle w:val="Heading3"/>
        <w:spacing w:before="40" w:after="0" w:line="360" w:lineRule="auto"/>
        <w:rPr>
          <w:i/>
          <w:sz w:val="24"/>
          <w:szCs w:val="24"/>
        </w:rPr>
      </w:pPr>
      <w:r w:rsidRPr="00161341">
        <w:rPr>
          <w:i/>
          <w:sz w:val="24"/>
          <w:szCs w:val="24"/>
        </w:rPr>
        <w:t>Further impacts</w:t>
      </w:r>
    </w:p>
    <w:p w:rsidR="00E20F47" w:rsidRPr="00161341" w:rsidRDefault="00E20F47" w:rsidP="00161341">
      <w:pPr>
        <w:spacing w:after="0" w:line="276" w:lineRule="auto"/>
        <w:rPr>
          <w:rFonts w:asciiTheme="minorHAnsi" w:hAnsiTheme="minorHAnsi"/>
          <w:color w:val="00B0F0"/>
          <w:sz w:val="24"/>
          <w:szCs w:val="24"/>
        </w:rPr>
      </w:pPr>
      <w:r w:rsidRPr="00161341">
        <w:rPr>
          <w:rFonts w:asciiTheme="minorHAnsi" w:hAnsiTheme="minorHAnsi"/>
          <w:sz w:val="24"/>
          <w:szCs w:val="24"/>
        </w:rPr>
        <w:t>This section provides an overview of the causal linkage from the adoption of the Colvera™ testing to generate other impacts that could not be quantified, along with examples evidencing the extent to which they have been realised to date.</w:t>
      </w:r>
    </w:p>
    <w:p w:rsidR="00E20F47" w:rsidRPr="00161341" w:rsidRDefault="00E20F47" w:rsidP="00161341">
      <w:pPr>
        <w:spacing w:after="0" w:line="276" w:lineRule="auto"/>
        <w:rPr>
          <w:sz w:val="24"/>
          <w:szCs w:val="24"/>
        </w:rPr>
      </w:pPr>
    </w:p>
    <w:p w:rsidR="00E20F47" w:rsidRPr="00161341" w:rsidRDefault="00E20F47" w:rsidP="00161341">
      <w:pPr>
        <w:pStyle w:val="Heading3"/>
        <w:spacing w:before="40" w:after="0" w:line="360" w:lineRule="auto"/>
        <w:rPr>
          <w:sz w:val="24"/>
          <w:szCs w:val="24"/>
        </w:rPr>
      </w:pPr>
      <w:r w:rsidRPr="00161341">
        <w:rPr>
          <w:sz w:val="24"/>
          <w:szCs w:val="24"/>
        </w:rPr>
        <w:t xml:space="preserve">Sales revenue and licensing fees </w:t>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CSIRO has exclusively licenced key components of the technology to CG, in return for royalties on revenues. We are unable to quantify the benefits to CG due to commercial confidentiality issues.</w:t>
      </w:r>
    </w:p>
    <w:p w:rsidR="00E20F47" w:rsidRPr="00161341" w:rsidRDefault="00E20F47" w:rsidP="00161341">
      <w:pPr>
        <w:spacing w:after="0" w:line="276" w:lineRule="auto"/>
        <w:rPr>
          <w:sz w:val="24"/>
          <w:szCs w:val="24"/>
        </w:rPr>
      </w:pPr>
    </w:p>
    <w:p w:rsidR="00E20F47" w:rsidRPr="00161341" w:rsidRDefault="00E20F47" w:rsidP="00161341">
      <w:pPr>
        <w:pStyle w:val="Heading3"/>
        <w:spacing w:before="40" w:after="0" w:line="360" w:lineRule="auto"/>
        <w:rPr>
          <w:sz w:val="24"/>
          <w:szCs w:val="24"/>
        </w:rPr>
      </w:pPr>
      <w:r w:rsidRPr="00161341">
        <w:rPr>
          <w:sz w:val="24"/>
          <w:szCs w:val="24"/>
        </w:rPr>
        <w:t>Increased labour productivity and labour force participation</w:t>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Adverse health impacts not only generate direct financial costs to the health system and non-financial costs of the burden of disease, but a range of additional costs to the Australian economy. Some of the additional flow-on impacts are</w:t>
      </w:r>
      <w:r w:rsidR="00B60A01" w:rsidRPr="00161341">
        <w:rPr>
          <w:sz w:val="24"/>
          <w:szCs w:val="24"/>
        </w:rPr>
        <w:t>⁷⁸</w:t>
      </w:r>
      <w:r w:rsidRPr="00161341">
        <w:rPr>
          <w:rFonts w:asciiTheme="minorHAnsi" w:hAnsiTheme="minorHAnsi"/>
          <w:sz w:val="24"/>
          <w:szCs w:val="24"/>
        </w:rPr>
        <w:t>:</w:t>
      </w:r>
    </w:p>
    <w:p w:rsidR="00E20F47" w:rsidRPr="00161341" w:rsidRDefault="00E20F47" w:rsidP="0096781E">
      <w:pPr>
        <w:pStyle w:val="ListDash"/>
        <w:numPr>
          <w:ilvl w:val="0"/>
          <w:numId w:val="35"/>
        </w:numPr>
        <w:spacing w:before="0" w:after="0" w:line="276" w:lineRule="auto"/>
        <w:rPr>
          <w:sz w:val="24"/>
          <w:szCs w:val="24"/>
        </w:rPr>
      </w:pPr>
      <w:r w:rsidRPr="00161341">
        <w:rPr>
          <w:sz w:val="24"/>
          <w:szCs w:val="24"/>
        </w:rPr>
        <w:lastRenderedPageBreak/>
        <w:t>Productivity losses – short and long-term employment impacts and premature mortality;</w:t>
      </w:r>
    </w:p>
    <w:p w:rsidR="00E20F47" w:rsidRPr="00161341" w:rsidRDefault="00E20F47" w:rsidP="0096781E">
      <w:pPr>
        <w:pStyle w:val="ListDash"/>
        <w:numPr>
          <w:ilvl w:val="0"/>
          <w:numId w:val="35"/>
        </w:numPr>
        <w:spacing w:before="0" w:after="0" w:line="276" w:lineRule="auto"/>
        <w:rPr>
          <w:sz w:val="24"/>
          <w:szCs w:val="24"/>
        </w:rPr>
      </w:pPr>
      <w:r w:rsidRPr="00161341">
        <w:rPr>
          <w:sz w:val="24"/>
          <w:szCs w:val="24"/>
        </w:rPr>
        <w:t>Carer costs – the value of community care services provided primarily by informal carers;</w:t>
      </w:r>
    </w:p>
    <w:p w:rsidR="00E20F47" w:rsidRPr="00161341" w:rsidRDefault="00E20F47" w:rsidP="0096781E">
      <w:pPr>
        <w:pStyle w:val="ListDash"/>
        <w:numPr>
          <w:ilvl w:val="0"/>
          <w:numId w:val="35"/>
        </w:numPr>
        <w:spacing w:before="0" w:after="0" w:line="276" w:lineRule="auto"/>
        <w:rPr>
          <w:sz w:val="24"/>
          <w:szCs w:val="24"/>
        </w:rPr>
      </w:pPr>
      <w:r w:rsidRPr="00161341">
        <w:rPr>
          <w:sz w:val="24"/>
          <w:szCs w:val="24"/>
        </w:rPr>
        <w:t>Deadweight Loss (DWL) from transfers – taxation revenue foregone, welfare, and other government payments; and,</w:t>
      </w:r>
    </w:p>
    <w:p w:rsidR="00E20F47" w:rsidRPr="00161341" w:rsidRDefault="00E20F47" w:rsidP="0096781E">
      <w:pPr>
        <w:pStyle w:val="ListDash"/>
        <w:numPr>
          <w:ilvl w:val="0"/>
          <w:numId w:val="35"/>
        </w:numPr>
        <w:spacing w:before="0" w:after="0" w:line="276" w:lineRule="auto"/>
        <w:rPr>
          <w:sz w:val="24"/>
          <w:szCs w:val="24"/>
        </w:rPr>
      </w:pPr>
      <w:r w:rsidRPr="00161341">
        <w:rPr>
          <w:sz w:val="24"/>
          <w:szCs w:val="24"/>
        </w:rPr>
        <w:t>Other costs – aids, equipment and modifications, transport and accommodation costs, respite and other government programs, and the bring-forward component of funerals.</w:t>
      </w:r>
    </w:p>
    <w:p w:rsidR="00E20F47" w:rsidRPr="00161341" w:rsidRDefault="00E20F47" w:rsidP="00161341">
      <w:pPr>
        <w:pStyle w:val="ListDash"/>
        <w:spacing w:before="0" w:after="0" w:line="276" w:lineRule="auto"/>
        <w:ind w:left="714" w:firstLine="0"/>
        <w:rPr>
          <w:sz w:val="24"/>
          <w:szCs w:val="24"/>
        </w:rPr>
      </w:pP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In this case study, increased labour productivity and labour force participation of mature age workers</w:t>
      </w:r>
      <w:r w:rsidR="00B60A01" w:rsidRPr="00161341">
        <w:rPr>
          <w:sz w:val="24"/>
          <w:szCs w:val="24"/>
        </w:rPr>
        <w:t>⁹</w:t>
      </w:r>
      <w:r w:rsidRPr="00161341">
        <w:rPr>
          <w:rFonts w:asciiTheme="minorHAnsi" w:hAnsiTheme="minorHAnsi"/>
          <w:sz w:val="24"/>
          <w:szCs w:val="24"/>
        </w:rPr>
        <w:t xml:space="preserve"> are flow-on effects from having more targeted patient treatments associated with early detection from Colvera testing and reducing prevalence of CRC. A healthier workforce is generally more productive, and spends less time out of work due to CRC-related treatments and complications.</w:t>
      </w:r>
    </w:p>
    <w:p w:rsidR="00E20F47" w:rsidRPr="00161341" w:rsidRDefault="00E20F47" w:rsidP="00161341">
      <w:pPr>
        <w:spacing w:after="0" w:line="360" w:lineRule="auto"/>
        <w:rPr>
          <w:sz w:val="24"/>
          <w:szCs w:val="24"/>
        </w:rPr>
      </w:pPr>
      <w:bookmarkStart w:id="36" w:name="_Toc488653957"/>
    </w:p>
    <w:p w:rsidR="00E20F47" w:rsidRPr="00161341" w:rsidRDefault="00E20F47" w:rsidP="00161341">
      <w:pPr>
        <w:pStyle w:val="Heading3"/>
        <w:spacing w:before="40" w:after="0" w:line="360" w:lineRule="auto"/>
        <w:rPr>
          <w:sz w:val="24"/>
          <w:szCs w:val="24"/>
        </w:rPr>
      </w:pPr>
      <w:r w:rsidRPr="00161341">
        <w:rPr>
          <w:sz w:val="24"/>
          <w:szCs w:val="24"/>
        </w:rPr>
        <w:t>Contribution of CSIRO</w:t>
      </w:r>
      <w:bookmarkEnd w:id="36"/>
    </w:p>
    <w:p w:rsidR="00FF0ABB"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 xml:space="preserve">The results above are modelled for both CSIRO and CG inputs, and combined impacts. This evaluation has been undertaken by CSIRO to understand the payoff from the technology, as identified above, and to identify specifically the potential net benefit and success of CSIRO. It is therefore necessary to tease out CSIRO’s costs and benefits – requiring a disaggregation of the positive externalities back to either CSIRO, or to CG and other contributors.  </w:t>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CSIRO had an established history and expertise in the area of DNA methylation biomarkers</w:t>
      </w:r>
      <w:r w:rsidR="005D4F50" w:rsidRPr="00161341">
        <w:rPr>
          <w:rFonts w:asciiTheme="minorHAnsi" w:hAnsiTheme="minorHAnsi"/>
          <w:sz w:val="24"/>
          <w:szCs w:val="24"/>
        </w:rPr>
        <w:t>.</w:t>
      </w:r>
      <w:r w:rsidRPr="00161341">
        <w:rPr>
          <w:rStyle w:val="FootnoteReference"/>
          <w:rFonts w:asciiTheme="minorHAnsi" w:hAnsiTheme="minorHAnsi"/>
          <w:sz w:val="24"/>
          <w:szCs w:val="24"/>
        </w:rPr>
        <w:footnoteReference w:id="13"/>
      </w:r>
      <w:r w:rsidRPr="00161341">
        <w:rPr>
          <w:rFonts w:asciiTheme="minorHAnsi" w:hAnsiTheme="minorHAnsi"/>
          <w:sz w:val="24"/>
          <w:szCs w:val="24"/>
        </w:rPr>
        <w:t xml:space="preserve"> This highly influenced the decision to, and feasibility of, refocusing the biomarker pipeline work in 2008 to identifying downregulated genes by DNA methylation in CRC tissue. Development of genome-wide DNA methylation technologies, Bisulphite-tag and SuBLiME, is entirely attributable to CSIRO. This change in focus is considered to have saved time and resources compared to continuing to try and develop biomarkers with upregulated genes, and, subsequently, shifted the nature of the product developed. The resulting discoveries are attributed to all collaborators. Within the commercialisation phase (post-2014), CG led progress usually in collaboration with Flinders, but also with a range of other collaborators. CSIRO and CG were both considered necessary to achieve the ultimate objective of developing an effective monitoring method for CRC recurrence, it was appropriate to attribute benefits among the project on a cost-sharing basis. CSIRO accounted for approximately 10 per cent of total research and implementation costs. Consequently, it is assumed that roughly 10 per cent of research impacts arising from CSIRO’s research can be attributed to CSIRO. </w:t>
      </w:r>
    </w:p>
    <w:p w:rsidR="005D4F50" w:rsidRPr="00161341" w:rsidRDefault="005D4F50" w:rsidP="00161341">
      <w:pPr>
        <w:spacing w:after="0" w:line="276" w:lineRule="auto"/>
        <w:rPr>
          <w:rFonts w:asciiTheme="minorHAnsi" w:hAnsiTheme="minorHAnsi"/>
          <w:sz w:val="24"/>
          <w:szCs w:val="24"/>
        </w:rPr>
      </w:pP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Based on the above, this case study will attribute total impacts as follows:</w:t>
      </w:r>
    </w:p>
    <w:p w:rsidR="00E20F47" w:rsidRPr="00161341" w:rsidRDefault="00E20F47" w:rsidP="00161341">
      <w:pPr>
        <w:pStyle w:val="ListDash"/>
        <w:spacing w:before="0" w:after="0" w:line="276" w:lineRule="auto"/>
        <w:ind w:left="1134" w:hanging="567"/>
        <w:rPr>
          <w:sz w:val="24"/>
          <w:szCs w:val="24"/>
        </w:rPr>
      </w:pPr>
      <w:r w:rsidRPr="00161341">
        <w:rPr>
          <w:sz w:val="24"/>
          <w:szCs w:val="24"/>
        </w:rPr>
        <w:t>CSIRO – 10%</w:t>
      </w:r>
    </w:p>
    <w:p w:rsidR="00E20F47" w:rsidRPr="00161341" w:rsidRDefault="00E20F47" w:rsidP="00161341">
      <w:pPr>
        <w:pStyle w:val="ListDash"/>
        <w:spacing w:before="0" w:after="0" w:line="276" w:lineRule="auto"/>
        <w:ind w:left="1134" w:hanging="567"/>
        <w:rPr>
          <w:rFonts w:eastAsiaTheme="majorEastAsia" w:cstheme="majorBidi"/>
          <w:b/>
          <w:bCs/>
          <w:sz w:val="24"/>
          <w:szCs w:val="24"/>
        </w:rPr>
      </w:pPr>
      <w:r w:rsidRPr="00161341">
        <w:rPr>
          <w:sz w:val="24"/>
          <w:szCs w:val="24"/>
        </w:rPr>
        <w:t>CG and others – 90%</w:t>
      </w:r>
    </w:p>
    <w:p w:rsidR="007D35EF" w:rsidRPr="00161341" w:rsidRDefault="007D35EF" w:rsidP="00161341">
      <w:pPr>
        <w:pStyle w:val="ListDash"/>
        <w:spacing w:before="0" w:after="0" w:line="276" w:lineRule="auto"/>
        <w:ind w:left="567" w:firstLine="0"/>
        <w:rPr>
          <w:rFonts w:eastAsiaTheme="majorEastAsia" w:cstheme="majorBidi"/>
          <w:b/>
          <w:bCs/>
          <w:sz w:val="24"/>
          <w:szCs w:val="24"/>
        </w:rPr>
      </w:pPr>
    </w:p>
    <w:p w:rsidR="00E20F47" w:rsidRPr="00161341" w:rsidRDefault="00E20F47" w:rsidP="00161341">
      <w:pPr>
        <w:pStyle w:val="Heading3"/>
        <w:spacing w:before="40" w:after="0" w:line="360" w:lineRule="auto"/>
        <w:rPr>
          <w:sz w:val="24"/>
          <w:szCs w:val="24"/>
        </w:rPr>
      </w:pPr>
      <w:r w:rsidRPr="00161341">
        <w:rPr>
          <w:sz w:val="24"/>
          <w:szCs w:val="24"/>
        </w:rPr>
        <w:t>Costs</w:t>
      </w:r>
      <w:r w:rsidR="007861A7" w:rsidRPr="00161341">
        <w:rPr>
          <w:sz w:val="24"/>
          <w:szCs w:val="24"/>
        </w:rPr>
        <w:tab/>
      </w:r>
    </w:p>
    <w:p w:rsidR="00E20F47" w:rsidRPr="00161341"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 xml:space="preserve">In principle, establishing costs involved throughout the entire impact pathway is an important exercise of a CBA. This includes both the input costs incurred by CSIRO and its collaborators, as well as any usage and adoption costs borne by clients, external stakeholders, intermediaries, and end users. For Colvera™, these costs include clinical trials and implementation. CSIRO and its research partners contributed $12.6 million respectively to research between 2006/07 and 2016/17 in real terms. Clinical trials and implementation costs are estimated to be $48.2 million and $282.9 million respectively.  Table 6.3 summarises the adjusted costs for researching, developing and implementing the Colvera™ technology. </w:t>
      </w:r>
    </w:p>
    <w:p w:rsidR="005D4F50" w:rsidRPr="00161341" w:rsidRDefault="005D4F50" w:rsidP="00E20F47">
      <w:pPr>
        <w:spacing w:line="288" w:lineRule="auto"/>
        <w:rPr>
          <w:rFonts w:asciiTheme="minorHAnsi" w:hAnsiTheme="minorHAnsi"/>
          <w:sz w:val="28"/>
          <w:szCs w:val="24"/>
        </w:rPr>
      </w:pPr>
    </w:p>
    <w:p w:rsidR="00E20F47" w:rsidRPr="00161341" w:rsidRDefault="00161341" w:rsidP="00161341">
      <w:pPr>
        <w:pStyle w:val="Heading5"/>
        <w:spacing w:before="0" w:after="0" w:line="360" w:lineRule="auto"/>
        <w:rPr>
          <w:rFonts w:asciiTheme="minorHAnsi" w:hAnsiTheme="minorHAnsi"/>
          <w:color w:val="007E9A" w:themeColor="accent1" w:themeShade="BF"/>
          <w:sz w:val="20"/>
          <w:szCs w:val="20"/>
        </w:rPr>
      </w:pPr>
      <w:r>
        <w:rPr>
          <w:rFonts w:asciiTheme="minorHAnsi" w:hAnsiTheme="minorHAnsi"/>
          <w:color w:val="007E9A" w:themeColor="accent1" w:themeShade="BF"/>
          <w:sz w:val="20"/>
          <w:szCs w:val="20"/>
        </w:rPr>
        <w:t>Table 6.3: S</w:t>
      </w:r>
      <w:r w:rsidR="00EE3050" w:rsidRPr="00161341">
        <w:rPr>
          <w:rFonts w:asciiTheme="minorHAnsi" w:hAnsiTheme="minorHAnsi"/>
          <w:color w:val="007E9A" w:themeColor="accent1" w:themeShade="BF"/>
          <w:sz w:val="20"/>
          <w:szCs w:val="20"/>
        </w:rPr>
        <w:t>ummary of CSIRO and industry adjusted project costs ($m CPI adjusted, discounted at 7%)</w:t>
      </w:r>
    </w:p>
    <w:tbl>
      <w:tblPr>
        <w:tblStyle w:val="TableGrid13"/>
        <w:tblW w:w="9324" w:type="dxa"/>
        <w:jc w:val="center"/>
        <w:tblLayout w:type="fixed"/>
        <w:tblLook w:val="04A0" w:firstRow="1" w:lastRow="0" w:firstColumn="1" w:lastColumn="0" w:noHBand="0" w:noVBand="1"/>
      </w:tblPr>
      <w:tblGrid>
        <w:gridCol w:w="1717"/>
        <w:gridCol w:w="2440"/>
        <w:gridCol w:w="2440"/>
        <w:gridCol w:w="2727"/>
      </w:tblGrid>
      <w:tr w:rsidR="00FB61A7" w:rsidRPr="00161341" w:rsidTr="00161341">
        <w:trPr>
          <w:trHeight w:val="661"/>
          <w:jc w:val="center"/>
        </w:trPr>
        <w:tc>
          <w:tcPr>
            <w:tcW w:w="1717" w:type="dxa"/>
            <w:hideMark/>
          </w:tcPr>
          <w:p w:rsidR="00E20F47" w:rsidRPr="00161341" w:rsidRDefault="00E20F47" w:rsidP="007861A7">
            <w:pPr>
              <w:rPr>
                <w:rFonts w:asciiTheme="minorHAnsi" w:eastAsia="Times New Roman" w:hAnsiTheme="minorHAnsi"/>
                <w:b/>
                <w:bCs/>
                <w:sz w:val="18"/>
                <w:szCs w:val="18"/>
              </w:rPr>
            </w:pPr>
          </w:p>
        </w:tc>
        <w:tc>
          <w:tcPr>
            <w:tcW w:w="2440" w:type="dxa"/>
            <w:hideMark/>
          </w:tcPr>
          <w:p w:rsidR="00E20F47" w:rsidRPr="00161341" w:rsidRDefault="00E20F47" w:rsidP="007861A7">
            <w:pPr>
              <w:jc w:val="right"/>
              <w:rPr>
                <w:rFonts w:asciiTheme="minorHAnsi" w:eastAsia="Times New Roman" w:hAnsiTheme="minorHAnsi"/>
                <w:b/>
                <w:bCs/>
                <w:sz w:val="18"/>
                <w:szCs w:val="18"/>
              </w:rPr>
            </w:pPr>
            <w:r w:rsidRPr="00161341">
              <w:rPr>
                <w:rFonts w:asciiTheme="minorHAnsi" w:eastAsia="Times New Roman" w:hAnsiTheme="minorHAnsi"/>
                <w:b/>
                <w:bCs/>
                <w:sz w:val="18"/>
                <w:szCs w:val="18"/>
              </w:rPr>
              <w:t>Present value of R&amp;D costs (2006/07- 2016/17)</w:t>
            </w:r>
          </w:p>
        </w:tc>
        <w:tc>
          <w:tcPr>
            <w:tcW w:w="2440" w:type="dxa"/>
            <w:hideMark/>
          </w:tcPr>
          <w:p w:rsidR="00E20F47" w:rsidRPr="00161341" w:rsidRDefault="00E20F47" w:rsidP="007861A7">
            <w:pPr>
              <w:jc w:val="right"/>
              <w:rPr>
                <w:rFonts w:asciiTheme="minorHAnsi" w:eastAsia="Times New Roman" w:hAnsiTheme="minorHAnsi"/>
                <w:b/>
                <w:bCs/>
                <w:sz w:val="18"/>
                <w:szCs w:val="18"/>
              </w:rPr>
            </w:pPr>
            <w:r w:rsidRPr="00161341">
              <w:rPr>
                <w:rFonts w:asciiTheme="minorHAnsi" w:eastAsia="Times New Roman" w:hAnsiTheme="minorHAnsi"/>
                <w:b/>
                <w:bCs/>
                <w:sz w:val="18"/>
                <w:szCs w:val="18"/>
              </w:rPr>
              <w:t>Present value of Clinical trials costs(2006/07- 2016/17)</w:t>
            </w:r>
          </w:p>
        </w:tc>
        <w:tc>
          <w:tcPr>
            <w:tcW w:w="2727" w:type="dxa"/>
            <w:hideMark/>
          </w:tcPr>
          <w:p w:rsidR="00E20F47" w:rsidRPr="00161341" w:rsidRDefault="00E20F47" w:rsidP="007861A7">
            <w:pPr>
              <w:jc w:val="right"/>
              <w:rPr>
                <w:rFonts w:asciiTheme="minorHAnsi" w:eastAsia="Times New Roman" w:hAnsiTheme="minorHAnsi"/>
                <w:b/>
                <w:bCs/>
                <w:sz w:val="18"/>
                <w:szCs w:val="18"/>
              </w:rPr>
            </w:pPr>
            <w:r w:rsidRPr="00161341">
              <w:rPr>
                <w:rFonts w:asciiTheme="minorHAnsi" w:eastAsia="Times New Roman" w:hAnsiTheme="minorHAnsi"/>
                <w:b/>
                <w:bCs/>
                <w:sz w:val="18"/>
                <w:szCs w:val="18"/>
              </w:rPr>
              <w:t>Present value of implementation cost (2017/18 to 2026/27)</w:t>
            </w:r>
          </w:p>
        </w:tc>
      </w:tr>
      <w:tr w:rsidR="00FB61A7" w:rsidRPr="00161341" w:rsidTr="00161341">
        <w:trPr>
          <w:trHeight w:val="331"/>
          <w:jc w:val="center"/>
        </w:trPr>
        <w:tc>
          <w:tcPr>
            <w:tcW w:w="1717" w:type="dxa"/>
            <w:noWrap/>
          </w:tcPr>
          <w:p w:rsidR="00E20F47" w:rsidRPr="00161341" w:rsidRDefault="00E20F47" w:rsidP="007861A7">
            <w:pPr>
              <w:rPr>
                <w:rFonts w:asciiTheme="minorHAnsi" w:eastAsia="Times New Roman" w:hAnsiTheme="minorHAnsi"/>
                <w:b/>
                <w:sz w:val="18"/>
                <w:szCs w:val="18"/>
              </w:rPr>
            </w:pPr>
            <w:r w:rsidRPr="00161341">
              <w:rPr>
                <w:rFonts w:asciiTheme="minorHAnsi" w:eastAsia="Times New Roman" w:hAnsiTheme="minorHAnsi"/>
                <w:b/>
                <w:sz w:val="18"/>
                <w:szCs w:val="18"/>
              </w:rPr>
              <w:t>Total ($m)</w:t>
            </w:r>
          </w:p>
        </w:tc>
        <w:tc>
          <w:tcPr>
            <w:tcW w:w="2440" w:type="dxa"/>
          </w:tcPr>
          <w:p w:rsidR="00E20F47" w:rsidRPr="00161341" w:rsidRDefault="00E20F47" w:rsidP="007861A7">
            <w:pPr>
              <w:jc w:val="right"/>
              <w:rPr>
                <w:rFonts w:asciiTheme="minorHAnsi" w:eastAsia="Times New Roman" w:hAnsiTheme="minorHAnsi"/>
                <w:sz w:val="18"/>
                <w:szCs w:val="18"/>
              </w:rPr>
            </w:pPr>
            <w:r w:rsidRPr="00161341">
              <w:rPr>
                <w:rFonts w:asciiTheme="minorHAnsi" w:eastAsia="Times New Roman" w:hAnsiTheme="minorHAnsi"/>
                <w:sz w:val="18"/>
                <w:szCs w:val="18"/>
              </w:rPr>
              <w:t>12.6</w:t>
            </w:r>
          </w:p>
        </w:tc>
        <w:tc>
          <w:tcPr>
            <w:tcW w:w="2440" w:type="dxa"/>
          </w:tcPr>
          <w:p w:rsidR="00E20F47" w:rsidRPr="00161341" w:rsidRDefault="00E20F47" w:rsidP="007861A7">
            <w:pPr>
              <w:jc w:val="right"/>
              <w:rPr>
                <w:rFonts w:asciiTheme="minorHAnsi" w:eastAsia="Times New Roman" w:hAnsiTheme="minorHAnsi"/>
                <w:sz w:val="18"/>
                <w:szCs w:val="18"/>
              </w:rPr>
            </w:pPr>
            <w:r w:rsidRPr="00161341">
              <w:rPr>
                <w:rFonts w:asciiTheme="minorHAnsi" w:eastAsia="Times New Roman" w:hAnsiTheme="minorHAnsi"/>
                <w:sz w:val="18"/>
                <w:szCs w:val="18"/>
              </w:rPr>
              <w:t>48.2</w:t>
            </w:r>
          </w:p>
        </w:tc>
        <w:tc>
          <w:tcPr>
            <w:tcW w:w="2727" w:type="dxa"/>
            <w:shd w:val="clear" w:color="auto" w:fill="auto"/>
          </w:tcPr>
          <w:p w:rsidR="00E20F47" w:rsidRPr="00161341" w:rsidRDefault="00E20F47" w:rsidP="007861A7">
            <w:pPr>
              <w:jc w:val="right"/>
              <w:rPr>
                <w:rFonts w:asciiTheme="minorHAnsi" w:eastAsia="Times New Roman" w:hAnsiTheme="minorHAnsi"/>
                <w:sz w:val="18"/>
                <w:szCs w:val="18"/>
              </w:rPr>
            </w:pPr>
            <w:r w:rsidRPr="00161341">
              <w:rPr>
                <w:rFonts w:asciiTheme="minorHAnsi" w:eastAsia="Times New Roman" w:hAnsiTheme="minorHAnsi"/>
                <w:sz w:val="18"/>
                <w:szCs w:val="18"/>
              </w:rPr>
              <w:t>282.9</w:t>
            </w:r>
          </w:p>
        </w:tc>
      </w:tr>
      <w:tr w:rsidR="00FB61A7" w:rsidRPr="00161341" w:rsidTr="00161341">
        <w:trPr>
          <w:trHeight w:val="331"/>
          <w:jc w:val="center"/>
        </w:trPr>
        <w:tc>
          <w:tcPr>
            <w:tcW w:w="1717" w:type="dxa"/>
            <w:hideMark/>
          </w:tcPr>
          <w:p w:rsidR="00E20F47" w:rsidRPr="00161341" w:rsidRDefault="00E20F47" w:rsidP="007861A7">
            <w:pPr>
              <w:rPr>
                <w:rFonts w:asciiTheme="minorHAnsi" w:eastAsia="Times New Roman" w:hAnsiTheme="minorHAnsi"/>
                <w:b/>
                <w:bCs/>
                <w:sz w:val="18"/>
                <w:szCs w:val="18"/>
              </w:rPr>
            </w:pPr>
            <w:r w:rsidRPr="00161341">
              <w:rPr>
                <w:rFonts w:asciiTheme="minorHAnsi" w:eastAsia="Times New Roman" w:hAnsiTheme="minorHAnsi"/>
                <w:b/>
                <w:bCs/>
                <w:sz w:val="18"/>
                <w:szCs w:val="18"/>
              </w:rPr>
              <w:t>% of total cost</w:t>
            </w:r>
          </w:p>
        </w:tc>
        <w:tc>
          <w:tcPr>
            <w:tcW w:w="2440" w:type="dxa"/>
          </w:tcPr>
          <w:p w:rsidR="00E20F47" w:rsidRPr="00161341" w:rsidRDefault="00E20F47" w:rsidP="007861A7">
            <w:pPr>
              <w:jc w:val="right"/>
              <w:rPr>
                <w:rFonts w:asciiTheme="minorHAnsi" w:eastAsia="Times New Roman" w:hAnsiTheme="minorHAnsi"/>
                <w:bCs/>
                <w:sz w:val="18"/>
                <w:szCs w:val="18"/>
              </w:rPr>
            </w:pPr>
            <w:r w:rsidRPr="00161341">
              <w:rPr>
                <w:rFonts w:asciiTheme="minorHAnsi" w:eastAsia="Times New Roman" w:hAnsiTheme="minorHAnsi"/>
                <w:bCs/>
                <w:sz w:val="18"/>
                <w:szCs w:val="18"/>
              </w:rPr>
              <w:t>3.7</w:t>
            </w:r>
          </w:p>
        </w:tc>
        <w:tc>
          <w:tcPr>
            <w:tcW w:w="2440" w:type="dxa"/>
          </w:tcPr>
          <w:p w:rsidR="00E20F47" w:rsidRPr="00161341" w:rsidRDefault="00E20F47" w:rsidP="007861A7">
            <w:pPr>
              <w:jc w:val="right"/>
              <w:rPr>
                <w:rFonts w:asciiTheme="minorHAnsi" w:eastAsia="Times New Roman" w:hAnsiTheme="minorHAnsi"/>
                <w:bCs/>
                <w:sz w:val="18"/>
                <w:szCs w:val="18"/>
              </w:rPr>
            </w:pPr>
            <w:r w:rsidRPr="00161341">
              <w:rPr>
                <w:rFonts w:asciiTheme="minorHAnsi" w:eastAsia="Times New Roman" w:hAnsiTheme="minorHAnsi"/>
                <w:bCs/>
                <w:sz w:val="18"/>
                <w:szCs w:val="18"/>
              </w:rPr>
              <w:t>14</w:t>
            </w:r>
          </w:p>
        </w:tc>
        <w:tc>
          <w:tcPr>
            <w:tcW w:w="2727" w:type="dxa"/>
          </w:tcPr>
          <w:p w:rsidR="00E20F47" w:rsidRPr="00161341" w:rsidRDefault="00E20F47" w:rsidP="007861A7">
            <w:pPr>
              <w:jc w:val="right"/>
              <w:rPr>
                <w:rFonts w:asciiTheme="minorHAnsi" w:eastAsia="Times New Roman" w:hAnsiTheme="minorHAnsi"/>
                <w:bCs/>
                <w:sz w:val="18"/>
                <w:szCs w:val="18"/>
              </w:rPr>
            </w:pPr>
            <w:r w:rsidRPr="00161341">
              <w:rPr>
                <w:rFonts w:asciiTheme="minorHAnsi" w:eastAsia="Times New Roman" w:hAnsiTheme="minorHAnsi"/>
                <w:bCs/>
                <w:sz w:val="18"/>
                <w:szCs w:val="18"/>
              </w:rPr>
              <w:t>82.3</w:t>
            </w:r>
          </w:p>
        </w:tc>
      </w:tr>
    </w:tbl>
    <w:p w:rsidR="00E20F47" w:rsidRDefault="00E20F47" w:rsidP="00E20F47">
      <w:pPr>
        <w:spacing w:after="0" w:line="288" w:lineRule="auto"/>
        <w:rPr>
          <w:rFonts w:asciiTheme="minorHAnsi" w:hAnsiTheme="minorHAnsi"/>
          <w:sz w:val="24"/>
          <w:szCs w:val="24"/>
        </w:rPr>
      </w:pPr>
      <w:r w:rsidRPr="002A67CD">
        <w:rPr>
          <w:rFonts w:asciiTheme="minorHAnsi" w:hAnsiTheme="minorHAnsi"/>
          <w:i/>
          <w:sz w:val="16"/>
          <w:szCs w:val="16"/>
        </w:rPr>
        <w:t xml:space="preserve">SOURCE: CSIRO </w:t>
      </w:r>
    </w:p>
    <w:p w:rsidR="00E20F47" w:rsidRDefault="00E20F47" w:rsidP="00E20F47">
      <w:pPr>
        <w:spacing w:after="0" w:line="288" w:lineRule="auto"/>
        <w:rPr>
          <w:rFonts w:asciiTheme="minorHAnsi" w:hAnsiTheme="minorHAnsi"/>
          <w:szCs w:val="24"/>
        </w:rPr>
      </w:pPr>
    </w:p>
    <w:p w:rsidR="00E20F47" w:rsidRDefault="00E20F47" w:rsidP="00161341">
      <w:pPr>
        <w:spacing w:after="0" w:line="276" w:lineRule="auto"/>
        <w:rPr>
          <w:rFonts w:asciiTheme="minorHAnsi" w:hAnsiTheme="minorHAnsi"/>
          <w:sz w:val="24"/>
          <w:szCs w:val="24"/>
        </w:rPr>
      </w:pPr>
      <w:r w:rsidRPr="00161341">
        <w:rPr>
          <w:rFonts w:asciiTheme="minorHAnsi" w:hAnsiTheme="minorHAnsi"/>
          <w:sz w:val="24"/>
          <w:szCs w:val="24"/>
        </w:rPr>
        <w:t>Table 6.4 summarises the present value of the increased benefits resulting from reduced health system costs and improved CRC patient outcomes in terms of QALY. Benefits ranges from $1.</w:t>
      </w:r>
      <w:r w:rsidR="00970812" w:rsidRPr="00161341">
        <w:rPr>
          <w:rFonts w:asciiTheme="minorHAnsi" w:hAnsiTheme="minorHAnsi"/>
          <w:sz w:val="24"/>
          <w:szCs w:val="24"/>
        </w:rPr>
        <w:t>67</w:t>
      </w:r>
      <w:r w:rsidRPr="00161341">
        <w:rPr>
          <w:rFonts w:asciiTheme="minorHAnsi" w:hAnsiTheme="minorHAnsi"/>
          <w:sz w:val="24"/>
          <w:szCs w:val="24"/>
        </w:rPr>
        <w:t xml:space="preserve"> billion (‘Program in context’) to $166.</w:t>
      </w:r>
      <w:r w:rsidR="00970812" w:rsidRPr="00161341">
        <w:rPr>
          <w:rFonts w:asciiTheme="minorHAnsi" w:hAnsiTheme="minorHAnsi"/>
          <w:sz w:val="24"/>
          <w:szCs w:val="24"/>
        </w:rPr>
        <w:t>5</w:t>
      </w:r>
      <w:r w:rsidRPr="00161341">
        <w:rPr>
          <w:rFonts w:asciiTheme="minorHAnsi" w:hAnsiTheme="minorHAnsi"/>
          <w:sz w:val="24"/>
          <w:szCs w:val="24"/>
        </w:rPr>
        <w:t xml:space="preserve"> million (‘CSIRO in context’). Assuming total costs of $343.8 million and $12.6 million respectively, then BCRs from the research range from 4.8:1 (‘Program in context’) to 13.3:1 (‘CSIRO in context’). Despite the conservative estimates of the potential benefits that might be delivered by CSIRO’s research program, the total estimated benefits comfortably exceed the costs of research. Please note that these figures are for the Australian market only. The US and other markets will also provide economic benefit to CSIRO and Australian community at large through increased royalties.</w:t>
      </w:r>
    </w:p>
    <w:p w:rsidR="00161341" w:rsidRPr="00161341" w:rsidRDefault="00161341" w:rsidP="00161341">
      <w:pPr>
        <w:spacing w:after="0" w:line="360" w:lineRule="auto"/>
        <w:rPr>
          <w:rFonts w:asciiTheme="minorHAnsi" w:hAnsiTheme="minorHAnsi"/>
          <w:sz w:val="32"/>
          <w:szCs w:val="24"/>
        </w:rPr>
      </w:pPr>
    </w:p>
    <w:p w:rsidR="00E20F47" w:rsidRPr="00161341" w:rsidRDefault="00EE3050" w:rsidP="00161341">
      <w:pPr>
        <w:pStyle w:val="Heading5"/>
        <w:spacing w:before="0" w:after="0" w:line="360" w:lineRule="auto"/>
        <w:rPr>
          <w:rFonts w:asciiTheme="minorHAnsi" w:hAnsiTheme="minorHAnsi"/>
          <w:color w:val="007E9A" w:themeColor="accent1" w:themeShade="BF"/>
          <w:sz w:val="20"/>
          <w:szCs w:val="20"/>
        </w:rPr>
      </w:pPr>
      <w:r w:rsidRPr="00161341">
        <w:rPr>
          <w:rFonts w:asciiTheme="minorHAnsi" w:hAnsiTheme="minorHAnsi"/>
          <w:color w:val="007E9A" w:themeColor="accent1" w:themeShade="BF"/>
          <w:sz w:val="20"/>
          <w:szCs w:val="20"/>
        </w:rPr>
        <w:t>Table 6.</w:t>
      </w:r>
      <w:r w:rsidR="00E20F47" w:rsidRPr="00161341">
        <w:rPr>
          <w:rFonts w:asciiTheme="minorHAnsi" w:hAnsiTheme="minorHAnsi"/>
          <w:color w:val="007E9A" w:themeColor="accent1" w:themeShade="BF"/>
          <w:sz w:val="20"/>
          <w:szCs w:val="20"/>
        </w:rPr>
        <w:t>4</w:t>
      </w:r>
      <w:r w:rsidRPr="00161341">
        <w:rPr>
          <w:rFonts w:asciiTheme="minorHAnsi" w:hAnsiTheme="minorHAnsi"/>
          <w:color w:val="007E9A" w:themeColor="accent1" w:themeShade="BF"/>
          <w:sz w:val="20"/>
          <w:szCs w:val="20"/>
        </w:rPr>
        <w:t>: Results of Cost Benefit Analysis</w:t>
      </w:r>
    </w:p>
    <w:tbl>
      <w:tblPr>
        <w:tblStyle w:val="TableCSIRO"/>
        <w:tblW w:w="9292" w:type="dxa"/>
        <w:tblLook w:val="04A0" w:firstRow="1" w:lastRow="0" w:firstColumn="1" w:lastColumn="0" w:noHBand="0" w:noVBand="1"/>
      </w:tblPr>
      <w:tblGrid>
        <w:gridCol w:w="4956"/>
        <w:gridCol w:w="2113"/>
        <w:gridCol w:w="2223"/>
      </w:tblGrid>
      <w:tr w:rsidR="00FB61A7" w:rsidRPr="00161341" w:rsidTr="005D3596">
        <w:trPr>
          <w:cnfStyle w:val="100000000000" w:firstRow="1" w:lastRow="0" w:firstColumn="0" w:lastColumn="0" w:oddVBand="0" w:evenVBand="0" w:oddHBand="0" w:evenHBand="0" w:firstRowFirstColumn="0" w:firstRowLastColumn="0" w:lastRowFirstColumn="0" w:lastRowLastColumn="0"/>
          <w:trHeight w:hRule="exact" w:val="452"/>
        </w:trPr>
        <w:tc>
          <w:tcPr>
            <w:cnfStyle w:val="001000000000" w:firstRow="0" w:lastRow="0" w:firstColumn="1" w:lastColumn="0" w:oddVBand="0" w:evenVBand="0" w:oddHBand="0" w:evenHBand="0" w:firstRowFirstColumn="0" w:firstRowLastColumn="0" w:lastRowFirstColumn="0" w:lastRowLastColumn="0"/>
            <w:tcW w:w="4956" w:type="dxa"/>
            <w:hideMark/>
          </w:tcPr>
          <w:p w:rsidR="00E20F47" w:rsidRPr="00161341" w:rsidRDefault="00E20F47" w:rsidP="007861A7">
            <w:pPr>
              <w:rPr>
                <w:rFonts w:asciiTheme="minorHAnsi" w:eastAsia="Times New Roman" w:hAnsiTheme="minorHAnsi"/>
                <w:b w:val="0"/>
                <w:color w:val="auto"/>
                <w:sz w:val="18"/>
              </w:rPr>
            </w:pPr>
            <w:bookmarkStart w:id="37" w:name="OLE_LINK1"/>
            <w:r w:rsidRPr="00161341">
              <w:rPr>
                <w:rFonts w:asciiTheme="minorHAnsi" w:eastAsia="Times New Roman" w:hAnsiTheme="minorHAnsi"/>
                <w:b w:val="0"/>
                <w:color w:val="auto"/>
                <w:sz w:val="18"/>
              </w:rPr>
              <w:t xml:space="preserve">Criteria </w:t>
            </w:r>
          </w:p>
        </w:tc>
        <w:tc>
          <w:tcPr>
            <w:tcW w:w="2113" w:type="dxa"/>
            <w:hideMark/>
          </w:tcPr>
          <w:p w:rsidR="00E20F47" w:rsidRPr="00161341" w:rsidRDefault="00E20F47" w:rsidP="007861A7">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sz w:val="18"/>
              </w:rPr>
            </w:pPr>
            <w:r w:rsidRPr="00161341">
              <w:rPr>
                <w:rFonts w:asciiTheme="minorHAnsi" w:eastAsia="Times New Roman" w:hAnsiTheme="minorHAnsi"/>
                <w:b w:val="0"/>
                <w:color w:val="auto"/>
                <w:sz w:val="18"/>
              </w:rPr>
              <w:t>Program</w:t>
            </w:r>
          </w:p>
        </w:tc>
        <w:tc>
          <w:tcPr>
            <w:tcW w:w="2223" w:type="dxa"/>
            <w:noWrap/>
            <w:hideMark/>
          </w:tcPr>
          <w:p w:rsidR="00E20F47" w:rsidRPr="00161341" w:rsidRDefault="00E20F47" w:rsidP="007861A7">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sz w:val="18"/>
              </w:rPr>
            </w:pPr>
            <w:r w:rsidRPr="00161341">
              <w:rPr>
                <w:rFonts w:asciiTheme="minorHAnsi" w:eastAsia="Times New Roman" w:hAnsiTheme="minorHAnsi"/>
                <w:b w:val="0"/>
                <w:color w:val="auto"/>
                <w:sz w:val="18"/>
              </w:rPr>
              <w:t>CSIRO</w:t>
            </w:r>
          </w:p>
        </w:tc>
      </w:tr>
      <w:tr w:rsidR="00FB61A7" w:rsidRPr="00161341" w:rsidTr="005D3596">
        <w:trPr>
          <w:cnfStyle w:val="000000100000" w:firstRow="0" w:lastRow="0" w:firstColumn="0" w:lastColumn="0" w:oddVBand="0" w:evenVBand="0" w:oddHBand="1" w:evenHBand="0" w:firstRowFirstColumn="0" w:firstRowLastColumn="0" w:lastRowFirstColumn="0" w:lastRowLastColumn="0"/>
          <w:trHeight w:hRule="exact" w:val="452"/>
        </w:trPr>
        <w:tc>
          <w:tcPr>
            <w:cnfStyle w:val="001000000000" w:firstRow="0" w:lastRow="0" w:firstColumn="1" w:lastColumn="0" w:oddVBand="0" w:evenVBand="0" w:oddHBand="0" w:evenHBand="0" w:firstRowFirstColumn="0" w:firstRowLastColumn="0" w:lastRowFirstColumn="0" w:lastRowLastColumn="0"/>
            <w:tcW w:w="4956" w:type="dxa"/>
            <w:hideMark/>
          </w:tcPr>
          <w:p w:rsidR="00154ED8" w:rsidRPr="00161341" w:rsidRDefault="00154ED8" w:rsidP="00154ED8">
            <w:pPr>
              <w:rPr>
                <w:rFonts w:asciiTheme="minorHAnsi" w:eastAsia="Times New Roman" w:hAnsiTheme="minorHAnsi"/>
                <w:sz w:val="18"/>
              </w:rPr>
            </w:pPr>
            <w:r w:rsidRPr="00161341">
              <w:rPr>
                <w:rFonts w:asciiTheme="minorHAnsi" w:eastAsia="Times New Roman" w:hAnsiTheme="minorHAnsi"/>
                <w:sz w:val="18"/>
              </w:rPr>
              <w:t>Present value of costs ($ m)</w:t>
            </w:r>
          </w:p>
        </w:tc>
        <w:tc>
          <w:tcPr>
            <w:tcW w:w="2113" w:type="dxa"/>
          </w:tcPr>
          <w:p w:rsidR="00154ED8" w:rsidRPr="00161341" w:rsidRDefault="00154ED8" w:rsidP="00154ED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rPr>
            </w:pPr>
            <w:r w:rsidRPr="00161341">
              <w:rPr>
                <w:rFonts w:asciiTheme="minorHAnsi" w:eastAsia="Times New Roman" w:hAnsiTheme="minorHAnsi"/>
                <w:sz w:val="18"/>
              </w:rPr>
              <w:t>$343.8</w:t>
            </w:r>
          </w:p>
        </w:tc>
        <w:tc>
          <w:tcPr>
            <w:tcW w:w="2223" w:type="dxa"/>
          </w:tcPr>
          <w:p w:rsidR="00154ED8" w:rsidRPr="00161341" w:rsidRDefault="00154ED8" w:rsidP="00154ED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rPr>
            </w:pPr>
            <w:r w:rsidRPr="00161341">
              <w:rPr>
                <w:rFonts w:asciiTheme="minorHAnsi" w:eastAsia="Times New Roman" w:hAnsiTheme="minorHAnsi"/>
                <w:sz w:val="18"/>
              </w:rPr>
              <w:t>$12.6</w:t>
            </w:r>
          </w:p>
        </w:tc>
      </w:tr>
      <w:tr w:rsidR="00FB61A7" w:rsidRPr="00161341" w:rsidTr="005D3596">
        <w:trPr>
          <w:trHeight w:hRule="exact" w:val="452"/>
        </w:trPr>
        <w:tc>
          <w:tcPr>
            <w:cnfStyle w:val="001000000000" w:firstRow="0" w:lastRow="0" w:firstColumn="1" w:lastColumn="0" w:oddVBand="0" w:evenVBand="0" w:oddHBand="0" w:evenHBand="0" w:firstRowFirstColumn="0" w:firstRowLastColumn="0" w:lastRowFirstColumn="0" w:lastRowLastColumn="0"/>
            <w:tcW w:w="4956" w:type="dxa"/>
            <w:hideMark/>
          </w:tcPr>
          <w:p w:rsidR="00154ED8" w:rsidRPr="00161341" w:rsidRDefault="00154ED8" w:rsidP="00154ED8">
            <w:pPr>
              <w:rPr>
                <w:rFonts w:asciiTheme="minorHAnsi" w:eastAsia="Times New Roman" w:hAnsiTheme="minorHAnsi"/>
                <w:sz w:val="18"/>
              </w:rPr>
            </w:pPr>
            <w:r w:rsidRPr="00161341">
              <w:rPr>
                <w:rFonts w:asciiTheme="minorHAnsi" w:eastAsia="Times New Roman" w:hAnsiTheme="minorHAnsi"/>
                <w:sz w:val="18"/>
              </w:rPr>
              <w:t>Present value of benefits ($ m)</w:t>
            </w:r>
          </w:p>
        </w:tc>
        <w:tc>
          <w:tcPr>
            <w:tcW w:w="2113" w:type="dxa"/>
          </w:tcPr>
          <w:p w:rsidR="00154ED8" w:rsidRPr="00161341" w:rsidRDefault="00154ED8" w:rsidP="00154ED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18"/>
              </w:rPr>
            </w:pPr>
            <w:r w:rsidRPr="00161341">
              <w:rPr>
                <w:rFonts w:asciiTheme="minorHAnsi" w:eastAsia="Times New Roman" w:hAnsiTheme="minorHAnsi"/>
                <w:sz w:val="18"/>
              </w:rPr>
              <w:t>$1,665.3</w:t>
            </w:r>
          </w:p>
        </w:tc>
        <w:tc>
          <w:tcPr>
            <w:tcW w:w="2223" w:type="dxa"/>
            <w:noWrap/>
          </w:tcPr>
          <w:p w:rsidR="00154ED8" w:rsidRPr="00161341" w:rsidRDefault="00154ED8" w:rsidP="00154ED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18"/>
              </w:rPr>
            </w:pPr>
            <w:r w:rsidRPr="00161341">
              <w:rPr>
                <w:rFonts w:asciiTheme="minorHAnsi" w:eastAsia="Times New Roman" w:hAnsiTheme="minorHAnsi"/>
                <w:sz w:val="18"/>
              </w:rPr>
              <w:t>$166.5</w:t>
            </w:r>
          </w:p>
        </w:tc>
      </w:tr>
      <w:tr w:rsidR="00FB61A7" w:rsidRPr="00161341" w:rsidTr="005D3596">
        <w:trPr>
          <w:cnfStyle w:val="000000100000" w:firstRow="0" w:lastRow="0" w:firstColumn="0" w:lastColumn="0" w:oddVBand="0" w:evenVBand="0" w:oddHBand="1" w:evenHBand="0" w:firstRowFirstColumn="0" w:firstRowLastColumn="0" w:lastRowFirstColumn="0" w:lastRowLastColumn="0"/>
          <w:trHeight w:hRule="exact" w:val="452"/>
        </w:trPr>
        <w:tc>
          <w:tcPr>
            <w:cnfStyle w:val="001000000000" w:firstRow="0" w:lastRow="0" w:firstColumn="1" w:lastColumn="0" w:oddVBand="0" w:evenVBand="0" w:oddHBand="0" w:evenHBand="0" w:firstRowFirstColumn="0" w:firstRowLastColumn="0" w:lastRowFirstColumn="0" w:lastRowLastColumn="0"/>
            <w:tcW w:w="4956" w:type="dxa"/>
            <w:hideMark/>
          </w:tcPr>
          <w:p w:rsidR="00154ED8" w:rsidRPr="00161341" w:rsidRDefault="00154ED8" w:rsidP="00154ED8">
            <w:pPr>
              <w:rPr>
                <w:rFonts w:asciiTheme="minorHAnsi" w:eastAsia="Times New Roman" w:hAnsiTheme="minorHAnsi"/>
                <w:sz w:val="18"/>
              </w:rPr>
            </w:pPr>
            <w:r w:rsidRPr="00161341">
              <w:rPr>
                <w:rFonts w:asciiTheme="minorHAnsi" w:eastAsia="Times New Roman" w:hAnsiTheme="minorHAnsi"/>
                <w:sz w:val="18"/>
              </w:rPr>
              <w:t>Net Present Value (NPV)</w:t>
            </w:r>
          </w:p>
        </w:tc>
        <w:tc>
          <w:tcPr>
            <w:tcW w:w="2113" w:type="dxa"/>
          </w:tcPr>
          <w:p w:rsidR="00154ED8" w:rsidRPr="00161341" w:rsidRDefault="00154ED8" w:rsidP="00154ED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rPr>
            </w:pPr>
            <w:r w:rsidRPr="00161341">
              <w:rPr>
                <w:rFonts w:asciiTheme="minorHAnsi" w:eastAsia="Times New Roman" w:hAnsiTheme="minorHAnsi"/>
                <w:sz w:val="18"/>
              </w:rPr>
              <w:t>$1,321.5</w:t>
            </w:r>
          </w:p>
        </w:tc>
        <w:tc>
          <w:tcPr>
            <w:tcW w:w="2223" w:type="dxa"/>
            <w:noWrap/>
          </w:tcPr>
          <w:p w:rsidR="00154ED8" w:rsidRPr="00161341" w:rsidRDefault="00154ED8" w:rsidP="00154ED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rPr>
            </w:pPr>
            <w:r w:rsidRPr="00161341">
              <w:rPr>
                <w:rFonts w:asciiTheme="minorHAnsi" w:eastAsia="Times New Roman" w:hAnsiTheme="minorHAnsi"/>
                <w:sz w:val="18"/>
              </w:rPr>
              <w:t>$154.0</w:t>
            </w:r>
          </w:p>
        </w:tc>
      </w:tr>
      <w:tr w:rsidR="00FB61A7" w:rsidRPr="00161341" w:rsidTr="005D3596">
        <w:trPr>
          <w:trHeight w:hRule="exact" w:val="452"/>
        </w:trPr>
        <w:tc>
          <w:tcPr>
            <w:cnfStyle w:val="001000000000" w:firstRow="0" w:lastRow="0" w:firstColumn="1" w:lastColumn="0" w:oddVBand="0" w:evenVBand="0" w:oddHBand="0" w:evenHBand="0" w:firstRowFirstColumn="0" w:firstRowLastColumn="0" w:lastRowFirstColumn="0" w:lastRowLastColumn="0"/>
            <w:tcW w:w="4956" w:type="dxa"/>
            <w:hideMark/>
          </w:tcPr>
          <w:p w:rsidR="00154ED8" w:rsidRPr="00161341" w:rsidRDefault="00154ED8" w:rsidP="00154ED8">
            <w:pPr>
              <w:rPr>
                <w:rFonts w:asciiTheme="minorHAnsi" w:eastAsia="Times New Roman" w:hAnsiTheme="minorHAnsi"/>
                <w:sz w:val="18"/>
              </w:rPr>
            </w:pPr>
            <w:r w:rsidRPr="00161341">
              <w:rPr>
                <w:rFonts w:asciiTheme="minorHAnsi" w:eastAsia="Times New Roman" w:hAnsiTheme="minorHAnsi"/>
                <w:sz w:val="18"/>
              </w:rPr>
              <w:t>Benefit-cost Ratio (BCR)</w:t>
            </w:r>
          </w:p>
        </w:tc>
        <w:tc>
          <w:tcPr>
            <w:tcW w:w="2113" w:type="dxa"/>
          </w:tcPr>
          <w:p w:rsidR="00154ED8" w:rsidRPr="00161341" w:rsidRDefault="00154ED8" w:rsidP="00154ED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18"/>
              </w:rPr>
            </w:pPr>
            <w:r w:rsidRPr="00161341">
              <w:rPr>
                <w:rFonts w:asciiTheme="minorHAnsi" w:eastAsia="Times New Roman" w:hAnsiTheme="minorHAnsi"/>
                <w:sz w:val="18"/>
              </w:rPr>
              <w:t>4.8</w:t>
            </w:r>
          </w:p>
        </w:tc>
        <w:tc>
          <w:tcPr>
            <w:tcW w:w="2223" w:type="dxa"/>
            <w:noWrap/>
          </w:tcPr>
          <w:p w:rsidR="00154ED8" w:rsidRPr="00161341" w:rsidRDefault="00154ED8" w:rsidP="00154ED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18"/>
              </w:rPr>
            </w:pPr>
            <w:r w:rsidRPr="00161341">
              <w:rPr>
                <w:rFonts w:asciiTheme="minorHAnsi" w:eastAsia="Times New Roman" w:hAnsiTheme="minorHAnsi"/>
                <w:sz w:val="18"/>
              </w:rPr>
              <w:t>13.3</w:t>
            </w:r>
          </w:p>
        </w:tc>
      </w:tr>
    </w:tbl>
    <w:p w:rsidR="00D428C5" w:rsidRPr="004A6CF2" w:rsidRDefault="004F2E61" w:rsidP="00D572CD">
      <w:pPr>
        <w:pStyle w:val="Heading1"/>
      </w:pPr>
      <w:bookmarkStart w:id="38" w:name="_Toc443925613"/>
      <w:bookmarkStart w:id="39" w:name="_Toc444612871"/>
      <w:bookmarkStart w:id="40" w:name="_Toc494707096"/>
      <w:bookmarkEnd w:id="37"/>
      <w:r>
        <w:lastRenderedPageBreak/>
        <w:t>7</w:t>
      </w:r>
      <w:r>
        <w:tab/>
      </w:r>
      <w:r w:rsidR="00D428C5" w:rsidRPr="004A6CF2">
        <w:t>Sensitivity analysis</w:t>
      </w:r>
      <w:bookmarkEnd w:id="38"/>
      <w:bookmarkEnd w:id="39"/>
      <w:bookmarkEnd w:id="40"/>
      <w:r w:rsidR="00D428C5" w:rsidRPr="004A6CF2">
        <w:t xml:space="preserve"> </w:t>
      </w:r>
    </w:p>
    <w:p w:rsidR="007861A7" w:rsidRPr="00161341" w:rsidRDefault="007861A7" w:rsidP="00161341">
      <w:pPr>
        <w:spacing w:after="0" w:line="276" w:lineRule="auto"/>
        <w:rPr>
          <w:rFonts w:asciiTheme="minorHAnsi" w:hAnsiTheme="minorHAnsi"/>
          <w:sz w:val="24"/>
          <w:szCs w:val="24"/>
        </w:rPr>
      </w:pPr>
      <w:bookmarkStart w:id="41" w:name="_Toc447811840"/>
      <w:r w:rsidRPr="00161341">
        <w:rPr>
          <w:rFonts w:asciiTheme="minorHAnsi" w:hAnsiTheme="minorHAnsi"/>
          <w:sz w:val="24"/>
          <w:szCs w:val="24"/>
        </w:rPr>
        <w:t>While Colvera™ demonstrates successful attributes, the effectiveness of new testing for monitoring CRC recurrence is not certain. The overall benefits of this project depend on adoption profile and actual social and economic benefits. This adoption related to outcomes and impacts resulting from integration into surveillance monitoring for recurring CRC will take place in the future. There is, therefore, considerable uncertainty in respect of the results of the analysis due to the assumptions employed in the model, as well as the lack of generalisable data for use in the Australian region. As such, impact analysis outcomes are associated with some uncertainty. Where this data becomes available, a revision of the analysis is highly recommended, as more data is needed to substantiate this outcome. As this was not available at the time of preparing this report, consideration of this issue is based on data published in 2017</w:t>
      </w:r>
      <w:r w:rsidR="00B60A01" w:rsidRPr="00161341">
        <w:rPr>
          <w:rFonts w:asciiTheme="minorHAnsi" w:hAnsiTheme="minorHAnsi"/>
          <w:sz w:val="24"/>
          <w:szCs w:val="24"/>
        </w:rPr>
        <w:t>²</w:t>
      </w:r>
      <w:r w:rsidR="006D6D43" w:rsidRPr="00161341">
        <w:rPr>
          <w:rFonts w:asciiTheme="minorHAnsi" w:hAnsiTheme="minorHAnsi"/>
          <w:sz w:val="24"/>
          <w:szCs w:val="24"/>
        </w:rPr>
        <w:t>.</w:t>
      </w:r>
    </w:p>
    <w:p w:rsidR="006D6D43" w:rsidRPr="00161341" w:rsidRDefault="006D6D43" w:rsidP="00161341">
      <w:pPr>
        <w:spacing w:after="0" w:line="276" w:lineRule="auto"/>
        <w:rPr>
          <w:rFonts w:asciiTheme="minorHAnsi" w:hAnsiTheme="minorHAnsi"/>
          <w:sz w:val="24"/>
          <w:szCs w:val="24"/>
        </w:rPr>
      </w:pPr>
    </w:p>
    <w:p w:rsidR="005D4F50" w:rsidRPr="00161341" w:rsidRDefault="007861A7" w:rsidP="00161341">
      <w:pPr>
        <w:spacing w:after="0" w:line="276" w:lineRule="auto"/>
        <w:rPr>
          <w:rFonts w:asciiTheme="minorHAnsi" w:hAnsiTheme="minorHAnsi"/>
          <w:sz w:val="24"/>
          <w:szCs w:val="24"/>
        </w:rPr>
      </w:pPr>
      <w:r w:rsidRPr="00161341">
        <w:rPr>
          <w:rFonts w:asciiTheme="minorHAnsi" w:hAnsiTheme="minorHAnsi"/>
          <w:sz w:val="24"/>
          <w:szCs w:val="24"/>
        </w:rPr>
        <w:t>Given these uncertainties, it would be useful to look at results under different discount, adoption, and attribution rates.  Table 7.1 presents the sensitivity analyses results for selected key variables on Present Value (PV) of benefits and BCR at 7% discount rate. Overall, all scenario analysis proved that this project is generating more benefit than the cost despi</w:t>
      </w:r>
      <w:r w:rsidR="00267E5C" w:rsidRPr="00161341">
        <w:rPr>
          <w:rFonts w:asciiTheme="minorHAnsi" w:hAnsiTheme="minorHAnsi"/>
          <w:sz w:val="24"/>
          <w:szCs w:val="24"/>
        </w:rPr>
        <w:t>te assumptions and uncertainty.</w:t>
      </w:r>
    </w:p>
    <w:p w:rsidR="00267E5C" w:rsidRPr="00161341" w:rsidRDefault="00267E5C" w:rsidP="00161341">
      <w:pPr>
        <w:spacing w:after="0" w:line="360" w:lineRule="auto"/>
        <w:rPr>
          <w:rFonts w:asciiTheme="minorHAnsi" w:hAnsiTheme="minorHAnsi"/>
          <w:sz w:val="28"/>
          <w:szCs w:val="24"/>
        </w:rPr>
      </w:pPr>
    </w:p>
    <w:p w:rsidR="007861A7" w:rsidRPr="00161341" w:rsidRDefault="00EE3050" w:rsidP="00161341">
      <w:pPr>
        <w:pStyle w:val="Heading5"/>
        <w:spacing w:before="0" w:after="0" w:line="360" w:lineRule="auto"/>
        <w:rPr>
          <w:rFonts w:asciiTheme="minorHAnsi" w:hAnsiTheme="minorHAnsi"/>
          <w:color w:val="007E9A" w:themeColor="accent1" w:themeShade="BF"/>
          <w:sz w:val="20"/>
          <w:szCs w:val="20"/>
        </w:rPr>
      </w:pPr>
      <w:r w:rsidRPr="00161341">
        <w:rPr>
          <w:rFonts w:asciiTheme="minorHAnsi" w:hAnsiTheme="minorHAnsi"/>
          <w:color w:val="007E9A" w:themeColor="accent1" w:themeShade="BF"/>
          <w:sz w:val="20"/>
          <w:szCs w:val="20"/>
        </w:rPr>
        <w:t>Table 7.1: Sensitivity analysis results</w:t>
      </w:r>
    </w:p>
    <w:tbl>
      <w:tblPr>
        <w:tblStyle w:val="TableGrid11"/>
        <w:tblW w:w="9534" w:type="dxa"/>
        <w:tblLook w:val="04A0" w:firstRow="1" w:lastRow="0" w:firstColumn="1" w:lastColumn="0" w:noHBand="0" w:noVBand="1"/>
      </w:tblPr>
      <w:tblGrid>
        <w:gridCol w:w="1557"/>
        <w:gridCol w:w="3270"/>
        <w:gridCol w:w="1903"/>
        <w:gridCol w:w="1499"/>
        <w:gridCol w:w="1305"/>
      </w:tblGrid>
      <w:tr w:rsidR="00FB61A7" w:rsidRPr="00161341" w:rsidTr="00161341">
        <w:trPr>
          <w:trHeight w:hRule="exact" w:val="278"/>
        </w:trPr>
        <w:tc>
          <w:tcPr>
            <w:tcW w:w="1557" w:type="dxa"/>
            <w:noWrap/>
          </w:tcPr>
          <w:p w:rsidR="007861A7" w:rsidRPr="00161341" w:rsidRDefault="007861A7" w:rsidP="007861A7">
            <w:pPr>
              <w:spacing w:after="0"/>
              <w:jc w:val="center"/>
              <w:rPr>
                <w:rFonts w:asciiTheme="minorHAnsi" w:eastAsia="Times New Roman" w:hAnsiTheme="minorHAnsi"/>
                <w:b/>
                <w:bCs/>
                <w:sz w:val="18"/>
                <w:szCs w:val="16"/>
              </w:rPr>
            </w:pPr>
            <w:r w:rsidRPr="00161341">
              <w:rPr>
                <w:rFonts w:asciiTheme="minorHAnsi" w:eastAsia="Times New Roman" w:hAnsiTheme="minorHAnsi"/>
                <w:b/>
                <w:bCs/>
                <w:sz w:val="18"/>
                <w:szCs w:val="16"/>
              </w:rPr>
              <w:t>Scenario</w:t>
            </w:r>
          </w:p>
        </w:tc>
        <w:tc>
          <w:tcPr>
            <w:tcW w:w="3270" w:type="dxa"/>
          </w:tcPr>
          <w:p w:rsidR="007861A7" w:rsidRPr="00161341" w:rsidRDefault="007861A7" w:rsidP="007861A7">
            <w:pPr>
              <w:spacing w:after="0"/>
              <w:jc w:val="center"/>
              <w:rPr>
                <w:rFonts w:asciiTheme="minorHAnsi" w:eastAsia="Times New Roman" w:hAnsiTheme="minorHAnsi"/>
                <w:b/>
                <w:sz w:val="18"/>
                <w:szCs w:val="16"/>
              </w:rPr>
            </w:pPr>
            <w:r w:rsidRPr="00161341">
              <w:rPr>
                <w:rFonts w:asciiTheme="minorHAnsi" w:eastAsia="Times New Roman" w:hAnsiTheme="minorHAnsi"/>
                <w:b/>
                <w:sz w:val="18"/>
                <w:szCs w:val="16"/>
              </w:rPr>
              <w:t>Assumption</w:t>
            </w:r>
          </w:p>
        </w:tc>
        <w:tc>
          <w:tcPr>
            <w:tcW w:w="1903" w:type="dxa"/>
            <w:noWrap/>
          </w:tcPr>
          <w:p w:rsidR="007861A7" w:rsidRPr="00161341" w:rsidRDefault="007861A7" w:rsidP="007861A7">
            <w:pPr>
              <w:spacing w:after="0"/>
              <w:jc w:val="center"/>
              <w:rPr>
                <w:rFonts w:asciiTheme="minorHAnsi" w:eastAsia="Times New Roman" w:hAnsiTheme="minorHAnsi"/>
                <w:b/>
                <w:sz w:val="18"/>
                <w:szCs w:val="16"/>
              </w:rPr>
            </w:pPr>
            <w:r w:rsidRPr="00161341">
              <w:rPr>
                <w:rFonts w:asciiTheme="minorHAnsi" w:eastAsia="Times New Roman" w:hAnsiTheme="minorHAnsi"/>
                <w:b/>
                <w:sz w:val="18"/>
                <w:szCs w:val="16"/>
              </w:rPr>
              <w:t>Description</w:t>
            </w:r>
          </w:p>
        </w:tc>
        <w:tc>
          <w:tcPr>
            <w:tcW w:w="1499" w:type="dxa"/>
            <w:noWrap/>
          </w:tcPr>
          <w:p w:rsidR="007861A7" w:rsidRPr="00161341" w:rsidRDefault="007861A7" w:rsidP="007861A7">
            <w:pPr>
              <w:spacing w:after="0"/>
              <w:jc w:val="center"/>
              <w:rPr>
                <w:rFonts w:asciiTheme="minorHAnsi" w:hAnsiTheme="minorHAnsi"/>
                <w:b/>
                <w:sz w:val="18"/>
                <w:szCs w:val="16"/>
              </w:rPr>
            </w:pPr>
            <w:r w:rsidRPr="00161341">
              <w:rPr>
                <w:rFonts w:asciiTheme="minorHAnsi" w:hAnsiTheme="minorHAnsi"/>
                <w:b/>
                <w:sz w:val="18"/>
                <w:szCs w:val="16"/>
              </w:rPr>
              <w:t>NPV</w:t>
            </w:r>
            <w:r w:rsidR="00A7631C" w:rsidRPr="00161341">
              <w:rPr>
                <w:rFonts w:asciiTheme="minorHAnsi" w:hAnsiTheme="minorHAnsi"/>
                <w:b/>
                <w:sz w:val="18"/>
                <w:szCs w:val="16"/>
              </w:rPr>
              <w:t xml:space="preserve"> </w:t>
            </w:r>
            <w:r w:rsidR="003F531E" w:rsidRPr="00161341">
              <w:rPr>
                <w:rFonts w:asciiTheme="minorHAnsi" w:hAnsiTheme="minorHAnsi"/>
                <w:b/>
                <w:sz w:val="18"/>
                <w:szCs w:val="16"/>
              </w:rPr>
              <w:t xml:space="preserve">@7% </w:t>
            </w:r>
            <w:r w:rsidR="00A7631C" w:rsidRPr="00161341">
              <w:rPr>
                <w:rFonts w:asciiTheme="minorHAnsi" w:hAnsiTheme="minorHAnsi"/>
                <w:b/>
                <w:sz w:val="18"/>
                <w:szCs w:val="16"/>
              </w:rPr>
              <w:t>($m)</w:t>
            </w:r>
          </w:p>
        </w:tc>
        <w:tc>
          <w:tcPr>
            <w:tcW w:w="1305" w:type="dxa"/>
            <w:noWrap/>
          </w:tcPr>
          <w:p w:rsidR="007861A7" w:rsidRPr="00161341" w:rsidRDefault="007861A7" w:rsidP="007861A7">
            <w:pPr>
              <w:spacing w:after="0"/>
              <w:jc w:val="center"/>
              <w:rPr>
                <w:rFonts w:asciiTheme="minorHAnsi" w:hAnsiTheme="minorHAnsi"/>
                <w:b/>
                <w:sz w:val="18"/>
                <w:szCs w:val="16"/>
              </w:rPr>
            </w:pPr>
            <w:r w:rsidRPr="00161341">
              <w:rPr>
                <w:rFonts w:asciiTheme="minorHAnsi" w:hAnsiTheme="minorHAnsi"/>
                <w:b/>
                <w:sz w:val="18"/>
                <w:szCs w:val="16"/>
              </w:rPr>
              <w:t>BCR</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Scenario 1</w:t>
            </w:r>
          </w:p>
        </w:tc>
        <w:tc>
          <w:tcPr>
            <w:tcW w:w="3270" w:type="dxa"/>
            <w:vMerge w:val="restart"/>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Uptake rate change to 5%, 20%, 40%, 60% and 90% respectively</w:t>
            </w: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Project</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$1,007.5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3.9</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 </w:t>
            </w:r>
          </w:p>
        </w:tc>
        <w:tc>
          <w:tcPr>
            <w:tcW w:w="3270" w:type="dxa"/>
            <w:vMerge/>
            <w:hideMark/>
          </w:tcPr>
          <w:p w:rsidR="00A7631C" w:rsidRPr="00161341" w:rsidRDefault="00A7631C" w:rsidP="00A7631C">
            <w:pPr>
              <w:spacing w:after="0"/>
              <w:rPr>
                <w:rFonts w:asciiTheme="minorHAnsi" w:eastAsia="Times New Roman" w:hAnsiTheme="minorHAnsi"/>
                <w:sz w:val="18"/>
                <w:szCs w:val="16"/>
              </w:rPr>
            </w:pP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CSIRO</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$122.6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10.8</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Scenario 2</w:t>
            </w:r>
          </w:p>
        </w:tc>
        <w:tc>
          <w:tcPr>
            <w:tcW w:w="3270" w:type="dxa"/>
            <w:vMerge w:val="restart"/>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LE becomes 1.4%</w:t>
            </w: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Project</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$1,347.3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4.9</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 </w:t>
            </w:r>
          </w:p>
        </w:tc>
        <w:tc>
          <w:tcPr>
            <w:tcW w:w="3270" w:type="dxa"/>
            <w:vMerge/>
            <w:hideMark/>
          </w:tcPr>
          <w:p w:rsidR="00A7631C" w:rsidRPr="00161341" w:rsidRDefault="00A7631C" w:rsidP="00A7631C">
            <w:pPr>
              <w:spacing w:after="0"/>
              <w:rPr>
                <w:rFonts w:asciiTheme="minorHAnsi" w:eastAsia="Times New Roman" w:hAnsiTheme="minorHAnsi"/>
                <w:sz w:val="18"/>
                <w:szCs w:val="16"/>
              </w:rPr>
            </w:pP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CSIRO</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$156.6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13.5</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Scenario 3</w:t>
            </w:r>
          </w:p>
        </w:tc>
        <w:tc>
          <w:tcPr>
            <w:tcW w:w="3270" w:type="dxa"/>
            <w:vMerge w:val="restart"/>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LE becomes -0.2%</w:t>
            </w: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Project</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$1,309.8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4.8</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 </w:t>
            </w:r>
          </w:p>
        </w:tc>
        <w:tc>
          <w:tcPr>
            <w:tcW w:w="3270" w:type="dxa"/>
            <w:vMerge/>
            <w:hideMark/>
          </w:tcPr>
          <w:p w:rsidR="00A7631C" w:rsidRPr="00161341" w:rsidRDefault="00A7631C" w:rsidP="00A7631C">
            <w:pPr>
              <w:spacing w:after="0"/>
              <w:rPr>
                <w:rFonts w:asciiTheme="minorHAnsi" w:eastAsia="Times New Roman" w:hAnsiTheme="minorHAnsi"/>
                <w:sz w:val="18"/>
                <w:szCs w:val="16"/>
              </w:rPr>
            </w:pP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CSIRO</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$152.8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13.2</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Scenario 4</w:t>
            </w:r>
          </w:p>
        </w:tc>
        <w:tc>
          <w:tcPr>
            <w:tcW w:w="3270" w:type="dxa"/>
            <w:vMerge w:val="restart"/>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VLY = $108,000</w:t>
            </w: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Project</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$1,318.5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4.8</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 </w:t>
            </w:r>
          </w:p>
        </w:tc>
        <w:tc>
          <w:tcPr>
            <w:tcW w:w="3270" w:type="dxa"/>
            <w:vMerge/>
            <w:hideMark/>
          </w:tcPr>
          <w:p w:rsidR="00A7631C" w:rsidRPr="00161341" w:rsidRDefault="00A7631C" w:rsidP="00A7631C">
            <w:pPr>
              <w:spacing w:after="0"/>
              <w:rPr>
                <w:rFonts w:asciiTheme="minorHAnsi" w:eastAsia="Times New Roman" w:hAnsiTheme="minorHAnsi"/>
                <w:sz w:val="18"/>
                <w:szCs w:val="16"/>
              </w:rPr>
            </w:pP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CSIRO</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$153.7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13.2</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Scenario 5</w:t>
            </w:r>
          </w:p>
        </w:tc>
        <w:tc>
          <w:tcPr>
            <w:tcW w:w="3270" w:type="dxa"/>
            <w:vMerge w:val="restart"/>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CRC recurrence rate: stage 2=10% and stage 3=25%</w:t>
            </w: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Project</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$951.4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3.8</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 </w:t>
            </w:r>
          </w:p>
        </w:tc>
        <w:tc>
          <w:tcPr>
            <w:tcW w:w="3270" w:type="dxa"/>
            <w:vMerge/>
            <w:hideMark/>
          </w:tcPr>
          <w:p w:rsidR="00A7631C" w:rsidRPr="00161341" w:rsidRDefault="00A7631C" w:rsidP="00A7631C">
            <w:pPr>
              <w:spacing w:after="0"/>
              <w:rPr>
                <w:rFonts w:asciiTheme="minorHAnsi" w:eastAsia="Times New Roman" w:hAnsiTheme="minorHAnsi"/>
                <w:sz w:val="18"/>
                <w:szCs w:val="16"/>
              </w:rPr>
            </w:pP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CSIRO</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$117.0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10.3</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Scenario 6</w:t>
            </w:r>
          </w:p>
        </w:tc>
        <w:tc>
          <w:tcPr>
            <w:tcW w:w="3270" w:type="dxa"/>
            <w:vMerge w:val="restart"/>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CRC recurrence rate: stage 2=20% and stage 3=40%</w:t>
            </w: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Project</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$1,876.6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6.5</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 </w:t>
            </w:r>
          </w:p>
        </w:tc>
        <w:tc>
          <w:tcPr>
            <w:tcW w:w="3270" w:type="dxa"/>
            <w:vMerge/>
            <w:hideMark/>
          </w:tcPr>
          <w:p w:rsidR="00A7631C" w:rsidRPr="00161341" w:rsidRDefault="00A7631C" w:rsidP="00A7631C">
            <w:pPr>
              <w:spacing w:after="0"/>
              <w:rPr>
                <w:rFonts w:asciiTheme="minorHAnsi" w:eastAsia="Times New Roman" w:hAnsiTheme="minorHAnsi"/>
                <w:sz w:val="18"/>
                <w:szCs w:val="16"/>
              </w:rPr>
            </w:pP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CSIRO</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$209.5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17.7</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b/>
                <w:bCs/>
                <w:sz w:val="18"/>
                <w:szCs w:val="16"/>
              </w:rPr>
            </w:pPr>
            <w:r w:rsidRPr="00161341">
              <w:rPr>
                <w:rFonts w:asciiTheme="minorHAnsi" w:eastAsia="Times New Roman" w:hAnsiTheme="minorHAnsi"/>
                <w:b/>
                <w:bCs/>
                <w:sz w:val="18"/>
                <w:szCs w:val="16"/>
              </w:rPr>
              <w:t>Scenario 7</w:t>
            </w:r>
          </w:p>
        </w:tc>
        <w:tc>
          <w:tcPr>
            <w:tcW w:w="3270" w:type="dxa"/>
            <w:vMerge w:val="restart"/>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detection rate under modern surveillance protocols = 40%</w:t>
            </w: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Project</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$1,876.6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6.5</w:t>
            </w:r>
          </w:p>
        </w:tc>
      </w:tr>
      <w:tr w:rsidR="00FB61A7" w:rsidRPr="00161341" w:rsidTr="00161341">
        <w:trPr>
          <w:trHeight w:hRule="exact" w:val="278"/>
        </w:trPr>
        <w:tc>
          <w:tcPr>
            <w:tcW w:w="1557"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 </w:t>
            </w:r>
          </w:p>
        </w:tc>
        <w:tc>
          <w:tcPr>
            <w:tcW w:w="3270" w:type="dxa"/>
            <w:vMerge/>
            <w:hideMark/>
          </w:tcPr>
          <w:p w:rsidR="00A7631C" w:rsidRPr="00161341" w:rsidRDefault="00A7631C" w:rsidP="00A7631C">
            <w:pPr>
              <w:spacing w:after="0"/>
              <w:rPr>
                <w:rFonts w:asciiTheme="minorHAnsi" w:eastAsia="Times New Roman" w:hAnsiTheme="minorHAnsi"/>
                <w:sz w:val="18"/>
                <w:szCs w:val="16"/>
              </w:rPr>
            </w:pPr>
          </w:p>
        </w:tc>
        <w:tc>
          <w:tcPr>
            <w:tcW w:w="1903" w:type="dxa"/>
            <w:noWrap/>
            <w:hideMark/>
          </w:tcPr>
          <w:p w:rsidR="00A7631C" w:rsidRPr="00161341" w:rsidRDefault="00A7631C" w:rsidP="00A7631C">
            <w:pPr>
              <w:spacing w:after="0"/>
              <w:rPr>
                <w:rFonts w:asciiTheme="minorHAnsi" w:eastAsia="Times New Roman" w:hAnsiTheme="minorHAnsi"/>
                <w:sz w:val="18"/>
                <w:szCs w:val="16"/>
              </w:rPr>
            </w:pPr>
            <w:r w:rsidRPr="00161341">
              <w:rPr>
                <w:rFonts w:asciiTheme="minorHAnsi" w:eastAsia="Times New Roman" w:hAnsiTheme="minorHAnsi"/>
                <w:sz w:val="18"/>
                <w:szCs w:val="16"/>
              </w:rPr>
              <w:t>CSIRO</w:t>
            </w:r>
          </w:p>
        </w:tc>
        <w:tc>
          <w:tcPr>
            <w:tcW w:w="1499"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 xml:space="preserve">$209.5 </w:t>
            </w:r>
          </w:p>
        </w:tc>
        <w:tc>
          <w:tcPr>
            <w:tcW w:w="1305" w:type="dxa"/>
            <w:noWrap/>
            <w:hideMark/>
          </w:tcPr>
          <w:p w:rsidR="00A7631C" w:rsidRPr="00161341" w:rsidRDefault="00A7631C">
            <w:pPr>
              <w:spacing w:after="0"/>
              <w:jc w:val="right"/>
              <w:rPr>
                <w:rFonts w:asciiTheme="minorHAnsi" w:eastAsia="Times New Roman" w:hAnsiTheme="minorHAnsi"/>
                <w:sz w:val="18"/>
                <w:szCs w:val="16"/>
              </w:rPr>
            </w:pPr>
            <w:r w:rsidRPr="00161341">
              <w:rPr>
                <w:rFonts w:asciiTheme="minorHAnsi" w:eastAsia="Times New Roman" w:hAnsiTheme="minorHAnsi"/>
                <w:sz w:val="18"/>
                <w:szCs w:val="16"/>
              </w:rPr>
              <w:t>17.7</w:t>
            </w:r>
          </w:p>
        </w:tc>
      </w:tr>
    </w:tbl>
    <w:p w:rsidR="007861A7" w:rsidRDefault="007861A7" w:rsidP="007861A7">
      <w:pPr>
        <w:rPr>
          <w:rFonts w:asciiTheme="minorHAnsi" w:hAnsiTheme="minorHAnsi"/>
          <w:szCs w:val="24"/>
        </w:rPr>
      </w:pPr>
      <w:r w:rsidRPr="00F60E17">
        <w:rPr>
          <w:rFonts w:asciiTheme="minorHAnsi" w:hAnsiTheme="minorHAnsi"/>
          <w:i/>
          <w:sz w:val="16"/>
          <w:szCs w:val="20"/>
        </w:rPr>
        <w:t>Note: LE is life expectancy</w:t>
      </w:r>
      <w:r w:rsidR="006D6D43">
        <w:rPr>
          <w:rFonts w:asciiTheme="minorHAnsi" w:hAnsiTheme="minorHAnsi"/>
          <w:i/>
          <w:sz w:val="16"/>
          <w:szCs w:val="20"/>
        </w:rPr>
        <w:t>;</w:t>
      </w:r>
      <w:r w:rsidRPr="00F60E17">
        <w:rPr>
          <w:rFonts w:asciiTheme="minorHAnsi" w:hAnsiTheme="minorHAnsi"/>
          <w:i/>
          <w:sz w:val="16"/>
          <w:szCs w:val="20"/>
        </w:rPr>
        <w:t xml:space="preserve"> VLY is value of a life year </w:t>
      </w:r>
    </w:p>
    <w:p w:rsidR="007861A7" w:rsidRPr="00161341" w:rsidRDefault="007861A7" w:rsidP="00161341">
      <w:pPr>
        <w:spacing w:after="0" w:line="276" w:lineRule="auto"/>
        <w:rPr>
          <w:rFonts w:asciiTheme="minorHAnsi" w:hAnsiTheme="minorHAnsi"/>
          <w:sz w:val="24"/>
          <w:szCs w:val="24"/>
        </w:rPr>
      </w:pPr>
    </w:p>
    <w:p w:rsidR="007861A7" w:rsidRPr="00161341" w:rsidRDefault="007861A7" w:rsidP="00161341">
      <w:pPr>
        <w:spacing w:after="0" w:line="276" w:lineRule="auto"/>
        <w:rPr>
          <w:rFonts w:asciiTheme="minorHAnsi" w:hAnsiTheme="minorHAnsi"/>
          <w:sz w:val="24"/>
          <w:szCs w:val="24"/>
        </w:rPr>
      </w:pPr>
      <w:r w:rsidRPr="00161341">
        <w:rPr>
          <w:rFonts w:asciiTheme="minorHAnsi" w:hAnsiTheme="minorHAnsi"/>
          <w:sz w:val="24"/>
          <w:szCs w:val="24"/>
        </w:rPr>
        <w:t xml:space="preserve">While the parameters used in the base-case scenario seemed reasonable in light of the current situation, it is important to test the robustness of our conclusions with variations in these assumptions. The low and high alternative assumptions used in the above sensitivity analysis were brought together to estimate the benefit and cost streams under pessimistic and optimistic scenarios by combining changes across all variables jointly. The results under these different assumptions are summarised in Table 7.2. Based on this analysis, we estimate that the BCR </w:t>
      </w:r>
      <w:r w:rsidR="00CF3A6C" w:rsidRPr="00161341">
        <w:rPr>
          <w:rFonts w:asciiTheme="minorHAnsi" w:hAnsiTheme="minorHAnsi"/>
          <w:sz w:val="24"/>
          <w:szCs w:val="24"/>
        </w:rPr>
        <w:t xml:space="preserve">for CSIRO </w:t>
      </w:r>
      <w:r w:rsidRPr="00161341">
        <w:rPr>
          <w:rFonts w:asciiTheme="minorHAnsi" w:hAnsiTheme="minorHAnsi"/>
          <w:sz w:val="24"/>
          <w:szCs w:val="24"/>
        </w:rPr>
        <w:t xml:space="preserve">is between </w:t>
      </w:r>
      <w:r w:rsidR="00CF3A6C" w:rsidRPr="00161341">
        <w:rPr>
          <w:rFonts w:asciiTheme="minorHAnsi" w:hAnsiTheme="minorHAnsi"/>
          <w:sz w:val="24"/>
          <w:szCs w:val="24"/>
        </w:rPr>
        <w:t>7.2</w:t>
      </w:r>
      <w:r w:rsidRPr="00161341">
        <w:rPr>
          <w:rFonts w:asciiTheme="minorHAnsi" w:hAnsiTheme="minorHAnsi"/>
          <w:sz w:val="24"/>
          <w:szCs w:val="24"/>
        </w:rPr>
        <w:t xml:space="preserve"> and </w:t>
      </w:r>
      <w:r w:rsidR="00CF3A6C" w:rsidRPr="00161341">
        <w:rPr>
          <w:rFonts w:asciiTheme="minorHAnsi" w:hAnsiTheme="minorHAnsi"/>
          <w:sz w:val="24"/>
          <w:szCs w:val="24"/>
        </w:rPr>
        <w:t>30.5</w:t>
      </w:r>
      <w:r w:rsidRPr="00161341">
        <w:rPr>
          <w:rFonts w:asciiTheme="minorHAnsi" w:hAnsiTheme="minorHAnsi"/>
          <w:sz w:val="24"/>
          <w:szCs w:val="24"/>
        </w:rPr>
        <w:t>.</w:t>
      </w:r>
    </w:p>
    <w:p w:rsidR="00735BEC" w:rsidRPr="00161341" w:rsidRDefault="00735BEC" w:rsidP="00161341">
      <w:pPr>
        <w:spacing w:after="0" w:line="276" w:lineRule="auto"/>
        <w:rPr>
          <w:rFonts w:asciiTheme="minorHAnsi" w:hAnsiTheme="minorHAnsi"/>
          <w:sz w:val="24"/>
          <w:szCs w:val="24"/>
        </w:rPr>
      </w:pPr>
    </w:p>
    <w:p w:rsidR="007861A7" w:rsidRPr="00161341" w:rsidRDefault="00EE3050" w:rsidP="00161341">
      <w:pPr>
        <w:pStyle w:val="Heading5"/>
        <w:spacing w:before="0" w:after="0" w:line="360" w:lineRule="auto"/>
        <w:rPr>
          <w:rFonts w:asciiTheme="minorHAnsi" w:hAnsiTheme="minorHAnsi"/>
          <w:color w:val="007E9A" w:themeColor="accent1" w:themeShade="BF"/>
          <w:sz w:val="20"/>
          <w:szCs w:val="20"/>
        </w:rPr>
      </w:pPr>
      <w:r w:rsidRPr="00161341">
        <w:rPr>
          <w:rFonts w:asciiTheme="minorHAnsi" w:hAnsiTheme="minorHAnsi"/>
          <w:color w:val="007E9A" w:themeColor="accent1" w:themeShade="BF"/>
          <w:sz w:val="20"/>
          <w:szCs w:val="20"/>
        </w:rPr>
        <w:lastRenderedPageBreak/>
        <w:t xml:space="preserve">Table 7.2: Optimistic and pessimistic scenarios results </w:t>
      </w:r>
    </w:p>
    <w:tbl>
      <w:tblPr>
        <w:tblStyle w:val="TableGrid20"/>
        <w:tblW w:w="9607" w:type="dxa"/>
        <w:jc w:val="center"/>
        <w:tblLook w:val="04A0" w:firstRow="1" w:lastRow="0" w:firstColumn="1" w:lastColumn="0" w:noHBand="0" w:noVBand="1"/>
      </w:tblPr>
      <w:tblGrid>
        <w:gridCol w:w="1865"/>
        <w:gridCol w:w="3582"/>
        <w:gridCol w:w="1291"/>
        <w:gridCol w:w="1864"/>
        <w:gridCol w:w="1005"/>
      </w:tblGrid>
      <w:tr w:rsidR="00FB61A7" w:rsidRPr="00161341" w:rsidTr="00161341">
        <w:trPr>
          <w:trHeight w:hRule="exact" w:val="548"/>
          <w:jc w:val="center"/>
        </w:trPr>
        <w:tc>
          <w:tcPr>
            <w:tcW w:w="1865" w:type="dxa"/>
            <w:noWrap/>
            <w:hideMark/>
          </w:tcPr>
          <w:p w:rsidR="007861A7" w:rsidRPr="00161341" w:rsidRDefault="007861A7" w:rsidP="007861A7">
            <w:pPr>
              <w:rPr>
                <w:rFonts w:eastAsia="Times New Roman"/>
                <w:b/>
                <w:sz w:val="18"/>
                <w:szCs w:val="16"/>
              </w:rPr>
            </w:pPr>
            <w:r w:rsidRPr="00161341">
              <w:rPr>
                <w:rFonts w:eastAsia="Times New Roman"/>
                <w:b/>
                <w:sz w:val="18"/>
                <w:szCs w:val="16"/>
              </w:rPr>
              <w:t> Scenario</w:t>
            </w:r>
          </w:p>
        </w:tc>
        <w:tc>
          <w:tcPr>
            <w:tcW w:w="3582" w:type="dxa"/>
            <w:noWrap/>
            <w:hideMark/>
          </w:tcPr>
          <w:p w:rsidR="007861A7" w:rsidRPr="00161341" w:rsidRDefault="007861A7" w:rsidP="007861A7">
            <w:pPr>
              <w:jc w:val="center"/>
              <w:rPr>
                <w:rFonts w:eastAsia="Times New Roman"/>
                <w:b/>
                <w:bCs/>
                <w:sz w:val="18"/>
                <w:szCs w:val="16"/>
              </w:rPr>
            </w:pPr>
            <w:r w:rsidRPr="00161341">
              <w:rPr>
                <w:rFonts w:eastAsia="Times New Roman"/>
                <w:b/>
                <w:bCs/>
                <w:sz w:val="18"/>
                <w:szCs w:val="16"/>
              </w:rPr>
              <w:t>Variables</w:t>
            </w:r>
          </w:p>
        </w:tc>
        <w:tc>
          <w:tcPr>
            <w:tcW w:w="1291" w:type="dxa"/>
            <w:noWrap/>
            <w:hideMark/>
          </w:tcPr>
          <w:p w:rsidR="007861A7" w:rsidRPr="00161341" w:rsidRDefault="007861A7" w:rsidP="007861A7">
            <w:pPr>
              <w:jc w:val="center"/>
              <w:rPr>
                <w:rFonts w:eastAsia="Times New Roman"/>
                <w:b/>
                <w:sz w:val="18"/>
                <w:szCs w:val="16"/>
              </w:rPr>
            </w:pPr>
            <w:r w:rsidRPr="00161341">
              <w:rPr>
                <w:rFonts w:eastAsia="Times New Roman"/>
                <w:b/>
                <w:sz w:val="18"/>
                <w:szCs w:val="16"/>
              </w:rPr>
              <w:t> Description</w:t>
            </w:r>
          </w:p>
        </w:tc>
        <w:tc>
          <w:tcPr>
            <w:tcW w:w="1864" w:type="dxa"/>
            <w:noWrap/>
            <w:hideMark/>
          </w:tcPr>
          <w:p w:rsidR="007861A7" w:rsidRPr="00161341" w:rsidRDefault="007861A7" w:rsidP="007861A7">
            <w:pPr>
              <w:jc w:val="center"/>
              <w:rPr>
                <w:rFonts w:eastAsia="Times New Roman"/>
                <w:b/>
                <w:bCs/>
                <w:sz w:val="18"/>
                <w:szCs w:val="16"/>
              </w:rPr>
            </w:pPr>
            <w:r w:rsidRPr="00161341">
              <w:rPr>
                <w:rFonts w:eastAsia="Times New Roman"/>
                <w:b/>
                <w:bCs/>
                <w:sz w:val="18"/>
                <w:szCs w:val="16"/>
              </w:rPr>
              <w:t>NPV</w:t>
            </w:r>
            <w:r w:rsidR="001B2FD8" w:rsidRPr="00161341">
              <w:rPr>
                <w:rFonts w:eastAsia="Times New Roman"/>
                <w:b/>
                <w:bCs/>
                <w:sz w:val="18"/>
                <w:szCs w:val="16"/>
              </w:rPr>
              <w:t xml:space="preserve"> ($m)</w:t>
            </w:r>
          </w:p>
        </w:tc>
        <w:tc>
          <w:tcPr>
            <w:tcW w:w="1005" w:type="dxa"/>
            <w:noWrap/>
            <w:hideMark/>
          </w:tcPr>
          <w:p w:rsidR="007861A7" w:rsidRPr="00161341" w:rsidRDefault="007861A7" w:rsidP="007861A7">
            <w:pPr>
              <w:jc w:val="center"/>
              <w:rPr>
                <w:rFonts w:eastAsia="Times New Roman"/>
                <w:b/>
                <w:bCs/>
                <w:sz w:val="18"/>
                <w:szCs w:val="16"/>
              </w:rPr>
            </w:pPr>
            <w:r w:rsidRPr="00161341">
              <w:rPr>
                <w:rFonts w:eastAsia="Times New Roman"/>
                <w:b/>
                <w:bCs/>
                <w:sz w:val="18"/>
                <w:szCs w:val="16"/>
              </w:rPr>
              <w:t>BCR</w:t>
            </w:r>
          </w:p>
        </w:tc>
      </w:tr>
      <w:tr w:rsidR="00FB61A7" w:rsidRPr="00161341" w:rsidTr="00161341">
        <w:trPr>
          <w:trHeight w:hRule="exact" w:val="548"/>
          <w:jc w:val="center"/>
        </w:trPr>
        <w:tc>
          <w:tcPr>
            <w:tcW w:w="1865" w:type="dxa"/>
            <w:vMerge w:val="restart"/>
            <w:noWrap/>
            <w:hideMark/>
          </w:tcPr>
          <w:p w:rsidR="001B2FD8" w:rsidRPr="00161341" w:rsidRDefault="001B2FD8" w:rsidP="001B2FD8">
            <w:pPr>
              <w:rPr>
                <w:rFonts w:eastAsia="Times New Roman"/>
                <w:b/>
                <w:bCs/>
                <w:sz w:val="18"/>
                <w:szCs w:val="16"/>
              </w:rPr>
            </w:pPr>
            <w:r w:rsidRPr="00161341">
              <w:rPr>
                <w:rFonts w:eastAsia="Times New Roman"/>
                <w:b/>
                <w:bCs/>
                <w:sz w:val="18"/>
                <w:szCs w:val="16"/>
              </w:rPr>
              <w:t xml:space="preserve">Optimistic scenario </w:t>
            </w:r>
          </w:p>
        </w:tc>
        <w:tc>
          <w:tcPr>
            <w:tcW w:w="3582" w:type="dxa"/>
            <w:vMerge w:val="restart"/>
            <w:hideMark/>
          </w:tcPr>
          <w:p w:rsidR="001B2FD8" w:rsidRPr="00161341" w:rsidRDefault="001B2FD8" w:rsidP="001B2FD8">
            <w:pPr>
              <w:rPr>
                <w:rFonts w:eastAsia="Times New Roman"/>
                <w:sz w:val="18"/>
                <w:szCs w:val="16"/>
              </w:rPr>
            </w:pPr>
            <w:r w:rsidRPr="00161341">
              <w:rPr>
                <w:rFonts w:eastAsia="Times New Roman"/>
                <w:sz w:val="18"/>
                <w:szCs w:val="16"/>
              </w:rPr>
              <w:t xml:space="preserve">Discount rate = 5%; VLY=$187,104;                                                    LE = 1.4%; CRC recurrence rate: stage 2 = 20% and stage 3 = 40%; Detection rate under modern surveillance protocols = 40%  </w:t>
            </w:r>
          </w:p>
          <w:p w:rsidR="001B2FD8" w:rsidRPr="00161341" w:rsidRDefault="001B2FD8" w:rsidP="001B2FD8">
            <w:pPr>
              <w:rPr>
                <w:rFonts w:eastAsia="Times New Roman"/>
                <w:sz w:val="18"/>
                <w:szCs w:val="16"/>
              </w:rPr>
            </w:pPr>
          </w:p>
        </w:tc>
        <w:tc>
          <w:tcPr>
            <w:tcW w:w="1291" w:type="dxa"/>
            <w:noWrap/>
            <w:hideMark/>
          </w:tcPr>
          <w:p w:rsidR="001B2FD8" w:rsidRPr="00161341" w:rsidRDefault="001B2FD8" w:rsidP="001B2FD8">
            <w:pPr>
              <w:rPr>
                <w:rFonts w:eastAsia="Times New Roman"/>
                <w:sz w:val="18"/>
                <w:szCs w:val="16"/>
              </w:rPr>
            </w:pPr>
            <w:r w:rsidRPr="00161341">
              <w:rPr>
                <w:rFonts w:eastAsia="Times New Roman"/>
                <w:sz w:val="18"/>
                <w:szCs w:val="16"/>
              </w:rPr>
              <w:t>Project</w:t>
            </w:r>
          </w:p>
        </w:tc>
        <w:tc>
          <w:tcPr>
            <w:tcW w:w="1864" w:type="dxa"/>
            <w:noWrap/>
            <w:hideMark/>
          </w:tcPr>
          <w:p w:rsidR="001B2FD8" w:rsidRPr="00161341" w:rsidRDefault="001B2FD8" w:rsidP="001B2FD8">
            <w:pPr>
              <w:jc w:val="right"/>
              <w:rPr>
                <w:sz w:val="18"/>
                <w:szCs w:val="16"/>
              </w:rPr>
            </w:pPr>
            <w:r w:rsidRPr="00161341">
              <w:rPr>
                <w:sz w:val="18"/>
                <w:szCs w:val="16"/>
              </w:rPr>
              <w:t xml:space="preserve">$3,000.8 </w:t>
            </w:r>
          </w:p>
        </w:tc>
        <w:tc>
          <w:tcPr>
            <w:tcW w:w="1005" w:type="dxa"/>
            <w:noWrap/>
            <w:hideMark/>
          </w:tcPr>
          <w:p w:rsidR="001B2FD8" w:rsidRPr="00161341" w:rsidRDefault="001B2FD8" w:rsidP="001B2FD8">
            <w:pPr>
              <w:jc w:val="right"/>
              <w:rPr>
                <w:sz w:val="18"/>
                <w:szCs w:val="16"/>
              </w:rPr>
            </w:pPr>
            <w:r w:rsidRPr="00161341">
              <w:rPr>
                <w:sz w:val="18"/>
                <w:szCs w:val="16"/>
              </w:rPr>
              <w:t>9.2</w:t>
            </w:r>
          </w:p>
        </w:tc>
      </w:tr>
      <w:tr w:rsidR="00FB61A7" w:rsidRPr="00161341" w:rsidTr="00161341">
        <w:trPr>
          <w:trHeight w:hRule="exact" w:val="550"/>
          <w:jc w:val="center"/>
        </w:trPr>
        <w:tc>
          <w:tcPr>
            <w:tcW w:w="1865" w:type="dxa"/>
            <w:vMerge/>
            <w:hideMark/>
          </w:tcPr>
          <w:p w:rsidR="001B2FD8" w:rsidRPr="00161341" w:rsidRDefault="001B2FD8" w:rsidP="001B2FD8">
            <w:pPr>
              <w:rPr>
                <w:rFonts w:eastAsia="Times New Roman"/>
                <w:b/>
                <w:bCs/>
                <w:sz w:val="18"/>
                <w:szCs w:val="16"/>
              </w:rPr>
            </w:pPr>
          </w:p>
        </w:tc>
        <w:tc>
          <w:tcPr>
            <w:tcW w:w="3582" w:type="dxa"/>
            <w:vMerge/>
            <w:hideMark/>
          </w:tcPr>
          <w:p w:rsidR="001B2FD8" w:rsidRPr="00161341" w:rsidRDefault="001B2FD8" w:rsidP="001B2FD8">
            <w:pPr>
              <w:rPr>
                <w:rFonts w:eastAsia="Times New Roman"/>
                <w:sz w:val="18"/>
                <w:szCs w:val="16"/>
              </w:rPr>
            </w:pPr>
          </w:p>
        </w:tc>
        <w:tc>
          <w:tcPr>
            <w:tcW w:w="1291" w:type="dxa"/>
            <w:noWrap/>
            <w:hideMark/>
          </w:tcPr>
          <w:p w:rsidR="001B2FD8" w:rsidRPr="00161341" w:rsidRDefault="001B2FD8" w:rsidP="001B2FD8">
            <w:pPr>
              <w:rPr>
                <w:rFonts w:eastAsia="Times New Roman"/>
                <w:sz w:val="18"/>
                <w:szCs w:val="16"/>
              </w:rPr>
            </w:pPr>
            <w:r w:rsidRPr="00161341">
              <w:rPr>
                <w:rFonts w:eastAsia="Times New Roman"/>
                <w:sz w:val="18"/>
                <w:szCs w:val="16"/>
              </w:rPr>
              <w:t>CSIRO</w:t>
            </w:r>
          </w:p>
        </w:tc>
        <w:tc>
          <w:tcPr>
            <w:tcW w:w="1864" w:type="dxa"/>
            <w:noWrap/>
            <w:hideMark/>
          </w:tcPr>
          <w:p w:rsidR="001B2FD8" w:rsidRPr="00161341" w:rsidRDefault="001B2FD8" w:rsidP="001B2FD8">
            <w:pPr>
              <w:jc w:val="right"/>
              <w:rPr>
                <w:sz w:val="18"/>
                <w:szCs w:val="16"/>
              </w:rPr>
            </w:pPr>
            <w:r w:rsidRPr="00161341">
              <w:rPr>
                <w:sz w:val="18"/>
                <w:szCs w:val="16"/>
              </w:rPr>
              <w:t xml:space="preserve">$325.7 </w:t>
            </w:r>
          </w:p>
        </w:tc>
        <w:tc>
          <w:tcPr>
            <w:tcW w:w="1005" w:type="dxa"/>
            <w:noWrap/>
            <w:hideMark/>
          </w:tcPr>
          <w:p w:rsidR="001B2FD8" w:rsidRPr="00161341" w:rsidRDefault="001B2FD8" w:rsidP="001B2FD8">
            <w:pPr>
              <w:jc w:val="right"/>
              <w:rPr>
                <w:sz w:val="18"/>
                <w:szCs w:val="16"/>
              </w:rPr>
            </w:pPr>
            <w:r w:rsidRPr="00161341">
              <w:rPr>
                <w:sz w:val="18"/>
                <w:szCs w:val="16"/>
              </w:rPr>
              <w:t>30.5</w:t>
            </w:r>
          </w:p>
        </w:tc>
      </w:tr>
      <w:tr w:rsidR="00FB61A7" w:rsidRPr="00161341" w:rsidTr="00161341">
        <w:trPr>
          <w:trHeight w:hRule="exact" w:val="548"/>
          <w:jc w:val="center"/>
        </w:trPr>
        <w:tc>
          <w:tcPr>
            <w:tcW w:w="1865" w:type="dxa"/>
            <w:vMerge w:val="restart"/>
            <w:noWrap/>
            <w:hideMark/>
          </w:tcPr>
          <w:p w:rsidR="00CF3A6C" w:rsidRPr="00161341" w:rsidRDefault="00CF3A6C" w:rsidP="00CF3A6C">
            <w:pPr>
              <w:rPr>
                <w:rFonts w:eastAsia="Times New Roman"/>
                <w:b/>
                <w:bCs/>
                <w:sz w:val="18"/>
                <w:szCs w:val="16"/>
              </w:rPr>
            </w:pPr>
            <w:r w:rsidRPr="00161341">
              <w:rPr>
                <w:rFonts w:eastAsia="Times New Roman"/>
                <w:b/>
                <w:bCs/>
                <w:sz w:val="18"/>
                <w:szCs w:val="16"/>
              </w:rPr>
              <w:t xml:space="preserve">Pessimistic scenario </w:t>
            </w:r>
          </w:p>
        </w:tc>
        <w:tc>
          <w:tcPr>
            <w:tcW w:w="3582" w:type="dxa"/>
            <w:vMerge w:val="restart"/>
            <w:hideMark/>
          </w:tcPr>
          <w:p w:rsidR="00CF3A6C" w:rsidRPr="00161341" w:rsidRDefault="00CF3A6C" w:rsidP="00CF3A6C">
            <w:pPr>
              <w:rPr>
                <w:rFonts w:eastAsia="Times New Roman"/>
                <w:sz w:val="18"/>
                <w:szCs w:val="16"/>
              </w:rPr>
            </w:pPr>
            <w:r w:rsidRPr="00161341">
              <w:rPr>
                <w:rFonts w:eastAsia="Times New Roman"/>
                <w:sz w:val="18"/>
                <w:szCs w:val="16"/>
              </w:rPr>
              <w:t xml:space="preserve">Discount rate = 10%; VLY=$108,000                                                             LE = -0.2%; CRC recurrence rate: stage 2 = 10% and stage 3 = 25%; Detection rate under modern surveillance protocols = 30%   </w:t>
            </w:r>
          </w:p>
        </w:tc>
        <w:tc>
          <w:tcPr>
            <w:tcW w:w="1291" w:type="dxa"/>
            <w:noWrap/>
            <w:hideMark/>
          </w:tcPr>
          <w:p w:rsidR="00CF3A6C" w:rsidRPr="00161341" w:rsidRDefault="00CF3A6C" w:rsidP="00CF3A6C">
            <w:pPr>
              <w:rPr>
                <w:rFonts w:eastAsia="Times New Roman"/>
                <w:sz w:val="18"/>
                <w:szCs w:val="16"/>
              </w:rPr>
            </w:pPr>
            <w:r w:rsidRPr="00161341">
              <w:rPr>
                <w:rFonts w:eastAsia="Times New Roman"/>
                <w:sz w:val="18"/>
                <w:szCs w:val="16"/>
              </w:rPr>
              <w:t>Project</w:t>
            </w:r>
          </w:p>
        </w:tc>
        <w:tc>
          <w:tcPr>
            <w:tcW w:w="1864" w:type="dxa"/>
            <w:noWrap/>
            <w:hideMark/>
          </w:tcPr>
          <w:p w:rsidR="00CF3A6C" w:rsidRPr="00161341" w:rsidRDefault="00CF3A6C" w:rsidP="00CF3A6C">
            <w:pPr>
              <w:jc w:val="right"/>
              <w:rPr>
                <w:sz w:val="18"/>
                <w:szCs w:val="16"/>
              </w:rPr>
            </w:pPr>
            <w:r w:rsidRPr="00161341">
              <w:rPr>
                <w:sz w:val="18"/>
                <w:szCs w:val="16"/>
              </w:rPr>
              <w:t xml:space="preserve">$777.4 </w:t>
            </w:r>
          </w:p>
        </w:tc>
        <w:tc>
          <w:tcPr>
            <w:tcW w:w="1005" w:type="dxa"/>
            <w:noWrap/>
            <w:hideMark/>
          </w:tcPr>
          <w:p w:rsidR="00CF3A6C" w:rsidRPr="00161341" w:rsidRDefault="00CF3A6C" w:rsidP="00CF3A6C">
            <w:pPr>
              <w:jc w:val="right"/>
              <w:rPr>
                <w:sz w:val="18"/>
                <w:szCs w:val="16"/>
              </w:rPr>
            </w:pPr>
            <w:r w:rsidRPr="00161341">
              <w:rPr>
                <w:sz w:val="18"/>
                <w:szCs w:val="16"/>
              </w:rPr>
              <w:t>3.4</w:t>
            </w:r>
          </w:p>
        </w:tc>
      </w:tr>
      <w:tr w:rsidR="00FB61A7" w:rsidRPr="00161341" w:rsidTr="00161341">
        <w:trPr>
          <w:trHeight w:hRule="exact" w:val="633"/>
          <w:jc w:val="center"/>
        </w:trPr>
        <w:tc>
          <w:tcPr>
            <w:tcW w:w="1865" w:type="dxa"/>
            <w:vMerge/>
            <w:hideMark/>
          </w:tcPr>
          <w:p w:rsidR="00CF3A6C" w:rsidRPr="00161341" w:rsidRDefault="00CF3A6C" w:rsidP="00CF3A6C">
            <w:pPr>
              <w:rPr>
                <w:rFonts w:eastAsia="Times New Roman"/>
                <w:b/>
                <w:bCs/>
                <w:sz w:val="18"/>
                <w:szCs w:val="16"/>
              </w:rPr>
            </w:pPr>
          </w:p>
        </w:tc>
        <w:tc>
          <w:tcPr>
            <w:tcW w:w="3582" w:type="dxa"/>
            <w:vMerge/>
            <w:hideMark/>
          </w:tcPr>
          <w:p w:rsidR="00CF3A6C" w:rsidRPr="00161341" w:rsidRDefault="00CF3A6C" w:rsidP="00CF3A6C">
            <w:pPr>
              <w:rPr>
                <w:rFonts w:eastAsia="Times New Roman"/>
                <w:sz w:val="18"/>
                <w:szCs w:val="16"/>
              </w:rPr>
            </w:pPr>
          </w:p>
        </w:tc>
        <w:tc>
          <w:tcPr>
            <w:tcW w:w="1291" w:type="dxa"/>
            <w:noWrap/>
            <w:hideMark/>
          </w:tcPr>
          <w:p w:rsidR="00CF3A6C" w:rsidRPr="00161341" w:rsidRDefault="00CF3A6C" w:rsidP="00CF3A6C">
            <w:pPr>
              <w:rPr>
                <w:rFonts w:eastAsia="Times New Roman"/>
                <w:sz w:val="18"/>
                <w:szCs w:val="16"/>
              </w:rPr>
            </w:pPr>
            <w:r w:rsidRPr="00161341">
              <w:rPr>
                <w:rFonts w:eastAsia="Times New Roman"/>
                <w:sz w:val="18"/>
                <w:szCs w:val="16"/>
              </w:rPr>
              <w:t>CSIRO</w:t>
            </w:r>
          </w:p>
        </w:tc>
        <w:tc>
          <w:tcPr>
            <w:tcW w:w="1864" w:type="dxa"/>
            <w:noWrap/>
            <w:hideMark/>
          </w:tcPr>
          <w:p w:rsidR="00CF3A6C" w:rsidRPr="00161341" w:rsidRDefault="00CF3A6C" w:rsidP="00CF3A6C">
            <w:pPr>
              <w:jc w:val="right"/>
              <w:rPr>
                <w:sz w:val="18"/>
                <w:szCs w:val="16"/>
              </w:rPr>
            </w:pPr>
            <w:r w:rsidRPr="00161341">
              <w:rPr>
                <w:sz w:val="18"/>
                <w:szCs w:val="16"/>
              </w:rPr>
              <w:t xml:space="preserve">$94.3 </w:t>
            </w:r>
          </w:p>
        </w:tc>
        <w:tc>
          <w:tcPr>
            <w:tcW w:w="1005" w:type="dxa"/>
            <w:noWrap/>
            <w:hideMark/>
          </w:tcPr>
          <w:p w:rsidR="00CF3A6C" w:rsidRPr="00161341" w:rsidRDefault="00CF3A6C" w:rsidP="00CF3A6C">
            <w:pPr>
              <w:jc w:val="right"/>
              <w:rPr>
                <w:sz w:val="18"/>
                <w:szCs w:val="16"/>
              </w:rPr>
            </w:pPr>
            <w:r w:rsidRPr="00161341">
              <w:rPr>
                <w:sz w:val="18"/>
                <w:szCs w:val="16"/>
              </w:rPr>
              <w:t>7.2</w:t>
            </w:r>
          </w:p>
        </w:tc>
      </w:tr>
    </w:tbl>
    <w:p w:rsidR="00C3338A" w:rsidRDefault="00B11DC0" w:rsidP="00C3338A">
      <w:pPr>
        <w:pStyle w:val="Heading1"/>
      </w:pPr>
      <w:bookmarkStart w:id="42" w:name="_Toc494707097"/>
      <w:r>
        <w:t>8</w:t>
      </w:r>
      <w:r>
        <w:tab/>
      </w:r>
      <w:r w:rsidR="00C3338A" w:rsidRPr="004A6CF2">
        <w:t>Limitation</w:t>
      </w:r>
      <w:r>
        <w:t>s</w:t>
      </w:r>
      <w:r w:rsidR="00C3338A" w:rsidRPr="004A6CF2">
        <w:t xml:space="preserve"> and Future Direction</w:t>
      </w:r>
      <w:bookmarkEnd w:id="41"/>
      <w:r>
        <w:t>s</w:t>
      </w:r>
      <w:bookmarkEnd w:id="42"/>
    </w:p>
    <w:p w:rsidR="007861A7" w:rsidRPr="00161341" w:rsidRDefault="007861A7" w:rsidP="00161341">
      <w:pPr>
        <w:spacing w:after="0" w:line="276" w:lineRule="auto"/>
        <w:rPr>
          <w:rFonts w:asciiTheme="minorHAnsi" w:hAnsiTheme="minorHAnsi"/>
          <w:sz w:val="24"/>
          <w:szCs w:val="24"/>
        </w:rPr>
      </w:pPr>
      <w:r w:rsidRPr="00161341">
        <w:rPr>
          <w:rFonts w:asciiTheme="minorHAnsi" w:hAnsiTheme="minorHAnsi"/>
          <w:sz w:val="24"/>
          <w:szCs w:val="24"/>
        </w:rPr>
        <w:t xml:space="preserve">Overall, the base case results show that this project will bring higher future benefits than the costs to both patients and the Australian health care system. The sensitivity analysis and scenario analysis prove that this project is viable from the perspectives of patients and the Australian health care system.  We are unable to quantify the benefits to the company due to commercial confidentiality issues. We believe our base case estimation is conservative because: </w:t>
      </w:r>
    </w:p>
    <w:p w:rsidR="007861A7" w:rsidRPr="00161341" w:rsidRDefault="007861A7" w:rsidP="0096781E">
      <w:pPr>
        <w:pStyle w:val="ListParagraph"/>
        <w:numPr>
          <w:ilvl w:val="0"/>
          <w:numId w:val="33"/>
        </w:numPr>
        <w:spacing w:before="0" w:after="0" w:line="276" w:lineRule="auto"/>
        <w:ind w:left="714" w:hanging="357"/>
        <w:rPr>
          <w:rFonts w:asciiTheme="minorHAnsi" w:hAnsiTheme="minorHAnsi"/>
        </w:rPr>
      </w:pPr>
      <w:r w:rsidRPr="00161341">
        <w:rPr>
          <w:rFonts w:asciiTheme="minorHAnsi" w:hAnsiTheme="minorHAnsi"/>
        </w:rPr>
        <w:t xml:space="preserve">The analysis is specific to the Australian health care system, but benefits will flow to Australia from international uptake/sales and royalties; </w:t>
      </w:r>
    </w:p>
    <w:p w:rsidR="007861A7" w:rsidRPr="00161341" w:rsidRDefault="007861A7" w:rsidP="0096781E">
      <w:pPr>
        <w:pStyle w:val="ListParagraph"/>
        <w:numPr>
          <w:ilvl w:val="0"/>
          <w:numId w:val="33"/>
        </w:numPr>
        <w:spacing w:before="0" w:after="0" w:line="276" w:lineRule="auto"/>
        <w:rPr>
          <w:rFonts w:asciiTheme="minorHAnsi" w:hAnsiTheme="minorHAnsi"/>
        </w:rPr>
      </w:pPr>
      <w:r w:rsidRPr="00161341">
        <w:rPr>
          <w:rFonts w:asciiTheme="minorHAnsi" w:hAnsiTheme="minorHAnsi"/>
        </w:rPr>
        <w:t xml:space="preserve">The assumptions regarding the number of CRC primary patients in each year during our project period are made to be constant over our project period. In reality, these figures are believed to be growing due to the population growth. Taking this into consideration, the health care system and patients should have higher benefits; </w:t>
      </w:r>
    </w:p>
    <w:p w:rsidR="007861A7" w:rsidRPr="00161341" w:rsidRDefault="007861A7" w:rsidP="0096781E">
      <w:pPr>
        <w:pStyle w:val="ListParagraph"/>
        <w:numPr>
          <w:ilvl w:val="0"/>
          <w:numId w:val="33"/>
        </w:numPr>
        <w:spacing w:before="0" w:after="0" w:line="276" w:lineRule="auto"/>
        <w:rPr>
          <w:rFonts w:asciiTheme="minorHAnsi" w:hAnsiTheme="minorHAnsi"/>
        </w:rPr>
      </w:pPr>
      <w:r w:rsidRPr="00161341">
        <w:rPr>
          <w:rFonts w:asciiTheme="minorHAnsi" w:hAnsiTheme="minorHAnsi"/>
        </w:rPr>
        <w:t xml:space="preserve">A 10-year project life has been suggested in our analyses, which is considered short in CBA terms. The merits generated from this new intervention should benefit patients over their lifetime. The net present value for the health care system and patients is expected to be higher if longer project life is considered in the base case; </w:t>
      </w:r>
    </w:p>
    <w:p w:rsidR="007861A7" w:rsidRPr="00161341" w:rsidRDefault="007861A7" w:rsidP="0096781E">
      <w:pPr>
        <w:pStyle w:val="ListParagraph"/>
        <w:numPr>
          <w:ilvl w:val="0"/>
          <w:numId w:val="33"/>
        </w:numPr>
        <w:spacing w:before="0" w:after="0" w:line="276" w:lineRule="auto"/>
        <w:ind w:left="714" w:hanging="357"/>
        <w:rPr>
          <w:rFonts w:asciiTheme="minorHAnsi" w:hAnsiTheme="minorHAnsi"/>
        </w:rPr>
      </w:pPr>
      <w:r w:rsidRPr="00161341">
        <w:rPr>
          <w:rFonts w:asciiTheme="minorHAnsi" w:hAnsiTheme="minorHAnsi"/>
        </w:rPr>
        <w:t xml:space="preserve">Other possible benefits have been overlooked, such as improved patient family members’ quality of life, savings to caregivers’ time and possible gain of productivity for patients. Those potential benefits have not been taken into account because it is difficult to measure and quantify at this stage. Where societal perspective is required in the future, those benefits should be taken into account. </w:t>
      </w:r>
    </w:p>
    <w:p w:rsidR="007861A7" w:rsidRPr="00161341" w:rsidRDefault="007861A7" w:rsidP="00161341">
      <w:pPr>
        <w:pStyle w:val="ListParagraph"/>
        <w:spacing w:before="0" w:after="0" w:line="276" w:lineRule="auto"/>
        <w:rPr>
          <w:rFonts w:asciiTheme="minorHAnsi" w:hAnsiTheme="minorHAnsi"/>
        </w:rPr>
      </w:pPr>
    </w:p>
    <w:p w:rsidR="007861A7" w:rsidRPr="00161341" w:rsidRDefault="007861A7" w:rsidP="00161341">
      <w:pPr>
        <w:spacing w:after="0" w:line="276" w:lineRule="auto"/>
        <w:rPr>
          <w:rFonts w:asciiTheme="minorHAnsi" w:hAnsiTheme="minorHAnsi"/>
          <w:sz w:val="24"/>
          <w:szCs w:val="24"/>
        </w:rPr>
      </w:pPr>
      <w:r w:rsidRPr="00161341">
        <w:rPr>
          <w:rFonts w:asciiTheme="minorHAnsi" w:hAnsiTheme="minorHAnsi"/>
          <w:sz w:val="24"/>
          <w:szCs w:val="24"/>
        </w:rPr>
        <w:t>Given the scope and budget for the analysis, we have relied on the ECRI Institute 2017 report and other analyses conducted in Australia</w:t>
      </w:r>
      <w:r w:rsidR="00B60A01" w:rsidRPr="00161341">
        <w:rPr>
          <w:rFonts w:asciiTheme="minorHAnsi" w:hAnsiTheme="minorHAnsi"/>
          <w:sz w:val="24"/>
          <w:szCs w:val="24"/>
        </w:rPr>
        <w:t>⁵</w:t>
      </w:r>
      <w:r w:rsidRPr="00161341">
        <w:rPr>
          <w:rFonts w:asciiTheme="minorHAnsi" w:hAnsiTheme="minorHAnsi"/>
          <w:sz w:val="24"/>
          <w:szCs w:val="24"/>
        </w:rPr>
        <w:t xml:space="preserve">. As such, our analysis is limited by the constraints within these studies. Some of the key limitations include: </w:t>
      </w:r>
    </w:p>
    <w:p w:rsidR="007861A7" w:rsidRPr="00161341" w:rsidRDefault="007861A7" w:rsidP="0096781E">
      <w:pPr>
        <w:pStyle w:val="ListParagraph"/>
        <w:numPr>
          <w:ilvl w:val="0"/>
          <w:numId w:val="32"/>
        </w:numPr>
        <w:spacing w:before="0" w:after="0" w:line="276" w:lineRule="auto"/>
        <w:ind w:left="714" w:hanging="357"/>
        <w:rPr>
          <w:rFonts w:asciiTheme="minorHAnsi" w:hAnsiTheme="minorHAnsi"/>
        </w:rPr>
      </w:pPr>
      <w:r w:rsidRPr="00161341">
        <w:rPr>
          <w:rFonts w:asciiTheme="minorHAnsi" w:hAnsiTheme="minorHAnsi"/>
        </w:rPr>
        <w:t xml:space="preserve">Improved life expectancy value in the Colvera™ base case is taken from an analysis of CEA cost-effectiveness from 20 years ago. No reference to the analysis of effectiveness of Colvera™ is available yet, as it is a brand new intervention. This figure should be updated in our analysis once it is available. </w:t>
      </w:r>
    </w:p>
    <w:p w:rsidR="007861A7" w:rsidRPr="00161341" w:rsidRDefault="007861A7" w:rsidP="0096781E">
      <w:pPr>
        <w:pStyle w:val="ListParagraph"/>
        <w:numPr>
          <w:ilvl w:val="0"/>
          <w:numId w:val="32"/>
        </w:numPr>
        <w:spacing w:before="0" w:after="0" w:line="276" w:lineRule="auto"/>
        <w:rPr>
          <w:rFonts w:asciiTheme="minorHAnsi" w:hAnsiTheme="minorHAnsi"/>
        </w:rPr>
      </w:pPr>
      <w:r w:rsidRPr="00161341">
        <w:rPr>
          <w:rFonts w:asciiTheme="minorHAnsi" w:hAnsiTheme="minorHAnsi"/>
        </w:rPr>
        <w:lastRenderedPageBreak/>
        <w:t xml:space="preserve">There is limited information about the costs for clinical trials and implementation in the past and future. This may be due to commercial confidentiality issues. The results should be updated where other relevant costs are identified in the future. </w:t>
      </w:r>
    </w:p>
    <w:p w:rsidR="00E80E23" w:rsidRDefault="007861A7" w:rsidP="0096781E">
      <w:pPr>
        <w:pStyle w:val="ListParagraph"/>
        <w:numPr>
          <w:ilvl w:val="0"/>
          <w:numId w:val="32"/>
        </w:numPr>
        <w:spacing w:before="0" w:after="0" w:line="276" w:lineRule="auto"/>
        <w:ind w:left="714" w:hanging="357"/>
        <w:rPr>
          <w:rFonts w:asciiTheme="minorHAnsi" w:hAnsiTheme="minorHAnsi"/>
        </w:rPr>
      </w:pPr>
      <w:r w:rsidRPr="00161341">
        <w:rPr>
          <w:rFonts w:asciiTheme="minorHAnsi" w:hAnsiTheme="minorHAnsi"/>
        </w:rPr>
        <w:t xml:space="preserve">No risk analysis has been performed in this study to investigate the possibility of getting positive benefits for both the shareholders. </w:t>
      </w:r>
    </w:p>
    <w:p w:rsidR="00B60A01" w:rsidRPr="00E80E23" w:rsidRDefault="00E80E23" w:rsidP="00E80E23">
      <w:pPr>
        <w:spacing w:after="0"/>
        <w:rPr>
          <w:rFonts w:asciiTheme="minorHAnsi" w:hAnsiTheme="minorHAnsi"/>
          <w:sz w:val="24"/>
          <w:szCs w:val="24"/>
        </w:rPr>
      </w:pPr>
      <w:r>
        <w:rPr>
          <w:rFonts w:asciiTheme="minorHAnsi" w:hAnsiTheme="minorHAnsi"/>
        </w:rPr>
        <w:br w:type="page"/>
      </w:r>
    </w:p>
    <w:p w:rsidR="00502A60" w:rsidRPr="004A6CF2" w:rsidRDefault="00B11DC0" w:rsidP="00E92057">
      <w:pPr>
        <w:pStyle w:val="Heading1"/>
        <w:ind w:left="1134" w:hanging="1134"/>
      </w:pPr>
      <w:bookmarkStart w:id="43" w:name="_Toc433720769"/>
      <w:bookmarkStart w:id="44" w:name="_Toc494707098"/>
      <w:r>
        <w:lastRenderedPageBreak/>
        <w:t>9</w:t>
      </w:r>
      <w:r>
        <w:tab/>
      </w:r>
      <w:r w:rsidR="00502A60" w:rsidRPr="004A6CF2">
        <w:t>References</w:t>
      </w:r>
      <w:bookmarkEnd w:id="43"/>
      <w:bookmarkEnd w:id="44"/>
    </w:p>
    <w:p w:rsidR="002028FC" w:rsidRPr="002028FC" w:rsidRDefault="002028FC" w:rsidP="002028FC">
      <w:pPr>
        <w:autoSpaceDE w:val="0"/>
        <w:autoSpaceDN w:val="0"/>
        <w:adjustRightInd w:val="0"/>
        <w:spacing w:before="240" w:after="0" w:line="288" w:lineRule="auto"/>
        <w:ind w:left="360"/>
        <w:rPr>
          <w:rFonts w:asciiTheme="minorHAnsi" w:hAnsiTheme="minorHAnsi"/>
        </w:rPr>
      </w:pPr>
      <w:r w:rsidRPr="002028FC">
        <w:rPr>
          <w:rFonts w:asciiTheme="minorHAnsi" w:hAnsiTheme="minorHAnsi"/>
        </w:rPr>
        <w:t>Abelson P. Establishing a Monetary Value for Lives Saved: Issues and Controversies. Working papers. Canberra: The Office of Best Practice Regulation, 2018.</w:t>
      </w:r>
    </w:p>
    <w:p w:rsidR="002028FC" w:rsidRDefault="002028FC" w:rsidP="002028FC">
      <w:pPr>
        <w:autoSpaceDE w:val="0"/>
        <w:autoSpaceDN w:val="0"/>
        <w:adjustRightInd w:val="0"/>
        <w:spacing w:before="240" w:after="0" w:line="288" w:lineRule="auto"/>
        <w:ind w:left="360"/>
      </w:pPr>
      <w:r w:rsidRPr="002028FC">
        <w:rPr>
          <w:rFonts w:asciiTheme="minorHAnsi" w:eastAsiaTheme="minorHAnsi" w:hAnsiTheme="minorHAnsi" w:cs="Verdana"/>
          <w:lang w:eastAsia="en-US"/>
        </w:rPr>
        <w:t xml:space="preserve">Access Economics. </w:t>
      </w:r>
      <w:r w:rsidRPr="002028FC">
        <w:rPr>
          <w:rFonts w:asciiTheme="minorHAnsi" w:eastAsiaTheme="minorHAnsi" w:hAnsiTheme="minorHAnsi" w:cs="Verdana"/>
          <w:iCs/>
          <w:lang w:eastAsia="en-US"/>
        </w:rPr>
        <w:t>The Impact of Age-related Macular Degeneration</w:t>
      </w:r>
      <w:r w:rsidRPr="002028FC">
        <w:rPr>
          <w:rFonts w:asciiTheme="minorHAnsi" w:eastAsiaTheme="minorHAnsi" w:hAnsiTheme="minorHAnsi" w:cs="Verdana"/>
          <w:lang w:eastAsia="en-US"/>
        </w:rPr>
        <w:t xml:space="preserve">: Centre for Eye Research Australia, 2006. </w:t>
      </w:r>
    </w:p>
    <w:p w:rsidR="002028FC" w:rsidRPr="0021123C" w:rsidRDefault="002028FC" w:rsidP="002028FC">
      <w:pPr>
        <w:autoSpaceDE w:val="0"/>
        <w:autoSpaceDN w:val="0"/>
        <w:adjustRightInd w:val="0"/>
        <w:spacing w:before="240" w:after="0" w:line="288" w:lineRule="auto"/>
        <w:ind w:left="360"/>
      </w:pPr>
      <w:r w:rsidRPr="002028FC">
        <w:rPr>
          <w:rFonts w:asciiTheme="minorHAnsi" w:eastAsiaTheme="minorHAnsi" w:hAnsiTheme="minorHAnsi" w:cs="Verdana"/>
          <w:lang w:eastAsia="en-US"/>
        </w:rPr>
        <w:t xml:space="preserve">Access Economics. </w:t>
      </w:r>
      <w:r w:rsidRPr="002028FC">
        <w:rPr>
          <w:rFonts w:asciiTheme="minorHAnsi" w:eastAsiaTheme="minorHAnsi" w:hAnsiTheme="minorHAnsi" w:cs="Verdana"/>
          <w:iCs/>
          <w:lang w:eastAsia="en-US"/>
        </w:rPr>
        <w:t>The Shifting Burden of Cardiovascular Disease in Australia</w:t>
      </w:r>
      <w:r w:rsidRPr="002028FC">
        <w:rPr>
          <w:rFonts w:asciiTheme="minorHAnsi" w:eastAsiaTheme="minorHAnsi" w:hAnsiTheme="minorHAnsi" w:cs="Verdana"/>
          <w:lang w:eastAsia="en-US"/>
        </w:rPr>
        <w:t>: National Heart Foundation of Australia, 2005.</w:t>
      </w:r>
    </w:p>
    <w:p w:rsidR="002028FC" w:rsidRPr="002028FC" w:rsidRDefault="002028FC" w:rsidP="002028FC">
      <w:pPr>
        <w:autoSpaceDE w:val="0"/>
        <w:autoSpaceDN w:val="0"/>
        <w:adjustRightInd w:val="0"/>
        <w:spacing w:before="240" w:after="0" w:line="288" w:lineRule="auto"/>
        <w:ind w:left="360"/>
        <w:rPr>
          <w:rFonts w:asciiTheme="minorHAnsi" w:hAnsiTheme="minorHAnsi"/>
        </w:rPr>
      </w:pPr>
      <w:r w:rsidRPr="002028FC">
        <w:rPr>
          <w:rFonts w:asciiTheme="minorHAnsi" w:hAnsiTheme="minorHAnsi"/>
        </w:rPr>
        <w:t xml:space="preserve">Australian Institute of Health and Welfare (AIHW). Australian Cancer Incidence and Mortality (ACIM) books: Colorectal cancer. Canberra: AIHW, 2017b. </w:t>
      </w:r>
    </w:p>
    <w:p w:rsidR="002028FC" w:rsidRPr="002028FC" w:rsidRDefault="002028FC" w:rsidP="002028FC">
      <w:pPr>
        <w:autoSpaceDE w:val="0"/>
        <w:autoSpaceDN w:val="0"/>
        <w:adjustRightInd w:val="0"/>
        <w:spacing w:before="240" w:after="0" w:line="288" w:lineRule="auto"/>
        <w:ind w:left="360"/>
        <w:rPr>
          <w:rFonts w:asciiTheme="minorHAnsi" w:hAnsiTheme="minorHAnsi"/>
        </w:rPr>
      </w:pPr>
      <w:r w:rsidRPr="002028FC">
        <w:rPr>
          <w:rFonts w:asciiTheme="minorHAnsi" w:hAnsiTheme="minorHAnsi"/>
        </w:rPr>
        <w:t>Australian Institute of Health and Wellbeing (AIHW). Cancer in Australia 2017. Cancer series, Canberra, 2017a, 101. CAN 100.</w:t>
      </w:r>
    </w:p>
    <w:p w:rsidR="002028FC" w:rsidRPr="002028FC" w:rsidRDefault="002028FC" w:rsidP="002028FC">
      <w:pPr>
        <w:autoSpaceDE w:val="0"/>
        <w:autoSpaceDN w:val="0"/>
        <w:adjustRightInd w:val="0"/>
        <w:spacing w:before="240" w:after="0" w:line="288" w:lineRule="auto"/>
        <w:ind w:left="360"/>
        <w:rPr>
          <w:rFonts w:asciiTheme="minorHAnsi" w:hAnsiTheme="minorHAnsi"/>
        </w:rPr>
      </w:pPr>
      <w:r w:rsidRPr="002028FC">
        <w:rPr>
          <w:rFonts w:asciiTheme="minorHAnsi" w:hAnsiTheme="minorHAnsi"/>
        </w:rPr>
        <w:t>Deloitte Access Economics. Increasing participation among older workers: the grey army advances. Report Prepared for the Australian Human Rights Commission, 2012.</w:t>
      </w:r>
    </w:p>
    <w:p w:rsidR="002028FC" w:rsidRPr="0021123C" w:rsidRDefault="002028FC" w:rsidP="002028FC">
      <w:pPr>
        <w:pStyle w:val="FootnoteText"/>
        <w:spacing w:before="240" w:after="0" w:line="288" w:lineRule="auto"/>
        <w:ind w:left="360"/>
        <w:rPr>
          <w:sz w:val="22"/>
          <w:szCs w:val="16"/>
        </w:rPr>
      </w:pPr>
      <w:r>
        <w:rPr>
          <w:rFonts w:asciiTheme="minorHAnsi" w:hAnsiTheme="minorHAnsi"/>
          <w:sz w:val="22"/>
        </w:rPr>
        <w:t>ECRI Institute</w:t>
      </w:r>
      <w:r w:rsidRPr="0021123C">
        <w:rPr>
          <w:rFonts w:asciiTheme="minorHAnsi" w:hAnsiTheme="minorHAnsi"/>
          <w:sz w:val="22"/>
        </w:rPr>
        <w:t xml:space="preserve">. </w:t>
      </w:r>
      <w:r w:rsidRPr="0021123C">
        <w:rPr>
          <w:rFonts w:asciiTheme="minorHAnsi" w:hAnsiTheme="minorHAnsi"/>
          <w:sz w:val="22"/>
          <w:szCs w:val="24"/>
        </w:rPr>
        <w:t>Clinical Dossier.  Report prepared by Clinical Genomics Pathology Inc.</w:t>
      </w:r>
      <w:r w:rsidRPr="0021123C" w:rsidDel="00BB286A">
        <w:rPr>
          <w:sz w:val="18"/>
          <w:szCs w:val="16"/>
        </w:rPr>
        <w:t xml:space="preserve"> </w:t>
      </w:r>
      <w:r w:rsidRPr="0021123C">
        <w:rPr>
          <w:sz w:val="22"/>
          <w:szCs w:val="16"/>
        </w:rPr>
        <w:t xml:space="preserve"> </w:t>
      </w:r>
      <w:r>
        <w:rPr>
          <w:sz w:val="22"/>
          <w:szCs w:val="16"/>
        </w:rPr>
        <w:t xml:space="preserve">2017, </w:t>
      </w:r>
      <w:r w:rsidRPr="0021123C">
        <w:rPr>
          <w:sz w:val="22"/>
          <w:szCs w:val="16"/>
        </w:rPr>
        <w:t>p.4</w:t>
      </w:r>
    </w:p>
    <w:p w:rsidR="002028FC" w:rsidRPr="002028FC" w:rsidRDefault="002028FC" w:rsidP="002028FC">
      <w:pPr>
        <w:autoSpaceDE w:val="0"/>
        <w:autoSpaceDN w:val="0"/>
        <w:adjustRightInd w:val="0"/>
        <w:spacing w:before="240" w:after="0" w:line="288" w:lineRule="auto"/>
        <w:ind w:left="360"/>
        <w:rPr>
          <w:rFonts w:asciiTheme="minorHAnsi" w:hAnsiTheme="minorHAnsi"/>
        </w:rPr>
      </w:pPr>
      <w:r w:rsidRPr="002028FC">
        <w:rPr>
          <w:rFonts w:asciiTheme="minorHAnsi" w:hAnsiTheme="minorHAnsi"/>
        </w:rPr>
        <w:t>Haug U, Engel S, Verheyen F, Linder R. 2014. Estimating Colorectal Cancer Treatment Costs: A Pragmatic Approach Exemplified by Health Insurance Data from Germany. PLoSOne 9(2): e88407.</w:t>
      </w:r>
    </w:p>
    <w:p w:rsidR="002028FC" w:rsidRPr="002028FC" w:rsidRDefault="002028FC" w:rsidP="002028FC">
      <w:pPr>
        <w:autoSpaceDE w:val="0"/>
        <w:autoSpaceDN w:val="0"/>
        <w:adjustRightInd w:val="0"/>
        <w:spacing w:before="240" w:after="0" w:line="288" w:lineRule="auto"/>
        <w:ind w:left="360"/>
        <w:rPr>
          <w:sz w:val="40"/>
        </w:rPr>
      </w:pPr>
      <w:r w:rsidRPr="002028FC">
        <w:rPr>
          <w:rFonts w:asciiTheme="minorHAnsi" w:hAnsiTheme="minorHAnsi"/>
        </w:rPr>
        <w:t>Kievit J, van de Velde CJ. Utility and cost of carcinoembryonic antigen monitoring in colon cancer follow-up evaluation: a Markov analysis. Cancer, 1990;65:2580–2587.</w:t>
      </w:r>
    </w:p>
    <w:p w:rsidR="00B60A01" w:rsidRPr="0021123C" w:rsidRDefault="00B60A01" w:rsidP="002028FC">
      <w:pPr>
        <w:pStyle w:val="FootnoteText"/>
        <w:spacing w:before="0" w:after="0" w:line="288" w:lineRule="auto"/>
        <w:rPr>
          <w:rFonts w:asciiTheme="minorHAnsi" w:eastAsiaTheme="minorHAnsi" w:hAnsiTheme="minorHAnsi" w:cs="Verdana"/>
          <w:sz w:val="40"/>
          <w:lang w:eastAsia="en-US"/>
        </w:rPr>
      </w:pPr>
    </w:p>
    <w:p w:rsidR="007861A7" w:rsidRDefault="007861A7" w:rsidP="002028FC">
      <w:pPr>
        <w:autoSpaceDE w:val="0"/>
        <w:autoSpaceDN w:val="0"/>
        <w:adjustRightInd w:val="0"/>
        <w:spacing w:after="0"/>
        <w:rPr>
          <w:rFonts w:asciiTheme="minorHAnsi" w:hAnsiTheme="minorHAnsi"/>
          <w:sz w:val="24"/>
        </w:rPr>
      </w:pPr>
    </w:p>
    <w:p w:rsidR="007861A7" w:rsidRDefault="007861A7" w:rsidP="002028FC">
      <w:pPr>
        <w:autoSpaceDE w:val="0"/>
        <w:autoSpaceDN w:val="0"/>
        <w:adjustRightInd w:val="0"/>
        <w:spacing w:after="0"/>
        <w:rPr>
          <w:rFonts w:asciiTheme="minorHAnsi" w:hAnsiTheme="minorHAnsi"/>
          <w:sz w:val="24"/>
        </w:rPr>
      </w:pPr>
    </w:p>
    <w:p w:rsidR="007861A7" w:rsidRPr="00B838CA" w:rsidRDefault="007861A7" w:rsidP="002028FC">
      <w:pPr>
        <w:autoSpaceDE w:val="0"/>
        <w:autoSpaceDN w:val="0"/>
        <w:adjustRightInd w:val="0"/>
        <w:spacing w:after="0"/>
        <w:rPr>
          <w:rFonts w:asciiTheme="minorHAnsi" w:hAnsiTheme="minorHAnsi"/>
          <w:sz w:val="24"/>
        </w:rPr>
        <w:sectPr w:rsidR="007861A7" w:rsidRPr="00B838CA" w:rsidSect="00E243A6">
          <w:footnotePr>
            <w:numFmt w:val="lowerRoman"/>
          </w:footnotePr>
          <w:type w:val="continuous"/>
          <w:pgSz w:w="11906" w:h="16838" w:code="9"/>
          <w:pgMar w:top="1134" w:right="1134" w:bottom="851" w:left="1134" w:header="510" w:footer="624" w:gutter="0"/>
          <w:cols w:space="850"/>
          <w:titlePg/>
          <w:docGrid w:linePitch="360"/>
        </w:sectPr>
      </w:pPr>
    </w:p>
    <w:p w:rsidR="00027233" w:rsidRPr="004A6CF2" w:rsidRDefault="00027233" w:rsidP="002028FC">
      <w:pPr>
        <w:pStyle w:val="BodyText"/>
        <w:sectPr w:rsidR="00027233" w:rsidRPr="004A6CF2" w:rsidSect="00B11DC0">
          <w:footerReference w:type="even" r:id="rId17"/>
          <w:footerReference w:type="default" r:id="rId18"/>
          <w:type w:val="continuous"/>
          <w:pgSz w:w="11906" w:h="16838" w:code="9"/>
          <w:pgMar w:top="1134" w:right="1134" w:bottom="1134" w:left="1134" w:header="510" w:footer="624" w:gutter="0"/>
          <w:pgNumType w:start="0"/>
          <w:cols w:space="850"/>
          <w:titlePg/>
          <w:docGrid w:linePitch="360"/>
        </w:sectPr>
      </w:pPr>
    </w:p>
    <w:bookmarkEnd w:id="4"/>
    <w:p w:rsidR="00320351" w:rsidRPr="004A6CF2" w:rsidRDefault="00320351" w:rsidP="00CB41C7">
      <w:pPr>
        <w:spacing w:after="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FB61A7">
        <w:trPr>
          <w:trHeight w:hRule="exact" w:val="992"/>
        </w:trPr>
        <w:tc>
          <w:tcPr>
            <w:tcW w:w="8755" w:type="dxa"/>
            <w:gridSpan w:val="3"/>
          </w:tcPr>
          <w:p w:rsidR="00B46B69" w:rsidRPr="004A6CF2" w:rsidRDefault="00042D44" w:rsidP="0024666C">
            <w:pPr>
              <w:pStyle w:val="BackCoverContactDetails"/>
            </w:pPr>
            <w:r w:rsidRPr="004A6CF2">
              <w:rPr>
                <w:noProof/>
              </w:rPr>
              <mc:AlternateContent>
                <mc:Choice Requires="wpg">
                  <w:drawing>
                    <wp:anchor distT="0" distB="0" distL="114300" distR="114300" simplePos="0" relativeHeight="251813376" behindDoc="1" locked="1" layoutInCell="1" allowOverlap="1" wp14:anchorId="21B1EA68" wp14:editId="37DDC865">
                      <wp:simplePos x="0" y="0"/>
                      <wp:positionH relativeFrom="column">
                        <wp:posOffset>-806450</wp:posOffset>
                      </wp:positionH>
                      <wp:positionV relativeFrom="page">
                        <wp:posOffset>-1014095</wp:posOffset>
                      </wp:positionV>
                      <wp:extent cx="7695565" cy="10968355"/>
                      <wp:effectExtent l="0" t="1270" r="1270" b="3175"/>
                      <wp:wrapNone/>
                      <wp:docPr id="2"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5565" cy="10968355"/>
                                <a:chOff x="-136" y="-465"/>
                                <a:chExt cx="12119" cy="17273"/>
                              </a:xfrm>
                            </wpg:grpSpPr>
                            <wps:wsp>
                              <wps:cNvPr id="3" name="Rectangle 3"/>
                              <wps:cNvSpPr>
                                <a:spLocks noChangeAspect="1" noChangeArrowheads="1"/>
                              </wps:cNvSpPr>
                              <wps:spPr bwMode="auto">
                                <a:xfrm>
                                  <a:off x="-75" y="-465"/>
                                  <a:ext cx="12008" cy="17273"/>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cNvPr id="4" name="Group 4"/>
                              <wpg:cNvGrpSpPr>
                                <a:grpSpLocks/>
                              </wpg:cNvGrpSpPr>
                              <wpg:grpSpPr bwMode="auto">
                                <a:xfrm>
                                  <a:off x="-136" y="913"/>
                                  <a:ext cx="12119" cy="830"/>
                                  <a:chOff x="0" y="0"/>
                                  <a:chExt cx="89528" cy="6261"/>
                                </a:xfrm>
                              </wpg:grpSpPr>
                              <wps:wsp>
                                <wps:cNvPr id="5" name="Rectangle 5"/>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114" y="190"/>
                                    <a:ext cx="89255" cy="5950"/>
                                    <a:chOff x="114" y="190"/>
                                    <a:chExt cx="89255" cy="5950"/>
                                  </a:xfrm>
                                </wpg:grpSpPr>
                                <wps:wsp>
                                  <wps:cNvPr id="8" name="Rectangle 8"/>
                                  <wps:cNvSpPr>
                                    <a:spLocks noChangeArrowheads="1"/>
                                  </wps:cNvSpPr>
                                  <wps:spPr bwMode="auto">
                                    <a:xfrm>
                                      <a:off x="146" y="190"/>
                                      <a:ext cx="89223" cy="59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644DFC5" id="Group 938" o:spid="_x0000_s1026" alt="background" style="position:absolute;margin-left:-63.5pt;margin-top:-79.85pt;width:605.95pt;height:863.65pt;z-index:-251503104;mso-position-vertical-relative:page" coordorigin="-136,-465" coordsize="12119,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">
                      <v:rect id="Rectangle 816" o:spid="_x0000_s1027" alt="background" style="position:absolute;left:-75;top:-465;width:12008;height:172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4k1MMA&#10;AADaAAAADwAAAGRycy9kb3ducmV2LnhtbESPT4vCMBTE74LfITzBi2iqwrJUUxFhV4X14B8Ub4/m&#10;2Rabl9KkWr/9RljY4zAzv2Hmi9aU4kG1KywrGI8iEMSp1QVnCk7Hr+EnCOeRNZaWScGLHCySbmeO&#10;sbZP3tPj4DMRIOxiVJB7X8VSujQng25kK+Lg3Wxt0AdZZ1LX+AxwU8pJFH1IgwWHhRwrWuWU3g+N&#10;UfBz3V+KHZXb8SBd62mE56trvpXq99rlDISn1v+H/9obrWAK7yvhBs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4k1MMAAADaAAAADwAAAAAAAAAAAAAAAACYAgAAZHJzL2Rv&#10;d25yZXYueG1sUEsFBgAAAAAEAAQA9QAAAIgDAAAAAA==&#10;" fillcolor="white [3214]" stroked="f">
                        <o:lock v:ext="edit" aspectratio="t"/>
                        <v:textbox inset="0,0,0,0"/>
                      </v:rect>
                      <v:group id="Group 684" o:spid="_x0000_s1028" alt="background" style="position:absolute;left:-136;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AutoShape 26" o:spid="_x0000_s1029"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v:rect>
                        <v:rect id="Rectangle 34" o:spid="_x0000_s1030"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iGMMA&#10;AADaAAAADwAAAGRycy9kb3ducmV2LnhtbESPQWsCMRSE74L/ITyhl6VmtSBlNUqpWISCoG09Pzav&#10;m+DmZbuJ6/rvjSD0OMzMN8xi1btadNQG61nBZJyDIC69tlwp+P7aPL+CCBFZY+2ZFFwpwGo5HCyw&#10;0P7Ce+oOsRIJwqFABSbGppAylIYchrFviJP361uHMcm2krrFS4K7Wk7zfCYdWk4LBht6N1SeDmen&#10;YHr9WDd2tw2no+2zz7+fzLx0mVJPo/5tDiJSH//Dj/ZWK5jB/Uq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IiGMMAAADaAAAADwAAAAAAAAAAAAAAAACYAgAAZHJzL2Rv&#10;d25yZXYueG1sUEsFBgAAAAAEAAQA9QAAAIgDAAAAAA==&#10;" fillcolor="#c8c7c7" stroked="f"/>
                        <v:group id="Group 91" o:spid="_x0000_s1031"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5" o:spid="_x0000_s1032"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36" o:spid="_x0000_s1033"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FFcMA&#10;AADaAAAADwAAAGRycy9kb3ducmV2LnhtbESPQWvCQBSE7wX/w/KE3urGHkobXSUIUtGDmBb0+Mw+&#10;syHZtyG7xvjvu4LQ4zAz3zDz5WAb0VPnK8cKppMEBHHhdMWlgt+f9dsnCB+QNTaOScGdPCwXo5c5&#10;ptrd+EB9HkoRIexTVGBCaFMpfWHIop+4ljh6F9dZDFF2pdQd3iLcNvI9ST6kxYrjgsGWVoaKOr9a&#10;BZtTFr635+vWHbNDne/Mvq/rvVKv4yGbgQg0hP/ws73RCr7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rFFcMAAADaAAAADwAAAAAAAAAAAAAAAACYAgAAZHJzL2Rv&#10;d25yZXYueG1sUEsFBgAAAAAEAAQA9QAAAIgDAAAAAA==&#10;" fillcolor="#00a9ce [3204]" stroked="f"/>
                        </v:group>
                      </v:group>
                      <w10:wrap anchory="page"/>
                      <w10:anchorlock/>
                    </v:group>
                  </w:pict>
                </mc:Fallback>
              </mc:AlternateContent>
            </w:r>
            <w:r w:rsidRPr="004A6CF2">
              <w:rPr>
                <w:noProof/>
              </w:rPr>
              <mc:AlternateContent>
                <mc:Choice Requires="wps">
                  <w:drawing>
                    <wp:anchor distT="0" distB="0" distL="114300" distR="114300" simplePos="0" relativeHeight="251782144" behindDoc="1" locked="0" layoutInCell="1" allowOverlap="1" wp14:anchorId="0B60F7C1" wp14:editId="220D7052">
                      <wp:simplePos x="0" y="0"/>
                      <wp:positionH relativeFrom="column">
                        <wp:posOffset>-759460</wp:posOffset>
                      </wp:positionH>
                      <wp:positionV relativeFrom="paragraph">
                        <wp:posOffset>-746125</wp:posOffset>
                      </wp:positionV>
                      <wp:extent cx="7598410" cy="7686675"/>
                      <wp:effectExtent l="0" t="2540" r="3810" b="0"/>
                      <wp:wrapNone/>
                      <wp:docPr id="1"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C257" id="Rectangle 680" o:spid="_x0000_s1026" alt="background elements" style="position:absolute;margin-left:-59.8pt;margin-top:-58.75pt;width:598.3pt;height:605.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" filled="f" fillcolor="#00a9ce [3204]" stroked="f"/>
                  </w:pict>
                </mc:Fallback>
              </mc:AlternateContent>
            </w:r>
          </w:p>
        </w:tc>
      </w:tr>
      <w:tr w:rsidR="00FB61A7">
        <w:tc>
          <w:tcPr>
            <w:tcW w:w="3337" w:type="dxa"/>
          </w:tcPr>
          <w:p w:rsidR="00B46B69" w:rsidRPr="004A6CF2" w:rsidRDefault="00B46B69" w:rsidP="0024666C">
            <w:pPr>
              <w:pStyle w:val="BackCoverContactHeading"/>
            </w:pPr>
            <w:r w:rsidRPr="004A6CF2">
              <w:t>CONTACT US</w:t>
            </w:r>
          </w:p>
          <w:p w:rsidR="00B46B69" w:rsidRPr="004A6CF2" w:rsidRDefault="00B46B69" w:rsidP="0024666C">
            <w:pPr>
              <w:pStyle w:val="BackCoverContactDetails"/>
            </w:pPr>
            <w:r w:rsidRPr="004A6CF2">
              <w:rPr>
                <w:rStyle w:val="BackCoverContactBold"/>
              </w:rPr>
              <w:t>t</w:t>
            </w:r>
            <w:r w:rsidRPr="004A6CF2">
              <w:t xml:space="preserve"> </w:t>
            </w:r>
            <w:r w:rsidRPr="004A6CF2">
              <w:tab/>
              <w:t>1300 363 400</w:t>
            </w:r>
          </w:p>
          <w:p w:rsidR="00B46B69" w:rsidRPr="004A6CF2" w:rsidRDefault="00B46B69" w:rsidP="0024666C">
            <w:pPr>
              <w:pStyle w:val="BackCoverContactDetails"/>
              <w:rPr>
                <w:szCs w:val="22"/>
              </w:rPr>
            </w:pPr>
            <w:r w:rsidRPr="004A6CF2">
              <w:tab/>
              <w:t>+61 3 9545 2176</w:t>
            </w:r>
          </w:p>
          <w:p w:rsidR="00B46B69" w:rsidRPr="004A6CF2" w:rsidRDefault="00B46B69" w:rsidP="0024666C">
            <w:pPr>
              <w:pStyle w:val="BackCoverContactDetails"/>
            </w:pPr>
            <w:r w:rsidRPr="004A6CF2">
              <w:rPr>
                <w:rStyle w:val="BackCoverContactBold"/>
              </w:rPr>
              <w:t>e</w:t>
            </w:r>
            <w:r w:rsidRPr="004A6CF2">
              <w:t xml:space="preserve"> </w:t>
            </w:r>
            <w:r w:rsidRPr="004A6CF2">
              <w:tab/>
              <w:t>enquiries@csiro.au</w:t>
            </w:r>
          </w:p>
          <w:p w:rsidR="00B46B69" w:rsidRPr="004A6CF2" w:rsidRDefault="00B46B69" w:rsidP="0024666C">
            <w:pPr>
              <w:pStyle w:val="BackCoverContactDetails"/>
            </w:pPr>
            <w:r w:rsidRPr="004A6CF2">
              <w:rPr>
                <w:rStyle w:val="BackCoverContactBold"/>
              </w:rPr>
              <w:t>w</w:t>
            </w:r>
            <w:r w:rsidRPr="004A6CF2">
              <w:t xml:space="preserve"> </w:t>
            </w:r>
            <w:r w:rsidRPr="004A6CF2">
              <w:tab/>
              <w:t>www.csiro.au</w:t>
            </w:r>
          </w:p>
          <w:p w:rsidR="00B46B69" w:rsidRPr="004A6CF2" w:rsidRDefault="00A73662" w:rsidP="0024666C">
            <w:pPr>
              <w:pStyle w:val="BackCoverContactHeading"/>
            </w:pPr>
            <w:r w:rsidRPr="004A6CF2">
              <w:t>At CSIRO we shape the future</w:t>
            </w:r>
            <w:r w:rsidR="00B46B69" w:rsidRPr="004A6CF2">
              <w:t xml:space="preserve"> </w:t>
            </w:r>
          </w:p>
          <w:p w:rsidR="009802BB" w:rsidRPr="004A6CF2" w:rsidRDefault="009802BB" w:rsidP="009802BB">
            <w:pPr>
              <w:pStyle w:val="BackCoverContactDetails"/>
              <w:spacing w:after="120"/>
            </w:pPr>
            <w:r w:rsidRPr="004A6CF2">
              <w:t>We do this by using science to solve real issues. Our research makes a difference to industry, people and the planet.</w:t>
            </w:r>
          </w:p>
          <w:p w:rsidR="009802BB" w:rsidRPr="004A6CF2" w:rsidRDefault="009802BB" w:rsidP="009802BB">
            <w:pPr>
              <w:pStyle w:val="BackCoverContactDetails"/>
              <w:spacing w:after="120"/>
            </w:pPr>
            <w:r w:rsidRPr="004A6CF2">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rsidR="00B46B69" w:rsidRPr="004A6CF2" w:rsidRDefault="009802BB" w:rsidP="0024666C">
            <w:pPr>
              <w:pStyle w:val="BackCoverContactDetails"/>
            </w:pPr>
            <w:r w:rsidRPr="004A6CF2">
              <w:t>WE  ASK, WE SEEK AND WE SOLVE</w:t>
            </w:r>
          </w:p>
        </w:tc>
        <w:tc>
          <w:tcPr>
            <w:tcW w:w="457" w:type="dxa"/>
          </w:tcPr>
          <w:p w:rsidR="00B46B69" w:rsidRPr="004A6CF2" w:rsidRDefault="00B46B69" w:rsidP="0024666C">
            <w:pPr>
              <w:pStyle w:val="BackCoverContactHeading"/>
            </w:pPr>
          </w:p>
        </w:tc>
        <w:tc>
          <w:tcPr>
            <w:tcW w:w="4961" w:type="dxa"/>
          </w:tcPr>
          <w:p w:rsidR="004A1C2B" w:rsidRPr="004A6CF2" w:rsidRDefault="004A1C2B" w:rsidP="004A1C2B">
            <w:pPr>
              <w:pStyle w:val="BackCoverContactHeading"/>
            </w:pPr>
            <w:r w:rsidRPr="004A6CF2">
              <w:t>For further information</w:t>
            </w:r>
          </w:p>
          <w:p w:rsidR="004A1C2B" w:rsidRPr="004A6CF2" w:rsidRDefault="00AD705C" w:rsidP="004A1C2B">
            <w:pPr>
              <w:pStyle w:val="BackCoverContactDetails"/>
              <w:rPr>
                <w:rStyle w:val="BackCoverContactBold"/>
              </w:rPr>
            </w:pPr>
            <w:r>
              <w:rPr>
                <w:rStyle w:val="BackCoverContactBold"/>
              </w:rPr>
              <w:t>Strategy, Market Vision and Innovation</w:t>
            </w:r>
          </w:p>
          <w:p w:rsidR="004A1C2B" w:rsidRPr="004A6CF2" w:rsidRDefault="004A1C2B" w:rsidP="004A1C2B">
            <w:pPr>
              <w:pStyle w:val="BackCoverContactDetails"/>
            </w:pPr>
            <w:r w:rsidRPr="004A6CF2">
              <w:t>Dr Anne-Maree Dowd</w:t>
            </w:r>
          </w:p>
          <w:p w:rsidR="002F2C8F" w:rsidRPr="004A6CF2" w:rsidRDefault="002F2C8F" w:rsidP="002F2C8F">
            <w:pPr>
              <w:pStyle w:val="BackCoverContactDetails"/>
            </w:pPr>
            <w:r w:rsidRPr="004A6CF2">
              <w:t>Executive Manager</w:t>
            </w:r>
          </w:p>
          <w:p w:rsidR="004A1C2B" w:rsidRPr="004A6CF2" w:rsidRDefault="004A1C2B" w:rsidP="004A1C2B">
            <w:pPr>
              <w:pStyle w:val="BackCoverContactDetails"/>
            </w:pPr>
            <w:r w:rsidRPr="004A6CF2">
              <w:rPr>
                <w:rStyle w:val="BackCoverContactBold"/>
              </w:rPr>
              <w:t>t</w:t>
            </w:r>
            <w:r w:rsidRPr="004A6CF2">
              <w:t xml:space="preserve"> </w:t>
            </w:r>
            <w:r w:rsidRPr="004A6CF2">
              <w:tab/>
              <w:t>+61 7 3327 4468</w:t>
            </w:r>
          </w:p>
          <w:p w:rsidR="004A1C2B" w:rsidRPr="004A6CF2" w:rsidRDefault="004A1C2B" w:rsidP="004A1C2B">
            <w:pPr>
              <w:pStyle w:val="BackCoverContactDetails"/>
            </w:pPr>
            <w:r w:rsidRPr="004A6CF2">
              <w:rPr>
                <w:rStyle w:val="BackCoverContactBold"/>
              </w:rPr>
              <w:t>e</w:t>
            </w:r>
            <w:r w:rsidRPr="004A6CF2">
              <w:t xml:space="preserve"> </w:t>
            </w:r>
            <w:r w:rsidRPr="004A6CF2">
              <w:tab/>
            </w:r>
            <w:hyperlink r:id="rId19" w:history="1">
              <w:r w:rsidR="00FF5FDE" w:rsidRPr="005C461A">
                <w:rPr>
                  <w:rStyle w:val="Hyperlink"/>
                </w:rPr>
                <w:t>anne-maree.dowd@csiro.au</w:t>
              </w:r>
            </w:hyperlink>
            <w:r w:rsidRPr="004A6CF2">
              <w:t xml:space="preserve"> </w:t>
            </w:r>
          </w:p>
          <w:p w:rsidR="004A1C2B" w:rsidRPr="004A6CF2" w:rsidRDefault="004A1C2B" w:rsidP="004A1C2B">
            <w:pPr>
              <w:pStyle w:val="BackCoverContactDetails"/>
            </w:pPr>
            <w:r w:rsidRPr="004A6CF2">
              <w:rPr>
                <w:rStyle w:val="BackCoverContactBold"/>
              </w:rPr>
              <w:t>w</w:t>
            </w:r>
            <w:r w:rsidRPr="004A6CF2">
              <w:t xml:space="preserve"> </w:t>
            </w:r>
            <w:r w:rsidRPr="004A6CF2">
              <w:tab/>
            </w:r>
            <w:hyperlink r:id="rId20" w:history="1">
              <w:r w:rsidRPr="004A6CF2">
                <w:rPr>
                  <w:rStyle w:val="Hyperlink"/>
                </w:rPr>
                <w:t>http://my.csiro.au/impact</w:t>
              </w:r>
            </w:hyperlink>
          </w:p>
          <w:p w:rsidR="004A1C2B" w:rsidRPr="004A6CF2" w:rsidRDefault="004A1C2B" w:rsidP="004A1C2B">
            <w:pPr>
              <w:pStyle w:val="BackCoverContactDetails"/>
              <w:rPr>
                <w:rStyle w:val="BackCoverContactBold"/>
                <w:b w:val="0"/>
              </w:rPr>
            </w:pPr>
            <w:r w:rsidRPr="004A6CF2">
              <w:t xml:space="preserve"> </w:t>
            </w:r>
          </w:p>
          <w:p w:rsidR="004A1C2B" w:rsidRPr="004A6CF2" w:rsidRDefault="004A1C2B" w:rsidP="004A1C2B">
            <w:pPr>
              <w:pStyle w:val="BackCoverContactDetails"/>
            </w:pPr>
          </w:p>
          <w:p w:rsidR="00B46B69" w:rsidRPr="004A6CF2" w:rsidRDefault="00B46B69" w:rsidP="00CA09F4">
            <w:pPr>
              <w:pStyle w:val="BackCoverContactDetails"/>
            </w:pPr>
          </w:p>
        </w:tc>
      </w:tr>
    </w:tbl>
    <w:p w:rsidR="00A14107" w:rsidRPr="004A6CF2" w:rsidRDefault="00A14107" w:rsidP="006C3DCD">
      <w:pPr>
        <w:pStyle w:val="BodyText"/>
        <w:rPr>
          <w:sz w:val="18"/>
        </w:rPr>
      </w:pPr>
    </w:p>
    <w:sectPr w:rsidR="00A14107" w:rsidRPr="004A6CF2" w:rsidSect="00027233">
      <w:pgSz w:w="11906" w:h="16838" w:code="9"/>
      <w:pgMar w:top="1134" w:right="1134" w:bottom="1134" w:left="1134" w:header="510" w:footer="624" w:gutter="0"/>
      <w:cols w:space="8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C5B" w:rsidRDefault="00407C5B" w:rsidP="009964E7">
      <w:r>
        <w:separator/>
      </w:r>
    </w:p>
    <w:p w:rsidR="00407C5B" w:rsidRDefault="00407C5B"/>
  </w:endnote>
  <w:endnote w:type="continuationSeparator" w:id="0">
    <w:p w:rsidR="00407C5B" w:rsidRDefault="00407C5B" w:rsidP="009964E7">
      <w:r>
        <w:continuationSeparator/>
      </w:r>
    </w:p>
    <w:p w:rsidR="00407C5B" w:rsidRDefault="00407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Droid Sans Fallback">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86992"/>
      <w:docPartObj>
        <w:docPartGallery w:val="Page Numbers (Bottom of Page)"/>
        <w:docPartUnique/>
      </w:docPartObj>
    </w:sdtPr>
    <w:sdtEndPr>
      <w:rPr>
        <w:noProof/>
      </w:rPr>
    </w:sdtEndPr>
    <w:sdtContent>
      <w:p w:rsidR="00293A66" w:rsidRDefault="00293A66">
        <w:pPr>
          <w:pStyle w:val="Footer"/>
          <w:jc w:val="right"/>
        </w:pPr>
        <w:r>
          <w:fldChar w:fldCharType="begin"/>
        </w:r>
        <w:r>
          <w:instrText xml:space="preserve"> PAGE   \* MERGEFORMAT </w:instrText>
        </w:r>
        <w:r>
          <w:fldChar w:fldCharType="separate"/>
        </w:r>
        <w:r w:rsidR="004A31BD">
          <w:rPr>
            <w:noProof/>
          </w:rPr>
          <w:t>3</w:t>
        </w:r>
        <w:r>
          <w:rPr>
            <w:noProof/>
          </w:rPr>
          <w:fldChar w:fldCharType="end"/>
        </w:r>
      </w:p>
    </w:sdtContent>
  </w:sdt>
  <w:p w:rsidR="00293A66" w:rsidRDefault="00293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A66" w:rsidRDefault="00293A66"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sidR="004A31BD">
      <w:fldChar w:fldCharType="begin"/>
    </w:r>
    <w:r w:rsidR="004A31BD">
      <w:instrText xml:space="preserve"> STYLEREF  CoverTitle </w:instrText>
    </w:r>
    <w:r w:rsidR="004A31BD">
      <w:fldChar w:fldCharType="separate"/>
    </w:r>
    <w:r>
      <w:rPr>
        <w:noProof/>
      </w:rPr>
      <w:t>Biomarkers for detection of colorectal cancer</w:t>
    </w:r>
    <w:r w:rsidR="004A31B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256358"/>
      <w:docPartObj>
        <w:docPartGallery w:val="Page Numbers (Bottom of Page)"/>
        <w:docPartUnique/>
      </w:docPartObj>
    </w:sdtPr>
    <w:sdtEndPr>
      <w:rPr>
        <w:noProof/>
      </w:rPr>
    </w:sdtEndPr>
    <w:sdtContent>
      <w:p w:rsidR="00293A66" w:rsidRDefault="00293A66">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rsidR="00293A66" w:rsidRDefault="00293A66" w:rsidP="00AE0D97">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C5B" w:rsidRDefault="00407C5B" w:rsidP="009964E7">
      <w:r>
        <w:separator/>
      </w:r>
    </w:p>
    <w:p w:rsidR="00407C5B" w:rsidRDefault="00407C5B"/>
  </w:footnote>
  <w:footnote w:type="continuationSeparator" w:id="0">
    <w:p w:rsidR="00407C5B" w:rsidRDefault="00407C5B" w:rsidP="009964E7">
      <w:r>
        <w:continuationSeparator/>
      </w:r>
    </w:p>
    <w:p w:rsidR="00407C5B" w:rsidRDefault="00407C5B"/>
  </w:footnote>
  <w:footnote w:id="1">
    <w:p w:rsidR="00293A66" w:rsidRPr="00BC4184" w:rsidRDefault="00293A66" w:rsidP="00E8483F">
      <w:pPr>
        <w:pStyle w:val="FootnoteText"/>
        <w:spacing w:before="0" w:after="0" w:line="240" w:lineRule="auto"/>
        <w:rPr>
          <w:sz w:val="14"/>
        </w:rPr>
      </w:pPr>
      <w:r w:rsidRPr="00BC4184">
        <w:rPr>
          <w:rStyle w:val="FootnoteReference"/>
          <w:sz w:val="14"/>
        </w:rPr>
        <w:footnoteRef/>
      </w:r>
      <w:r w:rsidRPr="00BC4184">
        <w:rPr>
          <w:sz w:val="14"/>
        </w:rPr>
        <w:t xml:space="preserve"> In this case study primary CRC is the first case of detection and diagnosis. Treatment will normally involve surgical resection to remove the primary tumour.</w:t>
      </w:r>
    </w:p>
  </w:footnote>
  <w:footnote w:id="2">
    <w:p w:rsidR="00293A66" w:rsidRPr="00BC4184" w:rsidRDefault="00293A66" w:rsidP="00E8483F">
      <w:pPr>
        <w:pStyle w:val="FootnoteText"/>
        <w:spacing w:before="0" w:after="0" w:line="240" w:lineRule="auto"/>
      </w:pPr>
      <w:r w:rsidRPr="00BC4184">
        <w:rPr>
          <w:rStyle w:val="FootnoteReference"/>
          <w:sz w:val="14"/>
        </w:rPr>
        <w:footnoteRef/>
      </w:r>
      <w:r w:rsidRPr="00BC4184">
        <w:rPr>
          <w:sz w:val="14"/>
        </w:rPr>
        <w:t xml:space="preserve"> Recurrent Colorectal Cancer is cancer that has returned after a period. In this case study recurrent CRC refers to CRC that has returned post-treatment.</w:t>
      </w:r>
    </w:p>
  </w:footnote>
  <w:footnote w:id="3">
    <w:p w:rsidR="00293A66" w:rsidRPr="00BC4184" w:rsidRDefault="00293A66" w:rsidP="00E8483F">
      <w:pPr>
        <w:pStyle w:val="FootnoteText"/>
        <w:spacing w:before="0" w:after="0" w:line="240" w:lineRule="auto"/>
        <w:rPr>
          <w:sz w:val="14"/>
        </w:rPr>
      </w:pPr>
      <w:r w:rsidRPr="00BC4184">
        <w:rPr>
          <w:rStyle w:val="FootnoteReference"/>
          <w:sz w:val="14"/>
        </w:rPr>
        <w:footnoteRef/>
      </w:r>
      <w:r w:rsidRPr="00BC4184">
        <w:rPr>
          <w:sz w:val="14"/>
        </w:rPr>
        <w:t xml:space="preserve"> Where a condition shows no symptoms, or not recognisable symptoms.</w:t>
      </w:r>
    </w:p>
  </w:footnote>
  <w:footnote w:id="4">
    <w:p w:rsidR="00293A66" w:rsidRPr="001757B6" w:rsidRDefault="00293A66" w:rsidP="00E8483F">
      <w:pPr>
        <w:pStyle w:val="FootnoteText"/>
        <w:spacing w:before="0" w:after="0" w:line="240" w:lineRule="auto"/>
        <w:rPr>
          <w:rFonts w:asciiTheme="minorHAnsi" w:hAnsiTheme="minorHAnsi"/>
          <w:color w:val="auto"/>
          <w:sz w:val="14"/>
          <w:szCs w:val="16"/>
        </w:rPr>
      </w:pPr>
      <w:r w:rsidRPr="00BC4184">
        <w:rPr>
          <w:rStyle w:val="FootnoteReference"/>
          <w:sz w:val="14"/>
          <w:szCs w:val="16"/>
        </w:rPr>
        <w:footnoteRef/>
      </w:r>
      <w:r w:rsidRPr="00BC4184">
        <w:rPr>
          <w:sz w:val="14"/>
          <w:szCs w:val="16"/>
        </w:rPr>
        <w:t xml:space="preserve"> The time over which this project spans requires broad reference to particular contributors by name. ‘Flinders’ refers to collaboration with Flinders Centre for Cancer Prevention and Control, and Flinders Centre for Innovation in Cancer (both within Flinders Medical Centre). Flinders University Gastroenterology and Hepatology Department (Flinders School of Medicine) is referred to specifically and contributed to research related to commercialisation only. ‘CSIRO’ allows for contributions from the </w:t>
      </w:r>
      <w:r w:rsidRPr="00BC4184">
        <w:rPr>
          <w:rFonts w:cs="Arial"/>
          <w:color w:val="auto"/>
          <w:sz w:val="14"/>
          <w:szCs w:val="16"/>
          <w:lang w:val="en"/>
        </w:rPr>
        <w:t>Preventative Health National Research Flagship – known as CSIRO Health and Biosecurity Business Unit since mid-2015.</w:t>
      </w:r>
    </w:p>
  </w:footnote>
  <w:footnote w:id="5">
    <w:p w:rsidR="00293A66" w:rsidRPr="00BC4184" w:rsidRDefault="00293A66" w:rsidP="00E8483F">
      <w:pPr>
        <w:pStyle w:val="FootnoteText"/>
        <w:spacing w:before="0" w:after="0" w:line="240" w:lineRule="auto"/>
        <w:rPr>
          <w:sz w:val="18"/>
          <w:szCs w:val="16"/>
        </w:rPr>
      </w:pPr>
      <w:r w:rsidRPr="00BC4184">
        <w:rPr>
          <w:rStyle w:val="FootnoteReference"/>
          <w:sz w:val="14"/>
          <w:szCs w:val="16"/>
        </w:rPr>
        <w:footnoteRef/>
      </w:r>
      <w:r w:rsidRPr="00BC4184">
        <w:rPr>
          <w:sz w:val="14"/>
          <w:szCs w:val="16"/>
        </w:rPr>
        <w:t xml:space="preserve"> CSIRO’s R&amp;D expenditure in context. This does not including expenditure born by clinical trials and implementation, etc.</w:t>
      </w:r>
    </w:p>
  </w:footnote>
  <w:footnote w:id="6">
    <w:p w:rsidR="00293A66" w:rsidRDefault="00293A66" w:rsidP="00E8483F">
      <w:pPr>
        <w:pStyle w:val="ListDash"/>
        <w:spacing w:before="0" w:after="0" w:line="240" w:lineRule="auto"/>
        <w:ind w:left="0" w:firstLine="0"/>
      </w:pPr>
      <w:r w:rsidRPr="00BC4184">
        <w:rPr>
          <w:rStyle w:val="FootnoteReference"/>
          <w:sz w:val="14"/>
        </w:rPr>
        <w:footnoteRef/>
      </w:r>
      <w:r w:rsidRPr="00BC4184">
        <w:rPr>
          <w:sz w:val="14"/>
        </w:rPr>
        <w:t xml:space="preserve"> </w:t>
      </w:r>
      <w:r w:rsidRPr="00BC4184">
        <w:rPr>
          <w:sz w:val="14"/>
          <w:szCs w:val="24"/>
        </w:rPr>
        <w:t>Note that these benefits do not include the potentially greater benefits if the two gene test is subsequently applied in a primary screening context following regulatory approval and royalty flows back to CSIRO from international sales.</w:t>
      </w:r>
    </w:p>
  </w:footnote>
  <w:footnote w:id="7">
    <w:p w:rsidR="00293A66" w:rsidRPr="001B7E04" w:rsidRDefault="00293A66" w:rsidP="004036DC">
      <w:pPr>
        <w:pStyle w:val="FootnoteText"/>
        <w:spacing w:before="0" w:after="0" w:line="240" w:lineRule="auto"/>
        <w:rPr>
          <w:sz w:val="18"/>
        </w:rPr>
      </w:pPr>
      <w:r w:rsidRPr="001B7E04">
        <w:rPr>
          <w:rStyle w:val="FootnoteReference"/>
          <w:sz w:val="14"/>
        </w:rPr>
        <w:footnoteRef/>
      </w:r>
      <w:r w:rsidRPr="001B7E04">
        <w:rPr>
          <w:sz w:val="14"/>
        </w:rPr>
        <w:t xml:space="preserve"> Gene with potential to cause cancer.</w:t>
      </w:r>
    </w:p>
  </w:footnote>
  <w:footnote w:id="8">
    <w:p w:rsidR="00293A66" w:rsidRDefault="00293A66" w:rsidP="004036DC">
      <w:pPr>
        <w:pStyle w:val="FootnoteText"/>
        <w:spacing w:before="0" w:after="0" w:line="240" w:lineRule="auto"/>
      </w:pPr>
      <w:r w:rsidRPr="00F60E17">
        <w:rPr>
          <w:rStyle w:val="FootnoteReference"/>
          <w:sz w:val="12"/>
        </w:rPr>
        <w:footnoteRef/>
      </w:r>
      <w:r w:rsidRPr="00F60E17">
        <w:rPr>
          <w:sz w:val="12"/>
        </w:rPr>
        <w:t xml:space="preserve"> The intention of collaboration starting from 2004 was discovery and commercialisation of biomarkers for CRC. The CSIRO was not involved in any direct commercial activities, including clinical trials and studies about market products. It is considered useful to refer to discovery and shortlisting of markers as separate from commercialisation in an effort to recognise CSIRO contributions. It is noted that discovery can occur within commercialisation activities.</w:t>
      </w:r>
    </w:p>
  </w:footnote>
  <w:footnote w:id="9">
    <w:p w:rsidR="00293A66" w:rsidRDefault="00293A66" w:rsidP="004036DC"/>
  </w:footnote>
  <w:footnote w:id="10">
    <w:p w:rsidR="00293A66" w:rsidRDefault="00293A66" w:rsidP="004036DC">
      <w:pPr>
        <w:pStyle w:val="FootnoteText"/>
        <w:spacing w:before="0" w:after="0" w:line="240" w:lineRule="auto"/>
      </w:pPr>
      <w:r w:rsidRPr="00AA3571">
        <w:rPr>
          <w:rStyle w:val="FootnoteReference"/>
          <w:sz w:val="12"/>
        </w:rPr>
        <w:footnoteRef/>
      </w:r>
      <w:r w:rsidRPr="00AA3571">
        <w:rPr>
          <w:sz w:val="12"/>
        </w:rPr>
        <w:t xml:space="preserve"> 2 additional highly cited publications</w:t>
      </w:r>
    </w:p>
  </w:footnote>
  <w:footnote w:id="11">
    <w:p w:rsidR="00293A66" w:rsidRPr="00682F37" w:rsidRDefault="00293A66" w:rsidP="00E20F47">
      <w:pPr>
        <w:pStyle w:val="FootnoteText"/>
        <w:spacing w:before="0" w:after="0" w:line="240" w:lineRule="auto"/>
        <w:rPr>
          <w:sz w:val="12"/>
        </w:rPr>
      </w:pPr>
      <w:r w:rsidRPr="00682F37">
        <w:rPr>
          <w:rStyle w:val="FootnoteReference"/>
          <w:sz w:val="12"/>
        </w:rPr>
        <w:footnoteRef/>
      </w:r>
      <w:r w:rsidRPr="00682F37">
        <w:rPr>
          <w:sz w:val="12"/>
        </w:rPr>
        <w:t xml:space="preserve"> </w:t>
      </w:r>
      <w:r>
        <w:rPr>
          <w:sz w:val="12"/>
        </w:rPr>
        <w:t>I</w:t>
      </w:r>
      <w:r w:rsidRPr="00682F37">
        <w:rPr>
          <w:sz w:val="12"/>
        </w:rPr>
        <w:t>ncluding development of a prostate cancer DNA methylation biomarker</w:t>
      </w:r>
      <w:r>
        <w:rPr>
          <w:sz w:val="12"/>
        </w:rPr>
        <w:t>.</w:t>
      </w:r>
    </w:p>
  </w:footnote>
  <w:footnote w:id="12">
    <w:p w:rsidR="00293A66" w:rsidRPr="00A14D89" w:rsidRDefault="00293A66" w:rsidP="00E20F47">
      <w:pPr>
        <w:pStyle w:val="FootnoteText"/>
        <w:spacing w:before="0" w:after="0" w:line="240" w:lineRule="auto"/>
        <w:rPr>
          <w:sz w:val="12"/>
        </w:rPr>
      </w:pPr>
      <w:r w:rsidRPr="00161341">
        <w:rPr>
          <w:rStyle w:val="FootnoteReference"/>
          <w:sz w:val="14"/>
        </w:rPr>
        <w:footnoteRef/>
      </w:r>
      <w:r w:rsidRPr="00161341">
        <w:rPr>
          <w:sz w:val="14"/>
        </w:rPr>
        <w:t xml:space="preserve"> In Stage 4 CRC patients, neoadjuvant chemotherapy may be used to shrink the metastatic tumours sufficiently to allow for curative intent surgery. Most patients diagnosed with Stage 1, 2 or 3, and an increasing percentage of Stage 4 primary CRC are candidates for curative intent surgery. Following surgery for primary CRC, a large percentage of patients are considered to have no evidence of disease.</w:t>
      </w:r>
    </w:p>
  </w:footnote>
  <w:footnote w:id="13">
    <w:p w:rsidR="00293A66" w:rsidRDefault="00293A66" w:rsidP="00E20F47">
      <w:pPr>
        <w:pStyle w:val="FootnoteText"/>
        <w:spacing w:before="0" w:after="0" w:line="240" w:lineRule="auto"/>
      </w:pPr>
      <w:r w:rsidRPr="005A5D99">
        <w:rPr>
          <w:rStyle w:val="FootnoteReference"/>
          <w:sz w:val="12"/>
        </w:rPr>
        <w:footnoteRef/>
      </w:r>
      <w:r w:rsidRPr="005A5D99">
        <w:rPr>
          <w:sz w:val="12"/>
        </w:rPr>
        <w:t xml:space="preserve"> </w:t>
      </w:r>
      <w:r>
        <w:rPr>
          <w:rFonts w:asciiTheme="minorHAnsi" w:hAnsiTheme="minorHAnsi"/>
          <w:sz w:val="12"/>
          <w:szCs w:val="24"/>
        </w:rPr>
        <w:t>I</w:t>
      </w:r>
      <w:r w:rsidRPr="005A5D99">
        <w:rPr>
          <w:rFonts w:asciiTheme="minorHAnsi" w:hAnsiTheme="minorHAnsi"/>
          <w:sz w:val="12"/>
          <w:szCs w:val="24"/>
        </w:rPr>
        <w:t>ncluding development of a prostate cancer DNA methylation biomarker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1205301"/>
    <w:multiLevelType w:val="hybridMultilevel"/>
    <w:tmpl w:val="78F4C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C535B"/>
    <w:multiLevelType w:val="multilevel"/>
    <w:tmpl w:val="CC5C7C98"/>
    <w:styleLink w:val="ACILAllenDashedList"/>
    <w:lvl w:ilvl="0">
      <w:start w:val="1"/>
      <w:numFmt w:val="bullet"/>
      <w:lvlText w:val=""/>
      <w:lvlJc w:val="left"/>
      <w:pPr>
        <w:ind w:left="3119" w:hanging="284"/>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7"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HelveticaNeueLT Std Lt Cn" w:hAnsi="HelveticaNeueLT Std Lt Cn" w:hint="default"/>
      </w:rPr>
    </w:lvl>
    <w:lvl w:ilvl="1">
      <w:start w:val="1"/>
      <w:numFmt w:val="bullet"/>
      <w:pStyle w:val="BoxListBullet2"/>
      <w:lvlText w:val="–"/>
      <w:lvlJc w:val="left"/>
      <w:pPr>
        <w:ind w:left="726" w:hanging="280"/>
      </w:pPr>
      <w:rPr>
        <w:rFonts w:ascii="HelveticaNeueLT Std Lt Cn" w:hAnsi="HelveticaNeueLT Std Lt Cn" w:hint="default"/>
        <w:sz w:val="16"/>
      </w:rPr>
    </w:lvl>
    <w:lvl w:ilvl="2">
      <w:start w:val="1"/>
      <w:numFmt w:val="bullet"/>
      <w:pStyle w:val="BoxListBullet3"/>
      <w:lvlText w:val="–"/>
      <w:lvlJc w:val="left"/>
      <w:pPr>
        <w:ind w:left="966" w:hanging="240"/>
      </w:pPr>
      <w:rPr>
        <w:rFonts w:ascii="HelveticaNeueLT Std Lt Cn" w:hAnsi="HelveticaNeueLT Std Lt Cn"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0" w15:restartNumberingAfterBreak="0">
    <w:nsid w:val="21D40117"/>
    <w:multiLevelType w:val="hybridMultilevel"/>
    <w:tmpl w:val="4E082056"/>
    <w:lvl w:ilvl="0" w:tplc="02502F4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103F2B"/>
    <w:multiLevelType w:val="multilevel"/>
    <w:tmpl w:val="A23A1EBA"/>
    <w:styleLink w:val="aaReportListBullets"/>
    <w:lvl w:ilvl="0">
      <w:start w:val="1"/>
      <w:numFmt w:val="bullet"/>
      <w:lvlText w:val="—"/>
      <w:lvlJc w:val="left"/>
      <w:pPr>
        <w:ind w:left="0" w:hanging="446"/>
      </w:pPr>
      <w:rPr>
        <w:rFonts w:ascii="Arial Narrow" w:hAnsi="Arial Narrow" w:hint="default"/>
        <w:sz w:val="20"/>
      </w:rPr>
    </w:lvl>
    <w:lvl w:ilvl="1">
      <w:start w:val="1"/>
      <w:numFmt w:val="bullet"/>
      <w:lvlText w:val="–"/>
      <w:lvlJc w:val="left"/>
      <w:pPr>
        <w:ind w:left="240" w:hanging="240"/>
      </w:pPr>
      <w:rPr>
        <w:rFonts w:ascii="Arial Narrow" w:hAnsi="Arial Narrow" w:hint="default"/>
        <w:sz w:val="16"/>
      </w:rPr>
    </w:lvl>
    <w:lvl w:ilvl="2">
      <w:start w:val="1"/>
      <w:numFmt w:val="bullet"/>
      <w:lvlText w:val="–"/>
      <w:lvlJc w:val="left"/>
      <w:pPr>
        <w:ind w:left="480" w:hanging="240"/>
      </w:pPr>
      <w:rPr>
        <w:rFonts w:ascii="Arial Narrow" w:hAnsi="Arial Narrow" w:hint="default"/>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2"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HelveticaNeueLT Std Lt Cn" w:hAnsi="HelveticaNeueLT Std Lt Cn" w:hint="default"/>
      </w:rPr>
    </w:lvl>
    <w:lvl w:ilvl="1">
      <w:start w:val="1"/>
      <w:numFmt w:val="bullet"/>
      <w:pStyle w:val="Tablelistbullet2"/>
      <w:lvlText w:val="–"/>
      <w:lvlJc w:val="left"/>
      <w:pPr>
        <w:ind w:left="520" w:hanging="240"/>
      </w:pPr>
      <w:rPr>
        <w:rFonts w:ascii="HelveticaNeueLT Std Lt Cn" w:hAnsi="HelveticaNeueLT Std Lt Cn" w:hint="default"/>
        <w:color w:val="000100"/>
      </w:rPr>
    </w:lvl>
    <w:lvl w:ilvl="2">
      <w:start w:val="1"/>
      <w:numFmt w:val="bullet"/>
      <w:pStyle w:val="Tablelistbullet3"/>
      <w:lvlText w:val="–"/>
      <w:lvlJc w:val="left"/>
      <w:pPr>
        <w:ind w:left="760" w:hanging="240"/>
      </w:pPr>
      <w:rPr>
        <w:rFonts w:ascii="HelveticaNeueLT Std Lt Cn" w:hAnsi="HelveticaNeueLT Std Lt Cn"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3" w15:restartNumberingAfterBreak="0">
    <w:nsid w:val="270A52E1"/>
    <w:multiLevelType w:val="hybridMultilevel"/>
    <w:tmpl w:val="A426BD4C"/>
    <w:lvl w:ilvl="0" w:tplc="D21C2908">
      <w:start w:val="1"/>
      <w:numFmt w:val="decimal"/>
      <w:lvlText w:val="%1."/>
      <w:lvlJc w:val="left"/>
      <w:pPr>
        <w:ind w:left="0" w:firstLine="0"/>
      </w:pPr>
      <w:rPr>
        <w:rFonts w:hint="default"/>
      </w:rPr>
    </w:lvl>
    <w:lvl w:ilvl="1" w:tplc="848C4DB4" w:tentative="1">
      <w:start w:val="1"/>
      <w:numFmt w:val="lowerLetter"/>
      <w:lvlText w:val="%2."/>
      <w:lvlJc w:val="left"/>
      <w:pPr>
        <w:ind w:left="1080" w:hanging="360"/>
      </w:pPr>
    </w:lvl>
    <w:lvl w:ilvl="2" w:tplc="808E62A8" w:tentative="1">
      <w:start w:val="1"/>
      <w:numFmt w:val="lowerRoman"/>
      <w:lvlText w:val="%3."/>
      <w:lvlJc w:val="right"/>
      <w:pPr>
        <w:ind w:left="1800" w:hanging="180"/>
      </w:pPr>
    </w:lvl>
    <w:lvl w:ilvl="3" w:tplc="60A64B9C" w:tentative="1">
      <w:start w:val="1"/>
      <w:numFmt w:val="decimal"/>
      <w:lvlText w:val="%4."/>
      <w:lvlJc w:val="left"/>
      <w:pPr>
        <w:ind w:left="2520" w:hanging="360"/>
      </w:pPr>
    </w:lvl>
    <w:lvl w:ilvl="4" w:tplc="299C90A2" w:tentative="1">
      <w:start w:val="1"/>
      <w:numFmt w:val="lowerLetter"/>
      <w:lvlText w:val="%5."/>
      <w:lvlJc w:val="left"/>
      <w:pPr>
        <w:ind w:left="3240" w:hanging="360"/>
      </w:pPr>
    </w:lvl>
    <w:lvl w:ilvl="5" w:tplc="3580E712" w:tentative="1">
      <w:start w:val="1"/>
      <w:numFmt w:val="lowerRoman"/>
      <w:lvlText w:val="%6."/>
      <w:lvlJc w:val="right"/>
      <w:pPr>
        <w:ind w:left="3960" w:hanging="180"/>
      </w:pPr>
    </w:lvl>
    <w:lvl w:ilvl="6" w:tplc="46629BE2" w:tentative="1">
      <w:start w:val="1"/>
      <w:numFmt w:val="decimal"/>
      <w:lvlText w:val="%7."/>
      <w:lvlJc w:val="left"/>
      <w:pPr>
        <w:ind w:left="4680" w:hanging="360"/>
      </w:pPr>
    </w:lvl>
    <w:lvl w:ilvl="7" w:tplc="96AA9FBC" w:tentative="1">
      <w:start w:val="1"/>
      <w:numFmt w:val="lowerLetter"/>
      <w:lvlText w:val="%8."/>
      <w:lvlJc w:val="left"/>
      <w:pPr>
        <w:ind w:left="5400" w:hanging="360"/>
      </w:pPr>
    </w:lvl>
    <w:lvl w:ilvl="8" w:tplc="7590946C" w:tentative="1">
      <w:start w:val="1"/>
      <w:numFmt w:val="lowerRoman"/>
      <w:lvlText w:val="%9."/>
      <w:lvlJc w:val="right"/>
      <w:pPr>
        <w:ind w:left="6120" w:hanging="180"/>
      </w:pPr>
    </w:lvl>
  </w:abstractNum>
  <w:abstractNum w:abstractNumId="14"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8ED3CBE"/>
    <w:multiLevelType w:val="hybridMultilevel"/>
    <w:tmpl w:val="BB508B58"/>
    <w:lvl w:ilvl="0" w:tplc="ACE8F202">
      <w:start w:val="1"/>
      <w:numFmt w:val="bullet"/>
      <w:lvlText w:val="•"/>
      <w:lvlJc w:val="left"/>
      <w:pPr>
        <w:tabs>
          <w:tab w:val="num" w:pos="360"/>
        </w:tabs>
        <w:ind w:left="360" w:hanging="360"/>
      </w:pPr>
      <w:rPr>
        <w:rFonts w:ascii="Arial" w:hAnsi="Arial" w:hint="default"/>
      </w:rPr>
    </w:lvl>
    <w:lvl w:ilvl="1" w:tplc="D0248972" w:tentative="1">
      <w:start w:val="1"/>
      <w:numFmt w:val="bullet"/>
      <w:lvlText w:val="•"/>
      <w:lvlJc w:val="left"/>
      <w:pPr>
        <w:tabs>
          <w:tab w:val="num" w:pos="1440"/>
        </w:tabs>
        <w:ind w:left="1440" w:hanging="360"/>
      </w:pPr>
      <w:rPr>
        <w:rFonts w:ascii="Arial" w:hAnsi="Arial" w:hint="default"/>
      </w:rPr>
    </w:lvl>
    <w:lvl w:ilvl="2" w:tplc="71960FA8" w:tentative="1">
      <w:start w:val="1"/>
      <w:numFmt w:val="bullet"/>
      <w:lvlText w:val="•"/>
      <w:lvlJc w:val="left"/>
      <w:pPr>
        <w:tabs>
          <w:tab w:val="num" w:pos="2160"/>
        </w:tabs>
        <w:ind w:left="2160" w:hanging="360"/>
      </w:pPr>
      <w:rPr>
        <w:rFonts w:ascii="Arial" w:hAnsi="Arial" w:hint="default"/>
      </w:rPr>
    </w:lvl>
    <w:lvl w:ilvl="3" w:tplc="F4D06AC2" w:tentative="1">
      <w:start w:val="1"/>
      <w:numFmt w:val="bullet"/>
      <w:lvlText w:val="•"/>
      <w:lvlJc w:val="left"/>
      <w:pPr>
        <w:tabs>
          <w:tab w:val="num" w:pos="2880"/>
        </w:tabs>
        <w:ind w:left="2880" w:hanging="360"/>
      </w:pPr>
      <w:rPr>
        <w:rFonts w:ascii="Arial" w:hAnsi="Arial" w:hint="default"/>
      </w:rPr>
    </w:lvl>
    <w:lvl w:ilvl="4" w:tplc="28F00A86" w:tentative="1">
      <w:start w:val="1"/>
      <w:numFmt w:val="bullet"/>
      <w:lvlText w:val="•"/>
      <w:lvlJc w:val="left"/>
      <w:pPr>
        <w:tabs>
          <w:tab w:val="num" w:pos="3600"/>
        </w:tabs>
        <w:ind w:left="3600" w:hanging="360"/>
      </w:pPr>
      <w:rPr>
        <w:rFonts w:ascii="Arial" w:hAnsi="Arial" w:hint="default"/>
      </w:rPr>
    </w:lvl>
    <w:lvl w:ilvl="5" w:tplc="1CA6931E" w:tentative="1">
      <w:start w:val="1"/>
      <w:numFmt w:val="bullet"/>
      <w:lvlText w:val="•"/>
      <w:lvlJc w:val="left"/>
      <w:pPr>
        <w:tabs>
          <w:tab w:val="num" w:pos="4320"/>
        </w:tabs>
        <w:ind w:left="4320" w:hanging="360"/>
      </w:pPr>
      <w:rPr>
        <w:rFonts w:ascii="Arial" w:hAnsi="Arial" w:hint="default"/>
      </w:rPr>
    </w:lvl>
    <w:lvl w:ilvl="6" w:tplc="5F0A7022" w:tentative="1">
      <w:start w:val="1"/>
      <w:numFmt w:val="bullet"/>
      <w:lvlText w:val="•"/>
      <w:lvlJc w:val="left"/>
      <w:pPr>
        <w:tabs>
          <w:tab w:val="num" w:pos="5040"/>
        </w:tabs>
        <w:ind w:left="5040" w:hanging="360"/>
      </w:pPr>
      <w:rPr>
        <w:rFonts w:ascii="Arial" w:hAnsi="Arial" w:hint="default"/>
      </w:rPr>
    </w:lvl>
    <w:lvl w:ilvl="7" w:tplc="2C8A39DC" w:tentative="1">
      <w:start w:val="1"/>
      <w:numFmt w:val="bullet"/>
      <w:lvlText w:val="•"/>
      <w:lvlJc w:val="left"/>
      <w:pPr>
        <w:tabs>
          <w:tab w:val="num" w:pos="5760"/>
        </w:tabs>
        <w:ind w:left="5760" w:hanging="360"/>
      </w:pPr>
      <w:rPr>
        <w:rFonts w:ascii="Arial" w:hAnsi="Arial" w:hint="default"/>
      </w:rPr>
    </w:lvl>
    <w:lvl w:ilvl="8" w:tplc="18C0C0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232C7D"/>
    <w:multiLevelType w:val="multilevel"/>
    <w:tmpl w:val="AB0EE45E"/>
    <w:numStyleLink w:val="BoxListBullets"/>
  </w:abstractNum>
  <w:abstractNum w:abstractNumId="17"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1A80C42"/>
    <w:multiLevelType w:val="multilevel"/>
    <w:tmpl w:val="55DAED7E"/>
    <w:numStyleLink w:val="aaTableListBullets"/>
  </w:abstractNum>
  <w:abstractNum w:abstractNumId="1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0" w15:restartNumberingAfterBreak="0">
    <w:nsid w:val="4374047F"/>
    <w:multiLevelType w:val="hybridMultilevel"/>
    <w:tmpl w:val="6220EB8C"/>
    <w:lvl w:ilvl="0" w:tplc="D8D898BA">
      <w:start w:val="1"/>
      <w:numFmt w:val="bullet"/>
      <w:lvlText w:val=""/>
      <w:lvlJc w:val="left"/>
      <w:pPr>
        <w:ind w:left="720" w:hanging="360"/>
      </w:pPr>
      <w:rPr>
        <w:rFonts w:ascii="Symbol" w:hAnsi="Symbol" w:hint="default"/>
      </w:rPr>
    </w:lvl>
    <w:lvl w:ilvl="1" w:tplc="9CFE3D00" w:tentative="1">
      <w:start w:val="1"/>
      <w:numFmt w:val="bullet"/>
      <w:lvlText w:val="o"/>
      <w:lvlJc w:val="left"/>
      <w:pPr>
        <w:ind w:left="1440" w:hanging="360"/>
      </w:pPr>
      <w:rPr>
        <w:rFonts w:ascii="Courier New" w:hAnsi="Courier New" w:cs="Courier New" w:hint="default"/>
      </w:rPr>
    </w:lvl>
    <w:lvl w:ilvl="2" w:tplc="A46C43D6" w:tentative="1">
      <w:start w:val="1"/>
      <w:numFmt w:val="bullet"/>
      <w:lvlText w:val=""/>
      <w:lvlJc w:val="left"/>
      <w:pPr>
        <w:ind w:left="2160" w:hanging="360"/>
      </w:pPr>
      <w:rPr>
        <w:rFonts w:ascii="Wingdings" w:hAnsi="Wingdings" w:hint="default"/>
      </w:rPr>
    </w:lvl>
    <w:lvl w:ilvl="3" w:tplc="E6388B78" w:tentative="1">
      <w:start w:val="1"/>
      <w:numFmt w:val="bullet"/>
      <w:lvlText w:val=""/>
      <w:lvlJc w:val="left"/>
      <w:pPr>
        <w:ind w:left="2880" w:hanging="360"/>
      </w:pPr>
      <w:rPr>
        <w:rFonts w:ascii="Symbol" w:hAnsi="Symbol" w:hint="default"/>
      </w:rPr>
    </w:lvl>
    <w:lvl w:ilvl="4" w:tplc="0C242C2A" w:tentative="1">
      <w:start w:val="1"/>
      <w:numFmt w:val="bullet"/>
      <w:lvlText w:val="o"/>
      <w:lvlJc w:val="left"/>
      <w:pPr>
        <w:ind w:left="3600" w:hanging="360"/>
      </w:pPr>
      <w:rPr>
        <w:rFonts w:ascii="Courier New" w:hAnsi="Courier New" w:cs="Courier New" w:hint="default"/>
      </w:rPr>
    </w:lvl>
    <w:lvl w:ilvl="5" w:tplc="AEE40420" w:tentative="1">
      <w:start w:val="1"/>
      <w:numFmt w:val="bullet"/>
      <w:lvlText w:val=""/>
      <w:lvlJc w:val="left"/>
      <w:pPr>
        <w:ind w:left="4320" w:hanging="360"/>
      </w:pPr>
      <w:rPr>
        <w:rFonts w:ascii="Wingdings" w:hAnsi="Wingdings" w:hint="default"/>
      </w:rPr>
    </w:lvl>
    <w:lvl w:ilvl="6" w:tplc="7D1AB174" w:tentative="1">
      <w:start w:val="1"/>
      <w:numFmt w:val="bullet"/>
      <w:lvlText w:val=""/>
      <w:lvlJc w:val="left"/>
      <w:pPr>
        <w:ind w:left="5040" w:hanging="360"/>
      </w:pPr>
      <w:rPr>
        <w:rFonts w:ascii="Symbol" w:hAnsi="Symbol" w:hint="default"/>
      </w:rPr>
    </w:lvl>
    <w:lvl w:ilvl="7" w:tplc="1FC89754" w:tentative="1">
      <w:start w:val="1"/>
      <w:numFmt w:val="bullet"/>
      <w:lvlText w:val="o"/>
      <w:lvlJc w:val="left"/>
      <w:pPr>
        <w:ind w:left="5760" w:hanging="360"/>
      </w:pPr>
      <w:rPr>
        <w:rFonts w:ascii="Courier New" w:hAnsi="Courier New" w:cs="Courier New" w:hint="default"/>
      </w:rPr>
    </w:lvl>
    <w:lvl w:ilvl="8" w:tplc="E1E6B69E" w:tentative="1">
      <w:start w:val="1"/>
      <w:numFmt w:val="bullet"/>
      <w:lvlText w:val=""/>
      <w:lvlJc w:val="left"/>
      <w:pPr>
        <w:ind w:left="6480" w:hanging="360"/>
      </w:pPr>
      <w:rPr>
        <w:rFonts w:ascii="Wingdings" w:hAnsi="Wingdings" w:hint="default"/>
      </w:rPr>
    </w:lvl>
  </w:abstractNum>
  <w:abstractNum w:abstractNumId="21" w15:restartNumberingAfterBreak="0">
    <w:nsid w:val="448C61FD"/>
    <w:multiLevelType w:val="multilevel"/>
    <w:tmpl w:val="1FA672DC"/>
    <w:styleLink w:val="ACILAllenTableBulletedList"/>
    <w:lvl w:ilvl="0">
      <w:start w:val="1"/>
      <w:numFmt w:val="bullet"/>
      <w:lvlText w:val=""/>
      <w:lvlJc w:val="left"/>
      <w:pPr>
        <w:ind w:left="227" w:hanging="227"/>
      </w:pPr>
      <w:rPr>
        <w:rFonts w:ascii="Wingdings" w:hAnsi="Wingdings" w:hint="default"/>
        <w:color w:val="auto"/>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487037AA"/>
    <w:multiLevelType w:val="hybridMultilevel"/>
    <w:tmpl w:val="6C462E84"/>
    <w:lvl w:ilvl="0" w:tplc="016E331A">
      <w:start w:val="1"/>
      <w:numFmt w:val="bullet"/>
      <w:lvlText w:val=""/>
      <w:lvlJc w:val="left"/>
      <w:pPr>
        <w:ind w:left="720" w:hanging="360"/>
      </w:pPr>
      <w:rPr>
        <w:rFonts w:ascii="Symbol" w:hAnsi="Symbol" w:hint="default"/>
      </w:rPr>
    </w:lvl>
    <w:lvl w:ilvl="1" w:tplc="BD725D54" w:tentative="1">
      <w:start w:val="1"/>
      <w:numFmt w:val="bullet"/>
      <w:lvlText w:val="o"/>
      <w:lvlJc w:val="left"/>
      <w:pPr>
        <w:ind w:left="1440" w:hanging="360"/>
      </w:pPr>
      <w:rPr>
        <w:rFonts w:ascii="Courier New" w:hAnsi="Courier New" w:cs="Courier New" w:hint="default"/>
      </w:rPr>
    </w:lvl>
    <w:lvl w:ilvl="2" w:tplc="F18626C2" w:tentative="1">
      <w:start w:val="1"/>
      <w:numFmt w:val="bullet"/>
      <w:lvlText w:val=""/>
      <w:lvlJc w:val="left"/>
      <w:pPr>
        <w:ind w:left="2160" w:hanging="360"/>
      </w:pPr>
      <w:rPr>
        <w:rFonts w:ascii="Wingdings" w:hAnsi="Wingdings" w:hint="default"/>
      </w:rPr>
    </w:lvl>
    <w:lvl w:ilvl="3" w:tplc="6B24AA10" w:tentative="1">
      <w:start w:val="1"/>
      <w:numFmt w:val="bullet"/>
      <w:lvlText w:val=""/>
      <w:lvlJc w:val="left"/>
      <w:pPr>
        <w:ind w:left="2880" w:hanging="360"/>
      </w:pPr>
      <w:rPr>
        <w:rFonts w:ascii="Symbol" w:hAnsi="Symbol" w:hint="default"/>
      </w:rPr>
    </w:lvl>
    <w:lvl w:ilvl="4" w:tplc="A0103888" w:tentative="1">
      <w:start w:val="1"/>
      <w:numFmt w:val="bullet"/>
      <w:lvlText w:val="o"/>
      <w:lvlJc w:val="left"/>
      <w:pPr>
        <w:ind w:left="3600" w:hanging="360"/>
      </w:pPr>
      <w:rPr>
        <w:rFonts w:ascii="Courier New" w:hAnsi="Courier New" w:cs="Courier New" w:hint="default"/>
      </w:rPr>
    </w:lvl>
    <w:lvl w:ilvl="5" w:tplc="409CEEB6" w:tentative="1">
      <w:start w:val="1"/>
      <w:numFmt w:val="bullet"/>
      <w:lvlText w:val=""/>
      <w:lvlJc w:val="left"/>
      <w:pPr>
        <w:ind w:left="4320" w:hanging="360"/>
      </w:pPr>
      <w:rPr>
        <w:rFonts w:ascii="Wingdings" w:hAnsi="Wingdings" w:hint="default"/>
      </w:rPr>
    </w:lvl>
    <w:lvl w:ilvl="6" w:tplc="66961862" w:tentative="1">
      <w:start w:val="1"/>
      <w:numFmt w:val="bullet"/>
      <w:lvlText w:val=""/>
      <w:lvlJc w:val="left"/>
      <w:pPr>
        <w:ind w:left="5040" w:hanging="360"/>
      </w:pPr>
      <w:rPr>
        <w:rFonts w:ascii="Symbol" w:hAnsi="Symbol" w:hint="default"/>
      </w:rPr>
    </w:lvl>
    <w:lvl w:ilvl="7" w:tplc="CF08E034" w:tentative="1">
      <w:start w:val="1"/>
      <w:numFmt w:val="bullet"/>
      <w:lvlText w:val="o"/>
      <w:lvlJc w:val="left"/>
      <w:pPr>
        <w:ind w:left="5760" w:hanging="360"/>
      </w:pPr>
      <w:rPr>
        <w:rFonts w:ascii="Courier New" w:hAnsi="Courier New" w:cs="Courier New" w:hint="default"/>
      </w:rPr>
    </w:lvl>
    <w:lvl w:ilvl="8" w:tplc="AF2E2BB0" w:tentative="1">
      <w:start w:val="1"/>
      <w:numFmt w:val="bullet"/>
      <w:lvlText w:val=""/>
      <w:lvlJc w:val="left"/>
      <w:pPr>
        <w:ind w:left="6480" w:hanging="360"/>
      </w:pPr>
      <w:rPr>
        <w:rFonts w:ascii="Wingdings" w:hAnsi="Wingdings" w:hint="default"/>
      </w:rPr>
    </w:lvl>
  </w:abstractNum>
  <w:abstractNum w:abstractNumId="23" w15:restartNumberingAfterBreak="0">
    <w:nsid w:val="4EFB277C"/>
    <w:multiLevelType w:val="hybridMultilevel"/>
    <w:tmpl w:val="AF96B802"/>
    <w:lvl w:ilvl="0" w:tplc="0C090001">
      <w:start w:val="1"/>
      <w:numFmt w:val="decimal"/>
      <w:lvlText w:val="%1."/>
      <w:lvlJc w:val="left"/>
      <w:pPr>
        <w:ind w:left="720" w:hanging="360"/>
      </w:pPr>
      <w:rPr>
        <w:sz w:val="20"/>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92E0FDBE">
      <w:start w:val="1"/>
      <w:numFmt w:val="bullet"/>
      <w:pStyle w:val="ListNumber3"/>
      <w:lvlText w:val=""/>
      <w:lvlJc w:val="left"/>
      <w:pPr>
        <w:ind w:left="1267" w:hanging="360"/>
      </w:pPr>
      <w:rPr>
        <w:rFonts w:ascii="Symbol" w:hAnsi="Symbol" w:hint="default"/>
      </w:rPr>
    </w:lvl>
    <w:lvl w:ilvl="1" w:tplc="E678281A" w:tentative="1">
      <w:start w:val="1"/>
      <w:numFmt w:val="bullet"/>
      <w:lvlText w:val="o"/>
      <w:lvlJc w:val="left"/>
      <w:pPr>
        <w:ind w:left="1440" w:hanging="360"/>
      </w:pPr>
      <w:rPr>
        <w:rFonts w:ascii="Courier New" w:hAnsi="Courier New" w:cs="Courier New" w:hint="default"/>
      </w:rPr>
    </w:lvl>
    <w:lvl w:ilvl="2" w:tplc="D23E0CB2" w:tentative="1">
      <w:start w:val="1"/>
      <w:numFmt w:val="bullet"/>
      <w:lvlText w:val=""/>
      <w:lvlJc w:val="left"/>
      <w:pPr>
        <w:ind w:left="2160" w:hanging="360"/>
      </w:pPr>
      <w:rPr>
        <w:rFonts w:ascii="Wingdings" w:hAnsi="Wingdings" w:hint="default"/>
      </w:rPr>
    </w:lvl>
    <w:lvl w:ilvl="3" w:tplc="802A4FEE" w:tentative="1">
      <w:start w:val="1"/>
      <w:numFmt w:val="bullet"/>
      <w:lvlText w:val=""/>
      <w:lvlJc w:val="left"/>
      <w:pPr>
        <w:ind w:left="2880" w:hanging="360"/>
      </w:pPr>
      <w:rPr>
        <w:rFonts w:ascii="Symbol" w:hAnsi="Symbol" w:hint="default"/>
      </w:rPr>
    </w:lvl>
    <w:lvl w:ilvl="4" w:tplc="F6689788" w:tentative="1">
      <w:start w:val="1"/>
      <w:numFmt w:val="bullet"/>
      <w:lvlText w:val="o"/>
      <w:lvlJc w:val="left"/>
      <w:pPr>
        <w:ind w:left="3600" w:hanging="360"/>
      </w:pPr>
      <w:rPr>
        <w:rFonts w:ascii="Courier New" w:hAnsi="Courier New" w:cs="Courier New" w:hint="default"/>
      </w:rPr>
    </w:lvl>
    <w:lvl w:ilvl="5" w:tplc="DA569C8A" w:tentative="1">
      <w:start w:val="1"/>
      <w:numFmt w:val="bullet"/>
      <w:lvlText w:val=""/>
      <w:lvlJc w:val="left"/>
      <w:pPr>
        <w:ind w:left="4320" w:hanging="360"/>
      </w:pPr>
      <w:rPr>
        <w:rFonts w:ascii="Wingdings" w:hAnsi="Wingdings" w:hint="default"/>
      </w:rPr>
    </w:lvl>
    <w:lvl w:ilvl="6" w:tplc="F49CBE08" w:tentative="1">
      <w:start w:val="1"/>
      <w:numFmt w:val="bullet"/>
      <w:lvlText w:val=""/>
      <w:lvlJc w:val="left"/>
      <w:pPr>
        <w:ind w:left="5040" w:hanging="360"/>
      </w:pPr>
      <w:rPr>
        <w:rFonts w:ascii="Symbol" w:hAnsi="Symbol" w:hint="default"/>
      </w:rPr>
    </w:lvl>
    <w:lvl w:ilvl="7" w:tplc="E79E478C" w:tentative="1">
      <w:start w:val="1"/>
      <w:numFmt w:val="bullet"/>
      <w:lvlText w:val="o"/>
      <w:lvlJc w:val="left"/>
      <w:pPr>
        <w:ind w:left="5760" w:hanging="360"/>
      </w:pPr>
      <w:rPr>
        <w:rFonts w:ascii="Courier New" w:hAnsi="Courier New" w:cs="Courier New" w:hint="default"/>
      </w:rPr>
    </w:lvl>
    <w:lvl w:ilvl="8" w:tplc="46B04FAC" w:tentative="1">
      <w:start w:val="1"/>
      <w:numFmt w:val="bullet"/>
      <w:lvlText w:val=""/>
      <w:lvlJc w:val="left"/>
      <w:pPr>
        <w:ind w:left="6480" w:hanging="360"/>
      </w:pPr>
      <w:rPr>
        <w:rFonts w:ascii="Wingdings" w:hAnsi="Wingdings" w:hint="default"/>
      </w:rPr>
    </w:lvl>
  </w:abstractNum>
  <w:abstractNum w:abstractNumId="26"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5FD95F21"/>
    <w:multiLevelType w:val="hybridMultilevel"/>
    <w:tmpl w:val="A4C8041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15:restartNumberingAfterBreak="0">
    <w:nsid w:val="6A981EE5"/>
    <w:multiLevelType w:val="hybridMultilevel"/>
    <w:tmpl w:val="E5BAA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676306"/>
    <w:multiLevelType w:val="hybridMultilevel"/>
    <w:tmpl w:val="A332306A"/>
    <w:lvl w:ilvl="0" w:tplc="EEACE3AE">
      <w:start w:val="9"/>
      <w:numFmt w:val="decimal"/>
      <w:suff w:val="space"/>
      <w:lvlText w:val="%1."/>
      <w:lvlJc w:val="left"/>
      <w:pPr>
        <w:ind w:left="-3856" w:firstLine="3856"/>
      </w:pPr>
      <w:rPr>
        <w:rFonts w:hint="default"/>
        <w:b w:val="0"/>
        <w:color w:val="auto"/>
        <w:sz w:val="22"/>
      </w:rPr>
    </w:lvl>
    <w:lvl w:ilvl="1" w:tplc="18F26A82" w:tentative="1">
      <w:start w:val="1"/>
      <w:numFmt w:val="lowerLetter"/>
      <w:lvlText w:val="%2."/>
      <w:lvlJc w:val="left"/>
      <w:pPr>
        <w:ind w:left="1440" w:hanging="360"/>
      </w:pPr>
    </w:lvl>
    <w:lvl w:ilvl="2" w:tplc="53F69708" w:tentative="1">
      <w:start w:val="1"/>
      <w:numFmt w:val="lowerRoman"/>
      <w:lvlText w:val="%3."/>
      <w:lvlJc w:val="right"/>
      <w:pPr>
        <w:ind w:left="2160" w:hanging="180"/>
      </w:pPr>
    </w:lvl>
    <w:lvl w:ilvl="3" w:tplc="77A68018" w:tentative="1">
      <w:start w:val="1"/>
      <w:numFmt w:val="decimal"/>
      <w:lvlText w:val="%4."/>
      <w:lvlJc w:val="left"/>
      <w:pPr>
        <w:ind w:left="2880" w:hanging="360"/>
      </w:pPr>
    </w:lvl>
    <w:lvl w:ilvl="4" w:tplc="A3DC9706" w:tentative="1">
      <w:start w:val="1"/>
      <w:numFmt w:val="lowerLetter"/>
      <w:lvlText w:val="%5."/>
      <w:lvlJc w:val="left"/>
      <w:pPr>
        <w:ind w:left="3600" w:hanging="360"/>
      </w:pPr>
    </w:lvl>
    <w:lvl w:ilvl="5" w:tplc="4FD03B1E" w:tentative="1">
      <w:start w:val="1"/>
      <w:numFmt w:val="lowerRoman"/>
      <w:lvlText w:val="%6."/>
      <w:lvlJc w:val="right"/>
      <w:pPr>
        <w:ind w:left="4320" w:hanging="180"/>
      </w:pPr>
    </w:lvl>
    <w:lvl w:ilvl="6" w:tplc="55646BDE" w:tentative="1">
      <w:start w:val="1"/>
      <w:numFmt w:val="decimal"/>
      <w:lvlText w:val="%7."/>
      <w:lvlJc w:val="left"/>
      <w:pPr>
        <w:ind w:left="5040" w:hanging="360"/>
      </w:pPr>
    </w:lvl>
    <w:lvl w:ilvl="7" w:tplc="8090A836" w:tentative="1">
      <w:start w:val="1"/>
      <w:numFmt w:val="lowerLetter"/>
      <w:lvlText w:val="%8."/>
      <w:lvlJc w:val="left"/>
      <w:pPr>
        <w:ind w:left="5760" w:hanging="360"/>
      </w:pPr>
    </w:lvl>
    <w:lvl w:ilvl="8" w:tplc="ACA4877A" w:tentative="1">
      <w:start w:val="1"/>
      <w:numFmt w:val="lowerRoman"/>
      <w:lvlText w:val="%9."/>
      <w:lvlJc w:val="right"/>
      <w:pPr>
        <w:ind w:left="6480" w:hanging="180"/>
      </w:pPr>
    </w:lvl>
  </w:abstractNum>
  <w:abstractNum w:abstractNumId="31" w15:restartNumberingAfterBreak="0">
    <w:nsid w:val="6F2D6F55"/>
    <w:multiLevelType w:val="hybridMultilevel"/>
    <w:tmpl w:val="26DAE3CC"/>
    <w:lvl w:ilvl="0" w:tplc="C3BECDE2">
      <w:start w:val="1"/>
      <w:numFmt w:val="decimal"/>
      <w:suff w:val="space"/>
      <w:lvlText w:val="%1."/>
      <w:lvlJc w:val="left"/>
      <w:pPr>
        <w:ind w:left="-3856" w:firstLine="3856"/>
      </w:pPr>
      <w:rPr>
        <w:rFonts w:hint="default"/>
        <w:color w:val="auto"/>
        <w:sz w:val="22"/>
      </w:rPr>
    </w:lvl>
    <w:lvl w:ilvl="1" w:tplc="0C090019">
      <w:start w:val="1"/>
      <w:numFmt w:val="lowerRoman"/>
      <w:lvlText w:val="(%2)"/>
      <w:lvlJc w:val="left"/>
      <w:pPr>
        <w:ind w:left="1544" w:hanging="720"/>
      </w:pPr>
      <w:rPr>
        <w:rFonts w:hint="default"/>
      </w:rPr>
    </w:lvl>
    <w:lvl w:ilvl="2" w:tplc="0C09001B" w:tentative="1">
      <w:start w:val="1"/>
      <w:numFmt w:val="lowerRoman"/>
      <w:lvlText w:val="%3."/>
      <w:lvlJc w:val="right"/>
      <w:pPr>
        <w:ind w:left="1904" w:hanging="180"/>
      </w:pPr>
    </w:lvl>
    <w:lvl w:ilvl="3" w:tplc="0C09000F" w:tentative="1">
      <w:start w:val="1"/>
      <w:numFmt w:val="decimal"/>
      <w:lvlText w:val="%4."/>
      <w:lvlJc w:val="left"/>
      <w:pPr>
        <w:ind w:left="2624" w:hanging="360"/>
      </w:pPr>
    </w:lvl>
    <w:lvl w:ilvl="4" w:tplc="0C090019" w:tentative="1">
      <w:start w:val="1"/>
      <w:numFmt w:val="lowerLetter"/>
      <w:lvlText w:val="%5."/>
      <w:lvlJc w:val="left"/>
      <w:pPr>
        <w:ind w:left="3344" w:hanging="360"/>
      </w:pPr>
    </w:lvl>
    <w:lvl w:ilvl="5" w:tplc="0C09001B" w:tentative="1">
      <w:start w:val="1"/>
      <w:numFmt w:val="lowerRoman"/>
      <w:lvlText w:val="%6."/>
      <w:lvlJc w:val="right"/>
      <w:pPr>
        <w:ind w:left="4064" w:hanging="180"/>
      </w:pPr>
    </w:lvl>
    <w:lvl w:ilvl="6" w:tplc="0C09000F" w:tentative="1">
      <w:start w:val="1"/>
      <w:numFmt w:val="decimal"/>
      <w:lvlText w:val="%7."/>
      <w:lvlJc w:val="left"/>
      <w:pPr>
        <w:ind w:left="4784" w:hanging="360"/>
      </w:pPr>
    </w:lvl>
    <w:lvl w:ilvl="7" w:tplc="0C090019" w:tentative="1">
      <w:start w:val="1"/>
      <w:numFmt w:val="lowerLetter"/>
      <w:lvlText w:val="%8."/>
      <w:lvlJc w:val="left"/>
      <w:pPr>
        <w:ind w:left="5504" w:hanging="360"/>
      </w:pPr>
    </w:lvl>
    <w:lvl w:ilvl="8" w:tplc="0C09001B" w:tentative="1">
      <w:start w:val="1"/>
      <w:numFmt w:val="lowerRoman"/>
      <w:lvlText w:val="%9."/>
      <w:lvlJc w:val="right"/>
      <w:pPr>
        <w:ind w:left="6224" w:hanging="180"/>
      </w:pPr>
    </w:lvl>
  </w:abstractNum>
  <w:abstractNum w:abstractNumId="32" w15:restartNumberingAfterBreak="0">
    <w:nsid w:val="763B0CF5"/>
    <w:multiLevelType w:val="hybridMultilevel"/>
    <w:tmpl w:val="799E1F1C"/>
    <w:lvl w:ilvl="0" w:tplc="C0F89730">
      <w:start w:val="1"/>
      <w:numFmt w:val="bullet"/>
      <w:pStyle w:val="ListBullet3"/>
      <w:lvlText w:val=""/>
      <w:lvlJc w:val="left"/>
      <w:pPr>
        <w:ind w:left="1514" w:hanging="360"/>
      </w:pPr>
      <w:rPr>
        <w:rFonts w:ascii="Wingdings" w:hAnsi="Wingdings" w:hint="default"/>
      </w:rPr>
    </w:lvl>
    <w:lvl w:ilvl="1" w:tplc="CA2C93AE" w:tentative="1">
      <w:start w:val="1"/>
      <w:numFmt w:val="bullet"/>
      <w:lvlText w:val="o"/>
      <w:lvlJc w:val="left"/>
      <w:pPr>
        <w:ind w:left="2234" w:hanging="360"/>
      </w:pPr>
      <w:rPr>
        <w:rFonts w:ascii="Courier New" w:hAnsi="Courier New" w:cs="Courier New" w:hint="default"/>
      </w:rPr>
    </w:lvl>
    <w:lvl w:ilvl="2" w:tplc="0C09001B" w:tentative="1">
      <w:start w:val="1"/>
      <w:numFmt w:val="bullet"/>
      <w:lvlText w:val=""/>
      <w:lvlJc w:val="left"/>
      <w:pPr>
        <w:ind w:left="2954" w:hanging="360"/>
      </w:pPr>
      <w:rPr>
        <w:rFonts w:ascii="Wingdings" w:hAnsi="Wingdings" w:hint="default"/>
      </w:rPr>
    </w:lvl>
    <w:lvl w:ilvl="3" w:tplc="0C09000F" w:tentative="1">
      <w:start w:val="1"/>
      <w:numFmt w:val="bullet"/>
      <w:lvlText w:val=""/>
      <w:lvlJc w:val="left"/>
      <w:pPr>
        <w:ind w:left="3674" w:hanging="360"/>
      </w:pPr>
      <w:rPr>
        <w:rFonts w:ascii="Symbol" w:hAnsi="Symbol" w:hint="default"/>
      </w:rPr>
    </w:lvl>
    <w:lvl w:ilvl="4" w:tplc="0C090019" w:tentative="1">
      <w:start w:val="1"/>
      <w:numFmt w:val="bullet"/>
      <w:lvlText w:val="o"/>
      <w:lvlJc w:val="left"/>
      <w:pPr>
        <w:ind w:left="4394" w:hanging="360"/>
      </w:pPr>
      <w:rPr>
        <w:rFonts w:ascii="Courier New" w:hAnsi="Courier New" w:cs="Courier New" w:hint="default"/>
      </w:rPr>
    </w:lvl>
    <w:lvl w:ilvl="5" w:tplc="0C09001B" w:tentative="1">
      <w:start w:val="1"/>
      <w:numFmt w:val="bullet"/>
      <w:lvlText w:val=""/>
      <w:lvlJc w:val="left"/>
      <w:pPr>
        <w:ind w:left="5114" w:hanging="360"/>
      </w:pPr>
      <w:rPr>
        <w:rFonts w:ascii="Wingdings" w:hAnsi="Wingdings" w:hint="default"/>
      </w:rPr>
    </w:lvl>
    <w:lvl w:ilvl="6" w:tplc="0C09000F" w:tentative="1">
      <w:start w:val="1"/>
      <w:numFmt w:val="bullet"/>
      <w:lvlText w:val=""/>
      <w:lvlJc w:val="left"/>
      <w:pPr>
        <w:ind w:left="5834" w:hanging="360"/>
      </w:pPr>
      <w:rPr>
        <w:rFonts w:ascii="Symbol" w:hAnsi="Symbol" w:hint="default"/>
      </w:rPr>
    </w:lvl>
    <w:lvl w:ilvl="7" w:tplc="0C090019" w:tentative="1">
      <w:start w:val="1"/>
      <w:numFmt w:val="bullet"/>
      <w:lvlText w:val="o"/>
      <w:lvlJc w:val="left"/>
      <w:pPr>
        <w:ind w:left="6554" w:hanging="360"/>
      </w:pPr>
      <w:rPr>
        <w:rFonts w:ascii="Courier New" w:hAnsi="Courier New" w:cs="Courier New" w:hint="default"/>
      </w:rPr>
    </w:lvl>
    <w:lvl w:ilvl="8" w:tplc="0C09001B" w:tentative="1">
      <w:start w:val="1"/>
      <w:numFmt w:val="bullet"/>
      <w:lvlText w:val=""/>
      <w:lvlJc w:val="left"/>
      <w:pPr>
        <w:ind w:left="7274" w:hanging="360"/>
      </w:pPr>
      <w:rPr>
        <w:rFonts w:ascii="Wingdings" w:hAnsi="Wingdings" w:hint="default"/>
      </w:rPr>
    </w:lvl>
  </w:abstractNum>
  <w:abstractNum w:abstractNumId="33" w15:restartNumberingAfterBreak="0">
    <w:nsid w:val="7B4E309B"/>
    <w:multiLevelType w:val="hybridMultilevel"/>
    <w:tmpl w:val="C6FA1CC4"/>
    <w:lvl w:ilvl="0" w:tplc="074890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143D25"/>
    <w:multiLevelType w:val="hybridMultilevel"/>
    <w:tmpl w:val="D5360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1E1FDA"/>
    <w:multiLevelType w:val="hybridMultilevel"/>
    <w:tmpl w:val="0EFC3D5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19"/>
  </w:num>
  <w:num w:numId="6">
    <w:abstractNumId w:val="9"/>
  </w:num>
  <w:num w:numId="7">
    <w:abstractNumId w:val="8"/>
  </w:num>
  <w:num w:numId="8">
    <w:abstractNumId w:val="24"/>
  </w:num>
  <w:num w:numId="9">
    <w:abstractNumId w:val="17"/>
  </w:num>
  <w:num w:numId="10">
    <w:abstractNumId w:val="14"/>
  </w:num>
  <w:num w:numId="11">
    <w:abstractNumId w:val="26"/>
  </w:num>
  <w:num w:numId="12">
    <w:abstractNumId w:val="0"/>
  </w:num>
  <w:num w:numId="13">
    <w:abstractNumId w:val="28"/>
  </w:num>
  <w:num w:numId="14">
    <w:abstractNumId w:val="32"/>
  </w:num>
  <w:num w:numId="15">
    <w:abstractNumId w:val="25"/>
  </w:num>
  <w:num w:numId="16">
    <w:abstractNumId w:val="12"/>
  </w:num>
  <w:num w:numId="17">
    <w:abstractNumId w:val="18"/>
  </w:num>
  <w:num w:numId="18">
    <w:abstractNumId w:val="21"/>
  </w:num>
  <w:num w:numId="19">
    <w:abstractNumId w:val="11"/>
  </w:num>
  <w:num w:numId="20">
    <w:abstractNumId w:val="7"/>
  </w:num>
  <w:num w:numId="21">
    <w:abstractNumId w:val="16"/>
  </w:num>
  <w:num w:numId="22">
    <w:abstractNumId w:val="15"/>
  </w:num>
  <w:num w:numId="23">
    <w:abstractNumId w:val="6"/>
  </w:num>
  <w:num w:numId="24">
    <w:abstractNumId w:val="33"/>
  </w:num>
  <w:num w:numId="25">
    <w:abstractNumId w:val="31"/>
  </w:num>
  <w:num w:numId="26">
    <w:abstractNumId w:val="13"/>
  </w:num>
  <w:num w:numId="27">
    <w:abstractNumId w:val="30"/>
  </w:num>
  <w:num w:numId="28">
    <w:abstractNumId w:val="22"/>
  </w:num>
  <w:num w:numId="29">
    <w:abstractNumId w:val="23"/>
  </w:num>
  <w:num w:numId="30">
    <w:abstractNumId w:val="20"/>
  </w:num>
  <w:num w:numId="31">
    <w:abstractNumId w:val="5"/>
  </w:num>
  <w:num w:numId="32">
    <w:abstractNumId w:val="10"/>
  </w:num>
  <w:num w:numId="33">
    <w:abstractNumId w:val="34"/>
  </w:num>
  <w:num w:numId="34">
    <w:abstractNumId w:val="27"/>
  </w:num>
  <w:num w:numId="35">
    <w:abstractNumId w:val="35"/>
  </w:num>
  <w:num w:numId="36">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4097" style="mso-position-vertical-relative:page;v-text-anchor:bottom" fill="f" fillcolor="white" stroke="f">
      <v:fill color="white" on="f"/>
      <v:stroke on="f"/>
      <v:textbox inset="0,0,0,0"/>
      <o:colormru v:ext="edit" colors="#ddd,#f8f8f8"/>
    </o:shapedefaults>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44"/>
    <w:rsid w:val="000008CD"/>
    <w:rsid w:val="00000EEA"/>
    <w:rsid w:val="00001864"/>
    <w:rsid w:val="00002AA7"/>
    <w:rsid w:val="00002B2A"/>
    <w:rsid w:val="000031E1"/>
    <w:rsid w:val="00003239"/>
    <w:rsid w:val="00003970"/>
    <w:rsid w:val="000064E0"/>
    <w:rsid w:val="00006C29"/>
    <w:rsid w:val="000119B9"/>
    <w:rsid w:val="00011ACF"/>
    <w:rsid w:val="00011BFC"/>
    <w:rsid w:val="00011FC6"/>
    <w:rsid w:val="000126EB"/>
    <w:rsid w:val="00012A6D"/>
    <w:rsid w:val="00012E7A"/>
    <w:rsid w:val="00015E82"/>
    <w:rsid w:val="00016825"/>
    <w:rsid w:val="0001746E"/>
    <w:rsid w:val="0001775B"/>
    <w:rsid w:val="00021907"/>
    <w:rsid w:val="00021B65"/>
    <w:rsid w:val="00021FBE"/>
    <w:rsid w:val="00022CFC"/>
    <w:rsid w:val="000241DC"/>
    <w:rsid w:val="000242FD"/>
    <w:rsid w:val="00024F6E"/>
    <w:rsid w:val="00024F8F"/>
    <w:rsid w:val="00025D44"/>
    <w:rsid w:val="00025FD5"/>
    <w:rsid w:val="00026792"/>
    <w:rsid w:val="0002686D"/>
    <w:rsid w:val="00027233"/>
    <w:rsid w:val="00030D63"/>
    <w:rsid w:val="000312EA"/>
    <w:rsid w:val="000316D4"/>
    <w:rsid w:val="0003217B"/>
    <w:rsid w:val="00032C10"/>
    <w:rsid w:val="000331D4"/>
    <w:rsid w:val="000333BD"/>
    <w:rsid w:val="00040EB1"/>
    <w:rsid w:val="00042A1A"/>
    <w:rsid w:val="00042D44"/>
    <w:rsid w:val="00043876"/>
    <w:rsid w:val="000443E1"/>
    <w:rsid w:val="000456A0"/>
    <w:rsid w:val="00046533"/>
    <w:rsid w:val="00046F4B"/>
    <w:rsid w:val="000476E1"/>
    <w:rsid w:val="0005048B"/>
    <w:rsid w:val="00051219"/>
    <w:rsid w:val="00051456"/>
    <w:rsid w:val="00051F43"/>
    <w:rsid w:val="00052191"/>
    <w:rsid w:val="0005226F"/>
    <w:rsid w:val="00052C2D"/>
    <w:rsid w:val="0005371F"/>
    <w:rsid w:val="00053C07"/>
    <w:rsid w:val="00053E83"/>
    <w:rsid w:val="0005571A"/>
    <w:rsid w:val="00055E3D"/>
    <w:rsid w:val="0005657C"/>
    <w:rsid w:val="00056FD0"/>
    <w:rsid w:val="00057DD2"/>
    <w:rsid w:val="00057ED4"/>
    <w:rsid w:val="00064612"/>
    <w:rsid w:val="000660F7"/>
    <w:rsid w:val="000667A4"/>
    <w:rsid w:val="00067B0B"/>
    <w:rsid w:val="00072D9F"/>
    <w:rsid w:val="00073CE7"/>
    <w:rsid w:val="00074D00"/>
    <w:rsid w:val="00074DFE"/>
    <w:rsid w:val="00075774"/>
    <w:rsid w:val="00075B0B"/>
    <w:rsid w:val="000775E3"/>
    <w:rsid w:val="000815C2"/>
    <w:rsid w:val="00081869"/>
    <w:rsid w:val="0008281F"/>
    <w:rsid w:val="00083CBE"/>
    <w:rsid w:val="00083FBD"/>
    <w:rsid w:val="00085456"/>
    <w:rsid w:val="00085DC0"/>
    <w:rsid w:val="000861CC"/>
    <w:rsid w:val="000867A9"/>
    <w:rsid w:val="00087ADA"/>
    <w:rsid w:val="00094E76"/>
    <w:rsid w:val="00095845"/>
    <w:rsid w:val="0009674F"/>
    <w:rsid w:val="00096D58"/>
    <w:rsid w:val="000979AD"/>
    <w:rsid w:val="000A1904"/>
    <w:rsid w:val="000A31B3"/>
    <w:rsid w:val="000A468E"/>
    <w:rsid w:val="000A6F40"/>
    <w:rsid w:val="000B0A3D"/>
    <w:rsid w:val="000B0BAB"/>
    <w:rsid w:val="000B1470"/>
    <w:rsid w:val="000B3399"/>
    <w:rsid w:val="000B3443"/>
    <w:rsid w:val="000B3486"/>
    <w:rsid w:val="000B4977"/>
    <w:rsid w:val="000B4A6A"/>
    <w:rsid w:val="000B7BB9"/>
    <w:rsid w:val="000C02C0"/>
    <w:rsid w:val="000C05F1"/>
    <w:rsid w:val="000C0940"/>
    <w:rsid w:val="000C0E41"/>
    <w:rsid w:val="000C3CDC"/>
    <w:rsid w:val="000C4051"/>
    <w:rsid w:val="000C5523"/>
    <w:rsid w:val="000C5E3C"/>
    <w:rsid w:val="000C5F55"/>
    <w:rsid w:val="000C61C0"/>
    <w:rsid w:val="000C7D15"/>
    <w:rsid w:val="000D0298"/>
    <w:rsid w:val="000D19DE"/>
    <w:rsid w:val="000D436B"/>
    <w:rsid w:val="000D442F"/>
    <w:rsid w:val="000D5E7F"/>
    <w:rsid w:val="000D6B9E"/>
    <w:rsid w:val="000D6D2F"/>
    <w:rsid w:val="000D6FC9"/>
    <w:rsid w:val="000E1CF3"/>
    <w:rsid w:val="000E2422"/>
    <w:rsid w:val="000E52A5"/>
    <w:rsid w:val="000E599F"/>
    <w:rsid w:val="000F06DC"/>
    <w:rsid w:val="000F1EC3"/>
    <w:rsid w:val="000F1FE4"/>
    <w:rsid w:val="000F33F7"/>
    <w:rsid w:val="000F37E1"/>
    <w:rsid w:val="000F408A"/>
    <w:rsid w:val="001010A2"/>
    <w:rsid w:val="00101A2A"/>
    <w:rsid w:val="00102AD5"/>
    <w:rsid w:val="00103F91"/>
    <w:rsid w:val="0010419F"/>
    <w:rsid w:val="00104FBD"/>
    <w:rsid w:val="001067F0"/>
    <w:rsid w:val="001068F9"/>
    <w:rsid w:val="00106C5C"/>
    <w:rsid w:val="001100D4"/>
    <w:rsid w:val="001103F0"/>
    <w:rsid w:val="00112414"/>
    <w:rsid w:val="001129FB"/>
    <w:rsid w:val="0011346D"/>
    <w:rsid w:val="0011470B"/>
    <w:rsid w:val="00114B30"/>
    <w:rsid w:val="00116C3E"/>
    <w:rsid w:val="00117E59"/>
    <w:rsid w:val="00120578"/>
    <w:rsid w:val="00121861"/>
    <w:rsid w:val="0012201E"/>
    <w:rsid w:val="00123BCC"/>
    <w:rsid w:val="00123FD7"/>
    <w:rsid w:val="001249CC"/>
    <w:rsid w:val="0012766B"/>
    <w:rsid w:val="00127A89"/>
    <w:rsid w:val="001305D4"/>
    <w:rsid w:val="0013089B"/>
    <w:rsid w:val="001308C3"/>
    <w:rsid w:val="00130D29"/>
    <w:rsid w:val="0013231D"/>
    <w:rsid w:val="00132F76"/>
    <w:rsid w:val="0013384F"/>
    <w:rsid w:val="00133F82"/>
    <w:rsid w:val="00134FC3"/>
    <w:rsid w:val="001362D8"/>
    <w:rsid w:val="00136B7F"/>
    <w:rsid w:val="001408FB"/>
    <w:rsid w:val="00141D5A"/>
    <w:rsid w:val="00146A7F"/>
    <w:rsid w:val="00152B73"/>
    <w:rsid w:val="00154168"/>
    <w:rsid w:val="00154ED8"/>
    <w:rsid w:val="0015605C"/>
    <w:rsid w:val="00156D4F"/>
    <w:rsid w:val="00157960"/>
    <w:rsid w:val="00157AAE"/>
    <w:rsid w:val="00160B14"/>
    <w:rsid w:val="00161209"/>
    <w:rsid w:val="00161341"/>
    <w:rsid w:val="00161BB6"/>
    <w:rsid w:val="00165AD1"/>
    <w:rsid w:val="00167AFA"/>
    <w:rsid w:val="001708B3"/>
    <w:rsid w:val="00172055"/>
    <w:rsid w:val="001724A7"/>
    <w:rsid w:val="00173457"/>
    <w:rsid w:val="00173C4D"/>
    <w:rsid w:val="001740AD"/>
    <w:rsid w:val="001746F1"/>
    <w:rsid w:val="00174A49"/>
    <w:rsid w:val="00175388"/>
    <w:rsid w:val="00175709"/>
    <w:rsid w:val="00176E32"/>
    <w:rsid w:val="00177270"/>
    <w:rsid w:val="001772D6"/>
    <w:rsid w:val="0017758B"/>
    <w:rsid w:val="0018129C"/>
    <w:rsid w:val="00182032"/>
    <w:rsid w:val="00182DB3"/>
    <w:rsid w:val="00186386"/>
    <w:rsid w:val="0018774C"/>
    <w:rsid w:val="00190E0B"/>
    <w:rsid w:val="00192E59"/>
    <w:rsid w:val="00192EC8"/>
    <w:rsid w:val="00193162"/>
    <w:rsid w:val="00194542"/>
    <w:rsid w:val="00194E5A"/>
    <w:rsid w:val="00195301"/>
    <w:rsid w:val="00196146"/>
    <w:rsid w:val="0019717F"/>
    <w:rsid w:val="001A1020"/>
    <w:rsid w:val="001A62D2"/>
    <w:rsid w:val="001B00A0"/>
    <w:rsid w:val="001B0B8C"/>
    <w:rsid w:val="001B1899"/>
    <w:rsid w:val="001B23ED"/>
    <w:rsid w:val="001B2FD8"/>
    <w:rsid w:val="001B34DE"/>
    <w:rsid w:val="001B3556"/>
    <w:rsid w:val="001B4FB4"/>
    <w:rsid w:val="001B6CB5"/>
    <w:rsid w:val="001B79DA"/>
    <w:rsid w:val="001B7BF3"/>
    <w:rsid w:val="001B7E04"/>
    <w:rsid w:val="001C035D"/>
    <w:rsid w:val="001C07F5"/>
    <w:rsid w:val="001C0DEA"/>
    <w:rsid w:val="001C3137"/>
    <w:rsid w:val="001C540A"/>
    <w:rsid w:val="001C540E"/>
    <w:rsid w:val="001C5CA5"/>
    <w:rsid w:val="001C5D2F"/>
    <w:rsid w:val="001C6336"/>
    <w:rsid w:val="001C663B"/>
    <w:rsid w:val="001D02F7"/>
    <w:rsid w:val="001D1412"/>
    <w:rsid w:val="001D2982"/>
    <w:rsid w:val="001D2DD6"/>
    <w:rsid w:val="001D36DC"/>
    <w:rsid w:val="001D4D59"/>
    <w:rsid w:val="001D713C"/>
    <w:rsid w:val="001E2D97"/>
    <w:rsid w:val="001E30E8"/>
    <w:rsid w:val="001E4AF6"/>
    <w:rsid w:val="001E4B29"/>
    <w:rsid w:val="001E4C59"/>
    <w:rsid w:val="001E5149"/>
    <w:rsid w:val="001E531C"/>
    <w:rsid w:val="001E5A13"/>
    <w:rsid w:val="001F1EE6"/>
    <w:rsid w:val="001F57B9"/>
    <w:rsid w:val="001F5D3F"/>
    <w:rsid w:val="001F61D8"/>
    <w:rsid w:val="001F7931"/>
    <w:rsid w:val="00200079"/>
    <w:rsid w:val="0020034E"/>
    <w:rsid w:val="00200397"/>
    <w:rsid w:val="00201C06"/>
    <w:rsid w:val="002028FC"/>
    <w:rsid w:val="00202A72"/>
    <w:rsid w:val="00203C83"/>
    <w:rsid w:val="00204569"/>
    <w:rsid w:val="002049D2"/>
    <w:rsid w:val="00204AD3"/>
    <w:rsid w:val="00204DEB"/>
    <w:rsid w:val="00205E27"/>
    <w:rsid w:val="00207117"/>
    <w:rsid w:val="002101A4"/>
    <w:rsid w:val="002109F9"/>
    <w:rsid w:val="00211685"/>
    <w:rsid w:val="00211D36"/>
    <w:rsid w:val="002123BF"/>
    <w:rsid w:val="00212DA6"/>
    <w:rsid w:val="002137D2"/>
    <w:rsid w:val="00214440"/>
    <w:rsid w:val="00215132"/>
    <w:rsid w:val="002154A2"/>
    <w:rsid w:val="002156C8"/>
    <w:rsid w:val="00216473"/>
    <w:rsid w:val="002179A6"/>
    <w:rsid w:val="00217A8B"/>
    <w:rsid w:val="002210D5"/>
    <w:rsid w:val="002213C7"/>
    <w:rsid w:val="00221A8F"/>
    <w:rsid w:val="00221D5A"/>
    <w:rsid w:val="0022431B"/>
    <w:rsid w:val="002254A0"/>
    <w:rsid w:val="002256CA"/>
    <w:rsid w:val="002274F9"/>
    <w:rsid w:val="00232B56"/>
    <w:rsid w:val="0023337B"/>
    <w:rsid w:val="0023494D"/>
    <w:rsid w:val="00236F81"/>
    <w:rsid w:val="0023778E"/>
    <w:rsid w:val="00240ED2"/>
    <w:rsid w:val="0024169C"/>
    <w:rsid w:val="002418DA"/>
    <w:rsid w:val="00241BAC"/>
    <w:rsid w:val="002421F2"/>
    <w:rsid w:val="0024666C"/>
    <w:rsid w:val="00246B99"/>
    <w:rsid w:val="00246C4A"/>
    <w:rsid w:val="00251361"/>
    <w:rsid w:val="0025177C"/>
    <w:rsid w:val="00251DDE"/>
    <w:rsid w:val="00251E88"/>
    <w:rsid w:val="00252CBB"/>
    <w:rsid w:val="002540C7"/>
    <w:rsid w:val="002548B9"/>
    <w:rsid w:val="00255336"/>
    <w:rsid w:val="00255E33"/>
    <w:rsid w:val="00256219"/>
    <w:rsid w:val="002579B2"/>
    <w:rsid w:val="00257C2F"/>
    <w:rsid w:val="00260A7D"/>
    <w:rsid w:val="00260CC9"/>
    <w:rsid w:val="00263A58"/>
    <w:rsid w:val="00263D7F"/>
    <w:rsid w:val="00264E7B"/>
    <w:rsid w:val="002653A6"/>
    <w:rsid w:val="002663EA"/>
    <w:rsid w:val="002668CD"/>
    <w:rsid w:val="00267364"/>
    <w:rsid w:val="0026739B"/>
    <w:rsid w:val="00267E5C"/>
    <w:rsid w:val="00271DAF"/>
    <w:rsid w:val="002721B0"/>
    <w:rsid w:val="00272B98"/>
    <w:rsid w:val="00272C63"/>
    <w:rsid w:val="00273A31"/>
    <w:rsid w:val="00274483"/>
    <w:rsid w:val="002748A0"/>
    <w:rsid w:val="00274DF1"/>
    <w:rsid w:val="00274FEA"/>
    <w:rsid w:val="00276E3E"/>
    <w:rsid w:val="00277240"/>
    <w:rsid w:val="00277610"/>
    <w:rsid w:val="00277A23"/>
    <w:rsid w:val="00277D7E"/>
    <w:rsid w:val="00280E4B"/>
    <w:rsid w:val="002852DB"/>
    <w:rsid w:val="00285F27"/>
    <w:rsid w:val="002875EB"/>
    <w:rsid w:val="00287FBB"/>
    <w:rsid w:val="0029026E"/>
    <w:rsid w:val="0029371B"/>
    <w:rsid w:val="00293A66"/>
    <w:rsid w:val="00293EB0"/>
    <w:rsid w:val="00295D01"/>
    <w:rsid w:val="002A0D8F"/>
    <w:rsid w:val="002A2438"/>
    <w:rsid w:val="002A47DB"/>
    <w:rsid w:val="002A5707"/>
    <w:rsid w:val="002A5A18"/>
    <w:rsid w:val="002A5D8F"/>
    <w:rsid w:val="002A658F"/>
    <w:rsid w:val="002A694A"/>
    <w:rsid w:val="002A6DF7"/>
    <w:rsid w:val="002B15B7"/>
    <w:rsid w:val="002B1DD0"/>
    <w:rsid w:val="002B363D"/>
    <w:rsid w:val="002B3E4C"/>
    <w:rsid w:val="002B3E6E"/>
    <w:rsid w:val="002B4524"/>
    <w:rsid w:val="002B4699"/>
    <w:rsid w:val="002B67E3"/>
    <w:rsid w:val="002B769F"/>
    <w:rsid w:val="002C0642"/>
    <w:rsid w:val="002C0691"/>
    <w:rsid w:val="002C11FB"/>
    <w:rsid w:val="002C324D"/>
    <w:rsid w:val="002C54A6"/>
    <w:rsid w:val="002D0C6B"/>
    <w:rsid w:val="002D19CD"/>
    <w:rsid w:val="002D54C3"/>
    <w:rsid w:val="002D688F"/>
    <w:rsid w:val="002D70ED"/>
    <w:rsid w:val="002E00BA"/>
    <w:rsid w:val="002E0C1E"/>
    <w:rsid w:val="002E11E5"/>
    <w:rsid w:val="002E2F86"/>
    <w:rsid w:val="002E3B33"/>
    <w:rsid w:val="002E3BB0"/>
    <w:rsid w:val="002E478D"/>
    <w:rsid w:val="002E6619"/>
    <w:rsid w:val="002E6732"/>
    <w:rsid w:val="002E7657"/>
    <w:rsid w:val="002E7AB1"/>
    <w:rsid w:val="002E7DC9"/>
    <w:rsid w:val="002F0071"/>
    <w:rsid w:val="002F06CC"/>
    <w:rsid w:val="002F2C8F"/>
    <w:rsid w:val="002F53C6"/>
    <w:rsid w:val="002F5550"/>
    <w:rsid w:val="002F5610"/>
    <w:rsid w:val="002F59E4"/>
    <w:rsid w:val="002F6563"/>
    <w:rsid w:val="002F6753"/>
    <w:rsid w:val="002F6E7C"/>
    <w:rsid w:val="002F7A19"/>
    <w:rsid w:val="003001A7"/>
    <w:rsid w:val="00300A1D"/>
    <w:rsid w:val="00301C5C"/>
    <w:rsid w:val="003036A2"/>
    <w:rsid w:val="00303951"/>
    <w:rsid w:val="00304438"/>
    <w:rsid w:val="00304842"/>
    <w:rsid w:val="00304D7D"/>
    <w:rsid w:val="003053C7"/>
    <w:rsid w:val="003059EB"/>
    <w:rsid w:val="00305F97"/>
    <w:rsid w:val="0030640F"/>
    <w:rsid w:val="00306A4B"/>
    <w:rsid w:val="00307B3C"/>
    <w:rsid w:val="003102C6"/>
    <w:rsid w:val="00310421"/>
    <w:rsid w:val="00310F37"/>
    <w:rsid w:val="0031289E"/>
    <w:rsid w:val="003139EB"/>
    <w:rsid w:val="00313CAE"/>
    <w:rsid w:val="003149FC"/>
    <w:rsid w:val="0031605A"/>
    <w:rsid w:val="003164A1"/>
    <w:rsid w:val="003176A1"/>
    <w:rsid w:val="003178CB"/>
    <w:rsid w:val="00317F79"/>
    <w:rsid w:val="00320351"/>
    <w:rsid w:val="00322BA1"/>
    <w:rsid w:val="003233D1"/>
    <w:rsid w:val="003239DB"/>
    <w:rsid w:val="00323F50"/>
    <w:rsid w:val="00326485"/>
    <w:rsid w:val="0032796C"/>
    <w:rsid w:val="00331731"/>
    <w:rsid w:val="00333759"/>
    <w:rsid w:val="00333EED"/>
    <w:rsid w:val="00334838"/>
    <w:rsid w:val="0033551F"/>
    <w:rsid w:val="00337746"/>
    <w:rsid w:val="00340806"/>
    <w:rsid w:val="00341FFE"/>
    <w:rsid w:val="003425BE"/>
    <w:rsid w:val="00343E46"/>
    <w:rsid w:val="003450A8"/>
    <w:rsid w:val="003461B2"/>
    <w:rsid w:val="00346BE3"/>
    <w:rsid w:val="00350D61"/>
    <w:rsid w:val="003533C6"/>
    <w:rsid w:val="0035550C"/>
    <w:rsid w:val="00355B43"/>
    <w:rsid w:val="00355FF0"/>
    <w:rsid w:val="00356EF8"/>
    <w:rsid w:val="00357251"/>
    <w:rsid w:val="00357315"/>
    <w:rsid w:val="00357913"/>
    <w:rsid w:val="003579A8"/>
    <w:rsid w:val="00357F24"/>
    <w:rsid w:val="00360A78"/>
    <w:rsid w:val="00360C47"/>
    <w:rsid w:val="003611B4"/>
    <w:rsid w:val="00361EE2"/>
    <w:rsid w:val="0036319D"/>
    <w:rsid w:val="00364036"/>
    <w:rsid w:val="003646C4"/>
    <w:rsid w:val="00367063"/>
    <w:rsid w:val="0036769A"/>
    <w:rsid w:val="003828D4"/>
    <w:rsid w:val="0038303F"/>
    <w:rsid w:val="00383ADF"/>
    <w:rsid w:val="0038407D"/>
    <w:rsid w:val="003852B6"/>
    <w:rsid w:val="00385C0C"/>
    <w:rsid w:val="00385D15"/>
    <w:rsid w:val="00385E84"/>
    <w:rsid w:val="00386F3C"/>
    <w:rsid w:val="00387974"/>
    <w:rsid w:val="00390015"/>
    <w:rsid w:val="0039270B"/>
    <w:rsid w:val="00394C8D"/>
    <w:rsid w:val="00395246"/>
    <w:rsid w:val="00395EF5"/>
    <w:rsid w:val="0039729E"/>
    <w:rsid w:val="003A1B61"/>
    <w:rsid w:val="003A2FF2"/>
    <w:rsid w:val="003A3052"/>
    <w:rsid w:val="003A3919"/>
    <w:rsid w:val="003A476E"/>
    <w:rsid w:val="003A4AF4"/>
    <w:rsid w:val="003A6443"/>
    <w:rsid w:val="003A647C"/>
    <w:rsid w:val="003A6870"/>
    <w:rsid w:val="003A710E"/>
    <w:rsid w:val="003B020B"/>
    <w:rsid w:val="003B1238"/>
    <w:rsid w:val="003B24E8"/>
    <w:rsid w:val="003B27B2"/>
    <w:rsid w:val="003B2AEA"/>
    <w:rsid w:val="003B371C"/>
    <w:rsid w:val="003B4380"/>
    <w:rsid w:val="003B49CB"/>
    <w:rsid w:val="003B58A6"/>
    <w:rsid w:val="003B5F2F"/>
    <w:rsid w:val="003C11D2"/>
    <w:rsid w:val="003C3955"/>
    <w:rsid w:val="003C40B6"/>
    <w:rsid w:val="003C4146"/>
    <w:rsid w:val="003C4968"/>
    <w:rsid w:val="003C54DF"/>
    <w:rsid w:val="003C6670"/>
    <w:rsid w:val="003D0594"/>
    <w:rsid w:val="003D26A3"/>
    <w:rsid w:val="003D3B96"/>
    <w:rsid w:val="003D5875"/>
    <w:rsid w:val="003D62C9"/>
    <w:rsid w:val="003D641F"/>
    <w:rsid w:val="003D6565"/>
    <w:rsid w:val="003D778D"/>
    <w:rsid w:val="003E0043"/>
    <w:rsid w:val="003E09B8"/>
    <w:rsid w:val="003E0B7C"/>
    <w:rsid w:val="003E0BB8"/>
    <w:rsid w:val="003E0D96"/>
    <w:rsid w:val="003E1D2D"/>
    <w:rsid w:val="003E271D"/>
    <w:rsid w:val="003E27E2"/>
    <w:rsid w:val="003E35A0"/>
    <w:rsid w:val="003E3972"/>
    <w:rsid w:val="003E41CC"/>
    <w:rsid w:val="003E5D3E"/>
    <w:rsid w:val="003F00C4"/>
    <w:rsid w:val="003F061A"/>
    <w:rsid w:val="003F10B0"/>
    <w:rsid w:val="003F1240"/>
    <w:rsid w:val="003F1806"/>
    <w:rsid w:val="003F1FBD"/>
    <w:rsid w:val="003F2C9C"/>
    <w:rsid w:val="003F3183"/>
    <w:rsid w:val="003F531E"/>
    <w:rsid w:val="003F5D80"/>
    <w:rsid w:val="003F6EAD"/>
    <w:rsid w:val="0040108B"/>
    <w:rsid w:val="00401C9F"/>
    <w:rsid w:val="004022D1"/>
    <w:rsid w:val="004036DC"/>
    <w:rsid w:val="00405EE5"/>
    <w:rsid w:val="004070AA"/>
    <w:rsid w:val="00407C5B"/>
    <w:rsid w:val="00410CB7"/>
    <w:rsid w:val="00411077"/>
    <w:rsid w:val="00411371"/>
    <w:rsid w:val="00411649"/>
    <w:rsid w:val="00411FA7"/>
    <w:rsid w:val="00412553"/>
    <w:rsid w:val="00412921"/>
    <w:rsid w:val="00413421"/>
    <w:rsid w:val="004134DD"/>
    <w:rsid w:val="004150CC"/>
    <w:rsid w:val="0041517D"/>
    <w:rsid w:val="00416DF7"/>
    <w:rsid w:val="004173D9"/>
    <w:rsid w:val="00417818"/>
    <w:rsid w:val="00420CC0"/>
    <w:rsid w:val="00422278"/>
    <w:rsid w:val="00422A9A"/>
    <w:rsid w:val="00424349"/>
    <w:rsid w:val="00424719"/>
    <w:rsid w:val="00425304"/>
    <w:rsid w:val="004254CE"/>
    <w:rsid w:val="004258D2"/>
    <w:rsid w:val="00425B20"/>
    <w:rsid w:val="00425EF9"/>
    <w:rsid w:val="00426E97"/>
    <w:rsid w:val="00431F6B"/>
    <w:rsid w:val="00433160"/>
    <w:rsid w:val="00435800"/>
    <w:rsid w:val="00435BBD"/>
    <w:rsid w:val="004362E3"/>
    <w:rsid w:val="00440CFE"/>
    <w:rsid w:val="00441D99"/>
    <w:rsid w:val="0044229F"/>
    <w:rsid w:val="004431DB"/>
    <w:rsid w:val="00444967"/>
    <w:rsid w:val="00444D4A"/>
    <w:rsid w:val="004455B1"/>
    <w:rsid w:val="004459B1"/>
    <w:rsid w:val="00447BE9"/>
    <w:rsid w:val="00450B7D"/>
    <w:rsid w:val="00450C41"/>
    <w:rsid w:val="00453174"/>
    <w:rsid w:val="00453704"/>
    <w:rsid w:val="00454221"/>
    <w:rsid w:val="00455807"/>
    <w:rsid w:val="00456271"/>
    <w:rsid w:val="00457440"/>
    <w:rsid w:val="00460250"/>
    <w:rsid w:val="00461412"/>
    <w:rsid w:val="0046209B"/>
    <w:rsid w:val="00462182"/>
    <w:rsid w:val="004624D6"/>
    <w:rsid w:val="004629F2"/>
    <w:rsid w:val="0046318D"/>
    <w:rsid w:val="00463ED6"/>
    <w:rsid w:val="0046467F"/>
    <w:rsid w:val="00465839"/>
    <w:rsid w:val="00466556"/>
    <w:rsid w:val="004666B7"/>
    <w:rsid w:val="00467438"/>
    <w:rsid w:val="004712A8"/>
    <w:rsid w:val="00471DED"/>
    <w:rsid w:val="00472720"/>
    <w:rsid w:val="004749C4"/>
    <w:rsid w:val="00475BB5"/>
    <w:rsid w:val="00475EB7"/>
    <w:rsid w:val="004761B8"/>
    <w:rsid w:val="004766E5"/>
    <w:rsid w:val="00481E7E"/>
    <w:rsid w:val="004826CF"/>
    <w:rsid w:val="004833D6"/>
    <w:rsid w:val="00483F64"/>
    <w:rsid w:val="004849F7"/>
    <w:rsid w:val="0048768F"/>
    <w:rsid w:val="00487D3D"/>
    <w:rsid w:val="004907DF"/>
    <w:rsid w:val="00491B05"/>
    <w:rsid w:val="00491D34"/>
    <w:rsid w:val="00492547"/>
    <w:rsid w:val="00494587"/>
    <w:rsid w:val="00494743"/>
    <w:rsid w:val="00494DA2"/>
    <w:rsid w:val="00497738"/>
    <w:rsid w:val="004A067D"/>
    <w:rsid w:val="004A1C2B"/>
    <w:rsid w:val="004A2336"/>
    <w:rsid w:val="004A27E2"/>
    <w:rsid w:val="004A31BD"/>
    <w:rsid w:val="004A4028"/>
    <w:rsid w:val="004A575F"/>
    <w:rsid w:val="004A6CF2"/>
    <w:rsid w:val="004A7FA7"/>
    <w:rsid w:val="004B0155"/>
    <w:rsid w:val="004B0C97"/>
    <w:rsid w:val="004B1330"/>
    <w:rsid w:val="004B2DAA"/>
    <w:rsid w:val="004B5AC9"/>
    <w:rsid w:val="004B7696"/>
    <w:rsid w:val="004C053D"/>
    <w:rsid w:val="004C08B6"/>
    <w:rsid w:val="004C0D00"/>
    <w:rsid w:val="004C11CE"/>
    <w:rsid w:val="004C14AB"/>
    <w:rsid w:val="004C1D3E"/>
    <w:rsid w:val="004C23EA"/>
    <w:rsid w:val="004C3462"/>
    <w:rsid w:val="004C4962"/>
    <w:rsid w:val="004C5224"/>
    <w:rsid w:val="004C5772"/>
    <w:rsid w:val="004C59C7"/>
    <w:rsid w:val="004C5DC4"/>
    <w:rsid w:val="004C7A28"/>
    <w:rsid w:val="004C7A3E"/>
    <w:rsid w:val="004D0A90"/>
    <w:rsid w:val="004D139E"/>
    <w:rsid w:val="004D1CE2"/>
    <w:rsid w:val="004D3DB4"/>
    <w:rsid w:val="004D44AC"/>
    <w:rsid w:val="004D52A4"/>
    <w:rsid w:val="004D53D1"/>
    <w:rsid w:val="004D5ED7"/>
    <w:rsid w:val="004D6C6C"/>
    <w:rsid w:val="004D7044"/>
    <w:rsid w:val="004D7860"/>
    <w:rsid w:val="004E1262"/>
    <w:rsid w:val="004E3049"/>
    <w:rsid w:val="004E40E6"/>
    <w:rsid w:val="004E411B"/>
    <w:rsid w:val="004E46D6"/>
    <w:rsid w:val="004E472E"/>
    <w:rsid w:val="004E5109"/>
    <w:rsid w:val="004E56BE"/>
    <w:rsid w:val="004E5C69"/>
    <w:rsid w:val="004E60D0"/>
    <w:rsid w:val="004E6B95"/>
    <w:rsid w:val="004E6F17"/>
    <w:rsid w:val="004E7142"/>
    <w:rsid w:val="004F12A6"/>
    <w:rsid w:val="004F1565"/>
    <w:rsid w:val="004F1878"/>
    <w:rsid w:val="004F2304"/>
    <w:rsid w:val="004F26F8"/>
    <w:rsid w:val="004F287F"/>
    <w:rsid w:val="004F2BC6"/>
    <w:rsid w:val="004F2E61"/>
    <w:rsid w:val="004F3EF7"/>
    <w:rsid w:val="004F4627"/>
    <w:rsid w:val="004F4CC9"/>
    <w:rsid w:val="004F75D8"/>
    <w:rsid w:val="0050233F"/>
    <w:rsid w:val="005025FE"/>
    <w:rsid w:val="00502A60"/>
    <w:rsid w:val="00503F7C"/>
    <w:rsid w:val="00504585"/>
    <w:rsid w:val="00506DDE"/>
    <w:rsid w:val="00506E99"/>
    <w:rsid w:val="00507CD6"/>
    <w:rsid w:val="00510817"/>
    <w:rsid w:val="00510B99"/>
    <w:rsid w:val="00511412"/>
    <w:rsid w:val="00511A1C"/>
    <w:rsid w:val="005136AD"/>
    <w:rsid w:val="005138BA"/>
    <w:rsid w:val="00513923"/>
    <w:rsid w:val="0051624B"/>
    <w:rsid w:val="005162CD"/>
    <w:rsid w:val="00516335"/>
    <w:rsid w:val="005164C6"/>
    <w:rsid w:val="00516657"/>
    <w:rsid w:val="0051687A"/>
    <w:rsid w:val="00516904"/>
    <w:rsid w:val="00520268"/>
    <w:rsid w:val="00520CB5"/>
    <w:rsid w:val="005210CC"/>
    <w:rsid w:val="005211AF"/>
    <w:rsid w:val="005213E2"/>
    <w:rsid w:val="005222AD"/>
    <w:rsid w:val="005223A0"/>
    <w:rsid w:val="00522C5F"/>
    <w:rsid w:val="00524B59"/>
    <w:rsid w:val="005259A9"/>
    <w:rsid w:val="00526B7A"/>
    <w:rsid w:val="005276C2"/>
    <w:rsid w:val="00533C8E"/>
    <w:rsid w:val="00536D58"/>
    <w:rsid w:val="00540587"/>
    <w:rsid w:val="005406F8"/>
    <w:rsid w:val="0054169B"/>
    <w:rsid w:val="005417D2"/>
    <w:rsid w:val="005422E4"/>
    <w:rsid w:val="00543151"/>
    <w:rsid w:val="00543721"/>
    <w:rsid w:val="00543E1E"/>
    <w:rsid w:val="00544161"/>
    <w:rsid w:val="0054428A"/>
    <w:rsid w:val="0054436C"/>
    <w:rsid w:val="005452BF"/>
    <w:rsid w:val="00545CF8"/>
    <w:rsid w:val="00546797"/>
    <w:rsid w:val="00550E4D"/>
    <w:rsid w:val="00550F69"/>
    <w:rsid w:val="005523C6"/>
    <w:rsid w:val="005535C1"/>
    <w:rsid w:val="00555C8A"/>
    <w:rsid w:val="005563DC"/>
    <w:rsid w:val="005614E4"/>
    <w:rsid w:val="005616AE"/>
    <w:rsid w:val="00565996"/>
    <w:rsid w:val="00566D79"/>
    <w:rsid w:val="0057018B"/>
    <w:rsid w:val="00571AAC"/>
    <w:rsid w:val="00571ADF"/>
    <w:rsid w:val="00571CEA"/>
    <w:rsid w:val="00571F91"/>
    <w:rsid w:val="0057340D"/>
    <w:rsid w:val="0057516A"/>
    <w:rsid w:val="00575E75"/>
    <w:rsid w:val="005767F7"/>
    <w:rsid w:val="0058102C"/>
    <w:rsid w:val="00581C8A"/>
    <w:rsid w:val="0058292B"/>
    <w:rsid w:val="00582A99"/>
    <w:rsid w:val="0058405A"/>
    <w:rsid w:val="005840B1"/>
    <w:rsid w:val="00585C0D"/>
    <w:rsid w:val="005871BD"/>
    <w:rsid w:val="005900A1"/>
    <w:rsid w:val="00590B01"/>
    <w:rsid w:val="00591990"/>
    <w:rsid w:val="00592ADA"/>
    <w:rsid w:val="00595936"/>
    <w:rsid w:val="00595AA1"/>
    <w:rsid w:val="0059647F"/>
    <w:rsid w:val="00596640"/>
    <w:rsid w:val="0059683D"/>
    <w:rsid w:val="005971DD"/>
    <w:rsid w:val="005975F5"/>
    <w:rsid w:val="005A0224"/>
    <w:rsid w:val="005A023D"/>
    <w:rsid w:val="005A0BA6"/>
    <w:rsid w:val="005A1201"/>
    <w:rsid w:val="005A15E8"/>
    <w:rsid w:val="005A35B2"/>
    <w:rsid w:val="005A3671"/>
    <w:rsid w:val="005A3F38"/>
    <w:rsid w:val="005A68C6"/>
    <w:rsid w:val="005A68D6"/>
    <w:rsid w:val="005A6C20"/>
    <w:rsid w:val="005A6F02"/>
    <w:rsid w:val="005A7C50"/>
    <w:rsid w:val="005B01D7"/>
    <w:rsid w:val="005B0BCB"/>
    <w:rsid w:val="005B170A"/>
    <w:rsid w:val="005B1FDE"/>
    <w:rsid w:val="005B2B2E"/>
    <w:rsid w:val="005B3263"/>
    <w:rsid w:val="005B6FDC"/>
    <w:rsid w:val="005B753C"/>
    <w:rsid w:val="005B77B6"/>
    <w:rsid w:val="005B7DCC"/>
    <w:rsid w:val="005C07A9"/>
    <w:rsid w:val="005C1B4B"/>
    <w:rsid w:val="005C1C61"/>
    <w:rsid w:val="005C2541"/>
    <w:rsid w:val="005C511F"/>
    <w:rsid w:val="005C542A"/>
    <w:rsid w:val="005C71E9"/>
    <w:rsid w:val="005D1585"/>
    <w:rsid w:val="005D3596"/>
    <w:rsid w:val="005D4603"/>
    <w:rsid w:val="005D46AA"/>
    <w:rsid w:val="005D4F50"/>
    <w:rsid w:val="005D5D01"/>
    <w:rsid w:val="005D7700"/>
    <w:rsid w:val="005E0F7F"/>
    <w:rsid w:val="005E3A06"/>
    <w:rsid w:val="005E408D"/>
    <w:rsid w:val="005E49CB"/>
    <w:rsid w:val="005E5EEE"/>
    <w:rsid w:val="005E7012"/>
    <w:rsid w:val="005E7D55"/>
    <w:rsid w:val="005F0DA6"/>
    <w:rsid w:val="005F32AD"/>
    <w:rsid w:val="005F41CD"/>
    <w:rsid w:val="005F45F5"/>
    <w:rsid w:val="005F573F"/>
    <w:rsid w:val="005F7C32"/>
    <w:rsid w:val="00601BED"/>
    <w:rsid w:val="00603D72"/>
    <w:rsid w:val="00603EA3"/>
    <w:rsid w:val="006043D5"/>
    <w:rsid w:val="00605CB1"/>
    <w:rsid w:val="006065A9"/>
    <w:rsid w:val="006075B1"/>
    <w:rsid w:val="00607651"/>
    <w:rsid w:val="006101EB"/>
    <w:rsid w:val="006103AF"/>
    <w:rsid w:val="00610C1D"/>
    <w:rsid w:val="006131D3"/>
    <w:rsid w:val="006137A9"/>
    <w:rsid w:val="00613805"/>
    <w:rsid w:val="0061477A"/>
    <w:rsid w:val="00617E98"/>
    <w:rsid w:val="00620AB1"/>
    <w:rsid w:val="00620C5C"/>
    <w:rsid w:val="00622516"/>
    <w:rsid w:val="0062347F"/>
    <w:rsid w:val="006243D9"/>
    <w:rsid w:val="006249D4"/>
    <w:rsid w:val="0062561B"/>
    <w:rsid w:val="00625BAE"/>
    <w:rsid w:val="0062667B"/>
    <w:rsid w:val="00626D62"/>
    <w:rsid w:val="00627195"/>
    <w:rsid w:val="00627799"/>
    <w:rsid w:val="00630E7C"/>
    <w:rsid w:val="00631892"/>
    <w:rsid w:val="0063561B"/>
    <w:rsid w:val="00637188"/>
    <w:rsid w:val="0064042D"/>
    <w:rsid w:val="006408F4"/>
    <w:rsid w:val="00641026"/>
    <w:rsid w:val="00641AEC"/>
    <w:rsid w:val="00642E3D"/>
    <w:rsid w:val="00643AA8"/>
    <w:rsid w:val="00643DEF"/>
    <w:rsid w:val="0064524B"/>
    <w:rsid w:val="006469A4"/>
    <w:rsid w:val="00646AA9"/>
    <w:rsid w:val="00646E5A"/>
    <w:rsid w:val="00650A8F"/>
    <w:rsid w:val="00651877"/>
    <w:rsid w:val="00651BFC"/>
    <w:rsid w:val="0065389C"/>
    <w:rsid w:val="00653F4E"/>
    <w:rsid w:val="00655388"/>
    <w:rsid w:val="00655D04"/>
    <w:rsid w:val="00655D42"/>
    <w:rsid w:val="00656199"/>
    <w:rsid w:val="00656B73"/>
    <w:rsid w:val="006607FE"/>
    <w:rsid w:val="00664D3A"/>
    <w:rsid w:val="006659CF"/>
    <w:rsid w:val="00666B96"/>
    <w:rsid w:val="00667189"/>
    <w:rsid w:val="00667441"/>
    <w:rsid w:val="006677B7"/>
    <w:rsid w:val="00667837"/>
    <w:rsid w:val="00671BE9"/>
    <w:rsid w:val="00671F37"/>
    <w:rsid w:val="006732BF"/>
    <w:rsid w:val="00673DD6"/>
    <w:rsid w:val="00675060"/>
    <w:rsid w:val="006759C2"/>
    <w:rsid w:val="0067631B"/>
    <w:rsid w:val="00676831"/>
    <w:rsid w:val="00677A9F"/>
    <w:rsid w:val="006819F2"/>
    <w:rsid w:val="00681CA4"/>
    <w:rsid w:val="00682027"/>
    <w:rsid w:val="006839AA"/>
    <w:rsid w:val="00685B63"/>
    <w:rsid w:val="00690252"/>
    <w:rsid w:val="00690BC7"/>
    <w:rsid w:val="00691BD8"/>
    <w:rsid w:val="0069411C"/>
    <w:rsid w:val="00694E1A"/>
    <w:rsid w:val="00694E54"/>
    <w:rsid w:val="00694EDA"/>
    <w:rsid w:val="00695A1E"/>
    <w:rsid w:val="00695E7E"/>
    <w:rsid w:val="006963A0"/>
    <w:rsid w:val="006966DC"/>
    <w:rsid w:val="00697D30"/>
    <w:rsid w:val="006A25BB"/>
    <w:rsid w:val="006A2A5A"/>
    <w:rsid w:val="006A34E5"/>
    <w:rsid w:val="006A4641"/>
    <w:rsid w:val="006A4E81"/>
    <w:rsid w:val="006A5D0B"/>
    <w:rsid w:val="006A61C0"/>
    <w:rsid w:val="006A696B"/>
    <w:rsid w:val="006B10B6"/>
    <w:rsid w:val="006B1377"/>
    <w:rsid w:val="006B239C"/>
    <w:rsid w:val="006B2726"/>
    <w:rsid w:val="006B3131"/>
    <w:rsid w:val="006B49DA"/>
    <w:rsid w:val="006B4EB1"/>
    <w:rsid w:val="006B57B2"/>
    <w:rsid w:val="006B6B11"/>
    <w:rsid w:val="006C0EDC"/>
    <w:rsid w:val="006C109B"/>
    <w:rsid w:val="006C180F"/>
    <w:rsid w:val="006C26D0"/>
    <w:rsid w:val="006C2F7A"/>
    <w:rsid w:val="006C3940"/>
    <w:rsid w:val="006C3DCD"/>
    <w:rsid w:val="006C4214"/>
    <w:rsid w:val="006C63D3"/>
    <w:rsid w:val="006C6A48"/>
    <w:rsid w:val="006D166A"/>
    <w:rsid w:val="006D16F9"/>
    <w:rsid w:val="006D1B2D"/>
    <w:rsid w:val="006D1E80"/>
    <w:rsid w:val="006D555F"/>
    <w:rsid w:val="006D6D43"/>
    <w:rsid w:val="006D7127"/>
    <w:rsid w:val="006D72D1"/>
    <w:rsid w:val="006D7E28"/>
    <w:rsid w:val="006D7EC3"/>
    <w:rsid w:val="006E17CD"/>
    <w:rsid w:val="006E23B6"/>
    <w:rsid w:val="006E25AB"/>
    <w:rsid w:val="006E3262"/>
    <w:rsid w:val="006E3A6D"/>
    <w:rsid w:val="006E3ADE"/>
    <w:rsid w:val="006E4748"/>
    <w:rsid w:val="006E530C"/>
    <w:rsid w:val="006E571A"/>
    <w:rsid w:val="006E7746"/>
    <w:rsid w:val="006E79D9"/>
    <w:rsid w:val="006E7F70"/>
    <w:rsid w:val="006F13F0"/>
    <w:rsid w:val="006F262B"/>
    <w:rsid w:val="006F35D3"/>
    <w:rsid w:val="006F4826"/>
    <w:rsid w:val="006F4D0E"/>
    <w:rsid w:val="006F5224"/>
    <w:rsid w:val="006F732D"/>
    <w:rsid w:val="006F738D"/>
    <w:rsid w:val="00700738"/>
    <w:rsid w:val="00701B9C"/>
    <w:rsid w:val="00702E7B"/>
    <w:rsid w:val="007051CE"/>
    <w:rsid w:val="007075A9"/>
    <w:rsid w:val="00707997"/>
    <w:rsid w:val="0071029B"/>
    <w:rsid w:val="0071052E"/>
    <w:rsid w:val="00711762"/>
    <w:rsid w:val="00711E4A"/>
    <w:rsid w:val="00713AF4"/>
    <w:rsid w:val="0071626E"/>
    <w:rsid w:val="00716588"/>
    <w:rsid w:val="00717714"/>
    <w:rsid w:val="0072084F"/>
    <w:rsid w:val="00720996"/>
    <w:rsid w:val="00721552"/>
    <w:rsid w:val="00721C10"/>
    <w:rsid w:val="0072336D"/>
    <w:rsid w:val="007233A8"/>
    <w:rsid w:val="007245F1"/>
    <w:rsid w:val="00726E5E"/>
    <w:rsid w:val="00730B5B"/>
    <w:rsid w:val="00731ED4"/>
    <w:rsid w:val="007327F4"/>
    <w:rsid w:val="0073449F"/>
    <w:rsid w:val="00735BEC"/>
    <w:rsid w:val="007367A7"/>
    <w:rsid w:val="00736C13"/>
    <w:rsid w:val="00736E1E"/>
    <w:rsid w:val="00736F0E"/>
    <w:rsid w:val="00737F92"/>
    <w:rsid w:val="00741FFB"/>
    <w:rsid w:val="007423A6"/>
    <w:rsid w:val="00742897"/>
    <w:rsid w:val="007445DB"/>
    <w:rsid w:val="0074569B"/>
    <w:rsid w:val="00746FE8"/>
    <w:rsid w:val="007510E2"/>
    <w:rsid w:val="007513AA"/>
    <w:rsid w:val="00751CB9"/>
    <w:rsid w:val="00752314"/>
    <w:rsid w:val="00752473"/>
    <w:rsid w:val="00752903"/>
    <w:rsid w:val="0075518C"/>
    <w:rsid w:val="00756EBA"/>
    <w:rsid w:val="0075755C"/>
    <w:rsid w:val="00757D44"/>
    <w:rsid w:val="0076470E"/>
    <w:rsid w:val="00766BBE"/>
    <w:rsid w:val="00767521"/>
    <w:rsid w:val="00772B9F"/>
    <w:rsid w:val="007732C9"/>
    <w:rsid w:val="007735FF"/>
    <w:rsid w:val="007738F3"/>
    <w:rsid w:val="00774793"/>
    <w:rsid w:val="00774CB6"/>
    <w:rsid w:val="00776A3D"/>
    <w:rsid w:val="007800F1"/>
    <w:rsid w:val="007809D5"/>
    <w:rsid w:val="00781977"/>
    <w:rsid w:val="00782001"/>
    <w:rsid w:val="00782488"/>
    <w:rsid w:val="0078249B"/>
    <w:rsid w:val="007826F0"/>
    <w:rsid w:val="00784C5E"/>
    <w:rsid w:val="0078585D"/>
    <w:rsid w:val="00785E49"/>
    <w:rsid w:val="00786099"/>
    <w:rsid w:val="007861A7"/>
    <w:rsid w:val="0078640B"/>
    <w:rsid w:val="007867F1"/>
    <w:rsid w:val="007868C5"/>
    <w:rsid w:val="00786A8D"/>
    <w:rsid w:val="00786B17"/>
    <w:rsid w:val="00786ED8"/>
    <w:rsid w:val="00787338"/>
    <w:rsid w:val="00787C90"/>
    <w:rsid w:val="00790A1F"/>
    <w:rsid w:val="00790B1C"/>
    <w:rsid w:val="00792905"/>
    <w:rsid w:val="00792EEF"/>
    <w:rsid w:val="00793A3A"/>
    <w:rsid w:val="00793B7A"/>
    <w:rsid w:val="00793C15"/>
    <w:rsid w:val="00793DA2"/>
    <w:rsid w:val="0079521F"/>
    <w:rsid w:val="00795ED7"/>
    <w:rsid w:val="007967B4"/>
    <w:rsid w:val="00796902"/>
    <w:rsid w:val="007A01EB"/>
    <w:rsid w:val="007A2BCD"/>
    <w:rsid w:val="007A378D"/>
    <w:rsid w:val="007A48DF"/>
    <w:rsid w:val="007A5547"/>
    <w:rsid w:val="007B0168"/>
    <w:rsid w:val="007B03D4"/>
    <w:rsid w:val="007B0722"/>
    <w:rsid w:val="007B13AE"/>
    <w:rsid w:val="007B210B"/>
    <w:rsid w:val="007B2475"/>
    <w:rsid w:val="007B249F"/>
    <w:rsid w:val="007B2CD9"/>
    <w:rsid w:val="007B2ECC"/>
    <w:rsid w:val="007B4622"/>
    <w:rsid w:val="007B49DF"/>
    <w:rsid w:val="007B5789"/>
    <w:rsid w:val="007C057D"/>
    <w:rsid w:val="007C1DF4"/>
    <w:rsid w:val="007C2335"/>
    <w:rsid w:val="007C45F1"/>
    <w:rsid w:val="007C505E"/>
    <w:rsid w:val="007C5394"/>
    <w:rsid w:val="007C53D6"/>
    <w:rsid w:val="007C5F44"/>
    <w:rsid w:val="007C6600"/>
    <w:rsid w:val="007C6BB9"/>
    <w:rsid w:val="007C7A37"/>
    <w:rsid w:val="007D1633"/>
    <w:rsid w:val="007D1B60"/>
    <w:rsid w:val="007D2976"/>
    <w:rsid w:val="007D2E6D"/>
    <w:rsid w:val="007D35EF"/>
    <w:rsid w:val="007D4AD4"/>
    <w:rsid w:val="007D5501"/>
    <w:rsid w:val="007D56F0"/>
    <w:rsid w:val="007D6047"/>
    <w:rsid w:val="007D7F23"/>
    <w:rsid w:val="007E073D"/>
    <w:rsid w:val="007E0873"/>
    <w:rsid w:val="007E1FB4"/>
    <w:rsid w:val="007E260F"/>
    <w:rsid w:val="007E35CB"/>
    <w:rsid w:val="007E3F58"/>
    <w:rsid w:val="007E4B05"/>
    <w:rsid w:val="007E5DA1"/>
    <w:rsid w:val="007E62F7"/>
    <w:rsid w:val="007F16A8"/>
    <w:rsid w:val="007F24E8"/>
    <w:rsid w:val="007F25A9"/>
    <w:rsid w:val="007F3AE9"/>
    <w:rsid w:val="007F4CCD"/>
    <w:rsid w:val="007F6149"/>
    <w:rsid w:val="007F618C"/>
    <w:rsid w:val="007F688D"/>
    <w:rsid w:val="007F7EB7"/>
    <w:rsid w:val="008014AD"/>
    <w:rsid w:val="00802325"/>
    <w:rsid w:val="00802920"/>
    <w:rsid w:val="00803A89"/>
    <w:rsid w:val="008049BD"/>
    <w:rsid w:val="008052A5"/>
    <w:rsid w:val="00806A96"/>
    <w:rsid w:val="00806F44"/>
    <w:rsid w:val="00807954"/>
    <w:rsid w:val="008114AE"/>
    <w:rsid w:val="008126E4"/>
    <w:rsid w:val="00812CF2"/>
    <w:rsid w:val="00812E6B"/>
    <w:rsid w:val="00812E7D"/>
    <w:rsid w:val="00815522"/>
    <w:rsid w:val="00815DBC"/>
    <w:rsid w:val="00816F1C"/>
    <w:rsid w:val="0081709B"/>
    <w:rsid w:val="008175AA"/>
    <w:rsid w:val="0082116C"/>
    <w:rsid w:val="008214F4"/>
    <w:rsid w:val="008223E7"/>
    <w:rsid w:val="0082247E"/>
    <w:rsid w:val="00824076"/>
    <w:rsid w:val="00825A7D"/>
    <w:rsid w:val="00826D20"/>
    <w:rsid w:val="00833224"/>
    <w:rsid w:val="00833678"/>
    <w:rsid w:val="00834FBE"/>
    <w:rsid w:val="00835A0A"/>
    <w:rsid w:val="00840460"/>
    <w:rsid w:val="008408C1"/>
    <w:rsid w:val="00840B15"/>
    <w:rsid w:val="008412F6"/>
    <w:rsid w:val="008413D6"/>
    <w:rsid w:val="008438ED"/>
    <w:rsid w:val="00843A62"/>
    <w:rsid w:val="00843B06"/>
    <w:rsid w:val="00844184"/>
    <w:rsid w:val="00844B0F"/>
    <w:rsid w:val="00844C9C"/>
    <w:rsid w:val="00844EA9"/>
    <w:rsid w:val="0084763A"/>
    <w:rsid w:val="008503AA"/>
    <w:rsid w:val="008505CC"/>
    <w:rsid w:val="0085234E"/>
    <w:rsid w:val="0085286E"/>
    <w:rsid w:val="008532CA"/>
    <w:rsid w:val="008532E2"/>
    <w:rsid w:val="008534CB"/>
    <w:rsid w:val="00854E3D"/>
    <w:rsid w:val="0085605E"/>
    <w:rsid w:val="00856D04"/>
    <w:rsid w:val="00856E94"/>
    <w:rsid w:val="00857457"/>
    <w:rsid w:val="00857E65"/>
    <w:rsid w:val="00860179"/>
    <w:rsid w:val="008601C5"/>
    <w:rsid w:val="008614DB"/>
    <w:rsid w:val="00862C0D"/>
    <w:rsid w:val="008631BE"/>
    <w:rsid w:val="00863F9A"/>
    <w:rsid w:val="00864126"/>
    <w:rsid w:val="00865E73"/>
    <w:rsid w:val="00865F66"/>
    <w:rsid w:val="00867518"/>
    <w:rsid w:val="008704E4"/>
    <w:rsid w:val="00873356"/>
    <w:rsid w:val="008737AC"/>
    <w:rsid w:val="00876062"/>
    <w:rsid w:val="00877130"/>
    <w:rsid w:val="008778BF"/>
    <w:rsid w:val="00880650"/>
    <w:rsid w:val="00880DE8"/>
    <w:rsid w:val="008819D1"/>
    <w:rsid w:val="00882464"/>
    <w:rsid w:val="008830AA"/>
    <w:rsid w:val="00884ABF"/>
    <w:rsid w:val="00884FFC"/>
    <w:rsid w:val="00886BD6"/>
    <w:rsid w:val="00887AD9"/>
    <w:rsid w:val="0089095D"/>
    <w:rsid w:val="00890BD7"/>
    <w:rsid w:val="00891A6E"/>
    <w:rsid w:val="008927A4"/>
    <w:rsid w:val="008937AA"/>
    <w:rsid w:val="008941B7"/>
    <w:rsid w:val="008951FB"/>
    <w:rsid w:val="008953AC"/>
    <w:rsid w:val="008968EB"/>
    <w:rsid w:val="00897689"/>
    <w:rsid w:val="00897CBF"/>
    <w:rsid w:val="00897FEE"/>
    <w:rsid w:val="008A0FB9"/>
    <w:rsid w:val="008A141E"/>
    <w:rsid w:val="008A16D9"/>
    <w:rsid w:val="008A3A56"/>
    <w:rsid w:val="008A3C31"/>
    <w:rsid w:val="008A405E"/>
    <w:rsid w:val="008A4DD1"/>
    <w:rsid w:val="008A51A2"/>
    <w:rsid w:val="008A51C6"/>
    <w:rsid w:val="008A51D2"/>
    <w:rsid w:val="008A684F"/>
    <w:rsid w:val="008B20BE"/>
    <w:rsid w:val="008B2EB2"/>
    <w:rsid w:val="008B4C97"/>
    <w:rsid w:val="008B55B4"/>
    <w:rsid w:val="008B62A9"/>
    <w:rsid w:val="008B7AF1"/>
    <w:rsid w:val="008B7BEA"/>
    <w:rsid w:val="008C04C9"/>
    <w:rsid w:val="008C0F49"/>
    <w:rsid w:val="008C31FD"/>
    <w:rsid w:val="008C3E97"/>
    <w:rsid w:val="008C3EB9"/>
    <w:rsid w:val="008C5328"/>
    <w:rsid w:val="008C73F3"/>
    <w:rsid w:val="008C7658"/>
    <w:rsid w:val="008C7FA1"/>
    <w:rsid w:val="008D0832"/>
    <w:rsid w:val="008D4A11"/>
    <w:rsid w:val="008D5E56"/>
    <w:rsid w:val="008D6463"/>
    <w:rsid w:val="008E0922"/>
    <w:rsid w:val="008E2CDB"/>
    <w:rsid w:val="008E36EC"/>
    <w:rsid w:val="008E3A6A"/>
    <w:rsid w:val="008E5CE3"/>
    <w:rsid w:val="008E6E76"/>
    <w:rsid w:val="008F0712"/>
    <w:rsid w:val="008F10C0"/>
    <w:rsid w:val="008F1194"/>
    <w:rsid w:val="008F273A"/>
    <w:rsid w:val="008F41A0"/>
    <w:rsid w:val="008F5FA6"/>
    <w:rsid w:val="008F64BD"/>
    <w:rsid w:val="008F7A9C"/>
    <w:rsid w:val="00900503"/>
    <w:rsid w:val="00900829"/>
    <w:rsid w:val="00900DA8"/>
    <w:rsid w:val="00901525"/>
    <w:rsid w:val="00902774"/>
    <w:rsid w:val="00903BCA"/>
    <w:rsid w:val="00904393"/>
    <w:rsid w:val="009106CD"/>
    <w:rsid w:val="009110CD"/>
    <w:rsid w:val="00911F10"/>
    <w:rsid w:val="0091299A"/>
    <w:rsid w:val="00914764"/>
    <w:rsid w:val="0091539C"/>
    <w:rsid w:val="00916459"/>
    <w:rsid w:val="00916C85"/>
    <w:rsid w:val="00917002"/>
    <w:rsid w:val="00917822"/>
    <w:rsid w:val="00920449"/>
    <w:rsid w:val="00921389"/>
    <w:rsid w:val="00921F8C"/>
    <w:rsid w:val="00922B04"/>
    <w:rsid w:val="009238C0"/>
    <w:rsid w:val="00924CB5"/>
    <w:rsid w:val="00924D99"/>
    <w:rsid w:val="00925BAA"/>
    <w:rsid w:val="00925EE3"/>
    <w:rsid w:val="00926352"/>
    <w:rsid w:val="00926BC0"/>
    <w:rsid w:val="0092796F"/>
    <w:rsid w:val="00930B50"/>
    <w:rsid w:val="009314F1"/>
    <w:rsid w:val="009317F7"/>
    <w:rsid w:val="00932326"/>
    <w:rsid w:val="009328FC"/>
    <w:rsid w:val="00933D7D"/>
    <w:rsid w:val="009348D7"/>
    <w:rsid w:val="00934BFF"/>
    <w:rsid w:val="009360C5"/>
    <w:rsid w:val="009367D5"/>
    <w:rsid w:val="00937FA9"/>
    <w:rsid w:val="0094110C"/>
    <w:rsid w:val="0094225E"/>
    <w:rsid w:val="00942810"/>
    <w:rsid w:val="00944443"/>
    <w:rsid w:val="00945B8B"/>
    <w:rsid w:val="00950842"/>
    <w:rsid w:val="00950B64"/>
    <w:rsid w:val="0095229E"/>
    <w:rsid w:val="009530EE"/>
    <w:rsid w:val="00953D01"/>
    <w:rsid w:val="00953DC9"/>
    <w:rsid w:val="00954D2A"/>
    <w:rsid w:val="00957152"/>
    <w:rsid w:val="0096064B"/>
    <w:rsid w:val="00960904"/>
    <w:rsid w:val="00962C63"/>
    <w:rsid w:val="00963568"/>
    <w:rsid w:val="00964FC8"/>
    <w:rsid w:val="009668A3"/>
    <w:rsid w:val="0096781E"/>
    <w:rsid w:val="009704B0"/>
    <w:rsid w:val="00970812"/>
    <w:rsid w:val="00971572"/>
    <w:rsid w:val="00972036"/>
    <w:rsid w:val="00972A1E"/>
    <w:rsid w:val="00973698"/>
    <w:rsid w:val="00974095"/>
    <w:rsid w:val="00974136"/>
    <w:rsid w:val="00974949"/>
    <w:rsid w:val="009752EF"/>
    <w:rsid w:val="00975458"/>
    <w:rsid w:val="009757F9"/>
    <w:rsid w:val="009776B4"/>
    <w:rsid w:val="009802BB"/>
    <w:rsid w:val="0098133E"/>
    <w:rsid w:val="00983ABD"/>
    <w:rsid w:val="00983CF2"/>
    <w:rsid w:val="00983F19"/>
    <w:rsid w:val="00985755"/>
    <w:rsid w:val="00985AC0"/>
    <w:rsid w:val="00985F67"/>
    <w:rsid w:val="00987853"/>
    <w:rsid w:val="009920D4"/>
    <w:rsid w:val="00992506"/>
    <w:rsid w:val="00993DAB"/>
    <w:rsid w:val="0099432F"/>
    <w:rsid w:val="00994C9E"/>
    <w:rsid w:val="009952EB"/>
    <w:rsid w:val="00995D43"/>
    <w:rsid w:val="00995D4C"/>
    <w:rsid w:val="009964E7"/>
    <w:rsid w:val="00997595"/>
    <w:rsid w:val="00997EEC"/>
    <w:rsid w:val="009A180F"/>
    <w:rsid w:val="009A194C"/>
    <w:rsid w:val="009A1C25"/>
    <w:rsid w:val="009A1D13"/>
    <w:rsid w:val="009A20E5"/>
    <w:rsid w:val="009A3386"/>
    <w:rsid w:val="009A4E23"/>
    <w:rsid w:val="009A539B"/>
    <w:rsid w:val="009A5A7E"/>
    <w:rsid w:val="009A623A"/>
    <w:rsid w:val="009A623D"/>
    <w:rsid w:val="009A68EA"/>
    <w:rsid w:val="009B013D"/>
    <w:rsid w:val="009B2213"/>
    <w:rsid w:val="009B3319"/>
    <w:rsid w:val="009B4B17"/>
    <w:rsid w:val="009B532B"/>
    <w:rsid w:val="009B5513"/>
    <w:rsid w:val="009B5F0E"/>
    <w:rsid w:val="009B6B20"/>
    <w:rsid w:val="009B7560"/>
    <w:rsid w:val="009B77E9"/>
    <w:rsid w:val="009B7A15"/>
    <w:rsid w:val="009C1001"/>
    <w:rsid w:val="009C124F"/>
    <w:rsid w:val="009C1924"/>
    <w:rsid w:val="009C1F68"/>
    <w:rsid w:val="009C3E19"/>
    <w:rsid w:val="009C4684"/>
    <w:rsid w:val="009C4E23"/>
    <w:rsid w:val="009C532F"/>
    <w:rsid w:val="009C5CA3"/>
    <w:rsid w:val="009C5DC9"/>
    <w:rsid w:val="009D3EE1"/>
    <w:rsid w:val="009D3F60"/>
    <w:rsid w:val="009D40F5"/>
    <w:rsid w:val="009D48A3"/>
    <w:rsid w:val="009D62E1"/>
    <w:rsid w:val="009D7E49"/>
    <w:rsid w:val="009E022C"/>
    <w:rsid w:val="009E1502"/>
    <w:rsid w:val="009E2CA3"/>
    <w:rsid w:val="009E354F"/>
    <w:rsid w:val="009E3E67"/>
    <w:rsid w:val="009E51CE"/>
    <w:rsid w:val="009E5BCC"/>
    <w:rsid w:val="009E5D82"/>
    <w:rsid w:val="009E5ECF"/>
    <w:rsid w:val="009E6AD3"/>
    <w:rsid w:val="009E6B25"/>
    <w:rsid w:val="009E734D"/>
    <w:rsid w:val="009F0667"/>
    <w:rsid w:val="009F0EAA"/>
    <w:rsid w:val="009F2D52"/>
    <w:rsid w:val="009F38A2"/>
    <w:rsid w:val="009F4114"/>
    <w:rsid w:val="009F42AB"/>
    <w:rsid w:val="009F5A9B"/>
    <w:rsid w:val="009F5BFA"/>
    <w:rsid w:val="009F78CB"/>
    <w:rsid w:val="009F79DC"/>
    <w:rsid w:val="00A00A06"/>
    <w:rsid w:val="00A01B5C"/>
    <w:rsid w:val="00A0309C"/>
    <w:rsid w:val="00A03F0C"/>
    <w:rsid w:val="00A0599B"/>
    <w:rsid w:val="00A06029"/>
    <w:rsid w:val="00A077F8"/>
    <w:rsid w:val="00A114AB"/>
    <w:rsid w:val="00A12330"/>
    <w:rsid w:val="00A13487"/>
    <w:rsid w:val="00A13899"/>
    <w:rsid w:val="00A14107"/>
    <w:rsid w:val="00A20DBC"/>
    <w:rsid w:val="00A234DF"/>
    <w:rsid w:val="00A23FE4"/>
    <w:rsid w:val="00A25A5B"/>
    <w:rsid w:val="00A307CE"/>
    <w:rsid w:val="00A31FE1"/>
    <w:rsid w:val="00A32EDC"/>
    <w:rsid w:val="00A33063"/>
    <w:rsid w:val="00A33625"/>
    <w:rsid w:val="00A35817"/>
    <w:rsid w:val="00A36C54"/>
    <w:rsid w:val="00A373B9"/>
    <w:rsid w:val="00A37466"/>
    <w:rsid w:val="00A40CC4"/>
    <w:rsid w:val="00A410CD"/>
    <w:rsid w:val="00A41431"/>
    <w:rsid w:val="00A42340"/>
    <w:rsid w:val="00A42AE3"/>
    <w:rsid w:val="00A4301D"/>
    <w:rsid w:val="00A4312F"/>
    <w:rsid w:val="00A43192"/>
    <w:rsid w:val="00A502B4"/>
    <w:rsid w:val="00A51997"/>
    <w:rsid w:val="00A51A53"/>
    <w:rsid w:val="00A52C01"/>
    <w:rsid w:val="00A54135"/>
    <w:rsid w:val="00A55391"/>
    <w:rsid w:val="00A5632D"/>
    <w:rsid w:val="00A57A6E"/>
    <w:rsid w:val="00A6080C"/>
    <w:rsid w:val="00A6092F"/>
    <w:rsid w:val="00A619E7"/>
    <w:rsid w:val="00A6269A"/>
    <w:rsid w:val="00A63318"/>
    <w:rsid w:val="00A65678"/>
    <w:rsid w:val="00A70DD1"/>
    <w:rsid w:val="00A716CA"/>
    <w:rsid w:val="00A71878"/>
    <w:rsid w:val="00A73662"/>
    <w:rsid w:val="00A7397B"/>
    <w:rsid w:val="00A74C23"/>
    <w:rsid w:val="00A751FE"/>
    <w:rsid w:val="00A7631C"/>
    <w:rsid w:val="00A76621"/>
    <w:rsid w:val="00A7679C"/>
    <w:rsid w:val="00A77922"/>
    <w:rsid w:val="00A77E5A"/>
    <w:rsid w:val="00A81299"/>
    <w:rsid w:val="00A8139B"/>
    <w:rsid w:val="00A82227"/>
    <w:rsid w:val="00A832D2"/>
    <w:rsid w:val="00A847E1"/>
    <w:rsid w:val="00A85C20"/>
    <w:rsid w:val="00A86058"/>
    <w:rsid w:val="00A86381"/>
    <w:rsid w:val="00A86985"/>
    <w:rsid w:val="00A87054"/>
    <w:rsid w:val="00A90BD5"/>
    <w:rsid w:val="00A90F41"/>
    <w:rsid w:val="00A9157A"/>
    <w:rsid w:val="00A91C82"/>
    <w:rsid w:val="00A943B2"/>
    <w:rsid w:val="00A957A5"/>
    <w:rsid w:val="00A9602E"/>
    <w:rsid w:val="00A965CC"/>
    <w:rsid w:val="00A96616"/>
    <w:rsid w:val="00A97E2F"/>
    <w:rsid w:val="00AA0222"/>
    <w:rsid w:val="00AA0A49"/>
    <w:rsid w:val="00AA3BA4"/>
    <w:rsid w:val="00AA4BB9"/>
    <w:rsid w:val="00AA5FA0"/>
    <w:rsid w:val="00AA7020"/>
    <w:rsid w:val="00AA76F1"/>
    <w:rsid w:val="00AB0326"/>
    <w:rsid w:val="00AB07A4"/>
    <w:rsid w:val="00AB181B"/>
    <w:rsid w:val="00AB1F61"/>
    <w:rsid w:val="00AB2E64"/>
    <w:rsid w:val="00AB41DE"/>
    <w:rsid w:val="00AB4D75"/>
    <w:rsid w:val="00AB6C5F"/>
    <w:rsid w:val="00AB6E29"/>
    <w:rsid w:val="00AB7BE6"/>
    <w:rsid w:val="00AC2375"/>
    <w:rsid w:val="00AC3B69"/>
    <w:rsid w:val="00AC3B99"/>
    <w:rsid w:val="00AC3E58"/>
    <w:rsid w:val="00AC442A"/>
    <w:rsid w:val="00AC5BC6"/>
    <w:rsid w:val="00AC6720"/>
    <w:rsid w:val="00AC7ECD"/>
    <w:rsid w:val="00AD0766"/>
    <w:rsid w:val="00AD083F"/>
    <w:rsid w:val="00AD2170"/>
    <w:rsid w:val="00AD275A"/>
    <w:rsid w:val="00AD2CE8"/>
    <w:rsid w:val="00AD3D6D"/>
    <w:rsid w:val="00AD6806"/>
    <w:rsid w:val="00AD6E5E"/>
    <w:rsid w:val="00AD705C"/>
    <w:rsid w:val="00AD7F00"/>
    <w:rsid w:val="00AE0357"/>
    <w:rsid w:val="00AE0559"/>
    <w:rsid w:val="00AE0D97"/>
    <w:rsid w:val="00AE19DC"/>
    <w:rsid w:val="00AE22BA"/>
    <w:rsid w:val="00AE2B1C"/>
    <w:rsid w:val="00AE3B5F"/>
    <w:rsid w:val="00AE3CFD"/>
    <w:rsid w:val="00AE55D2"/>
    <w:rsid w:val="00AE7106"/>
    <w:rsid w:val="00AF06CB"/>
    <w:rsid w:val="00AF1755"/>
    <w:rsid w:val="00AF1B84"/>
    <w:rsid w:val="00AF365E"/>
    <w:rsid w:val="00AF37BE"/>
    <w:rsid w:val="00AF3BDF"/>
    <w:rsid w:val="00AF4D16"/>
    <w:rsid w:val="00AF5B4A"/>
    <w:rsid w:val="00AF6215"/>
    <w:rsid w:val="00B03428"/>
    <w:rsid w:val="00B035CC"/>
    <w:rsid w:val="00B0391D"/>
    <w:rsid w:val="00B045C3"/>
    <w:rsid w:val="00B06606"/>
    <w:rsid w:val="00B068D9"/>
    <w:rsid w:val="00B06E83"/>
    <w:rsid w:val="00B103CA"/>
    <w:rsid w:val="00B104F3"/>
    <w:rsid w:val="00B10B0E"/>
    <w:rsid w:val="00B11DC0"/>
    <w:rsid w:val="00B14087"/>
    <w:rsid w:val="00B14E3D"/>
    <w:rsid w:val="00B15C0F"/>
    <w:rsid w:val="00B20BD0"/>
    <w:rsid w:val="00B222AD"/>
    <w:rsid w:val="00B226BC"/>
    <w:rsid w:val="00B236E3"/>
    <w:rsid w:val="00B23729"/>
    <w:rsid w:val="00B23CE0"/>
    <w:rsid w:val="00B23F83"/>
    <w:rsid w:val="00B24EBD"/>
    <w:rsid w:val="00B26878"/>
    <w:rsid w:val="00B268F6"/>
    <w:rsid w:val="00B26C9B"/>
    <w:rsid w:val="00B30B38"/>
    <w:rsid w:val="00B30B47"/>
    <w:rsid w:val="00B32C21"/>
    <w:rsid w:val="00B34418"/>
    <w:rsid w:val="00B3452A"/>
    <w:rsid w:val="00B34A68"/>
    <w:rsid w:val="00B34F64"/>
    <w:rsid w:val="00B36B4B"/>
    <w:rsid w:val="00B407E1"/>
    <w:rsid w:val="00B41DAF"/>
    <w:rsid w:val="00B44D12"/>
    <w:rsid w:val="00B45E08"/>
    <w:rsid w:val="00B46B69"/>
    <w:rsid w:val="00B51385"/>
    <w:rsid w:val="00B51E8B"/>
    <w:rsid w:val="00B522B8"/>
    <w:rsid w:val="00B526F5"/>
    <w:rsid w:val="00B52C04"/>
    <w:rsid w:val="00B53061"/>
    <w:rsid w:val="00B5338E"/>
    <w:rsid w:val="00B549DF"/>
    <w:rsid w:val="00B54FEB"/>
    <w:rsid w:val="00B55490"/>
    <w:rsid w:val="00B5561F"/>
    <w:rsid w:val="00B55F0E"/>
    <w:rsid w:val="00B572E1"/>
    <w:rsid w:val="00B60A01"/>
    <w:rsid w:val="00B6387C"/>
    <w:rsid w:val="00B6527B"/>
    <w:rsid w:val="00B67BA7"/>
    <w:rsid w:val="00B713A1"/>
    <w:rsid w:val="00B720B0"/>
    <w:rsid w:val="00B72F56"/>
    <w:rsid w:val="00B73488"/>
    <w:rsid w:val="00B75C09"/>
    <w:rsid w:val="00B75FE1"/>
    <w:rsid w:val="00B7693B"/>
    <w:rsid w:val="00B76959"/>
    <w:rsid w:val="00B80087"/>
    <w:rsid w:val="00B80913"/>
    <w:rsid w:val="00B80E93"/>
    <w:rsid w:val="00B816CE"/>
    <w:rsid w:val="00B81E55"/>
    <w:rsid w:val="00B82416"/>
    <w:rsid w:val="00B82795"/>
    <w:rsid w:val="00B827FF"/>
    <w:rsid w:val="00B84045"/>
    <w:rsid w:val="00B8445D"/>
    <w:rsid w:val="00B846E1"/>
    <w:rsid w:val="00B84CE4"/>
    <w:rsid w:val="00B8577F"/>
    <w:rsid w:val="00B85FCA"/>
    <w:rsid w:val="00B86FCB"/>
    <w:rsid w:val="00B9000E"/>
    <w:rsid w:val="00B9010E"/>
    <w:rsid w:val="00B9061C"/>
    <w:rsid w:val="00B90A67"/>
    <w:rsid w:val="00B90BE2"/>
    <w:rsid w:val="00B91098"/>
    <w:rsid w:val="00B93351"/>
    <w:rsid w:val="00B93FAF"/>
    <w:rsid w:val="00B94054"/>
    <w:rsid w:val="00B9507A"/>
    <w:rsid w:val="00B9562A"/>
    <w:rsid w:val="00B95D8F"/>
    <w:rsid w:val="00B966BC"/>
    <w:rsid w:val="00B96AC7"/>
    <w:rsid w:val="00B96BBB"/>
    <w:rsid w:val="00B96DBD"/>
    <w:rsid w:val="00B9744A"/>
    <w:rsid w:val="00BA0067"/>
    <w:rsid w:val="00BA0D89"/>
    <w:rsid w:val="00BA0EF6"/>
    <w:rsid w:val="00BA20A7"/>
    <w:rsid w:val="00BA4785"/>
    <w:rsid w:val="00BA49CD"/>
    <w:rsid w:val="00BA5B7E"/>
    <w:rsid w:val="00BA6C89"/>
    <w:rsid w:val="00BA6E25"/>
    <w:rsid w:val="00BA7D1D"/>
    <w:rsid w:val="00BB2FE5"/>
    <w:rsid w:val="00BB3ADB"/>
    <w:rsid w:val="00BB48BF"/>
    <w:rsid w:val="00BB50E7"/>
    <w:rsid w:val="00BB50ED"/>
    <w:rsid w:val="00BB7794"/>
    <w:rsid w:val="00BC2074"/>
    <w:rsid w:val="00BC4073"/>
    <w:rsid w:val="00BC4184"/>
    <w:rsid w:val="00BC46FA"/>
    <w:rsid w:val="00BC4F4A"/>
    <w:rsid w:val="00BC622C"/>
    <w:rsid w:val="00BC6781"/>
    <w:rsid w:val="00BD0813"/>
    <w:rsid w:val="00BD0833"/>
    <w:rsid w:val="00BD223C"/>
    <w:rsid w:val="00BD241F"/>
    <w:rsid w:val="00BD3CD7"/>
    <w:rsid w:val="00BD403D"/>
    <w:rsid w:val="00BD503B"/>
    <w:rsid w:val="00BD528A"/>
    <w:rsid w:val="00BD53BA"/>
    <w:rsid w:val="00BD5C05"/>
    <w:rsid w:val="00BD7002"/>
    <w:rsid w:val="00BD79CE"/>
    <w:rsid w:val="00BE3C7B"/>
    <w:rsid w:val="00BE4371"/>
    <w:rsid w:val="00BE5CD9"/>
    <w:rsid w:val="00BF1D44"/>
    <w:rsid w:val="00BF2752"/>
    <w:rsid w:val="00BF2E42"/>
    <w:rsid w:val="00BF45C4"/>
    <w:rsid w:val="00BF58F6"/>
    <w:rsid w:val="00BF6512"/>
    <w:rsid w:val="00C00C32"/>
    <w:rsid w:val="00C0383C"/>
    <w:rsid w:val="00C0427F"/>
    <w:rsid w:val="00C102B5"/>
    <w:rsid w:val="00C108D4"/>
    <w:rsid w:val="00C14296"/>
    <w:rsid w:val="00C148C1"/>
    <w:rsid w:val="00C15234"/>
    <w:rsid w:val="00C2053A"/>
    <w:rsid w:val="00C21443"/>
    <w:rsid w:val="00C220E1"/>
    <w:rsid w:val="00C23138"/>
    <w:rsid w:val="00C235CA"/>
    <w:rsid w:val="00C24F8C"/>
    <w:rsid w:val="00C25AEE"/>
    <w:rsid w:val="00C25CB9"/>
    <w:rsid w:val="00C25ECE"/>
    <w:rsid w:val="00C27641"/>
    <w:rsid w:val="00C2792D"/>
    <w:rsid w:val="00C30AA3"/>
    <w:rsid w:val="00C30FF5"/>
    <w:rsid w:val="00C32554"/>
    <w:rsid w:val="00C32E7A"/>
    <w:rsid w:val="00C3338A"/>
    <w:rsid w:val="00C33F58"/>
    <w:rsid w:val="00C34189"/>
    <w:rsid w:val="00C35A51"/>
    <w:rsid w:val="00C422BC"/>
    <w:rsid w:val="00C42B47"/>
    <w:rsid w:val="00C44BBE"/>
    <w:rsid w:val="00C469A4"/>
    <w:rsid w:val="00C476D7"/>
    <w:rsid w:val="00C507C3"/>
    <w:rsid w:val="00C513A0"/>
    <w:rsid w:val="00C515EB"/>
    <w:rsid w:val="00C52188"/>
    <w:rsid w:val="00C5358D"/>
    <w:rsid w:val="00C56AB8"/>
    <w:rsid w:val="00C56D03"/>
    <w:rsid w:val="00C57FE9"/>
    <w:rsid w:val="00C607F8"/>
    <w:rsid w:val="00C61603"/>
    <w:rsid w:val="00C61ADB"/>
    <w:rsid w:val="00C62BBB"/>
    <w:rsid w:val="00C62C08"/>
    <w:rsid w:val="00C6302E"/>
    <w:rsid w:val="00C63B3B"/>
    <w:rsid w:val="00C644D4"/>
    <w:rsid w:val="00C64AD3"/>
    <w:rsid w:val="00C66A8B"/>
    <w:rsid w:val="00C66D9D"/>
    <w:rsid w:val="00C71AC4"/>
    <w:rsid w:val="00C731E8"/>
    <w:rsid w:val="00C753A4"/>
    <w:rsid w:val="00C76839"/>
    <w:rsid w:val="00C768B7"/>
    <w:rsid w:val="00C770B0"/>
    <w:rsid w:val="00C80108"/>
    <w:rsid w:val="00C81154"/>
    <w:rsid w:val="00C8276C"/>
    <w:rsid w:val="00C832E2"/>
    <w:rsid w:val="00C83459"/>
    <w:rsid w:val="00C83B2F"/>
    <w:rsid w:val="00C83DF8"/>
    <w:rsid w:val="00C852FA"/>
    <w:rsid w:val="00C858FA"/>
    <w:rsid w:val="00C8699C"/>
    <w:rsid w:val="00C86A37"/>
    <w:rsid w:val="00C8790C"/>
    <w:rsid w:val="00C87B47"/>
    <w:rsid w:val="00C87E1A"/>
    <w:rsid w:val="00C905F0"/>
    <w:rsid w:val="00C92AA9"/>
    <w:rsid w:val="00C92BBB"/>
    <w:rsid w:val="00C945DD"/>
    <w:rsid w:val="00CA074A"/>
    <w:rsid w:val="00CA09F4"/>
    <w:rsid w:val="00CA0BE6"/>
    <w:rsid w:val="00CA0DC9"/>
    <w:rsid w:val="00CA314B"/>
    <w:rsid w:val="00CA391F"/>
    <w:rsid w:val="00CA43A1"/>
    <w:rsid w:val="00CA4AF5"/>
    <w:rsid w:val="00CA4E97"/>
    <w:rsid w:val="00CA5249"/>
    <w:rsid w:val="00CA660A"/>
    <w:rsid w:val="00CA75F1"/>
    <w:rsid w:val="00CB1F21"/>
    <w:rsid w:val="00CB2C7D"/>
    <w:rsid w:val="00CB2DEC"/>
    <w:rsid w:val="00CB41C7"/>
    <w:rsid w:val="00CB59D1"/>
    <w:rsid w:val="00CC0F54"/>
    <w:rsid w:val="00CC1AC2"/>
    <w:rsid w:val="00CC3D0D"/>
    <w:rsid w:val="00CC3F7F"/>
    <w:rsid w:val="00CC447D"/>
    <w:rsid w:val="00CC4685"/>
    <w:rsid w:val="00CC5188"/>
    <w:rsid w:val="00CC5414"/>
    <w:rsid w:val="00CC5D5F"/>
    <w:rsid w:val="00CC68C9"/>
    <w:rsid w:val="00CC69A6"/>
    <w:rsid w:val="00CC6FA2"/>
    <w:rsid w:val="00CC7AF6"/>
    <w:rsid w:val="00CD1006"/>
    <w:rsid w:val="00CD1FC6"/>
    <w:rsid w:val="00CD23DC"/>
    <w:rsid w:val="00CD27C9"/>
    <w:rsid w:val="00CD33C4"/>
    <w:rsid w:val="00CD4424"/>
    <w:rsid w:val="00CD5730"/>
    <w:rsid w:val="00CD5B9E"/>
    <w:rsid w:val="00CD5E0F"/>
    <w:rsid w:val="00CE0F56"/>
    <w:rsid w:val="00CE17A5"/>
    <w:rsid w:val="00CE2013"/>
    <w:rsid w:val="00CE44C5"/>
    <w:rsid w:val="00CE5ED4"/>
    <w:rsid w:val="00CE6D6D"/>
    <w:rsid w:val="00CE7FBB"/>
    <w:rsid w:val="00CF1C3C"/>
    <w:rsid w:val="00CF1F0A"/>
    <w:rsid w:val="00CF3A6C"/>
    <w:rsid w:val="00CF5004"/>
    <w:rsid w:val="00CF51EE"/>
    <w:rsid w:val="00CF561E"/>
    <w:rsid w:val="00CF6520"/>
    <w:rsid w:val="00CF65CD"/>
    <w:rsid w:val="00CF7499"/>
    <w:rsid w:val="00CF763A"/>
    <w:rsid w:val="00CF7B71"/>
    <w:rsid w:val="00D00929"/>
    <w:rsid w:val="00D010D6"/>
    <w:rsid w:val="00D01487"/>
    <w:rsid w:val="00D014E8"/>
    <w:rsid w:val="00D01C90"/>
    <w:rsid w:val="00D01CA5"/>
    <w:rsid w:val="00D032A0"/>
    <w:rsid w:val="00D0366F"/>
    <w:rsid w:val="00D044DD"/>
    <w:rsid w:val="00D051DE"/>
    <w:rsid w:val="00D055CD"/>
    <w:rsid w:val="00D05C69"/>
    <w:rsid w:val="00D075F5"/>
    <w:rsid w:val="00D1044D"/>
    <w:rsid w:val="00D105D7"/>
    <w:rsid w:val="00D10AC4"/>
    <w:rsid w:val="00D11143"/>
    <w:rsid w:val="00D11503"/>
    <w:rsid w:val="00D122F2"/>
    <w:rsid w:val="00D14796"/>
    <w:rsid w:val="00D1613E"/>
    <w:rsid w:val="00D16870"/>
    <w:rsid w:val="00D16D7D"/>
    <w:rsid w:val="00D17ACB"/>
    <w:rsid w:val="00D20077"/>
    <w:rsid w:val="00D23445"/>
    <w:rsid w:val="00D23F4C"/>
    <w:rsid w:val="00D25AFD"/>
    <w:rsid w:val="00D26EB7"/>
    <w:rsid w:val="00D273DD"/>
    <w:rsid w:val="00D27AC7"/>
    <w:rsid w:val="00D308D9"/>
    <w:rsid w:val="00D30DD9"/>
    <w:rsid w:val="00D31DCE"/>
    <w:rsid w:val="00D349D1"/>
    <w:rsid w:val="00D34C68"/>
    <w:rsid w:val="00D35610"/>
    <w:rsid w:val="00D365AD"/>
    <w:rsid w:val="00D40099"/>
    <w:rsid w:val="00D4229E"/>
    <w:rsid w:val="00D428C5"/>
    <w:rsid w:val="00D42B7D"/>
    <w:rsid w:val="00D44997"/>
    <w:rsid w:val="00D47E2C"/>
    <w:rsid w:val="00D53504"/>
    <w:rsid w:val="00D537A4"/>
    <w:rsid w:val="00D54E30"/>
    <w:rsid w:val="00D5513A"/>
    <w:rsid w:val="00D568A8"/>
    <w:rsid w:val="00D56D08"/>
    <w:rsid w:val="00D571A9"/>
    <w:rsid w:val="00D572CD"/>
    <w:rsid w:val="00D572EB"/>
    <w:rsid w:val="00D60FDF"/>
    <w:rsid w:val="00D61BF3"/>
    <w:rsid w:val="00D61F41"/>
    <w:rsid w:val="00D62C77"/>
    <w:rsid w:val="00D62DA7"/>
    <w:rsid w:val="00D679DE"/>
    <w:rsid w:val="00D7081E"/>
    <w:rsid w:val="00D71350"/>
    <w:rsid w:val="00D71EC0"/>
    <w:rsid w:val="00D7207E"/>
    <w:rsid w:val="00D726E8"/>
    <w:rsid w:val="00D728C4"/>
    <w:rsid w:val="00D733B6"/>
    <w:rsid w:val="00D7362B"/>
    <w:rsid w:val="00D7404E"/>
    <w:rsid w:val="00D743B6"/>
    <w:rsid w:val="00D74957"/>
    <w:rsid w:val="00D77D42"/>
    <w:rsid w:val="00D77F94"/>
    <w:rsid w:val="00D80059"/>
    <w:rsid w:val="00D81B3B"/>
    <w:rsid w:val="00D8247E"/>
    <w:rsid w:val="00D84113"/>
    <w:rsid w:val="00D84697"/>
    <w:rsid w:val="00D84D19"/>
    <w:rsid w:val="00D853A9"/>
    <w:rsid w:val="00D86132"/>
    <w:rsid w:val="00D906B6"/>
    <w:rsid w:val="00D90D4D"/>
    <w:rsid w:val="00D91C27"/>
    <w:rsid w:val="00D92DC5"/>
    <w:rsid w:val="00D92E2E"/>
    <w:rsid w:val="00D94F12"/>
    <w:rsid w:val="00D95241"/>
    <w:rsid w:val="00D95B02"/>
    <w:rsid w:val="00D95FBB"/>
    <w:rsid w:val="00DA0B35"/>
    <w:rsid w:val="00DA0E9A"/>
    <w:rsid w:val="00DA1A87"/>
    <w:rsid w:val="00DB045D"/>
    <w:rsid w:val="00DB18F3"/>
    <w:rsid w:val="00DB2075"/>
    <w:rsid w:val="00DB330E"/>
    <w:rsid w:val="00DB523A"/>
    <w:rsid w:val="00DB525D"/>
    <w:rsid w:val="00DB55B9"/>
    <w:rsid w:val="00DB579D"/>
    <w:rsid w:val="00DB6EE5"/>
    <w:rsid w:val="00DB7278"/>
    <w:rsid w:val="00DB7788"/>
    <w:rsid w:val="00DC068F"/>
    <w:rsid w:val="00DC2413"/>
    <w:rsid w:val="00DC3CE7"/>
    <w:rsid w:val="00DC5857"/>
    <w:rsid w:val="00DC58A0"/>
    <w:rsid w:val="00DC6978"/>
    <w:rsid w:val="00DC6EB9"/>
    <w:rsid w:val="00DC739A"/>
    <w:rsid w:val="00DD29DC"/>
    <w:rsid w:val="00DD2D1C"/>
    <w:rsid w:val="00DD3A75"/>
    <w:rsid w:val="00DD4E93"/>
    <w:rsid w:val="00DD4F5E"/>
    <w:rsid w:val="00DD5BBB"/>
    <w:rsid w:val="00DD648E"/>
    <w:rsid w:val="00DD65E0"/>
    <w:rsid w:val="00DD726E"/>
    <w:rsid w:val="00DE015B"/>
    <w:rsid w:val="00DE01C2"/>
    <w:rsid w:val="00DE05C4"/>
    <w:rsid w:val="00DE09D9"/>
    <w:rsid w:val="00DE1C54"/>
    <w:rsid w:val="00DE1FE6"/>
    <w:rsid w:val="00DE2175"/>
    <w:rsid w:val="00DE2400"/>
    <w:rsid w:val="00DE30A8"/>
    <w:rsid w:val="00DE3CC9"/>
    <w:rsid w:val="00DE4A8A"/>
    <w:rsid w:val="00DE58AA"/>
    <w:rsid w:val="00DE63F9"/>
    <w:rsid w:val="00DE6A31"/>
    <w:rsid w:val="00DF1A83"/>
    <w:rsid w:val="00DF238C"/>
    <w:rsid w:val="00DF4393"/>
    <w:rsid w:val="00E01208"/>
    <w:rsid w:val="00E021E3"/>
    <w:rsid w:val="00E03A17"/>
    <w:rsid w:val="00E04447"/>
    <w:rsid w:val="00E04D68"/>
    <w:rsid w:val="00E06970"/>
    <w:rsid w:val="00E07757"/>
    <w:rsid w:val="00E079CA"/>
    <w:rsid w:val="00E1167F"/>
    <w:rsid w:val="00E13458"/>
    <w:rsid w:val="00E15CA5"/>
    <w:rsid w:val="00E16C25"/>
    <w:rsid w:val="00E16D27"/>
    <w:rsid w:val="00E17A86"/>
    <w:rsid w:val="00E20A2C"/>
    <w:rsid w:val="00E20F47"/>
    <w:rsid w:val="00E22258"/>
    <w:rsid w:val="00E22B76"/>
    <w:rsid w:val="00E243A6"/>
    <w:rsid w:val="00E251B6"/>
    <w:rsid w:val="00E267FC"/>
    <w:rsid w:val="00E31373"/>
    <w:rsid w:val="00E313DA"/>
    <w:rsid w:val="00E316C1"/>
    <w:rsid w:val="00E32A95"/>
    <w:rsid w:val="00E32FB4"/>
    <w:rsid w:val="00E33152"/>
    <w:rsid w:val="00E33BE9"/>
    <w:rsid w:val="00E33E31"/>
    <w:rsid w:val="00E34923"/>
    <w:rsid w:val="00E34CA5"/>
    <w:rsid w:val="00E35E89"/>
    <w:rsid w:val="00E36862"/>
    <w:rsid w:val="00E404F9"/>
    <w:rsid w:val="00E414CC"/>
    <w:rsid w:val="00E423A8"/>
    <w:rsid w:val="00E4279C"/>
    <w:rsid w:val="00E43C40"/>
    <w:rsid w:val="00E4491D"/>
    <w:rsid w:val="00E467E7"/>
    <w:rsid w:val="00E50A07"/>
    <w:rsid w:val="00E50F60"/>
    <w:rsid w:val="00E51970"/>
    <w:rsid w:val="00E52B95"/>
    <w:rsid w:val="00E539E7"/>
    <w:rsid w:val="00E56586"/>
    <w:rsid w:val="00E5758E"/>
    <w:rsid w:val="00E60F21"/>
    <w:rsid w:val="00E61DE3"/>
    <w:rsid w:val="00E63960"/>
    <w:rsid w:val="00E63B68"/>
    <w:rsid w:val="00E63DB9"/>
    <w:rsid w:val="00E6681D"/>
    <w:rsid w:val="00E66BA4"/>
    <w:rsid w:val="00E66F0F"/>
    <w:rsid w:val="00E67ADE"/>
    <w:rsid w:val="00E7095D"/>
    <w:rsid w:val="00E70A36"/>
    <w:rsid w:val="00E71F2C"/>
    <w:rsid w:val="00E72FFF"/>
    <w:rsid w:val="00E73EA7"/>
    <w:rsid w:val="00E74101"/>
    <w:rsid w:val="00E75EAB"/>
    <w:rsid w:val="00E80CC5"/>
    <w:rsid w:val="00E80E23"/>
    <w:rsid w:val="00E81CC9"/>
    <w:rsid w:val="00E822AF"/>
    <w:rsid w:val="00E825CA"/>
    <w:rsid w:val="00E834D8"/>
    <w:rsid w:val="00E84118"/>
    <w:rsid w:val="00E8483F"/>
    <w:rsid w:val="00E84B8C"/>
    <w:rsid w:val="00E857E0"/>
    <w:rsid w:val="00E85F27"/>
    <w:rsid w:val="00E86979"/>
    <w:rsid w:val="00E902F2"/>
    <w:rsid w:val="00E909DE"/>
    <w:rsid w:val="00E90D48"/>
    <w:rsid w:val="00E91424"/>
    <w:rsid w:val="00E915C4"/>
    <w:rsid w:val="00E91E5D"/>
    <w:rsid w:val="00E92057"/>
    <w:rsid w:val="00E92EF9"/>
    <w:rsid w:val="00E94356"/>
    <w:rsid w:val="00E95956"/>
    <w:rsid w:val="00E9750B"/>
    <w:rsid w:val="00EA1341"/>
    <w:rsid w:val="00EA1519"/>
    <w:rsid w:val="00EA1D11"/>
    <w:rsid w:val="00EA3214"/>
    <w:rsid w:val="00EA355D"/>
    <w:rsid w:val="00EA3CCD"/>
    <w:rsid w:val="00EA6DD8"/>
    <w:rsid w:val="00EB0407"/>
    <w:rsid w:val="00EB0536"/>
    <w:rsid w:val="00EB20AF"/>
    <w:rsid w:val="00EB2587"/>
    <w:rsid w:val="00EB2A09"/>
    <w:rsid w:val="00EB395E"/>
    <w:rsid w:val="00EB3D29"/>
    <w:rsid w:val="00EB3E27"/>
    <w:rsid w:val="00EB42A8"/>
    <w:rsid w:val="00EB5601"/>
    <w:rsid w:val="00EC0B59"/>
    <w:rsid w:val="00EC307E"/>
    <w:rsid w:val="00EC32D7"/>
    <w:rsid w:val="00EC3BFE"/>
    <w:rsid w:val="00EC433C"/>
    <w:rsid w:val="00EC501A"/>
    <w:rsid w:val="00EC526F"/>
    <w:rsid w:val="00EC5C01"/>
    <w:rsid w:val="00EC6465"/>
    <w:rsid w:val="00EC6F2A"/>
    <w:rsid w:val="00ED0868"/>
    <w:rsid w:val="00ED0A75"/>
    <w:rsid w:val="00ED0F38"/>
    <w:rsid w:val="00ED266B"/>
    <w:rsid w:val="00ED5DE8"/>
    <w:rsid w:val="00ED7603"/>
    <w:rsid w:val="00ED7C24"/>
    <w:rsid w:val="00EE1888"/>
    <w:rsid w:val="00EE206A"/>
    <w:rsid w:val="00EE3050"/>
    <w:rsid w:val="00EF08E3"/>
    <w:rsid w:val="00EF2E4D"/>
    <w:rsid w:val="00EF3427"/>
    <w:rsid w:val="00EF369E"/>
    <w:rsid w:val="00EF3793"/>
    <w:rsid w:val="00EF5074"/>
    <w:rsid w:val="00EF6738"/>
    <w:rsid w:val="00EF67C8"/>
    <w:rsid w:val="00EF6B11"/>
    <w:rsid w:val="00EF7B5D"/>
    <w:rsid w:val="00F01636"/>
    <w:rsid w:val="00F02016"/>
    <w:rsid w:val="00F020F8"/>
    <w:rsid w:val="00F0278D"/>
    <w:rsid w:val="00F03554"/>
    <w:rsid w:val="00F06060"/>
    <w:rsid w:val="00F0753C"/>
    <w:rsid w:val="00F10410"/>
    <w:rsid w:val="00F10621"/>
    <w:rsid w:val="00F10924"/>
    <w:rsid w:val="00F10B5D"/>
    <w:rsid w:val="00F10E17"/>
    <w:rsid w:val="00F1365E"/>
    <w:rsid w:val="00F1548E"/>
    <w:rsid w:val="00F158D4"/>
    <w:rsid w:val="00F15CEC"/>
    <w:rsid w:val="00F16467"/>
    <w:rsid w:val="00F16569"/>
    <w:rsid w:val="00F1744D"/>
    <w:rsid w:val="00F178DE"/>
    <w:rsid w:val="00F1799A"/>
    <w:rsid w:val="00F17EF3"/>
    <w:rsid w:val="00F21C70"/>
    <w:rsid w:val="00F22482"/>
    <w:rsid w:val="00F241B6"/>
    <w:rsid w:val="00F31868"/>
    <w:rsid w:val="00F31ECF"/>
    <w:rsid w:val="00F32102"/>
    <w:rsid w:val="00F34445"/>
    <w:rsid w:val="00F34BA8"/>
    <w:rsid w:val="00F40B38"/>
    <w:rsid w:val="00F4291D"/>
    <w:rsid w:val="00F4296A"/>
    <w:rsid w:val="00F43209"/>
    <w:rsid w:val="00F4382D"/>
    <w:rsid w:val="00F4418C"/>
    <w:rsid w:val="00F444B7"/>
    <w:rsid w:val="00F447B2"/>
    <w:rsid w:val="00F44FB2"/>
    <w:rsid w:val="00F45304"/>
    <w:rsid w:val="00F45D64"/>
    <w:rsid w:val="00F46AB9"/>
    <w:rsid w:val="00F46B5A"/>
    <w:rsid w:val="00F46CC7"/>
    <w:rsid w:val="00F50357"/>
    <w:rsid w:val="00F50E71"/>
    <w:rsid w:val="00F518AD"/>
    <w:rsid w:val="00F519E6"/>
    <w:rsid w:val="00F523C9"/>
    <w:rsid w:val="00F52633"/>
    <w:rsid w:val="00F52ADA"/>
    <w:rsid w:val="00F5393B"/>
    <w:rsid w:val="00F53DC4"/>
    <w:rsid w:val="00F57032"/>
    <w:rsid w:val="00F6104A"/>
    <w:rsid w:val="00F62D4E"/>
    <w:rsid w:val="00F62FD1"/>
    <w:rsid w:val="00F640E5"/>
    <w:rsid w:val="00F6484C"/>
    <w:rsid w:val="00F65292"/>
    <w:rsid w:val="00F66234"/>
    <w:rsid w:val="00F72CE5"/>
    <w:rsid w:val="00F7361B"/>
    <w:rsid w:val="00F751F2"/>
    <w:rsid w:val="00F75CA3"/>
    <w:rsid w:val="00F76488"/>
    <w:rsid w:val="00F76B77"/>
    <w:rsid w:val="00F771C9"/>
    <w:rsid w:val="00F77D9B"/>
    <w:rsid w:val="00F80238"/>
    <w:rsid w:val="00F8031B"/>
    <w:rsid w:val="00F83572"/>
    <w:rsid w:val="00F8357C"/>
    <w:rsid w:val="00F849CD"/>
    <w:rsid w:val="00F8566B"/>
    <w:rsid w:val="00F85E4C"/>
    <w:rsid w:val="00F86215"/>
    <w:rsid w:val="00F86688"/>
    <w:rsid w:val="00F8713D"/>
    <w:rsid w:val="00F873A4"/>
    <w:rsid w:val="00F87ECD"/>
    <w:rsid w:val="00F90B68"/>
    <w:rsid w:val="00F91888"/>
    <w:rsid w:val="00F929EB"/>
    <w:rsid w:val="00F94251"/>
    <w:rsid w:val="00F947AE"/>
    <w:rsid w:val="00F94EF4"/>
    <w:rsid w:val="00F95102"/>
    <w:rsid w:val="00F95542"/>
    <w:rsid w:val="00F96BC0"/>
    <w:rsid w:val="00FA016A"/>
    <w:rsid w:val="00FA0A5E"/>
    <w:rsid w:val="00FA115C"/>
    <w:rsid w:val="00FA1BD1"/>
    <w:rsid w:val="00FA1C4A"/>
    <w:rsid w:val="00FA2836"/>
    <w:rsid w:val="00FA2FAA"/>
    <w:rsid w:val="00FA3625"/>
    <w:rsid w:val="00FA38E0"/>
    <w:rsid w:val="00FA618A"/>
    <w:rsid w:val="00FA61F0"/>
    <w:rsid w:val="00FA64DA"/>
    <w:rsid w:val="00FA652A"/>
    <w:rsid w:val="00FA783D"/>
    <w:rsid w:val="00FA7D7E"/>
    <w:rsid w:val="00FB1E85"/>
    <w:rsid w:val="00FB45C1"/>
    <w:rsid w:val="00FB4C0B"/>
    <w:rsid w:val="00FB5BF5"/>
    <w:rsid w:val="00FB5EDF"/>
    <w:rsid w:val="00FB61A7"/>
    <w:rsid w:val="00FB6C47"/>
    <w:rsid w:val="00FB702E"/>
    <w:rsid w:val="00FB77AF"/>
    <w:rsid w:val="00FB7E2B"/>
    <w:rsid w:val="00FC11AD"/>
    <w:rsid w:val="00FC1729"/>
    <w:rsid w:val="00FC21E2"/>
    <w:rsid w:val="00FC27E2"/>
    <w:rsid w:val="00FC2995"/>
    <w:rsid w:val="00FC2EC5"/>
    <w:rsid w:val="00FC345F"/>
    <w:rsid w:val="00FC4B72"/>
    <w:rsid w:val="00FC4D89"/>
    <w:rsid w:val="00FC5206"/>
    <w:rsid w:val="00FC6AE0"/>
    <w:rsid w:val="00FD0109"/>
    <w:rsid w:val="00FD028C"/>
    <w:rsid w:val="00FD1778"/>
    <w:rsid w:val="00FD2217"/>
    <w:rsid w:val="00FD31E4"/>
    <w:rsid w:val="00FD4477"/>
    <w:rsid w:val="00FD4E62"/>
    <w:rsid w:val="00FD5783"/>
    <w:rsid w:val="00FD5AA1"/>
    <w:rsid w:val="00FD6A19"/>
    <w:rsid w:val="00FD76CC"/>
    <w:rsid w:val="00FD7F89"/>
    <w:rsid w:val="00FE0264"/>
    <w:rsid w:val="00FE097C"/>
    <w:rsid w:val="00FE0CF9"/>
    <w:rsid w:val="00FE0FD6"/>
    <w:rsid w:val="00FE1C98"/>
    <w:rsid w:val="00FE3F4D"/>
    <w:rsid w:val="00FE45A9"/>
    <w:rsid w:val="00FE5074"/>
    <w:rsid w:val="00FE5649"/>
    <w:rsid w:val="00FE5DBC"/>
    <w:rsid w:val="00FE5F9D"/>
    <w:rsid w:val="00FE6FDC"/>
    <w:rsid w:val="00FE71D7"/>
    <w:rsid w:val="00FF014F"/>
    <w:rsid w:val="00FF03D7"/>
    <w:rsid w:val="00FF0ABB"/>
    <w:rsid w:val="00FF1978"/>
    <w:rsid w:val="00FF249A"/>
    <w:rsid w:val="00FF2A36"/>
    <w:rsid w:val="00FF3DDB"/>
    <w:rsid w:val="00FF48DD"/>
    <w:rsid w:val="00FF5A95"/>
    <w:rsid w:val="00FF5FDE"/>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5:docId w15:val="{74BF8F61-2B8B-43FC-8952-61E8C35C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9" w:unhideWhenUsed="1" w:qFormat="1"/>
    <w:lsdException w:name="annotation text" w:locked="1" w:semiHidden="1" w:uiPriority="0" w:unhideWhenUsed="1"/>
    <w:lsdException w:name="header" w:locked="1" w:semiHidden="1" w:uiPriority="0" w:unhideWhenUsed="1"/>
    <w:lsdException w:name="footer" w:locked="1" w:semiHidden="1" w:unhideWhenUsed="1" w:qFormat="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036"/>
    <w:pPr>
      <w:spacing w:after="120"/>
    </w:pPr>
    <w:rPr>
      <w:rFonts w:eastAsia="Calibri"/>
      <w:color w:val="000000"/>
    </w:rPr>
  </w:style>
  <w:style w:type="paragraph" w:styleId="Heading1">
    <w:name w:val="heading 1"/>
    <w:next w:val="BodyText"/>
    <w:link w:val="Heading1Char"/>
    <w:uiPriority w:val="1"/>
    <w:qFormat/>
    <w:rsid w:val="00D572CD"/>
    <w:pPr>
      <w:keepNext/>
      <w:keepLines/>
      <w:tabs>
        <w:tab w:val="left" w:pos="1134"/>
      </w:tabs>
      <w:spacing w:before="360" w:after="360"/>
      <w:outlineLvl w:val="0"/>
    </w:pPr>
    <w:rPr>
      <w:rFonts w:eastAsiaTheme="majorEastAsia" w:cstheme="majorBidi"/>
      <w:b/>
      <w:bCs/>
      <w:color w:val="005467" w:themeColor="accent1" w:themeShade="80"/>
      <w:sz w:val="44"/>
      <w:szCs w:val="28"/>
    </w:rPr>
  </w:style>
  <w:style w:type="paragraph" w:styleId="Heading2">
    <w:name w:val="heading 2"/>
    <w:basedOn w:val="Heading1"/>
    <w:next w:val="BodyText"/>
    <w:link w:val="Heading2Char"/>
    <w:uiPriority w:val="1"/>
    <w:qFormat/>
    <w:rsid w:val="00267E5C"/>
    <w:pPr>
      <w:spacing w:before="240" w:after="240"/>
      <w:ind w:left="1134" w:hanging="1134"/>
      <w:outlineLvl w:val="1"/>
    </w:pPr>
    <w:rPr>
      <w:b w:val="0"/>
      <w:sz w:val="32"/>
      <w:szCs w:val="26"/>
    </w:rPr>
  </w:style>
  <w:style w:type="paragraph" w:styleId="Heading3">
    <w:name w:val="heading 3"/>
    <w:basedOn w:val="Heading2"/>
    <w:next w:val="BodyText"/>
    <w:link w:val="Heading3Char"/>
    <w:uiPriority w:val="1"/>
    <w:qFormat/>
    <w:rsid w:val="00B60A01"/>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D1044D"/>
    <w:pPr>
      <w:numPr>
        <w:ilvl w:val="0"/>
      </w:numPr>
      <w:spacing w:after="120"/>
      <w:ind w:left="1134" w:hanging="1134"/>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572CD"/>
    <w:rPr>
      <w:rFonts w:eastAsiaTheme="majorEastAsia" w:cstheme="majorBidi"/>
      <w:b/>
      <w:bCs/>
      <w:color w:val="005467" w:themeColor="accent1" w:themeShade="80"/>
      <w:sz w:val="44"/>
      <w:szCs w:val="28"/>
    </w:rPr>
  </w:style>
  <w:style w:type="character" w:customStyle="1" w:styleId="Heading2Char">
    <w:name w:val="Heading 2 Char"/>
    <w:basedOn w:val="DefaultParagraphFont"/>
    <w:link w:val="Heading2"/>
    <w:uiPriority w:val="1"/>
    <w:locked/>
    <w:rsid w:val="00267E5C"/>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B60A01"/>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99"/>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8"/>
      </w:numPr>
      <w:tabs>
        <w:tab w:val="left" w:pos="397"/>
      </w:tabs>
      <w:ind w:left="397" w:hanging="397"/>
    </w:pPr>
  </w:style>
  <w:style w:type="paragraph" w:styleId="ListBullet2">
    <w:name w:val="List Bullet 2"/>
    <w:basedOn w:val="ListBullet"/>
    <w:uiPriority w:val="99"/>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5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99"/>
    <w:rsid w:val="00D349D1"/>
    <w:pPr>
      <w:numPr>
        <w:ilvl w:val="0"/>
        <w:numId w:val="14"/>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spacing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35"/>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qFormat/>
    <w:rsid w:val="00D1044D"/>
  </w:style>
  <w:style w:type="paragraph" w:customStyle="1" w:styleId="Heading3notnumbered">
    <w:name w:val="Heading 3 not numbered"/>
    <w:basedOn w:val="Heading3"/>
    <w:next w:val="BodyText"/>
    <w:uiPriority w:val="1"/>
    <w:qFormat/>
    <w:rsid w:val="00752314"/>
    <w:pPr>
      <w:numPr>
        <w:ilvl w:val="0"/>
      </w:numPr>
      <w:ind w:left="1134" w:hanging="1134"/>
    </w:pPr>
  </w:style>
  <w:style w:type="paragraph" w:customStyle="1" w:styleId="Heading2notnumbered">
    <w:name w:val="Heading 2 not numbered"/>
    <w:basedOn w:val="Heading2"/>
    <w:next w:val="BodyText"/>
    <w:uiPriority w:val="1"/>
    <w:qFormat/>
    <w:rsid w:val="00752314"/>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5"/>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semiHidden/>
    <w:locked/>
    <w:rsid w:val="00AD275A"/>
    <w:rPr>
      <w:sz w:val="20"/>
      <w:szCs w:val="20"/>
    </w:rPr>
  </w:style>
  <w:style w:type="character" w:customStyle="1" w:styleId="CommentTextChar">
    <w:name w:val="Comment Text Char"/>
    <w:basedOn w:val="DefaultParagraphFont"/>
    <w:link w:val="CommentText"/>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3"/>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style>
  <w:style w:type="paragraph" w:customStyle="1" w:styleId="AppendixHeading3">
    <w:name w:val="Appendix Heading 3"/>
    <w:basedOn w:val="Heading3"/>
    <w:next w:val="BodyText"/>
    <w:uiPriority w:val="11"/>
    <w:qFormat/>
    <w:rsid w:val="00C80108"/>
    <w:pPr>
      <w:numPr>
        <w:numId w:val="13"/>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Default">
    <w:name w:val="Default"/>
    <w:rsid w:val="004A27E2"/>
    <w:pPr>
      <w:autoSpaceDE w:val="0"/>
      <w:autoSpaceDN w:val="0"/>
      <w:adjustRightInd w:val="0"/>
    </w:pPr>
    <w:rPr>
      <w:rFonts w:ascii="Times New Roman" w:hAnsi="Times New Roman"/>
      <w:color w:val="000000"/>
      <w:sz w:val="24"/>
      <w:szCs w:val="24"/>
    </w:rPr>
  </w:style>
  <w:style w:type="paragraph" w:customStyle="1" w:styleId="Tablelistbullet">
    <w:name w:val="Table list bullet"/>
    <w:basedOn w:val="Normal"/>
    <w:uiPriority w:val="3"/>
    <w:qFormat/>
    <w:rsid w:val="00BD53BA"/>
    <w:pPr>
      <w:numPr>
        <w:numId w:val="17"/>
      </w:numPr>
      <w:spacing w:before="60" w:after="0" w:line="240" w:lineRule="atLeast"/>
    </w:pPr>
    <w:rPr>
      <w:rFonts w:ascii="Arial Narrow" w:eastAsiaTheme="minorHAnsi" w:hAnsi="Arial Narrow" w:cstheme="minorBidi"/>
      <w:color w:val="000100"/>
      <w:sz w:val="20"/>
      <w:lang w:eastAsia="en-US"/>
    </w:rPr>
  </w:style>
  <w:style w:type="paragraph" w:customStyle="1" w:styleId="Tablelistbullet2">
    <w:name w:val="Table list bullet 2"/>
    <w:basedOn w:val="Tablelistbullet"/>
    <w:uiPriority w:val="3"/>
    <w:qFormat/>
    <w:rsid w:val="00BD53BA"/>
    <w:pPr>
      <w:numPr>
        <w:ilvl w:val="1"/>
      </w:numPr>
      <w:spacing w:before="0"/>
    </w:pPr>
  </w:style>
  <w:style w:type="paragraph" w:customStyle="1" w:styleId="Tablelistbullet3">
    <w:name w:val="Table list bullet 3"/>
    <w:basedOn w:val="Normal"/>
    <w:uiPriority w:val="3"/>
    <w:qFormat/>
    <w:rsid w:val="00BD53BA"/>
    <w:pPr>
      <w:numPr>
        <w:ilvl w:val="2"/>
        <w:numId w:val="17"/>
      </w:numPr>
      <w:spacing w:after="60" w:line="240" w:lineRule="atLeast"/>
    </w:pPr>
    <w:rPr>
      <w:rFonts w:ascii="Arial Narrow" w:eastAsiaTheme="minorHAnsi" w:hAnsi="Arial Narrow" w:cstheme="minorBidi"/>
      <w:color w:val="000100"/>
      <w:sz w:val="20"/>
      <w:lang w:eastAsia="en-US"/>
    </w:rPr>
  </w:style>
  <w:style w:type="numbering" w:customStyle="1" w:styleId="aaTableListBullets">
    <w:name w:val="aa Table List Bullets"/>
    <w:uiPriority w:val="99"/>
    <w:rsid w:val="00BD53BA"/>
    <w:pPr>
      <w:numPr>
        <w:numId w:val="16"/>
      </w:numPr>
    </w:pPr>
  </w:style>
  <w:style w:type="numbering" w:customStyle="1" w:styleId="ACILAllenTableBulletedList">
    <w:name w:val="ACIL Allen Table Bulleted List"/>
    <w:uiPriority w:val="99"/>
    <w:rsid w:val="00BD53BA"/>
    <w:pPr>
      <w:numPr>
        <w:numId w:val="18"/>
      </w:numPr>
    </w:pPr>
  </w:style>
  <w:style w:type="numbering" w:customStyle="1" w:styleId="aaReportListBullets">
    <w:name w:val="aa Report List Bullets"/>
    <w:uiPriority w:val="99"/>
    <w:rsid w:val="00255E33"/>
    <w:pPr>
      <w:numPr>
        <w:numId w:val="19"/>
      </w:numPr>
    </w:pPr>
  </w:style>
  <w:style w:type="table" w:styleId="GridTable2">
    <w:name w:val="Grid Table 2"/>
    <w:basedOn w:val="TableNormal"/>
    <w:uiPriority w:val="47"/>
    <w:rsid w:val="003C54D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CSIRO1">
    <w:name w:val="Table_CSIRO1"/>
    <w:basedOn w:val="TableNormal"/>
    <w:uiPriority w:val="99"/>
    <w:qFormat/>
    <w:rsid w:val="00D428C5"/>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BoxText">
    <w:name w:val="Box Text"/>
    <w:basedOn w:val="Normal"/>
    <w:qFormat/>
    <w:rsid w:val="0018129C"/>
    <w:pPr>
      <w:keepNext/>
      <w:spacing w:before="60" w:after="60" w:line="240" w:lineRule="atLeast"/>
      <w:ind w:left="448"/>
    </w:pPr>
    <w:rPr>
      <w:rFonts w:ascii="Arial Narrow" w:eastAsiaTheme="minorHAnsi" w:hAnsi="Arial Narrow" w:cstheme="minorBidi"/>
      <w:color w:val="auto"/>
      <w:sz w:val="20"/>
      <w:lang w:eastAsia="en-US"/>
    </w:rPr>
  </w:style>
  <w:style w:type="paragraph" w:customStyle="1" w:styleId="BoxListBullet">
    <w:name w:val="Box List Bullet"/>
    <w:basedOn w:val="Normal"/>
    <w:qFormat/>
    <w:rsid w:val="0018129C"/>
    <w:pPr>
      <w:keepNext/>
      <w:numPr>
        <w:numId w:val="21"/>
      </w:numPr>
      <w:spacing w:before="60" w:after="60" w:line="240" w:lineRule="atLeast"/>
      <w:contextualSpacing/>
    </w:pPr>
    <w:rPr>
      <w:rFonts w:ascii="Arial Narrow" w:eastAsiaTheme="minorHAnsi" w:hAnsi="Arial Narrow" w:cstheme="minorBidi"/>
      <w:color w:val="auto"/>
      <w:sz w:val="20"/>
      <w:lang w:eastAsia="en-US"/>
    </w:rPr>
  </w:style>
  <w:style w:type="paragraph" w:customStyle="1" w:styleId="BoxListBullet2">
    <w:name w:val="Box List Bullet 2"/>
    <w:basedOn w:val="Normal"/>
    <w:qFormat/>
    <w:rsid w:val="0018129C"/>
    <w:pPr>
      <w:keepNext/>
      <w:numPr>
        <w:ilvl w:val="1"/>
        <w:numId w:val="21"/>
      </w:numPr>
      <w:spacing w:after="0" w:line="240" w:lineRule="atLeast"/>
      <w:contextualSpacing/>
    </w:pPr>
    <w:rPr>
      <w:rFonts w:ascii="Arial Narrow" w:eastAsiaTheme="minorHAnsi" w:hAnsi="Arial Narrow" w:cstheme="minorBidi"/>
      <w:color w:val="auto"/>
      <w:sz w:val="20"/>
      <w:lang w:eastAsia="en-US"/>
    </w:rPr>
  </w:style>
  <w:style w:type="paragraph" w:customStyle="1" w:styleId="BoxListBullet3">
    <w:name w:val="Box List Bullet 3"/>
    <w:basedOn w:val="Normal"/>
    <w:qFormat/>
    <w:rsid w:val="0018129C"/>
    <w:pPr>
      <w:keepNext/>
      <w:numPr>
        <w:ilvl w:val="2"/>
        <w:numId w:val="21"/>
      </w:numPr>
      <w:spacing w:after="60" w:line="240" w:lineRule="atLeast"/>
      <w:contextualSpacing/>
    </w:pPr>
    <w:rPr>
      <w:rFonts w:ascii="Arial Narrow" w:eastAsiaTheme="minorHAnsi" w:hAnsi="Arial Narrow" w:cstheme="minorBidi"/>
      <w:color w:val="auto"/>
      <w:sz w:val="20"/>
      <w:lang w:eastAsia="en-US"/>
    </w:rPr>
  </w:style>
  <w:style w:type="paragraph" w:customStyle="1" w:styleId="BoxSideHeading1">
    <w:name w:val="Box Side Heading 1"/>
    <w:basedOn w:val="BoxText"/>
    <w:next w:val="BoxText"/>
    <w:qFormat/>
    <w:rsid w:val="0018129C"/>
    <w:pPr>
      <w:spacing w:before="0"/>
    </w:pPr>
    <w:rPr>
      <w:b/>
      <w:i/>
    </w:rPr>
  </w:style>
  <w:style w:type="numbering" w:customStyle="1" w:styleId="BoxListBullets">
    <w:name w:val="Box List Bullets"/>
    <w:uiPriority w:val="99"/>
    <w:rsid w:val="0018129C"/>
    <w:pPr>
      <w:numPr>
        <w:numId w:val="20"/>
      </w:numPr>
    </w:pPr>
  </w:style>
  <w:style w:type="character" w:customStyle="1" w:styleId="ListParagraphChar">
    <w:name w:val="List Paragraph Char"/>
    <w:basedOn w:val="DefaultParagraphFont"/>
    <w:link w:val="ListParagraph"/>
    <w:uiPriority w:val="34"/>
    <w:locked/>
    <w:rsid w:val="004D53D1"/>
    <w:rPr>
      <w:rFonts w:eastAsia="Calibri"/>
      <w:color w:val="000000"/>
      <w:sz w:val="24"/>
      <w:szCs w:val="24"/>
    </w:rPr>
  </w:style>
  <w:style w:type="table" w:customStyle="1" w:styleId="TableGrid10">
    <w:name w:val="Table Grid1"/>
    <w:basedOn w:val="TableNormal"/>
    <w:next w:val="TableGrid"/>
    <w:uiPriority w:val="99"/>
    <w:rsid w:val="004455B1"/>
    <w:rPr>
      <w:rFonts w:ascii="HelveticaNeueLT Std Lt Cn" w:hAnsi="HelveticaNeueLT Std Lt Cn"/>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21">
    <w:name w:val="Grid Table 21"/>
    <w:basedOn w:val="TableNormal"/>
    <w:next w:val="GridTable2"/>
    <w:uiPriority w:val="47"/>
    <w:rsid w:val="00E822A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99"/>
    <w:rsid w:val="00900829"/>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GridTable6Colorful-Accent41">
    <w:name w:val="Grid Table 6 Colorful - Accent 41"/>
    <w:basedOn w:val="TableNormal"/>
    <w:uiPriority w:val="51"/>
    <w:rsid w:val="00922B04"/>
    <w:rPr>
      <w:rFonts w:ascii="Times New Roman" w:eastAsia="Times New Roman" w:hAnsi="Times New Roman"/>
      <w:color w:val="37581E" w:themeColor="accent4" w:themeShade="BF"/>
      <w:sz w:val="20"/>
      <w:szCs w:val="20"/>
    </w:rPr>
    <w:tblPr>
      <w:tblStyleRowBandSize w:val="1"/>
      <w:tblStyleColBandSize w:val="1"/>
      <w:tblBorders>
        <w:top w:val="single" w:sz="4" w:space="0" w:color="8DC962" w:themeColor="accent4" w:themeTint="99"/>
        <w:left w:val="single" w:sz="4" w:space="0" w:color="8DC962" w:themeColor="accent4" w:themeTint="99"/>
        <w:bottom w:val="single" w:sz="4" w:space="0" w:color="8DC962" w:themeColor="accent4" w:themeTint="99"/>
        <w:right w:val="single" w:sz="4" w:space="0" w:color="8DC962" w:themeColor="accent4" w:themeTint="99"/>
        <w:insideH w:val="single" w:sz="4" w:space="0" w:color="8DC962" w:themeColor="accent4" w:themeTint="99"/>
        <w:insideV w:val="single" w:sz="4" w:space="0" w:color="8DC962" w:themeColor="accent4" w:themeTint="99"/>
      </w:tblBorders>
    </w:tblPr>
    <w:tblStylePr w:type="firstRow">
      <w:rPr>
        <w:b/>
        <w:bCs/>
      </w:rPr>
      <w:tblPr/>
      <w:tcPr>
        <w:tcBorders>
          <w:bottom w:val="single" w:sz="12" w:space="0" w:color="8DC962" w:themeColor="accent4" w:themeTint="99"/>
        </w:tcBorders>
      </w:tcPr>
    </w:tblStylePr>
    <w:tblStylePr w:type="lastRow">
      <w:rPr>
        <w:b/>
        <w:bCs/>
      </w:rPr>
      <w:tblPr/>
      <w:tcPr>
        <w:tcBorders>
          <w:top w:val="double" w:sz="4" w:space="0" w:color="8DC962" w:themeColor="accent4" w:themeTint="99"/>
        </w:tcBorders>
      </w:tcPr>
    </w:tblStylePr>
    <w:tblStylePr w:type="firstCol">
      <w:rPr>
        <w:b/>
        <w:bCs/>
      </w:rPr>
    </w:tblStylePr>
    <w:tblStylePr w:type="lastCol">
      <w:rPr>
        <w:b/>
        <w:bCs/>
      </w:rPr>
    </w:tblStylePr>
    <w:tblStylePr w:type="band1Vert">
      <w:tblPr/>
      <w:tcPr>
        <w:shd w:val="clear" w:color="auto" w:fill="D9EDCA" w:themeFill="accent4" w:themeFillTint="33"/>
      </w:tcPr>
    </w:tblStylePr>
    <w:tblStylePr w:type="band1Horz">
      <w:tblPr/>
      <w:tcPr>
        <w:shd w:val="clear" w:color="auto" w:fill="D9EDCA" w:themeFill="accent4" w:themeFillTint="33"/>
      </w:tcPr>
    </w:tblStylePr>
  </w:style>
  <w:style w:type="paragraph" w:customStyle="1" w:styleId="Tabletext0">
    <w:name w:val="Table text"/>
    <w:basedOn w:val="Normal"/>
    <w:qFormat/>
    <w:rsid w:val="00C8276C"/>
    <w:pPr>
      <w:spacing w:before="60" w:after="0" w:line="240" w:lineRule="atLeast"/>
      <w:ind w:right="60"/>
    </w:pPr>
    <w:rPr>
      <w:rFonts w:ascii="Arial Narrow" w:hAnsi="Arial Narrow"/>
      <w:color w:val="000100"/>
      <w:sz w:val="20"/>
      <w:lang w:eastAsia="en-US"/>
    </w:rPr>
  </w:style>
  <w:style w:type="table" w:customStyle="1" w:styleId="AcilAllenTable">
    <w:name w:val="Acil Allen Table"/>
    <w:basedOn w:val="TableNormal"/>
    <w:uiPriority w:val="99"/>
    <w:rsid w:val="00C8276C"/>
    <w:pPr>
      <w:spacing w:line="240" w:lineRule="atLeast"/>
    </w:pPr>
    <w:rPr>
      <w:rFonts w:ascii="HelveticaNeueLT Std Lt Cn" w:hAnsi="HelveticaNeueLT Std Lt Cn" w:cstheme="minorBidi"/>
      <w:sz w:val="20"/>
      <w:lang w:val="en-US" w:eastAsia="en-US"/>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Arial Black" w:hAnsi="Arial Black"/>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Tahoma" w:hAnsi="Tahoma"/>
        <w:sz w:val="20"/>
      </w:rPr>
    </w:tblStylePr>
  </w:style>
  <w:style w:type="paragraph" w:styleId="Revision">
    <w:name w:val="Revision"/>
    <w:hidden/>
    <w:uiPriority w:val="99"/>
    <w:semiHidden/>
    <w:rsid w:val="00603EA3"/>
    <w:rPr>
      <w:rFonts w:eastAsia="Calibri"/>
      <w:color w:val="000000"/>
    </w:rPr>
  </w:style>
  <w:style w:type="paragraph" w:customStyle="1" w:styleId="MediumGrid1-Accent21">
    <w:name w:val="Medium Grid 1 - Accent 21"/>
    <w:basedOn w:val="Normal"/>
    <w:uiPriority w:val="34"/>
    <w:qFormat/>
    <w:rsid w:val="009F5BFA"/>
    <w:pPr>
      <w:contextualSpacing/>
    </w:pPr>
  </w:style>
  <w:style w:type="table" w:customStyle="1" w:styleId="TableGrid12">
    <w:name w:val="Table Grid12"/>
    <w:basedOn w:val="TableNormal"/>
    <w:next w:val="TableGrid"/>
    <w:uiPriority w:val="99"/>
    <w:rsid w:val="006D72D1"/>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lead">
    <w:name w:val="lead"/>
    <w:basedOn w:val="Normal"/>
    <w:rsid w:val="00540587"/>
    <w:pPr>
      <w:spacing w:after="270"/>
    </w:pPr>
    <w:rPr>
      <w:rFonts w:ascii="Times New Roman" w:eastAsia="Times New Roman" w:hAnsi="Times New Roman"/>
      <w:b/>
      <w:bCs/>
      <w:color w:val="1D2021"/>
      <w:sz w:val="24"/>
      <w:szCs w:val="24"/>
    </w:rPr>
  </w:style>
  <w:style w:type="paragraph" w:customStyle="1" w:styleId="ListDash">
    <w:name w:val="List Dash"/>
    <w:basedOn w:val="BodyText"/>
    <w:rsid w:val="00B30B38"/>
    <w:pPr>
      <w:spacing w:before="60" w:after="60" w:line="280" w:lineRule="exact"/>
      <w:ind w:left="284" w:hanging="284"/>
    </w:pPr>
    <w:rPr>
      <w:rFonts w:asciiTheme="minorHAnsi" w:eastAsia="Times New Roman" w:hAnsiTheme="minorHAnsi"/>
      <w:color w:val="auto"/>
      <w:sz w:val="22"/>
    </w:rPr>
  </w:style>
  <w:style w:type="paragraph" w:customStyle="1" w:styleId="ListDash2">
    <w:name w:val="List Dash 2"/>
    <w:basedOn w:val="ListDash"/>
    <w:rsid w:val="00B30B38"/>
    <w:pPr>
      <w:numPr>
        <w:ilvl w:val="1"/>
      </w:numPr>
      <w:ind w:left="567" w:hanging="284"/>
    </w:pPr>
  </w:style>
  <w:style w:type="paragraph" w:customStyle="1" w:styleId="ListDash3">
    <w:name w:val="List Dash 3"/>
    <w:basedOn w:val="ListDash2"/>
    <w:rsid w:val="00B30B38"/>
    <w:pPr>
      <w:numPr>
        <w:ilvl w:val="2"/>
      </w:numPr>
      <w:ind w:left="851" w:hanging="284"/>
    </w:pPr>
  </w:style>
  <w:style w:type="numbering" w:customStyle="1" w:styleId="ACILAllenDashedList">
    <w:name w:val="ACIL Allen Dashed List"/>
    <w:uiPriority w:val="99"/>
    <w:rsid w:val="00B30B38"/>
    <w:pPr>
      <w:numPr>
        <w:numId w:val="23"/>
      </w:numPr>
    </w:pPr>
  </w:style>
  <w:style w:type="character" w:customStyle="1" w:styleId="CaptionLabel">
    <w:name w:val="Caption Label"/>
    <w:basedOn w:val="DefaultParagraphFont"/>
    <w:uiPriority w:val="1"/>
    <w:qFormat/>
    <w:rsid w:val="007735FF"/>
    <w:rPr>
      <w:b/>
    </w:rPr>
  </w:style>
  <w:style w:type="paragraph" w:customStyle="1" w:styleId="Source">
    <w:name w:val="Source"/>
    <w:basedOn w:val="Normal"/>
    <w:link w:val="SourceChar"/>
    <w:qFormat/>
    <w:rsid w:val="007735FF"/>
    <w:pPr>
      <w:keepNext/>
      <w:spacing w:before="52" w:after="0"/>
    </w:pPr>
    <w:rPr>
      <w:rFonts w:ascii="Arial Narrow" w:eastAsiaTheme="minorHAnsi" w:hAnsi="Arial Narrow" w:cstheme="minorBidi"/>
      <w:i/>
      <w:caps/>
      <w:color w:val="auto"/>
      <w:spacing w:val="-3"/>
      <w:sz w:val="14"/>
      <w:lang w:eastAsia="en-US"/>
    </w:rPr>
  </w:style>
  <w:style w:type="paragraph" w:customStyle="1" w:styleId="Tablecolumnheadings">
    <w:name w:val="Table column headings"/>
    <w:basedOn w:val="Normal"/>
    <w:uiPriority w:val="3"/>
    <w:qFormat/>
    <w:rsid w:val="007735FF"/>
    <w:pPr>
      <w:keepNext/>
      <w:spacing w:before="40" w:after="40" w:line="240" w:lineRule="atLeast"/>
    </w:pPr>
    <w:rPr>
      <w:rFonts w:ascii="Arial Narrow" w:eastAsiaTheme="minorHAnsi" w:hAnsi="Arial Narrow" w:cstheme="minorBidi"/>
      <w:b/>
      <w:color w:val="FFFEFF"/>
      <w:sz w:val="20"/>
      <w:lang w:eastAsia="en-US"/>
    </w:rPr>
  </w:style>
  <w:style w:type="paragraph" w:customStyle="1" w:styleId="Note">
    <w:name w:val="Note"/>
    <w:next w:val="BodyText"/>
    <w:rsid w:val="007735FF"/>
    <w:pPr>
      <w:keepNext/>
      <w:keepLines/>
      <w:spacing w:before="40" w:line="180" w:lineRule="exact"/>
    </w:pPr>
    <w:rPr>
      <w:rFonts w:ascii="Arial Narrow" w:eastAsia="Times New Roman" w:hAnsi="Arial Narrow"/>
      <w:sz w:val="14"/>
      <w:szCs w:val="24"/>
      <w:lang w:eastAsia="en-US"/>
    </w:rPr>
  </w:style>
  <w:style w:type="character" w:customStyle="1" w:styleId="Notelabel">
    <w:name w:val="Note label"/>
    <w:basedOn w:val="DefaultParagraphFont"/>
    <w:rsid w:val="007735FF"/>
    <w:rPr>
      <w:rFonts w:ascii="Arial" w:hAnsi="Arial"/>
      <w:b/>
      <w:color w:val="auto"/>
      <w:vertAlign w:val="superscript"/>
    </w:rPr>
  </w:style>
  <w:style w:type="paragraph" w:customStyle="1" w:styleId="Tableunitsrow">
    <w:name w:val="Table units row"/>
    <w:basedOn w:val="Tabletext0"/>
    <w:uiPriority w:val="3"/>
    <w:qFormat/>
    <w:rsid w:val="007735FF"/>
    <w:rPr>
      <w:rFonts w:eastAsiaTheme="minorHAnsi" w:cstheme="minorBidi"/>
    </w:rPr>
  </w:style>
  <w:style w:type="character" w:customStyle="1" w:styleId="SourceChar">
    <w:name w:val="Source Char"/>
    <w:basedOn w:val="DefaultParagraphFont"/>
    <w:link w:val="Source"/>
    <w:locked/>
    <w:rsid w:val="007735FF"/>
    <w:rPr>
      <w:rFonts w:ascii="Arial Narrow" w:hAnsi="Arial Narrow" w:cstheme="minorBidi"/>
      <w:i/>
      <w:caps/>
      <w:spacing w:val="-3"/>
      <w:sz w:val="14"/>
      <w:lang w:eastAsia="en-US"/>
    </w:rPr>
  </w:style>
  <w:style w:type="paragraph" w:customStyle="1" w:styleId="ChartText">
    <w:name w:val="Chart Text"/>
    <w:basedOn w:val="Normal"/>
    <w:link w:val="ChartTextChar"/>
    <w:uiPriority w:val="23"/>
    <w:rsid w:val="00E20F47"/>
    <w:pPr>
      <w:keepLines/>
      <w:spacing w:after="80" w:line="200" w:lineRule="atLeast"/>
    </w:pPr>
    <w:rPr>
      <w:rFonts w:ascii="Franklin Gothic Medium" w:eastAsia="Times New Roman" w:hAnsi="Franklin Gothic Medium"/>
      <w:color w:val="auto"/>
      <w:sz w:val="16"/>
      <w:szCs w:val="18"/>
      <w:lang w:eastAsia="en-US"/>
    </w:rPr>
  </w:style>
  <w:style w:type="character" w:customStyle="1" w:styleId="ChartTextChar">
    <w:name w:val="Chart Text Char"/>
    <w:link w:val="ChartText"/>
    <w:uiPriority w:val="23"/>
    <w:rsid w:val="00E20F47"/>
    <w:rPr>
      <w:rFonts w:ascii="Franklin Gothic Medium" w:eastAsia="Times New Roman" w:hAnsi="Franklin Gothic Medium"/>
      <w:sz w:val="16"/>
      <w:szCs w:val="18"/>
      <w:lang w:eastAsia="en-US"/>
    </w:rPr>
  </w:style>
  <w:style w:type="table" w:customStyle="1" w:styleId="TableGrid13">
    <w:name w:val="Table Grid13"/>
    <w:basedOn w:val="TableNormal"/>
    <w:next w:val="TableGrid"/>
    <w:uiPriority w:val="99"/>
    <w:rsid w:val="00E20F47"/>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TableGrid14">
    <w:name w:val="Table Grid14"/>
    <w:basedOn w:val="TableNormal"/>
    <w:next w:val="TableGrid"/>
    <w:uiPriority w:val="99"/>
    <w:rsid w:val="00E20F47"/>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TableGrid20">
    <w:name w:val="Table Grid2"/>
    <w:basedOn w:val="TableNormal"/>
    <w:next w:val="TableGrid"/>
    <w:uiPriority w:val="59"/>
    <w:rsid w:val="00E20F47"/>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172">
      <w:bodyDiv w:val="1"/>
      <w:marLeft w:val="0"/>
      <w:marRight w:val="0"/>
      <w:marTop w:val="0"/>
      <w:marBottom w:val="0"/>
      <w:divBdr>
        <w:top w:val="none" w:sz="0" w:space="0" w:color="auto"/>
        <w:left w:val="none" w:sz="0" w:space="0" w:color="auto"/>
        <w:bottom w:val="none" w:sz="0" w:space="0" w:color="auto"/>
        <w:right w:val="none" w:sz="0" w:space="0" w:color="auto"/>
      </w:divBdr>
    </w:div>
    <w:div w:id="59599022">
      <w:bodyDiv w:val="1"/>
      <w:marLeft w:val="0"/>
      <w:marRight w:val="0"/>
      <w:marTop w:val="0"/>
      <w:marBottom w:val="0"/>
      <w:divBdr>
        <w:top w:val="none" w:sz="0" w:space="0" w:color="auto"/>
        <w:left w:val="none" w:sz="0" w:space="0" w:color="auto"/>
        <w:bottom w:val="none" w:sz="0" w:space="0" w:color="auto"/>
        <w:right w:val="none" w:sz="0" w:space="0" w:color="auto"/>
      </w:divBdr>
    </w:div>
    <w:div w:id="139032514">
      <w:bodyDiv w:val="1"/>
      <w:marLeft w:val="0"/>
      <w:marRight w:val="0"/>
      <w:marTop w:val="0"/>
      <w:marBottom w:val="0"/>
      <w:divBdr>
        <w:top w:val="none" w:sz="0" w:space="0" w:color="auto"/>
        <w:left w:val="none" w:sz="0" w:space="0" w:color="auto"/>
        <w:bottom w:val="none" w:sz="0" w:space="0" w:color="auto"/>
        <w:right w:val="none" w:sz="0" w:space="0" w:color="auto"/>
      </w:divBdr>
      <w:divsChild>
        <w:div w:id="1479301330">
          <w:marLeft w:val="0"/>
          <w:marRight w:val="0"/>
          <w:marTop w:val="0"/>
          <w:marBottom w:val="0"/>
          <w:divBdr>
            <w:top w:val="none" w:sz="0" w:space="0" w:color="auto"/>
            <w:left w:val="none" w:sz="0" w:space="0" w:color="auto"/>
            <w:bottom w:val="none" w:sz="0" w:space="0" w:color="auto"/>
            <w:right w:val="none" w:sz="0" w:space="0" w:color="auto"/>
          </w:divBdr>
          <w:divsChild>
            <w:div w:id="75129215">
              <w:marLeft w:val="0"/>
              <w:marRight w:val="0"/>
              <w:marTop w:val="0"/>
              <w:marBottom w:val="0"/>
              <w:divBdr>
                <w:top w:val="none" w:sz="0" w:space="0" w:color="auto"/>
                <w:left w:val="none" w:sz="0" w:space="0" w:color="auto"/>
                <w:bottom w:val="none" w:sz="0" w:space="0" w:color="auto"/>
                <w:right w:val="none" w:sz="0" w:space="0" w:color="auto"/>
              </w:divBdr>
              <w:divsChild>
                <w:div w:id="914389521">
                  <w:marLeft w:val="0"/>
                  <w:marRight w:val="0"/>
                  <w:marTop w:val="0"/>
                  <w:marBottom w:val="0"/>
                  <w:divBdr>
                    <w:top w:val="none" w:sz="0" w:space="0" w:color="auto"/>
                    <w:left w:val="none" w:sz="0" w:space="0" w:color="auto"/>
                    <w:bottom w:val="none" w:sz="0" w:space="0" w:color="auto"/>
                    <w:right w:val="none" w:sz="0" w:space="0" w:color="auto"/>
                  </w:divBdr>
                  <w:divsChild>
                    <w:div w:id="1775592233">
                      <w:marLeft w:val="0"/>
                      <w:marRight w:val="0"/>
                      <w:marTop w:val="0"/>
                      <w:marBottom w:val="0"/>
                      <w:divBdr>
                        <w:top w:val="none" w:sz="0" w:space="0" w:color="auto"/>
                        <w:left w:val="none" w:sz="0" w:space="0" w:color="auto"/>
                        <w:bottom w:val="none" w:sz="0" w:space="0" w:color="auto"/>
                        <w:right w:val="none" w:sz="0" w:space="0" w:color="auto"/>
                      </w:divBdr>
                      <w:divsChild>
                        <w:div w:id="1422986030">
                          <w:marLeft w:val="0"/>
                          <w:marRight w:val="0"/>
                          <w:marTop w:val="0"/>
                          <w:marBottom w:val="0"/>
                          <w:divBdr>
                            <w:top w:val="none" w:sz="0" w:space="0" w:color="auto"/>
                            <w:left w:val="none" w:sz="0" w:space="0" w:color="auto"/>
                            <w:bottom w:val="none" w:sz="0" w:space="0" w:color="auto"/>
                            <w:right w:val="none" w:sz="0" w:space="0" w:color="auto"/>
                          </w:divBdr>
                          <w:divsChild>
                            <w:div w:id="112945466">
                              <w:marLeft w:val="0"/>
                              <w:marRight w:val="0"/>
                              <w:marTop w:val="0"/>
                              <w:marBottom w:val="0"/>
                              <w:divBdr>
                                <w:top w:val="none" w:sz="0" w:space="0" w:color="auto"/>
                                <w:left w:val="none" w:sz="0" w:space="0" w:color="auto"/>
                                <w:bottom w:val="none" w:sz="0" w:space="0" w:color="auto"/>
                                <w:right w:val="none" w:sz="0" w:space="0" w:color="auto"/>
                              </w:divBdr>
                            </w:div>
                            <w:div w:id="296762172">
                              <w:marLeft w:val="0"/>
                              <w:marRight w:val="0"/>
                              <w:marTop w:val="0"/>
                              <w:marBottom w:val="0"/>
                              <w:divBdr>
                                <w:top w:val="none" w:sz="0" w:space="0" w:color="auto"/>
                                <w:left w:val="none" w:sz="0" w:space="0" w:color="auto"/>
                                <w:bottom w:val="none" w:sz="0" w:space="0" w:color="auto"/>
                                <w:right w:val="none" w:sz="0" w:space="0" w:color="auto"/>
                              </w:divBdr>
                            </w:div>
                            <w:div w:id="1958827843">
                              <w:marLeft w:val="0"/>
                              <w:marRight w:val="0"/>
                              <w:marTop w:val="0"/>
                              <w:marBottom w:val="0"/>
                              <w:divBdr>
                                <w:top w:val="none" w:sz="0" w:space="0" w:color="auto"/>
                                <w:left w:val="none" w:sz="0" w:space="0" w:color="auto"/>
                                <w:bottom w:val="none" w:sz="0" w:space="0" w:color="auto"/>
                                <w:right w:val="none" w:sz="0" w:space="0" w:color="auto"/>
                              </w:divBdr>
                              <w:divsChild>
                                <w:div w:id="1014110079">
                                  <w:marLeft w:val="0"/>
                                  <w:marRight w:val="0"/>
                                  <w:marTop w:val="0"/>
                                  <w:marBottom w:val="0"/>
                                  <w:divBdr>
                                    <w:top w:val="none" w:sz="0" w:space="0" w:color="auto"/>
                                    <w:left w:val="none" w:sz="0" w:space="0" w:color="auto"/>
                                    <w:bottom w:val="none" w:sz="0" w:space="0" w:color="auto"/>
                                    <w:right w:val="none" w:sz="0" w:space="0" w:color="auto"/>
                                  </w:divBdr>
                                  <w:divsChild>
                                    <w:div w:id="1955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992">
      <w:bodyDiv w:val="1"/>
      <w:marLeft w:val="0"/>
      <w:marRight w:val="0"/>
      <w:marTop w:val="0"/>
      <w:marBottom w:val="0"/>
      <w:divBdr>
        <w:top w:val="none" w:sz="0" w:space="0" w:color="auto"/>
        <w:left w:val="none" w:sz="0" w:space="0" w:color="auto"/>
        <w:bottom w:val="none" w:sz="0" w:space="0" w:color="auto"/>
        <w:right w:val="none" w:sz="0" w:space="0" w:color="auto"/>
      </w:divBdr>
    </w:div>
    <w:div w:id="260990045">
      <w:bodyDiv w:val="1"/>
      <w:marLeft w:val="0"/>
      <w:marRight w:val="0"/>
      <w:marTop w:val="0"/>
      <w:marBottom w:val="0"/>
      <w:divBdr>
        <w:top w:val="none" w:sz="0" w:space="0" w:color="auto"/>
        <w:left w:val="none" w:sz="0" w:space="0" w:color="auto"/>
        <w:bottom w:val="none" w:sz="0" w:space="0" w:color="auto"/>
        <w:right w:val="none" w:sz="0" w:space="0" w:color="auto"/>
      </w:divBdr>
      <w:divsChild>
        <w:div w:id="171724355">
          <w:marLeft w:val="0"/>
          <w:marRight w:val="0"/>
          <w:marTop w:val="0"/>
          <w:marBottom w:val="450"/>
          <w:divBdr>
            <w:top w:val="none" w:sz="0" w:space="0" w:color="auto"/>
            <w:left w:val="single" w:sz="48" w:space="0" w:color="FFFFFF"/>
            <w:bottom w:val="single" w:sz="48" w:space="0" w:color="FFFFFF"/>
            <w:right w:val="single" w:sz="48" w:space="0" w:color="FFFFFF"/>
          </w:divBdr>
          <w:divsChild>
            <w:div w:id="1913738950">
              <w:marLeft w:val="0"/>
              <w:marRight w:val="0"/>
              <w:marTop w:val="0"/>
              <w:marBottom w:val="360"/>
              <w:divBdr>
                <w:top w:val="none" w:sz="0" w:space="0" w:color="auto"/>
                <w:left w:val="none" w:sz="0" w:space="0" w:color="auto"/>
                <w:bottom w:val="none" w:sz="0" w:space="0" w:color="auto"/>
                <w:right w:val="none" w:sz="0" w:space="0" w:color="auto"/>
              </w:divBdr>
              <w:divsChild>
                <w:div w:id="94168841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271321151">
      <w:bodyDiv w:val="1"/>
      <w:marLeft w:val="0"/>
      <w:marRight w:val="0"/>
      <w:marTop w:val="0"/>
      <w:marBottom w:val="0"/>
      <w:divBdr>
        <w:top w:val="none" w:sz="0" w:space="0" w:color="auto"/>
        <w:left w:val="none" w:sz="0" w:space="0" w:color="auto"/>
        <w:bottom w:val="none" w:sz="0" w:space="0" w:color="auto"/>
        <w:right w:val="none" w:sz="0" w:space="0" w:color="auto"/>
      </w:divBdr>
      <w:divsChild>
        <w:div w:id="1186022622">
          <w:marLeft w:val="0"/>
          <w:marRight w:val="0"/>
          <w:marTop w:val="0"/>
          <w:marBottom w:val="0"/>
          <w:divBdr>
            <w:top w:val="none" w:sz="0" w:space="0" w:color="auto"/>
            <w:left w:val="none" w:sz="0" w:space="0" w:color="auto"/>
            <w:bottom w:val="none" w:sz="0" w:space="0" w:color="auto"/>
            <w:right w:val="none" w:sz="0" w:space="0" w:color="auto"/>
          </w:divBdr>
          <w:divsChild>
            <w:div w:id="1673098757">
              <w:marLeft w:val="0"/>
              <w:marRight w:val="0"/>
              <w:marTop w:val="0"/>
              <w:marBottom w:val="0"/>
              <w:divBdr>
                <w:top w:val="none" w:sz="0" w:space="0" w:color="auto"/>
                <w:left w:val="none" w:sz="0" w:space="0" w:color="auto"/>
                <w:bottom w:val="none" w:sz="0" w:space="0" w:color="auto"/>
                <w:right w:val="none" w:sz="0" w:space="0" w:color="auto"/>
              </w:divBdr>
              <w:divsChild>
                <w:div w:id="416750817">
                  <w:marLeft w:val="0"/>
                  <w:marRight w:val="0"/>
                  <w:marTop w:val="0"/>
                  <w:marBottom w:val="0"/>
                  <w:divBdr>
                    <w:top w:val="none" w:sz="0" w:space="0" w:color="auto"/>
                    <w:left w:val="none" w:sz="0" w:space="0" w:color="auto"/>
                    <w:bottom w:val="none" w:sz="0" w:space="0" w:color="auto"/>
                    <w:right w:val="none" w:sz="0" w:space="0" w:color="auto"/>
                  </w:divBdr>
                  <w:divsChild>
                    <w:div w:id="12160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3036">
      <w:bodyDiv w:val="1"/>
      <w:marLeft w:val="0"/>
      <w:marRight w:val="0"/>
      <w:marTop w:val="0"/>
      <w:marBottom w:val="0"/>
      <w:divBdr>
        <w:top w:val="none" w:sz="0" w:space="0" w:color="auto"/>
        <w:left w:val="none" w:sz="0" w:space="0" w:color="auto"/>
        <w:bottom w:val="none" w:sz="0" w:space="0" w:color="auto"/>
        <w:right w:val="none" w:sz="0" w:space="0" w:color="auto"/>
      </w:divBdr>
      <w:divsChild>
        <w:div w:id="130102832">
          <w:marLeft w:val="274"/>
          <w:marRight w:val="0"/>
          <w:marTop w:val="0"/>
          <w:marBottom w:val="0"/>
          <w:divBdr>
            <w:top w:val="none" w:sz="0" w:space="0" w:color="auto"/>
            <w:left w:val="none" w:sz="0" w:space="0" w:color="auto"/>
            <w:bottom w:val="none" w:sz="0" w:space="0" w:color="auto"/>
            <w:right w:val="none" w:sz="0" w:space="0" w:color="auto"/>
          </w:divBdr>
        </w:div>
        <w:div w:id="407044922">
          <w:marLeft w:val="274"/>
          <w:marRight w:val="0"/>
          <w:marTop w:val="0"/>
          <w:marBottom w:val="0"/>
          <w:divBdr>
            <w:top w:val="none" w:sz="0" w:space="0" w:color="auto"/>
            <w:left w:val="none" w:sz="0" w:space="0" w:color="auto"/>
            <w:bottom w:val="none" w:sz="0" w:space="0" w:color="auto"/>
            <w:right w:val="none" w:sz="0" w:space="0" w:color="auto"/>
          </w:divBdr>
        </w:div>
        <w:div w:id="1545210037">
          <w:marLeft w:val="274"/>
          <w:marRight w:val="0"/>
          <w:marTop w:val="0"/>
          <w:marBottom w:val="0"/>
          <w:divBdr>
            <w:top w:val="none" w:sz="0" w:space="0" w:color="auto"/>
            <w:left w:val="none" w:sz="0" w:space="0" w:color="auto"/>
            <w:bottom w:val="none" w:sz="0" w:space="0" w:color="auto"/>
            <w:right w:val="none" w:sz="0" w:space="0" w:color="auto"/>
          </w:divBdr>
        </w:div>
      </w:divsChild>
    </w:div>
    <w:div w:id="298195511">
      <w:bodyDiv w:val="1"/>
      <w:marLeft w:val="0"/>
      <w:marRight w:val="0"/>
      <w:marTop w:val="0"/>
      <w:marBottom w:val="0"/>
      <w:divBdr>
        <w:top w:val="none" w:sz="0" w:space="0" w:color="auto"/>
        <w:left w:val="none" w:sz="0" w:space="0" w:color="auto"/>
        <w:bottom w:val="none" w:sz="0" w:space="0" w:color="auto"/>
        <w:right w:val="none" w:sz="0" w:space="0" w:color="auto"/>
      </w:divBdr>
    </w:div>
    <w:div w:id="300040690">
      <w:bodyDiv w:val="1"/>
      <w:marLeft w:val="0"/>
      <w:marRight w:val="0"/>
      <w:marTop w:val="0"/>
      <w:marBottom w:val="0"/>
      <w:divBdr>
        <w:top w:val="none" w:sz="0" w:space="0" w:color="auto"/>
        <w:left w:val="none" w:sz="0" w:space="0" w:color="auto"/>
        <w:bottom w:val="none" w:sz="0" w:space="0" w:color="auto"/>
        <w:right w:val="none" w:sz="0" w:space="0" w:color="auto"/>
      </w:divBdr>
    </w:div>
    <w:div w:id="307785461">
      <w:bodyDiv w:val="1"/>
      <w:marLeft w:val="0"/>
      <w:marRight w:val="0"/>
      <w:marTop w:val="0"/>
      <w:marBottom w:val="0"/>
      <w:divBdr>
        <w:top w:val="none" w:sz="0" w:space="0" w:color="auto"/>
        <w:left w:val="none" w:sz="0" w:space="0" w:color="auto"/>
        <w:bottom w:val="none" w:sz="0" w:space="0" w:color="auto"/>
        <w:right w:val="none" w:sz="0" w:space="0" w:color="auto"/>
      </w:divBdr>
    </w:div>
    <w:div w:id="359819727">
      <w:bodyDiv w:val="1"/>
      <w:marLeft w:val="0"/>
      <w:marRight w:val="0"/>
      <w:marTop w:val="0"/>
      <w:marBottom w:val="0"/>
      <w:divBdr>
        <w:top w:val="none" w:sz="0" w:space="0" w:color="auto"/>
        <w:left w:val="none" w:sz="0" w:space="0" w:color="auto"/>
        <w:bottom w:val="none" w:sz="0" w:space="0" w:color="auto"/>
        <w:right w:val="none" w:sz="0" w:space="0" w:color="auto"/>
      </w:divBdr>
      <w:divsChild>
        <w:div w:id="562058271">
          <w:marLeft w:val="274"/>
          <w:marRight w:val="0"/>
          <w:marTop w:val="0"/>
          <w:marBottom w:val="0"/>
          <w:divBdr>
            <w:top w:val="none" w:sz="0" w:space="0" w:color="auto"/>
            <w:left w:val="none" w:sz="0" w:space="0" w:color="auto"/>
            <w:bottom w:val="none" w:sz="0" w:space="0" w:color="auto"/>
            <w:right w:val="none" w:sz="0" w:space="0" w:color="auto"/>
          </w:divBdr>
        </w:div>
        <w:div w:id="1318416015">
          <w:marLeft w:val="274"/>
          <w:marRight w:val="0"/>
          <w:marTop w:val="0"/>
          <w:marBottom w:val="0"/>
          <w:divBdr>
            <w:top w:val="none" w:sz="0" w:space="0" w:color="auto"/>
            <w:left w:val="none" w:sz="0" w:space="0" w:color="auto"/>
            <w:bottom w:val="none" w:sz="0" w:space="0" w:color="auto"/>
            <w:right w:val="none" w:sz="0" w:space="0" w:color="auto"/>
          </w:divBdr>
        </w:div>
        <w:div w:id="1336961466">
          <w:marLeft w:val="274"/>
          <w:marRight w:val="0"/>
          <w:marTop w:val="0"/>
          <w:marBottom w:val="0"/>
          <w:divBdr>
            <w:top w:val="none" w:sz="0" w:space="0" w:color="auto"/>
            <w:left w:val="none" w:sz="0" w:space="0" w:color="auto"/>
            <w:bottom w:val="none" w:sz="0" w:space="0" w:color="auto"/>
            <w:right w:val="none" w:sz="0" w:space="0" w:color="auto"/>
          </w:divBdr>
        </w:div>
        <w:div w:id="1586525199">
          <w:marLeft w:val="274"/>
          <w:marRight w:val="0"/>
          <w:marTop w:val="0"/>
          <w:marBottom w:val="0"/>
          <w:divBdr>
            <w:top w:val="none" w:sz="0" w:space="0" w:color="auto"/>
            <w:left w:val="none" w:sz="0" w:space="0" w:color="auto"/>
            <w:bottom w:val="none" w:sz="0" w:space="0" w:color="auto"/>
            <w:right w:val="none" w:sz="0" w:space="0" w:color="auto"/>
          </w:divBdr>
        </w:div>
      </w:divsChild>
    </w:div>
    <w:div w:id="422773156">
      <w:bodyDiv w:val="1"/>
      <w:marLeft w:val="0"/>
      <w:marRight w:val="0"/>
      <w:marTop w:val="0"/>
      <w:marBottom w:val="0"/>
      <w:divBdr>
        <w:top w:val="none" w:sz="0" w:space="0" w:color="auto"/>
        <w:left w:val="none" w:sz="0" w:space="0" w:color="auto"/>
        <w:bottom w:val="none" w:sz="0" w:space="0" w:color="auto"/>
        <w:right w:val="none" w:sz="0" w:space="0" w:color="auto"/>
      </w:divBdr>
    </w:div>
    <w:div w:id="447823667">
      <w:bodyDiv w:val="1"/>
      <w:marLeft w:val="0"/>
      <w:marRight w:val="0"/>
      <w:marTop w:val="0"/>
      <w:marBottom w:val="0"/>
      <w:divBdr>
        <w:top w:val="none" w:sz="0" w:space="0" w:color="auto"/>
        <w:left w:val="none" w:sz="0" w:space="0" w:color="auto"/>
        <w:bottom w:val="none" w:sz="0" w:space="0" w:color="auto"/>
        <w:right w:val="none" w:sz="0" w:space="0" w:color="auto"/>
      </w:divBdr>
    </w:div>
    <w:div w:id="543638407">
      <w:bodyDiv w:val="1"/>
      <w:marLeft w:val="0"/>
      <w:marRight w:val="0"/>
      <w:marTop w:val="0"/>
      <w:marBottom w:val="0"/>
      <w:divBdr>
        <w:top w:val="none" w:sz="0" w:space="0" w:color="auto"/>
        <w:left w:val="none" w:sz="0" w:space="0" w:color="auto"/>
        <w:bottom w:val="none" w:sz="0" w:space="0" w:color="auto"/>
        <w:right w:val="none" w:sz="0" w:space="0" w:color="auto"/>
      </w:divBdr>
    </w:div>
    <w:div w:id="551383012">
      <w:bodyDiv w:val="1"/>
      <w:marLeft w:val="0"/>
      <w:marRight w:val="0"/>
      <w:marTop w:val="0"/>
      <w:marBottom w:val="0"/>
      <w:divBdr>
        <w:top w:val="none" w:sz="0" w:space="0" w:color="auto"/>
        <w:left w:val="none" w:sz="0" w:space="0" w:color="auto"/>
        <w:bottom w:val="none" w:sz="0" w:space="0" w:color="auto"/>
        <w:right w:val="none" w:sz="0" w:space="0" w:color="auto"/>
      </w:divBdr>
      <w:divsChild>
        <w:div w:id="1557549619">
          <w:marLeft w:val="0"/>
          <w:marRight w:val="0"/>
          <w:marTop w:val="0"/>
          <w:marBottom w:val="0"/>
          <w:divBdr>
            <w:top w:val="none" w:sz="0" w:space="0" w:color="auto"/>
            <w:left w:val="none" w:sz="0" w:space="0" w:color="auto"/>
            <w:bottom w:val="none" w:sz="0" w:space="0" w:color="auto"/>
            <w:right w:val="none" w:sz="0" w:space="0" w:color="auto"/>
          </w:divBdr>
          <w:divsChild>
            <w:div w:id="1543202909">
              <w:marLeft w:val="0"/>
              <w:marRight w:val="0"/>
              <w:marTop w:val="0"/>
              <w:marBottom w:val="0"/>
              <w:divBdr>
                <w:top w:val="none" w:sz="0" w:space="0" w:color="auto"/>
                <w:left w:val="none" w:sz="0" w:space="0" w:color="auto"/>
                <w:bottom w:val="none" w:sz="0" w:space="0" w:color="auto"/>
                <w:right w:val="none" w:sz="0" w:space="0" w:color="auto"/>
              </w:divBdr>
              <w:divsChild>
                <w:div w:id="94402160">
                  <w:marLeft w:val="0"/>
                  <w:marRight w:val="0"/>
                  <w:marTop w:val="0"/>
                  <w:marBottom w:val="0"/>
                  <w:divBdr>
                    <w:top w:val="none" w:sz="0" w:space="0" w:color="auto"/>
                    <w:left w:val="none" w:sz="0" w:space="0" w:color="auto"/>
                    <w:bottom w:val="none" w:sz="0" w:space="0" w:color="auto"/>
                    <w:right w:val="none" w:sz="0" w:space="0" w:color="auto"/>
                  </w:divBdr>
                  <w:divsChild>
                    <w:div w:id="788276867">
                      <w:marLeft w:val="150"/>
                      <w:marRight w:val="150"/>
                      <w:marTop w:val="150"/>
                      <w:marBottom w:val="150"/>
                      <w:divBdr>
                        <w:top w:val="none" w:sz="0" w:space="0" w:color="auto"/>
                        <w:left w:val="none" w:sz="0" w:space="0" w:color="auto"/>
                        <w:bottom w:val="none" w:sz="0" w:space="0" w:color="auto"/>
                        <w:right w:val="none" w:sz="0" w:space="0" w:color="auto"/>
                      </w:divBdr>
                      <w:divsChild>
                        <w:div w:id="6451662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51965719">
      <w:bodyDiv w:val="1"/>
      <w:marLeft w:val="0"/>
      <w:marRight w:val="0"/>
      <w:marTop w:val="0"/>
      <w:marBottom w:val="0"/>
      <w:divBdr>
        <w:top w:val="none" w:sz="0" w:space="0" w:color="auto"/>
        <w:left w:val="none" w:sz="0" w:space="0" w:color="auto"/>
        <w:bottom w:val="none" w:sz="0" w:space="0" w:color="auto"/>
        <w:right w:val="none" w:sz="0" w:space="0" w:color="auto"/>
      </w:divBdr>
      <w:divsChild>
        <w:div w:id="319696269">
          <w:marLeft w:val="0"/>
          <w:marRight w:val="0"/>
          <w:marTop w:val="0"/>
          <w:marBottom w:val="0"/>
          <w:divBdr>
            <w:top w:val="none" w:sz="0" w:space="0" w:color="auto"/>
            <w:left w:val="none" w:sz="0" w:space="0" w:color="auto"/>
            <w:bottom w:val="none" w:sz="0" w:space="0" w:color="auto"/>
            <w:right w:val="none" w:sz="0" w:space="0" w:color="auto"/>
          </w:divBdr>
          <w:divsChild>
            <w:div w:id="1567448845">
              <w:marLeft w:val="0"/>
              <w:marRight w:val="0"/>
              <w:marTop w:val="0"/>
              <w:marBottom w:val="0"/>
              <w:divBdr>
                <w:top w:val="none" w:sz="0" w:space="0" w:color="auto"/>
                <w:left w:val="none" w:sz="0" w:space="0" w:color="auto"/>
                <w:bottom w:val="none" w:sz="0" w:space="0" w:color="auto"/>
                <w:right w:val="none" w:sz="0" w:space="0" w:color="auto"/>
              </w:divBdr>
              <w:divsChild>
                <w:div w:id="860902385">
                  <w:marLeft w:val="0"/>
                  <w:marRight w:val="0"/>
                  <w:marTop w:val="0"/>
                  <w:marBottom w:val="0"/>
                  <w:divBdr>
                    <w:top w:val="none" w:sz="0" w:space="0" w:color="auto"/>
                    <w:left w:val="none" w:sz="0" w:space="0" w:color="auto"/>
                    <w:bottom w:val="none" w:sz="0" w:space="0" w:color="auto"/>
                    <w:right w:val="none" w:sz="0" w:space="0" w:color="auto"/>
                  </w:divBdr>
                  <w:divsChild>
                    <w:div w:id="232398087">
                      <w:marLeft w:val="0"/>
                      <w:marRight w:val="0"/>
                      <w:marTop w:val="0"/>
                      <w:marBottom w:val="0"/>
                      <w:divBdr>
                        <w:top w:val="none" w:sz="0" w:space="0" w:color="auto"/>
                        <w:left w:val="none" w:sz="0" w:space="0" w:color="auto"/>
                        <w:bottom w:val="none" w:sz="0" w:space="0" w:color="auto"/>
                        <w:right w:val="none" w:sz="0" w:space="0" w:color="auto"/>
                      </w:divBdr>
                      <w:divsChild>
                        <w:div w:id="1907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6876">
      <w:bodyDiv w:val="1"/>
      <w:marLeft w:val="0"/>
      <w:marRight w:val="0"/>
      <w:marTop w:val="0"/>
      <w:marBottom w:val="0"/>
      <w:divBdr>
        <w:top w:val="none" w:sz="0" w:space="0" w:color="auto"/>
        <w:left w:val="none" w:sz="0" w:space="0" w:color="auto"/>
        <w:bottom w:val="none" w:sz="0" w:space="0" w:color="auto"/>
        <w:right w:val="none" w:sz="0" w:space="0" w:color="auto"/>
      </w:divBdr>
      <w:divsChild>
        <w:div w:id="1337459700">
          <w:marLeft w:val="0"/>
          <w:marRight w:val="0"/>
          <w:marTop w:val="0"/>
          <w:marBottom w:val="0"/>
          <w:divBdr>
            <w:top w:val="none" w:sz="0" w:space="0" w:color="auto"/>
            <w:left w:val="none" w:sz="0" w:space="0" w:color="auto"/>
            <w:bottom w:val="none" w:sz="0" w:space="0" w:color="auto"/>
            <w:right w:val="none" w:sz="0" w:space="0" w:color="auto"/>
          </w:divBdr>
          <w:divsChild>
            <w:div w:id="483352628">
              <w:marLeft w:val="0"/>
              <w:marRight w:val="0"/>
              <w:marTop w:val="0"/>
              <w:marBottom w:val="0"/>
              <w:divBdr>
                <w:top w:val="none" w:sz="0" w:space="0" w:color="auto"/>
                <w:left w:val="none" w:sz="0" w:space="0" w:color="auto"/>
                <w:bottom w:val="none" w:sz="0" w:space="0" w:color="auto"/>
                <w:right w:val="none" w:sz="0" w:space="0" w:color="auto"/>
              </w:divBdr>
              <w:divsChild>
                <w:div w:id="2060475522">
                  <w:marLeft w:val="0"/>
                  <w:marRight w:val="0"/>
                  <w:marTop w:val="0"/>
                  <w:marBottom w:val="0"/>
                  <w:divBdr>
                    <w:top w:val="none" w:sz="0" w:space="0" w:color="auto"/>
                    <w:left w:val="none" w:sz="0" w:space="0" w:color="auto"/>
                    <w:bottom w:val="none" w:sz="0" w:space="0" w:color="auto"/>
                    <w:right w:val="none" w:sz="0" w:space="0" w:color="auto"/>
                  </w:divBdr>
                  <w:divsChild>
                    <w:div w:id="156384040">
                      <w:marLeft w:val="0"/>
                      <w:marRight w:val="0"/>
                      <w:marTop w:val="0"/>
                      <w:marBottom w:val="0"/>
                      <w:divBdr>
                        <w:top w:val="none" w:sz="0" w:space="0" w:color="auto"/>
                        <w:left w:val="none" w:sz="0" w:space="0" w:color="auto"/>
                        <w:bottom w:val="none" w:sz="0" w:space="0" w:color="auto"/>
                        <w:right w:val="none" w:sz="0" w:space="0" w:color="auto"/>
                      </w:divBdr>
                      <w:divsChild>
                        <w:div w:id="282616769">
                          <w:marLeft w:val="0"/>
                          <w:marRight w:val="0"/>
                          <w:marTop w:val="0"/>
                          <w:marBottom w:val="0"/>
                          <w:divBdr>
                            <w:top w:val="none" w:sz="0" w:space="0" w:color="auto"/>
                            <w:left w:val="none" w:sz="0" w:space="0" w:color="auto"/>
                            <w:bottom w:val="none" w:sz="0" w:space="0" w:color="auto"/>
                            <w:right w:val="none" w:sz="0" w:space="0" w:color="auto"/>
                          </w:divBdr>
                          <w:divsChild>
                            <w:div w:id="393163026">
                              <w:marLeft w:val="0"/>
                              <w:marRight w:val="0"/>
                              <w:marTop w:val="0"/>
                              <w:marBottom w:val="0"/>
                              <w:divBdr>
                                <w:top w:val="none" w:sz="0" w:space="0" w:color="auto"/>
                                <w:left w:val="none" w:sz="0" w:space="0" w:color="auto"/>
                                <w:bottom w:val="none" w:sz="0" w:space="0" w:color="auto"/>
                                <w:right w:val="none" w:sz="0" w:space="0" w:color="auto"/>
                              </w:divBdr>
                              <w:divsChild>
                                <w:div w:id="1584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72871">
      <w:bodyDiv w:val="1"/>
      <w:marLeft w:val="0"/>
      <w:marRight w:val="0"/>
      <w:marTop w:val="0"/>
      <w:marBottom w:val="0"/>
      <w:divBdr>
        <w:top w:val="none" w:sz="0" w:space="0" w:color="auto"/>
        <w:left w:val="none" w:sz="0" w:space="0" w:color="auto"/>
        <w:bottom w:val="none" w:sz="0" w:space="0" w:color="auto"/>
        <w:right w:val="none" w:sz="0" w:space="0" w:color="auto"/>
      </w:divBdr>
      <w:divsChild>
        <w:div w:id="35740809">
          <w:marLeft w:val="0"/>
          <w:marRight w:val="0"/>
          <w:marTop w:val="0"/>
          <w:marBottom w:val="0"/>
          <w:divBdr>
            <w:top w:val="none" w:sz="0" w:space="0" w:color="auto"/>
            <w:left w:val="none" w:sz="0" w:space="0" w:color="auto"/>
            <w:bottom w:val="none" w:sz="0" w:space="0" w:color="auto"/>
            <w:right w:val="none" w:sz="0" w:space="0" w:color="auto"/>
          </w:divBdr>
          <w:divsChild>
            <w:div w:id="1404832872">
              <w:marLeft w:val="0"/>
              <w:marRight w:val="0"/>
              <w:marTop w:val="0"/>
              <w:marBottom w:val="0"/>
              <w:divBdr>
                <w:top w:val="none" w:sz="0" w:space="0" w:color="auto"/>
                <w:left w:val="none" w:sz="0" w:space="0" w:color="auto"/>
                <w:bottom w:val="none" w:sz="0" w:space="0" w:color="auto"/>
                <w:right w:val="none" w:sz="0" w:space="0" w:color="auto"/>
              </w:divBdr>
              <w:divsChild>
                <w:div w:id="1225142554">
                  <w:marLeft w:val="0"/>
                  <w:marRight w:val="0"/>
                  <w:marTop w:val="0"/>
                  <w:marBottom w:val="0"/>
                  <w:divBdr>
                    <w:top w:val="none" w:sz="0" w:space="0" w:color="auto"/>
                    <w:left w:val="none" w:sz="0" w:space="0" w:color="auto"/>
                    <w:bottom w:val="none" w:sz="0" w:space="0" w:color="auto"/>
                    <w:right w:val="none" w:sz="0" w:space="0" w:color="auto"/>
                  </w:divBdr>
                  <w:divsChild>
                    <w:div w:id="1625847474">
                      <w:marLeft w:val="0"/>
                      <w:marRight w:val="0"/>
                      <w:marTop w:val="0"/>
                      <w:marBottom w:val="0"/>
                      <w:divBdr>
                        <w:top w:val="none" w:sz="0" w:space="0" w:color="auto"/>
                        <w:left w:val="none" w:sz="0" w:space="0" w:color="auto"/>
                        <w:bottom w:val="none" w:sz="0" w:space="0" w:color="auto"/>
                        <w:right w:val="none" w:sz="0" w:space="0" w:color="auto"/>
                      </w:divBdr>
                      <w:divsChild>
                        <w:div w:id="15292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94363">
      <w:bodyDiv w:val="1"/>
      <w:marLeft w:val="0"/>
      <w:marRight w:val="0"/>
      <w:marTop w:val="0"/>
      <w:marBottom w:val="0"/>
      <w:divBdr>
        <w:top w:val="none" w:sz="0" w:space="0" w:color="auto"/>
        <w:left w:val="none" w:sz="0" w:space="0" w:color="auto"/>
        <w:bottom w:val="none" w:sz="0" w:space="0" w:color="auto"/>
        <w:right w:val="none" w:sz="0" w:space="0" w:color="auto"/>
      </w:divBdr>
    </w:div>
    <w:div w:id="595410265">
      <w:bodyDiv w:val="1"/>
      <w:marLeft w:val="0"/>
      <w:marRight w:val="0"/>
      <w:marTop w:val="0"/>
      <w:marBottom w:val="0"/>
      <w:divBdr>
        <w:top w:val="none" w:sz="0" w:space="0" w:color="auto"/>
        <w:left w:val="none" w:sz="0" w:space="0" w:color="auto"/>
        <w:bottom w:val="none" w:sz="0" w:space="0" w:color="auto"/>
        <w:right w:val="none" w:sz="0" w:space="0" w:color="auto"/>
      </w:divBdr>
    </w:div>
    <w:div w:id="618755740">
      <w:bodyDiv w:val="1"/>
      <w:marLeft w:val="0"/>
      <w:marRight w:val="0"/>
      <w:marTop w:val="0"/>
      <w:marBottom w:val="0"/>
      <w:divBdr>
        <w:top w:val="none" w:sz="0" w:space="0" w:color="auto"/>
        <w:left w:val="none" w:sz="0" w:space="0" w:color="auto"/>
        <w:bottom w:val="none" w:sz="0" w:space="0" w:color="auto"/>
        <w:right w:val="none" w:sz="0" w:space="0" w:color="auto"/>
      </w:divBdr>
      <w:divsChild>
        <w:div w:id="1877699129">
          <w:marLeft w:val="0"/>
          <w:marRight w:val="0"/>
          <w:marTop w:val="0"/>
          <w:marBottom w:val="0"/>
          <w:divBdr>
            <w:top w:val="none" w:sz="0" w:space="0" w:color="auto"/>
            <w:left w:val="none" w:sz="0" w:space="0" w:color="auto"/>
            <w:bottom w:val="none" w:sz="0" w:space="0" w:color="auto"/>
            <w:right w:val="none" w:sz="0" w:space="0" w:color="auto"/>
          </w:divBdr>
          <w:divsChild>
            <w:div w:id="16203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415">
      <w:bodyDiv w:val="1"/>
      <w:marLeft w:val="0"/>
      <w:marRight w:val="0"/>
      <w:marTop w:val="0"/>
      <w:marBottom w:val="0"/>
      <w:divBdr>
        <w:top w:val="none" w:sz="0" w:space="0" w:color="auto"/>
        <w:left w:val="none" w:sz="0" w:space="0" w:color="auto"/>
        <w:bottom w:val="none" w:sz="0" w:space="0" w:color="auto"/>
        <w:right w:val="none" w:sz="0" w:space="0" w:color="auto"/>
      </w:divBdr>
      <w:divsChild>
        <w:div w:id="318004775">
          <w:marLeft w:val="0"/>
          <w:marRight w:val="0"/>
          <w:marTop w:val="0"/>
          <w:marBottom w:val="0"/>
          <w:divBdr>
            <w:top w:val="none" w:sz="0" w:space="0" w:color="auto"/>
            <w:left w:val="none" w:sz="0" w:space="0" w:color="auto"/>
            <w:bottom w:val="none" w:sz="0" w:space="0" w:color="auto"/>
            <w:right w:val="none" w:sz="0" w:space="0" w:color="auto"/>
          </w:divBdr>
          <w:divsChild>
            <w:div w:id="1369529017">
              <w:marLeft w:val="0"/>
              <w:marRight w:val="0"/>
              <w:marTop w:val="0"/>
              <w:marBottom w:val="0"/>
              <w:divBdr>
                <w:top w:val="none" w:sz="0" w:space="0" w:color="auto"/>
                <w:left w:val="none" w:sz="0" w:space="0" w:color="auto"/>
                <w:bottom w:val="none" w:sz="0" w:space="0" w:color="auto"/>
                <w:right w:val="none" w:sz="0" w:space="0" w:color="auto"/>
              </w:divBdr>
              <w:divsChild>
                <w:div w:id="28266016">
                  <w:marLeft w:val="0"/>
                  <w:marRight w:val="0"/>
                  <w:marTop w:val="0"/>
                  <w:marBottom w:val="0"/>
                  <w:divBdr>
                    <w:top w:val="none" w:sz="0" w:space="0" w:color="auto"/>
                    <w:left w:val="none" w:sz="0" w:space="0" w:color="auto"/>
                    <w:bottom w:val="none" w:sz="0" w:space="0" w:color="auto"/>
                    <w:right w:val="none" w:sz="0" w:space="0" w:color="auto"/>
                  </w:divBdr>
                  <w:divsChild>
                    <w:div w:id="514463522">
                      <w:marLeft w:val="0"/>
                      <w:marRight w:val="0"/>
                      <w:marTop w:val="0"/>
                      <w:marBottom w:val="0"/>
                      <w:divBdr>
                        <w:top w:val="none" w:sz="0" w:space="0" w:color="auto"/>
                        <w:left w:val="none" w:sz="0" w:space="0" w:color="auto"/>
                        <w:bottom w:val="none" w:sz="0" w:space="0" w:color="auto"/>
                        <w:right w:val="none" w:sz="0" w:space="0" w:color="auto"/>
                      </w:divBdr>
                      <w:divsChild>
                        <w:div w:id="3012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068636">
      <w:bodyDiv w:val="1"/>
      <w:marLeft w:val="0"/>
      <w:marRight w:val="0"/>
      <w:marTop w:val="0"/>
      <w:marBottom w:val="0"/>
      <w:divBdr>
        <w:top w:val="none" w:sz="0" w:space="0" w:color="auto"/>
        <w:left w:val="none" w:sz="0" w:space="0" w:color="auto"/>
        <w:bottom w:val="none" w:sz="0" w:space="0" w:color="auto"/>
        <w:right w:val="none" w:sz="0" w:space="0" w:color="auto"/>
      </w:divBdr>
      <w:divsChild>
        <w:div w:id="1421411096">
          <w:marLeft w:val="0"/>
          <w:marRight w:val="0"/>
          <w:marTop w:val="0"/>
          <w:marBottom w:val="0"/>
          <w:divBdr>
            <w:top w:val="none" w:sz="0" w:space="0" w:color="auto"/>
            <w:left w:val="none" w:sz="0" w:space="0" w:color="auto"/>
            <w:bottom w:val="none" w:sz="0" w:space="0" w:color="auto"/>
            <w:right w:val="none" w:sz="0" w:space="0" w:color="auto"/>
          </w:divBdr>
          <w:divsChild>
            <w:div w:id="1720089828">
              <w:marLeft w:val="0"/>
              <w:marRight w:val="0"/>
              <w:marTop w:val="0"/>
              <w:marBottom w:val="0"/>
              <w:divBdr>
                <w:top w:val="none" w:sz="0" w:space="0" w:color="auto"/>
                <w:left w:val="none" w:sz="0" w:space="0" w:color="auto"/>
                <w:bottom w:val="none" w:sz="0" w:space="0" w:color="auto"/>
                <w:right w:val="none" w:sz="0" w:space="0" w:color="auto"/>
              </w:divBdr>
              <w:divsChild>
                <w:div w:id="1215775771">
                  <w:marLeft w:val="0"/>
                  <w:marRight w:val="0"/>
                  <w:marTop w:val="0"/>
                  <w:marBottom w:val="0"/>
                  <w:divBdr>
                    <w:top w:val="none" w:sz="0" w:space="0" w:color="auto"/>
                    <w:left w:val="none" w:sz="0" w:space="0" w:color="auto"/>
                    <w:bottom w:val="none" w:sz="0" w:space="0" w:color="auto"/>
                    <w:right w:val="none" w:sz="0" w:space="0" w:color="auto"/>
                  </w:divBdr>
                  <w:divsChild>
                    <w:div w:id="159003226">
                      <w:marLeft w:val="0"/>
                      <w:marRight w:val="0"/>
                      <w:marTop w:val="0"/>
                      <w:marBottom w:val="0"/>
                      <w:divBdr>
                        <w:top w:val="none" w:sz="0" w:space="0" w:color="auto"/>
                        <w:left w:val="none" w:sz="0" w:space="0" w:color="auto"/>
                        <w:bottom w:val="none" w:sz="0" w:space="0" w:color="auto"/>
                        <w:right w:val="none" w:sz="0" w:space="0" w:color="auto"/>
                      </w:divBdr>
                      <w:divsChild>
                        <w:div w:id="1385106546">
                          <w:marLeft w:val="0"/>
                          <w:marRight w:val="0"/>
                          <w:marTop w:val="0"/>
                          <w:marBottom w:val="0"/>
                          <w:divBdr>
                            <w:top w:val="none" w:sz="0" w:space="0" w:color="auto"/>
                            <w:left w:val="none" w:sz="0" w:space="0" w:color="auto"/>
                            <w:bottom w:val="none" w:sz="0" w:space="0" w:color="auto"/>
                            <w:right w:val="none" w:sz="0" w:space="0" w:color="auto"/>
                          </w:divBdr>
                          <w:divsChild>
                            <w:div w:id="22370172">
                              <w:marLeft w:val="0"/>
                              <w:marRight w:val="0"/>
                              <w:marTop w:val="0"/>
                              <w:marBottom w:val="0"/>
                              <w:divBdr>
                                <w:top w:val="none" w:sz="0" w:space="0" w:color="auto"/>
                                <w:left w:val="none" w:sz="0" w:space="0" w:color="auto"/>
                                <w:bottom w:val="none" w:sz="0" w:space="0" w:color="auto"/>
                                <w:right w:val="none" w:sz="0" w:space="0" w:color="auto"/>
                              </w:divBdr>
                              <w:divsChild>
                                <w:div w:id="10434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04059">
      <w:bodyDiv w:val="1"/>
      <w:marLeft w:val="0"/>
      <w:marRight w:val="0"/>
      <w:marTop w:val="0"/>
      <w:marBottom w:val="0"/>
      <w:divBdr>
        <w:top w:val="none" w:sz="0" w:space="0" w:color="auto"/>
        <w:left w:val="none" w:sz="0" w:space="0" w:color="auto"/>
        <w:bottom w:val="none" w:sz="0" w:space="0" w:color="auto"/>
        <w:right w:val="none" w:sz="0" w:space="0" w:color="auto"/>
      </w:divBdr>
    </w:div>
    <w:div w:id="792019452">
      <w:bodyDiv w:val="1"/>
      <w:marLeft w:val="0"/>
      <w:marRight w:val="0"/>
      <w:marTop w:val="0"/>
      <w:marBottom w:val="0"/>
      <w:divBdr>
        <w:top w:val="none" w:sz="0" w:space="0" w:color="auto"/>
        <w:left w:val="none" w:sz="0" w:space="0" w:color="auto"/>
        <w:bottom w:val="none" w:sz="0" w:space="0" w:color="auto"/>
        <w:right w:val="none" w:sz="0" w:space="0" w:color="auto"/>
      </w:divBdr>
      <w:divsChild>
        <w:div w:id="1343358067">
          <w:marLeft w:val="0"/>
          <w:marRight w:val="0"/>
          <w:marTop w:val="0"/>
          <w:marBottom w:val="0"/>
          <w:divBdr>
            <w:top w:val="none" w:sz="0" w:space="0" w:color="auto"/>
            <w:left w:val="none" w:sz="0" w:space="0" w:color="auto"/>
            <w:bottom w:val="none" w:sz="0" w:space="0" w:color="auto"/>
            <w:right w:val="none" w:sz="0" w:space="0" w:color="auto"/>
          </w:divBdr>
          <w:divsChild>
            <w:div w:id="1366322012">
              <w:marLeft w:val="0"/>
              <w:marRight w:val="0"/>
              <w:marTop w:val="0"/>
              <w:marBottom w:val="0"/>
              <w:divBdr>
                <w:top w:val="none" w:sz="0" w:space="0" w:color="auto"/>
                <w:left w:val="none" w:sz="0" w:space="0" w:color="auto"/>
                <w:bottom w:val="none" w:sz="0" w:space="0" w:color="auto"/>
                <w:right w:val="none" w:sz="0" w:space="0" w:color="auto"/>
              </w:divBdr>
              <w:divsChild>
                <w:div w:id="544609000">
                  <w:marLeft w:val="0"/>
                  <w:marRight w:val="0"/>
                  <w:marTop w:val="0"/>
                  <w:marBottom w:val="0"/>
                  <w:divBdr>
                    <w:top w:val="none" w:sz="0" w:space="0" w:color="auto"/>
                    <w:left w:val="none" w:sz="0" w:space="0" w:color="auto"/>
                    <w:bottom w:val="none" w:sz="0" w:space="0" w:color="auto"/>
                    <w:right w:val="none" w:sz="0" w:space="0" w:color="auto"/>
                  </w:divBdr>
                  <w:divsChild>
                    <w:div w:id="7715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80019356">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099792349">
      <w:bodyDiv w:val="1"/>
      <w:marLeft w:val="0"/>
      <w:marRight w:val="0"/>
      <w:marTop w:val="0"/>
      <w:marBottom w:val="0"/>
      <w:divBdr>
        <w:top w:val="none" w:sz="0" w:space="0" w:color="auto"/>
        <w:left w:val="none" w:sz="0" w:space="0" w:color="auto"/>
        <w:bottom w:val="none" w:sz="0" w:space="0" w:color="auto"/>
        <w:right w:val="none" w:sz="0" w:space="0" w:color="auto"/>
      </w:divBdr>
    </w:div>
    <w:div w:id="1128857740">
      <w:bodyDiv w:val="1"/>
      <w:marLeft w:val="0"/>
      <w:marRight w:val="0"/>
      <w:marTop w:val="0"/>
      <w:marBottom w:val="0"/>
      <w:divBdr>
        <w:top w:val="none" w:sz="0" w:space="0" w:color="auto"/>
        <w:left w:val="none" w:sz="0" w:space="0" w:color="auto"/>
        <w:bottom w:val="none" w:sz="0" w:space="0" w:color="auto"/>
        <w:right w:val="none" w:sz="0" w:space="0" w:color="auto"/>
      </w:divBdr>
    </w:div>
    <w:div w:id="1311910103">
      <w:bodyDiv w:val="1"/>
      <w:marLeft w:val="0"/>
      <w:marRight w:val="0"/>
      <w:marTop w:val="0"/>
      <w:marBottom w:val="0"/>
      <w:divBdr>
        <w:top w:val="none" w:sz="0" w:space="0" w:color="auto"/>
        <w:left w:val="none" w:sz="0" w:space="0" w:color="auto"/>
        <w:bottom w:val="none" w:sz="0" w:space="0" w:color="auto"/>
        <w:right w:val="none" w:sz="0" w:space="0" w:color="auto"/>
      </w:divBdr>
    </w:div>
    <w:div w:id="1383945544">
      <w:bodyDiv w:val="1"/>
      <w:marLeft w:val="0"/>
      <w:marRight w:val="0"/>
      <w:marTop w:val="0"/>
      <w:marBottom w:val="0"/>
      <w:divBdr>
        <w:top w:val="none" w:sz="0" w:space="0" w:color="auto"/>
        <w:left w:val="none" w:sz="0" w:space="0" w:color="auto"/>
        <w:bottom w:val="none" w:sz="0" w:space="0" w:color="auto"/>
        <w:right w:val="none" w:sz="0" w:space="0" w:color="auto"/>
      </w:divBdr>
      <w:divsChild>
        <w:div w:id="22902180">
          <w:marLeft w:val="720"/>
          <w:marRight w:val="0"/>
          <w:marTop w:val="0"/>
          <w:marBottom w:val="0"/>
          <w:divBdr>
            <w:top w:val="none" w:sz="0" w:space="0" w:color="auto"/>
            <w:left w:val="none" w:sz="0" w:space="0" w:color="auto"/>
            <w:bottom w:val="none" w:sz="0" w:space="0" w:color="auto"/>
            <w:right w:val="none" w:sz="0" w:space="0" w:color="auto"/>
          </w:divBdr>
        </w:div>
        <w:div w:id="155613282">
          <w:marLeft w:val="720"/>
          <w:marRight w:val="0"/>
          <w:marTop w:val="0"/>
          <w:marBottom w:val="0"/>
          <w:divBdr>
            <w:top w:val="none" w:sz="0" w:space="0" w:color="auto"/>
            <w:left w:val="none" w:sz="0" w:space="0" w:color="auto"/>
            <w:bottom w:val="none" w:sz="0" w:space="0" w:color="auto"/>
            <w:right w:val="none" w:sz="0" w:space="0" w:color="auto"/>
          </w:divBdr>
        </w:div>
        <w:div w:id="702361550">
          <w:marLeft w:val="720"/>
          <w:marRight w:val="0"/>
          <w:marTop w:val="0"/>
          <w:marBottom w:val="0"/>
          <w:divBdr>
            <w:top w:val="none" w:sz="0" w:space="0" w:color="auto"/>
            <w:left w:val="none" w:sz="0" w:space="0" w:color="auto"/>
            <w:bottom w:val="none" w:sz="0" w:space="0" w:color="auto"/>
            <w:right w:val="none" w:sz="0" w:space="0" w:color="auto"/>
          </w:divBdr>
        </w:div>
        <w:div w:id="1308054858">
          <w:marLeft w:val="720"/>
          <w:marRight w:val="0"/>
          <w:marTop w:val="0"/>
          <w:marBottom w:val="0"/>
          <w:divBdr>
            <w:top w:val="none" w:sz="0" w:space="0" w:color="auto"/>
            <w:left w:val="none" w:sz="0" w:space="0" w:color="auto"/>
            <w:bottom w:val="none" w:sz="0" w:space="0" w:color="auto"/>
            <w:right w:val="none" w:sz="0" w:space="0" w:color="auto"/>
          </w:divBdr>
        </w:div>
      </w:divsChild>
    </w:div>
    <w:div w:id="1414476216">
      <w:bodyDiv w:val="1"/>
      <w:marLeft w:val="0"/>
      <w:marRight w:val="0"/>
      <w:marTop w:val="0"/>
      <w:marBottom w:val="0"/>
      <w:divBdr>
        <w:top w:val="none" w:sz="0" w:space="0" w:color="auto"/>
        <w:left w:val="none" w:sz="0" w:space="0" w:color="auto"/>
        <w:bottom w:val="none" w:sz="0" w:space="0" w:color="auto"/>
        <w:right w:val="none" w:sz="0" w:space="0" w:color="auto"/>
      </w:divBdr>
      <w:divsChild>
        <w:div w:id="637154163">
          <w:marLeft w:val="0"/>
          <w:marRight w:val="0"/>
          <w:marTop w:val="240"/>
          <w:marBottom w:val="0"/>
          <w:divBdr>
            <w:top w:val="none" w:sz="0" w:space="0" w:color="auto"/>
            <w:left w:val="none" w:sz="0" w:space="0" w:color="auto"/>
            <w:bottom w:val="none" w:sz="0" w:space="0" w:color="auto"/>
            <w:right w:val="none" w:sz="0" w:space="0" w:color="auto"/>
          </w:divBdr>
          <w:divsChild>
            <w:div w:id="998313736">
              <w:marLeft w:val="3"/>
              <w:marRight w:val="0"/>
              <w:marTop w:val="0"/>
              <w:marBottom w:val="0"/>
              <w:divBdr>
                <w:top w:val="none" w:sz="0" w:space="0" w:color="auto"/>
                <w:left w:val="none" w:sz="0" w:space="0" w:color="auto"/>
                <w:bottom w:val="none" w:sz="0" w:space="0" w:color="auto"/>
                <w:right w:val="none" w:sz="0" w:space="0" w:color="auto"/>
              </w:divBdr>
              <w:divsChild>
                <w:div w:id="607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539125129">
      <w:bodyDiv w:val="1"/>
      <w:marLeft w:val="0"/>
      <w:marRight w:val="0"/>
      <w:marTop w:val="0"/>
      <w:marBottom w:val="0"/>
      <w:divBdr>
        <w:top w:val="none" w:sz="0" w:space="0" w:color="auto"/>
        <w:left w:val="none" w:sz="0" w:space="0" w:color="auto"/>
        <w:bottom w:val="none" w:sz="0" w:space="0" w:color="auto"/>
        <w:right w:val="none" w:sz="0" w:space="0" w:color="auto"/>
      </w:divBdr>
    </w:div>
    <w:div w:id="1567181684">
      <w:bodyDiv w:val="1"/>
      <w:marLeft w:val="0"/>
      <w:marRight w:val="0"/>
      <w:marTop w:val="0"/>
      <w:marBottom w:val="0"/>
      <w:divBdr>
        <w:top w:val="none" w:sz="0" w:space="0" w:color="auto"/>
        <w:left w:val="none" w:sz="0" w:space="0" w:color="auto"/>
        <w:bottom w:val="none" w:sz="0" w:space="0" w:color="auto"/>
        <w:right w:val="none" w:sz="0" w:space="0" w:color="auto"/>
      </w:divBdr>
      <w:divsChild>
        <w:div w:id="143401548">
          <w:marLeft w:val="0"/>
          <w:marRight w:val="0"/>
          <w:marTop w:val="0"/>
          <w:marBottom w:val="0"/>
          <w:divBdr>
            <w:top w:val="none" w:sz="0" w:space="0" w:color="auto"/>
            <w:left w:val="none" w:sz="0" w:space="0" w:color="auto"/>
            <w:bottom w:val="none" w:sz="0" w:space="0" w:color="auto"/>
            <w:right w:val="none" w:sz="0" w:space="0" w:color="auto"/>
          </w:divBdr>
          <w:divsChild>
            <w:div w:id="1970282632">
              <w:marLeft w:val="0"/>
              <w:marRight w:val="0"/>
              <w:marTop w:val="0"/>
              <w:marBottom w:val="0"/>
              <w:divBdr>
                <w:top w:val="none" w:sz="0" w:space="0" w:color="auto"/>
                <w:left w:val="none" w:sz="0" w:space="0" w:color="auto"/>
                <w:bottom w:val="none" w:sz="0" w:space="0" w:color="auto"/>
                <w:right w:val="none" w:sz="0" w:space="0" w:color="auto"/>
              </w:divBdr>
              <w:divsChild>
                <w:div w:id="852571927">
                  <w:marLeft w:val="0"/>
                  <w:marRight w:val="0"/>
                  <w:marTop w:val="0"/>
                  <w:marBottom w:val="0"/>
                  <w:divBdr>
                    <w:top w:val="none" w:sz="0" w:space="0" w:color="auto"/>
                    <w:left w:val="none" w:sz="0" w:space="0" w:color="auto"/>
                    <w:bottom w:val="none" w:sz="0" w:space="0" w:color="auto"/>
                    <w:right w:val="none" w:sz="0" w:space="0" w:color="auto"/>
                  </w:divBdr>
                  <w:divsChild>
                    <w:div w:id="126777711">
                      <w:marLeft w:val="0"/>
                      <w:marRight w:val="0"/>
                      <w:marTop w:val="0"/>
                      <w:marBottom w:val="0"/>
                      <w:divBdr>
                        <w:top w:val="none" w:sz="0" w:space="0" w:color="auto"/>
                        <w:left w:val="none" w:sz="0" w:space="0" w:color="auto"/>
                        <w:bottom w:val="none" w:sz="0" w:space="0" w:color="auto"/>
                        <w:right w:val="none" w:sz="0" w:space="0" w:color="auto"/>
                      </w:divBdr>
                      <w:divsChild>
                        <w:div w:id="1499273721">
                          <w:marLeft w:val="0"/>
                          <w:marRight w:val="0"/>
                          <w:marTop w:val="0"/>
                          <w:marBottom w:val="0"/>
                          <w:divBdr>
                            <w:top w:val="none" w:sz="0" w:space="0" w:color="auto"/>
                            <w:left w:val="none" w:sz="0" w:space="0" w:color="auto"/>
                            <w:bottom w:val="none" w:sz="0" w:space="0" w:color="auto"/>
                            <w:right w:val="none" w:sz="0" w:space="0" w:color="auto"/>
                          </w:divBdr>
                          <w:divsChild>
                            <w:div w:id="8721090">
                              <w:marLeft w:val="0"/>
                              <w:marRight w:val="0"/>
                              <w:marTop w:val="0"/>
                              <w:marBottom w:val="0"/>
                              <w:divBdr>
                                <w:top w:val="none" w:sz="0" w:space="0" w:color="auto"/>
                                <w:left w:val="none" w:sz="0" w:space="0" w:color="auto"/>
                                <w:bottom w:val="none" w:sz="0" w:space="0" w:color="auto"/>
                                <w:right w:val="none" w:sz="0" w:space="0" w:color="auto"/>
                              </w:divBdr>
                            </w:div>
                            <w:div w:id="571306690">
                              <w:marLeft w:val="0"/>
                              <w:marRight w:val="0"/>
                              <w:marTop w:val="0"/>
                              <w:marBottom w:val="0"/>
                              <w:divBdr>
                                <w:top w:val="none" w:sz="0" w:space="0" w:color="auto"/>
                                <w:left w:val="none" w:sz="0" w:space="0" w:color="auto"/>
                                <w:bottom w:val="none" w:sz="0" w:space="0" w:color="auto"/>
                                <w:right w:val="none" w:sz="0" w:space="0" w:color="auto"/>
                              </w:divBdr>
                            </w:div>
                            <w:div w:id="817498872">
                              <w:marLeft w:val="0"/>
                              <w:marRight w:val="0"/>
                              <w:marTop w:val="0"/>
                              <w:marBottom w:val="0"/>
                              <w:divBdr>
                                <w:top w:val="none" w:sz="0" w:space="0" w:color="auto"/>
                                <w:left w:val="none" w:sz="0" w:space="0" w:color="auto"/>
                                <w:bottom w:val="none" w:sz="0" w:space="0" w:color="auto"/>
                                <w:right w:val="none" w:sz="0" w:space="0" w:color="auto"/>
                              </w:divBdr>
                              <w:divsChild>
                                <w:div w:id="547492132">
                                  <w:marLeft w:val="0"/>
                                  <w:marRight w:val="0"/>
                                  <w:marTop w:val="0"/>
                                  <w:marBottom w:val="0"/>
                                  <w:divBdr>
                                    <w:top w:val="none" w:sz="0" w:space="0" w:color="auto"/>
                                    <w:left w:val="none" w:sz="0" w:space="0" w:color="auto"/>
                                    <w:bottom w:val="none" w:sz="0" w:space="0" w:color="auto"/>
                                    <w:right w:val="none" w:sz="0" w:space="0" w:color="auto"/>
                                  </w:divBdr>
                                  <w:divsChild>
                                    <w:div w:id="594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928156">
      <w:bodyDiv w:val="1"/>
      <w:marLeft w:val="0"/>
      <w:marRight w:val="0"/>
      <w:marTop w:val="0"/>
      <w:marBottom w:val="0"/>
      <w:divBdr>
        <w:top w:val="none" w:sz="0" w:space="0" w:color="auto"/>
        <w:left w:val="none" w:sz="0" w:space="0" w:color="auto"/>
        <w:bottom w:val="none" w:sz="0" w:space="0" w:color="auto"/>
        <w:right w:val="none" w:sz="0" w:space="0" w:color="auto"/>
      </w:divBdr>
      <w:divsChild>
        <w:div w:id="1450860503">
          <w:marLeft w:val="0"/>
          <w:marRight w:val="0"/>
          <w:marTop w:val="0"/>
          <w:marBottom w:val="450"/>
          <w:divBdr>
            <w:top w:val="none" w:sz="0" w:space="0" w:color="auto"/>
            <w:left w:val="single" w:sz="48" w:space="0" w:color="FFFFFF"/>
            <w:bottom w:val="single" w:sz="48" w:space="0" w:color="FFFFFF"/>
            <w:right w:val="single" w:sz="48" w:space="0" w:color="FFFFFF"/>
          </w:divBdr>
          <w:divsChild>
            <w:div w:id="1878472950">
              <w:marLeft w:val="0"/>
              <w:marRight w:val="0"/>
              <w:marTop w:val="0"/>
              <w:marBottom w:val="360"/>
              <w:divBdr>
                <w:top w:val="none" w:sz="0" w:space="0" w:color="auto"/>
                <w:left w:val="none" w:sz="0" w:space="0" w:color="auto"/>
                <w:bottom w:val="none" w:sz="0" w:space="0" w:color="auto"/>
                <w:right w:val="none" w:sz="0" w:space="0" w:color="auto"/>
              </w:divBdr>
              <w:divsChild>
                <w:div w:id="183699405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693607614">
      <w:bodyDiv w:val="1"/>
      <w:marLeft w:val="0"/>
      <w:marRight w:val="0"/>
      <w:marTop w:val="0"/>
      <w:marBottom w:val="0"/>
      <w:divBdr>
        <w:top w:val="none" w:sz="0" w:space="0" w:color="auto"/>
        <w:left w:val="none" w:sz="0" w:space="0" w:color="auto"/>
        <w:bottom w:val="none" w:sz="0" w:space="0" w:color="auto"/>
        <w:right w:val="none" w:sz="0" w:space="0" w:color="auto"/>
      </w:divBdr>
    </w:div>
    <w:div w:id="1739018335">
      <w:bodyDiv w:val="1"/>
      <w:marLeft w:val="0"/>
      <w:marRight w:val="0"/>
      <w:marTop w:val="0"/>
      <w:marBottom w:val="0"/>
      <w:divBdr>
        <w:top w:val="none" w:sz="0" w:space="0" w:color="auto"/>
        <w:left w:val="none" w:sz="0" w:space="0" w:color="auto"/>
        <w:bottom w:val="none" w:sz="0" w:space="0" w:color="auto"/>
        <w:right w:val="none" w:sz="0" w:space="0" w:color="auto"/>
      </w:divBdr>
      <w:divsChild>
        <w:div w:id="1929653247">
          <w:marLeft w:val="0"/>
          <w:marRight w:val="0"/>
          <w:marTop w:val="0"/>
          <w:marBottom w:val="0"/>
          <w:divBdr>
            <w:top w:val="none" w:sz="0" w:space="0" w:color="auto"/>
            <w:left w:val="none" w:sz="0" w:space="0" w:color="auto"/>
            <w:bottom w:val="none" w:sz="0" w:space="0" w:color="auto"/>
            <w:right w:val="none" w:sz="0" w:space="0" w:color="auto"/>
          </w:divBdr>
          <w:divsChild>
            <w:div w:id="268321322">
              <w:marLeft w:val="0"/>
              <w:marRight w:val="0"/>
              <w:marTop w:val="0"/>
              <w:marBottom w:val="0"/>
              <w:divBdr>
                <w:top w:val="none" w:sz="0" w:space="0" w:color="auto"/>
                <w:left w:val="none" w:sz="0" w:space="0" w:color="auto"/>
                <w:bottom w:val="none" w:sz="0" w:space="0" w:color="auto"/>
                <w:right w:val="none" w:sz="0" w:space="0" w:color="auto"/>
              </w:divBdr>
              <w:divsChild>
                <w:div w:id="663121461">
                  <w:marLeft w:val="0"/>
                  <w:marRight w:val="0"/>
                  <w:marTop w:val="0"/>
                  <w:marBottom w:val="0"/>
                  <w:divBdr>
                    <w:top w:val="none" w:sz="0" w:space="0" w:color="auto"/>
                    <w:left w:val="none" w:sz="0" w:space="0" w:color="auto"/>
                    <w:bottom w:val="none" w:sz="0" w:space="0" w:color="auto"/>
                    <w:right w:val="none" w:sz="0" w:space="0" w:color="auto"/>
                  </w:divBdr>
                  <w:divsChild>
                    <w:div w:id="657611043">
                      <w:marLeft w:val="0"/>
                      <w:marRight w:val="0"/>
                      <w:marTop w:val="0"/>
                      <w:marBottom w:val="0"/>
                      <w:divBdr>
                        <w:top w:val="none" w:sz="0" w:space="0" w:color="auto"/>
                        <w:left w:val="none" w:sz="0" w:space="0" w:color="auto"/>
                        <w:bottom w:val="none" w:sz="0" w:space="0" w:color="auto"/>
                        <w:right w:val="none" w:sz="0" w:space="0" w:color="auto"/>
                      </w:divBdr>
                      <w:divsChild>
                        <w:div w:id="381446409">
                          <w:marLeft w:val="0"/>
                          <w:marRight w:val="0"/>
                          <w:marTop w:val="0"/>
                          <w:marBottom w:val="0"/>
                          <w:divBdr>
                            <w:top w:val="none" w:sz="0" w:space="0" w:color="auto"/>
                            <w:left w:val="none" w:sz="0" w:space="0" w:color="auto"/>
                            <w:bottom w:val="none" w:sz="0" w:space="0" w:color="auto"/>
                            <w:right w:val="none" w:sz="0" w:space="0" w:color="auto"/>
                          </w:divBdr>
                          <w:divsChild>
                            <w:div w:id="519901499">
                              <w:marLeft w:val="0"/>
                              <w:marRight w:val="0"/>
                              <w:marTop w:val="0"/>
                              <w:marBottom w:val="0"/>
                              <w:divBdr>
                                <w:top w:val="none" w:sz="0" w:space="0" w:color="auto"/>
                                <w:left w:val="none" w:sz="0" w:space="0" w:color="auto"/>
                                <w:bottom w:val="none" w:sz="0" w:space="0" w:color="auto"/>
                                <w:right w:val="none" w:sz="0" w:space="0" w:color="auto"/>
                              </w:divBdr>
                              <w:divsChild>
                                <w:div w:id="135726962">
                                  <w:marLeft w:val="0"/>
                                  <w:marRight w:val="0"/>
                                  <w:marTop w:val="0"/>
                                  <w:marBottom w:val="0"/>
                                  <w:divBdr>
                                    <w:top w:val="none" w:sz="0" w:space="0" w:color="auto"/>
                                    <w:left w:val="none" w:sz="0" w:space="0" w:color="auto"/>
                                    <w:bottom w:val="none" w:sz="0" w:space="0" w:color="auto"/>
                                    <w:right w:val="none" w:sz="0" w:space="0" w:color="auto"/>
                                  </w:divBdr>
                                  <w:divsChild>
                                    <w:div w:id="4124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9213">
                              <w:marLeft w:val="0"/>
                              <w:marRight w:val="0"/>
                              <w:marTop w:val="0"/>
                              <w:marBottom w:val="0"/>
                              <w:divBdr>
                                <w:top w:val="none" w:sz="0" w:space="0" w:color="auto"/>
                                <w:left w:val="none" w:sz="0" w:space="0" w:color="auto"/>
                                <w:bottom w:val="none" w:sz="0" w:space="0" w:color="auto"/>
                                <w:right w:val="none" w:sz="0" w:space="0" w:color="auto"/>
                              </w:divBdr>
                            </w:div>
                            <w:div w:id="19761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004189">
      <w:bodyDiv w:val="1"/>
      <w:marLeft w:val="0"/>
      <w:marRight w:val="0"/>
      <w:marTop w:val="0"/>
      <w:marBottom w:val="0"/>
      <w:divBdr>
        <w:top w:val="none" w:sz="0" w:space="0" w:color="auto"/>
        <w:left w:val="none" w:sz="0" w:space="0" w:color="auto"/>
        <w:bottom w:val="none" w:sz="0" w:space="0" w:color="auto"/>
        <w:right w:val="none" w:sz="0" w:space="0" w:color="auto"/>
      </w:divBdr>
    </w:div>
    <w:div w:id="1869946222">
      <w:bodyDiv w:val="1"/>
      <w:marLeft w:val="0"/>
      <w:marRight w:val="0"/>
      <w:marTop w:val="0"/>
      <w:marBottom w:val="0"/>
      <w:divBdr>
        <w:top w:val="none" w:sz="0" w:space="0" w:color="auto"/>
        <w:left w:val="none" w:sz="0" w:space="0" w:color="auto"/>
        <w:bottom w:val="none" w:sz="0" w:space="0" w:color="auto"/>
        <w:right w:val="none" w:sz="0" w:space="0" w:color="auto"/>
      </w:divBdr>
    </w:div>
    <w:div w:id="1913587876">
      <w:bodyDiv w:val="1"/>
      <w:marLeft w:val="0"/>
      <w:marRight w:val="0"/>
      <w:marTop w:val="0"/>
      <w:marBottom w:val="0"/>
      <w:divBdr>
        <w:top w:val="none" w:sz="0" w:space="0" w:color="auto"/>
        <w:left w:val="none" w:sz="0" w:space="0" w:color="auto"/>
        <w:bottom w:val="none" w:sz="0" w:space="0" w:color="auto"/>
        <w:right w:val="none" w:sz="0" w:space="0" w:color="auto"/>
      </w:divBdr>
    </w:div>
    <w:div w:id="2011060650">
      <w:bodyDiv w:val="1"/>
      <w:marLeft w:val="0"/>
      <w:marRight w:val="0"/>
      <w:marTop w:val="0"/>
      <w:marBottom w:val="0"/>
      <w:divBdr>
        <w:top w:val="none" w:sz="0" w:space="0" w:color="auto"/>
        <w:left w:val="none" w:sz="0" w:space="0" w:color="auto"/>
        <w:bottom w:val="none" w:sz="0" w:space="0" w:color="auto"/>
        <w:right w:val="none" w:sz="0" w:space="0" w:color="auto"/>
      </w:divBdr>
      <w:divsChild>
        <w:div w:id="659693066">
          <w:marLeft w:val="0"/>
          <w:marRight w:val="0"/>
          <w:marTop w:val="0"/>
          <w:marBottom w:val="0"/>
          <w:divBdr>
            <w:top w:val="none" w:sz="0" w:space="0" w:color="auto"/>
            <w:left w:val="none" w:sz="0" w:space="0" w:color="auto"/>
            <w:bottom w:val="none" w:sz="0" w:space="0" w:color="auto"/>
            <w:right w:val="none" w:sz="0" w:space="0" w:color="auto"/>
          </w:divBdr>
          <w:divsChild>
            <w:div w:id="1991403288">
              <w:marLeft w:val="0"/>
              <w:marRight w:val="0"/>
              <w:marTop w:val="0"/>
              <w:marBottom w:val="0"/>
              <w:divBdr>
                <w:top w:val="none" w:sz="0" w:space="0" w:color="auto"/>
                <w:left w:val="none" w:sz="0" w:space="0" w:color="auto"/>
                <w:bottom w:val="none" w:sz="0" w:space="0" w:color="auto"/>
                <w:right w:val="none" w:sz="0" w:space="0" w:color="auto"/>
              </w:divBdr>
              <w:divsChild>
                <w:div w:id="2131120830">
                  <w:marLeft w:val="0"/>
                  <w:marRight w:val="0"/>
                  <w:marTop w:val="0"/>
                  <w:marBottom w:val="0"/>
                  <w:divBdr>
                    <w:top w:val="none" w:sz="0" w:space="0" w:color="auto"/>
                    <w:left w:val="none" w:sz="0" w:space="0" w:color="auto"/>
                    <w:bottom w:val="none" w:sz="0" w:space="0" w:color="auto"/>
                    <w:right w:val="none" w:sz="0" w:space="0" w:color="auto"/>
                  </w:divBdr>
                  <w:divsChild>
                    <w:div w:id="116533921">
                      <w:marLeft w:val="0"/>
                      <w:marRight w:val="0"/>
                      <w:marTop w:val="0"/>
                      <w:marBottom w:val="0"/>
                      <w:divBdr>
                        <w:top w:val="none" w:sz="0" w:space="0" w:color="auto"/>
                        <w:left w:val="none" w:sz="0" w:space="0" w:color="auto"/>
                        <w:bottom w:val="none" w:sz="0" w:space="0" w:color="auto"/>
                        <w:right w:val="none" w:sz="0" w:space="0" w:color="auto"/>
                      </w:divBdr>
                      <w:divsChild>
                        <w:div w:id="1880631255">
                          <w:marLeft w:val="0"/>
                          <w:marRight w:val="0"/>
                          <w:marTop w:val="0"/>
                          <w:marBottom w:val="0"/>
                          <w:divBdr>
                            <w:top w:val="none" w:sz="0" w:space="0" w:color="auto"/>
                            <w:left w:val="none" w:sz="0" w:space="0" w:color="auto"/>
                            <w:bottom w:val="none" w:sz="0" w:space="0" w:color="auto"/>
                            <w:right w:val="none" w:sz="0" w:space="0" w:color="auto"/>
                          </w:divBdr>
                          <w:divsChild>
                            <w:div w:id="648288250">
                              <w:marLeft w:val="0"/>
                              <w:marRight w:val="0"/>
                              <w:marTop w:val="0"/>
                              <w:marBottom w:val="0"/>
                              <w:divBdr>
                                <w:top w:val="none" w:sz="0" w:space="0" w:color="auto"/>
                                <w:left w:val="none" w:sz="0" w:space="0" w:color="auto"/>
                                <w:bottom w:val="none" w:sz="0" w:space="0" w:color="auto"/>
                                <w:right w:val="none" w:sz="0" w:space="0" w:color="auto"/>
                              </w:divBdr>
                              <w:divsChild>
                                <w:div w:id="130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736732">
      <w:bodyDiv w:val="1"/>
      <w:marLeft w:val="0"/>
      <w:marRight w:val="0"/>
      <w:marTop w:val="0"/>
      <w:marBottom w:val="0"/>
      <w:divBdr>
        <w:top w:val="none" w:sz="0" w:space="0" w:color="auto"/>
        <w:left w:val="none" w:sz="0" w:space="0" w:color="auto"/>
        <w:bottom w:val="none" w:sz="0" w:space="0" w:color="auto"/>
        <w:right w:val="none" w:sz="0" w:space="0" w:color="auto"/>
      </w:divBdr>
    </w:div>
    <w:div w:id="21417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177/1947601911431081%20(69"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my.csiro.au/imp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dx.doi.org/10.4161/epi.2904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nne-maree.dowd@csiro.a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doi.org/10.1371/journal.pone.0029059%20(17" TargetMode="Externa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Average 5 year survival by stage of diagnosis (%)</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'[Chart in Microsoft Word]Sheet1'!$B$1</c:f>
              <c:strCache>
                <c:ptCount val="1"/>
                <c:pt idx="0">
                  <c:v>Average 5 year survival by stage of diagnosis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 in Microsoft Word]Sheet1'!$A$2:$A$5</c:f>
              <c:strCache>
                <c:ptCount val="4"/>
                <c:pt idx="0">
                  <c:v>Stage I</c:v>
                </c:pt>
                <c:pt idx="1">
                  <c:v>Stage II</c:v>
                </c:pt>
                <c:pt idx="2">
                  <c:v>Stage III</c:v>
                </c:pt>
                <c:pt idx="3">
                  <c:v>Stage IV</c:v>
                </c:pt>
              </c:strCache>
            </c:strRef>
          </c:cat>
          <c:val>
            <c:numRef>
              <c:f>'[Chart in Microsoft Word]Sheet1'!$B$2:$B$5</c:f>
              <c:numCache>
                <c:formatCode>General</c:formatCode>
                <c:ptCount val="4"/>
                <c:pt idx="0">
                  <c:v>90.5</c:v>
                </c:pt>
                <c:pt idx="1">
                  <c:v>77.25</c:v>
                </c:pt>
                <c:pt idx="2">
                  <c:v>49.5</c:v>
                </c:pt>
                <c:pt idx="3">
                  <c:v>11.75</c:v>
                </c:pt>
              </c:numCache>
            </c:numRef>
          </c:val>
        </c:ser>
        <c:dLbls>
          <c:dLblPos val="inEnd"/>
          <c:showLegendKey val="0"/>
          <c:showVal val="1"/>
          <c:showCatName val="0"/>
          <c:showSerName val="0"/>
          <c:showPercent val="0"/>
          <c:showBubbleSize val="0"/>
        </c:dLbls>
        <c:gapWidth val="65"/>
        <c:axId val="282671816"/>
        <c:axId val="282670248"/>
        <c:extLst>
          <c:ext xmlns:c15="http://schemas.microsoft.com/office/drawing/2012/chart" uri="{02D57815-91ED-43cb-92C2-25804820EDAC}">
            <c15:filteredBarSeries>
              <c15:ser>
                <c:idx val="1"/>
                <c:order val="1"/>
                <c:tx>
                  <c:strRef>
                    <c:extLst>
                      <c:ext uri="{02D57815-91ED-43cb-92C2-25804820EDAC}">
                        <c15:formulaRef>
                          <c15:sqref>'[Chart in Microsoft Word]Sheet1'!$C$1</c15:sqref>
                        </c15:formulaRef>
                      </c:ext>
                    </c:extLst>
                    <c:strCache>
                      <c:ptCount val="1"/>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'[Chart in Microsoft Word]Sheet1'!$A$2:$A$5</c15:sqref>
                        </c15:formulaRef>
                      </c:ext>
                    </c:extLst>
                    <c:strCache>
                      <c:ptCount val="4"/>
                      <c:pt idx="0">
                        <c:v>Stage I</c:v>
                      </c:pt>
                      <c:pt idx="1">
                        <c:v>Stage II</c:v>
                      </c:pt>
                      <c:pt idx="2">
                        <c:v>Stage III</c:v>
                      </c:pt>
                      <c:pt idx="3">
                        <c:v>Stage IV</c:v>
                      </c:pt>
                    </c:strCache>
                  </c:strRef>
                </c:cat>
                <c:val>
                  <c:numRef>
                    <c:extLst>
                      <c:ext uri="{02D57815-91ED-43cb-92C2-25804820EDAC}">
                        <c15:formulaRef>
                          <c15:sqref>'[Chart in Microsoft Word]Sheet1'!$C$2:$C$5</c15:sqref>
                        </c15:formulaRef>
                      </c:ext>
                    </c:extLst>
                    <c:numCache>
                      <c:formatCode>General</c:formatCode>
                      <c:ptCount val="4"/>
                    </c:numCache>
                  </c:numRef>
                </c:val>
              </c15:ser>
            </c15:filteredBarSeries>
          </c:ext>
        </c:extLst>
      </c:barChart>
      <c:catAx>
        <c:axId val="28267181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82670248"/>
        <c:crosses val="autoZero"/>
        <c:auto val="1"/>
        <c:lblAlgn val="ctr"/>
        <c:lblOffset val="100"/>
        <c:noMultiLvlLbl val="0"/>
      </c:catAx>
      <c:valAx>
        <c:axId val="2826702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82671816"/>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967C8A3744B5DA0D6167F86CBE84B"/>
        <w:category>
          <w:name w:val="General"/>
          <w:gallery w:val="placeholder"/>
        </w:category>
        <w:types>
          <w:type w:val="bbPlcHdr"/>
        </w:types>
        <w:behaviors>
          <w:behavior w:val="content"/>
        </w:behaviors>
        <w:guid w:val="{17FED827-39C8-4149-A797-04A60FFA50F3}"/>
      </w:docPartPr>
      <w:docPartBody>
        <w:p w:rsidR="003D6338" w:rsidRDefault="003D6338" w:rsidP="003D6338">
          <w:pPr>
            <w:pStyle w:val="046967C8A3744B5DA0D6167F86CBE84B"/>
          </w:pPr>
          <w:r w:rsidRPr="00383D0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Droid Sans Fallback">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38"/>
    <w:rsid w:val="000E631E"/>
    <w:rsid w:val="00103CEB"/>
    <w:rsid w:val="002007BC"/>
    <w:rsid w:val="002319C5"/>
    <w:rsid w:val="002341B2"/>
    <w:rsid w:val="003231D1"/>
    <w:rsid w:val="00371B9E"/>
    <w:rsid w:val="003A74C7"/>
    <w:rsid w:val="003C0636"/>
    <w:rsid w:val="003C0671"/>
    <w:rsid w:val="003D6338"/>
    <w:rsid w:val="004A7670"/>
    <w:rsid w:val="004F7B2C"/>
    <w:rsid w:val="005335E3"/>
    <w:rsid w:val="00596B06"/>
    <w:rsid w:val="0069779D"/>
    <w:rsid w:val="006D41C1"/>
    <w:rsid w:val="007B277A"/>
    <w:rsid w:val="00853863"/>
    <w:rsid w:val="00894115"/>
    <w:rsid w:val="008F361A"/>
    <w:rsid w:val="00936E6C"/>
    <w:rsid w:val="00966D31"/>
    <w:rsid w:val="009D5AF9"/>
    <w:rsid w:val="009E64EC"/>
    <w:rsid w:val="00A0728F"/>
    <w:rsid w:val="00A83316"/>
    <w:rsid w:val="00B34F18"/>
    <w:rsid w:val="00B42BA0"/>
    <w:rsid w:val="00B5494B"/>
    <w:rsid w:val="00C01FBE"/>
    <w:rsid w:val="00C222EA"/>
    <w:rsid w:val="00C621BB"/>
    <w:rsid w:val="00C71BA9"/>
    <w:rsid w:val="00C9296D"/>
    <w:rsid w:val="00CC50E8"/>
    <w:rsid w:val="00CF6663"/>
    <w:rsid w:val="00CF7F3C"/>
    <w:rsid w:val="00D0749F"/>
    <w:rsid w:val="00DC12CC"/>
    <w:rsid w:val="00EC7810"/>
    <w:rsid w:val="00EF5B9C"/>
    <w:rsid w:val="00F2106A"/>
    <w:rsid w:val="00F46CB2"/>
    <w:rsid w:val="00FE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338"/>
    <w:rPr>
      <w:color w:val="808080"/>
    </w:rPr>
  </w:style>
  <w:style w:type="paragraph" w:customStyle="1" w:styleId="046967C8A3744B5DA0D6167F86CBE84B">
    <w:name w:val="046967C8A3744B5DA0D6167F86CBE84B"/>
    <w:rsid w:val="003D6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5A5C-C7D0-41FD-AD0D-3C28341B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32</Pages>
  <Words>10335</Words>
  <Characters>60442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70636</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Melissa (SM&amp;I, North Ryde)</dc:creator>
  <cp:keywords/>
  <dc:description/>
  <cp:lastModifiedBy>Dutta, Ayush (SM&amp;I, Clayton)</cp:lastModifiedBy>
  <cp:revision>41</cp:revision>
  <cp:lastPrinted>2017-10-30T01:05:00Z</cp:lastPrinted>
  <dcterms:created xsi:type="dcterms:W3CDTF">2017-10-10T22:12:00Z</dcterms:created>
  <dcterms:modified xsi:type="dcterms:W3CDTF">2018-04-09T11:23:00Z</dcterms:modified>
  <cp:category/>
</cp:coreProperties>
</file>