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C16BA8" w14:textId="255A6233" w:rsidR="006168B0" w:rsidRDefault="00250879" w:rsidP="00250879">
      <w:pPr>
        <w:pStyle w:val="Title"/>
      </w:pPr>
      <w:r>
        <w:t>CSIRO Australian Research for the GPST</w:t>
      </w:r>
    </w:p>
    <w:p w14:paraId="1B015DB5" w14:textId="6693BDC5" w:rsidR="00CE21D4" w:rsidRDefault="0035560B" w:rsidP="00EB498B">
      <w:pPr>
        <w:pStyle w:val="Subtitle"/>
      </w:pPr>
      <w:r>
        <w:t xml:space="preserve">Task </w:t>
      </w:r>
      <w:r w:rsidR="00EB498B">
        <w:t>6</w:t>
      </w:r>
      <w:r>
        <w:t xml:space="preserve"> </w:t>
      </w:r>
      <w:r w:rsidR="009A0ECA">
        <w:t>–</w:t>
      </w:r>
      <w:r>
        <w:t xml:space="preserve"> </w:t>
      </w:r>
      <w:r w:rsidR="00EB498B">
        <w:t>Services</w:t>
      </w:r>
    </w:p>
    <w:p w14:paraId="60A15BEF" w14:textId="7D57B58C" w:rsidR="00EB498B" w:rsidRPr="00CE21D4" w:rsidRDefault="00EB498B" w:rsidP="00EB498B">
      <w:pPr>
        <w:pStyle w:val="Subtitle"/>
        <w:rPr>
          <w:i/>
          <w:iCs/>
        </w:rPr>
      </w:pPr>
      <w:r w:rsidRPr="00CE21D4">
        <w:rPr>
          <w:i/>
          <w:iCs/>
        </w:rPr>
        <w:t>Quantifying the technical service requirements of future power</w:t>
      </w:r>
      <w:r w:rsidR="00CE21D4" w:rsidRPr="00CE21D4">
        <w:rPr>
          <w:i/>
          <w:iCs/>
        </w:rPr>
        <w:t xml:space="preserve"> </w:t>
      </w:r>
      <w:r w:rsidRPr="00CE21D4">
        <w:rPr>
          <w:i/>
          <w:iCs/>
        </w:rPr>
        <w:t>systems to maintain the supply-demand balance reliably and at least cost</w:t>
      </w:r>
    </w:p>
    <w:p w14:paraId="0F49CBE7" w14:textId="5F66F918" w:rsidR="009C646F" w:rsidRDefault="006C693A" w:rsidP="00EB498B">
      <w:pPr>
        <w:pStyle w:val="Subtitle"/>
      </w:pPr>
      <w:r>
        <w:t>Final</w:t>
      </w:r>
      <w:r w:rsidR="009A0ECA">
        <w:t xml:space="preserve"> Report</w:t>
      </w:r>
    </w:p>
    <w:p w14:paraId="46BEDCC4" w14:textId="348A4B21" w:rsidR="00056A5F" w:rsidRDefault="00056A5F"/>
    <w:p w14:paraId="387100B6" w14:textId="2430858E" w:rsidR="00A1011F" w:rsidRPr="00191685" w:rsidRDefault="00EB498B" w:rsidP="00CE21D4">
      <w:pPr>
        <w:pStyle w:val="Subtitle"/>
        <w:rPr>
          <w:rStyle w:val="SubtleEmphasis"/>
        </w:rPr>
      </w:pPr>
      <w:r>
        <w:rPr>
          <w:rStyle w:val="SubtleEmphasis"/>
        </w:rPr>
        <w:t>RMIT University</w:t>
      </w:r>
      <w:r w:rsidR="000D4C94" w:rsidRPr="000D4C94">
        <w:rPr>
          <w:rStyle w:val="SubtleEmphasis"/>
        </w:rPr>
        <w:t xml:space="preserve"> │ ABN 49 781 030 034</w:t>
      </w:r>
      <w:r w:rsidR="00CE21D4">
        <w:tab/>
      </w:r>
      <w:r w:rsidR="00CE21D4">
        <w:tab/>
      </w:r>
      <w:r w:rsidR="00CE21D4">
        <w:tab/>
      </w:r>
      <w:r w:rsidR="00CE21D4">
        <w:tab/>
      </w:r>
      <w:r w:rsidR="00CE21D4">
        <w:tab/>
      </w:r>
      <w:r w:rsidR="00CE21D4">
        <w:rPr>
          <w:noProof/>
        </w:rPr>
        <w:drawing>
          <wp:inline distT="0" distB="0" distL="0" distR="0" wp14:anchorId="52DBA3E8" wp14:editId="674BA888">
            <wp:extent cx="1012190" cy="3962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1012190" cy="396240"/>
                    </a:xfrm>
                    <a:prstGeom prst="rect">
                      <a:avLst/>
                    </a:prstGeom>
                  </pic:spPr>
                </pic:pic>
              </a:graphicData>
            </a:graphic>
          </wp:inline>
        </w:drawing>
      </w:r>
    </w:p>
    <w:p w14:paraId="673F8241" w14:textId="77777777" w:rsidR="001105F1" w:rsidRDefault="001105F1"/>
    <w:p w14:paraId="2916D705" w14:textId="1B3B472E" w:rsidR="00721441" w:rsidRPr="00191685" w:rsidRDefault="00A52B60">
      <w:pPr>
        <w:rPr>
          <w:rStyle w:val="SubtleEmphasis"/>
        </w:rPr>
      </w:pPr>
      <w:r>
        <w:rPr>
          <w:rStyle w:val="SubtleEmphasis"/>
        </w:rPr>
        <w:t>03</w:t>
      </w:r>
      <w:r w:rsidR="00371AEC" w:rsidRPr="00191685">
        <w:rPr>
          <w:rStyle w:val="SubtleEmphasis"/>
        </w:rPr>
        <w:t>/0</w:t>
      </w:r>
      <w:r>
        <w:rPr>
          <w:rStyle w:val="SubtleEmphasis"/>
        </w:rPr>
        <w:t>9</w:t>
      </w:r>
      <w:r w:rsidR="00371AEC" w:rsidRPr="00191685">
        <w:rPr>
          <w:rStyle w:val="SubtleEmphasis"/>
        </w:rPr>
        <w:t>/2021</w:t>
      </w:r>
    </w:p>
    <w:p w14:paraId="3F8875D2" w14:textId="77777777" w:rsidR="001105F1" w:rsidRDefault="001105F1"/>
    <w:p w14:paraId="1A316326" w14:textId="0A74D7D3" w:rsidR="00380230" w:rsidRPr="007C4B73" w:rsidRDefault="00380230">
      <w:pPr>
        <w:rPr>
          <w:rStyle w:val="SubtleEmphasis"/>
        </w:rPr>
      </w:pPr>
      <w:r w:rsidRPr="007C4B73">
        <w:rPr>
          <w:rStyle w:val="SubtleEmphasis"/>
        </w:rPr>
        <w:t>Authors:</w:t>
      </w:r>
    </w:p>
    <w:p w14:paraId="57F8BD2C" w14:textId="208667A7" w:rsidR="00380230" w:rsidRDefault="00D07D8B" w:rsidP="00237486">
      <w:pPr>
        <w:pStyle w:val="ListParagraph"/>
        <w:numPr>
          <w:ilvl w:val="0"/>
          <w:numId w:val="2"/>
        </w:numPr>
      </w:pPr>
      <w:r w:rsidRPr="00E320E4">
        <w:rPr>
          <w:lang w:eastAsia="en-AU"/>
        </w:rPr>
        <w:t>Ali Moradi</w:t>
      </w:r>
      <w:r w:rsidR="00DD191E">
        <w:rPr>
          <w:lang w:eastAsia="en-AU"/>
        </w:rPr>
        <w:t xml:space="preserve"> A</w:t>
      </w:r>
      <w:r w:rsidRPr="00E320E4">
        <w:rPr>
          <w:lang w:eastAsia="en-AU"/>
        </w:rPr>
        <w:t>mani</w:t>
      </w:r>
    </w:p>
    <w:p w14:paraId="3DDD0AFA" w14:textId="3B88DC77" w:rsidR="00D07D8B" w:rsidRDefault="00D07D8B" w:rsidP="00237486">
      <w:pPr>
        <w:pStyle w:val="ListParagraph"/>
        <w:numPr>
          <w:ilvl w:val="0"/>
          <w:numId w:val="2"/>
        </w:numPr>
      </w:pPr>
      <w:r>
        <w:t xml:space="preserve">Xinghuo Yu </w:t>
      </w:r>
    </w:p>
    <w:p w14:paraId="2F16E5E2" w14:textId="1B62F1A5" w:rsidR="00D07D8B" w:rsidRDefault="00D07D8B" w:rsidP="00237486">
      <w:pPr>
        <w:pStyle w:val="ListParagraph"/>
        <w:numPr>
          <w:ilvl w:val="0"/>
          <w:numId w:val="2"/>
        </w:numPr>
      </w:pPr>
      <w:r>
        <w:t>Lasantha Meegahapola</w:t>
      </w:r>
    </w:p>
    <w:p w14:paraId="667B9F58" w14:textId="605F4ED4" w:rsidR="00D07D8B" w:rsidRDefault="00D07D8B" w:rsidP="00237486">
      <w:pPr>
        <w:pStyle w:val="ListParagraph"/>
        <w:numPr>
          <w:ilvl w:val="0"/>
          <w:numId w:val="2"/>
        </w:numPr>
      </w:pPr>
      <w:r>
        <w:t>Mahdi Jalili</w:t>
      </w:r>
    </w:p>
    <w:p w14:paraId="43600530" w14:textId="1D236E2A" w:rsidR="00D07D8B" w:rsidRDefault="00D07D8B" w:rsidP="00237486">
      <w:pPr>
        <w:pStyle w:val="ListParagraph"/>
        <w:numPr>
          <w:ilvl w:val="0"/>
          <w:numId w:val="2"/>
        </w:numPr>
      </w:pPr>
      <w:r>
        <w:t>Brendan McGrath</w:t>
      </w:r>
    </w:p>
    <w:p w14:paraId="7346122D" w14:textId="7FE348FF" w:rsidR="00D07D8B" w:rsidRDefault="00D07D8B" w:rsidP="00237486">
      <w:pPr>
        <w:pStyle w:val="ListParagraph"/>
        <w:numPr>
          <w:ilvl w:val="0"/>
          <w:numId w:val="2"/>
        </w:numPr>
      </w:pPr>
      <w:r>
        <w:t>Peter Sokolowski</w:t>
      </w:r>
    </w:p>
    <w:p w14:paraId="4D745B04" w14:textId="5DCFB35D" w:rsidR="001514B8" w:rsidRDefault="001514B8" w:rsidP="001514B8"/>
    <w:p w14:paraId="17694C98" w14:textId="77777777" w:rsidR="00C8408E" w:rsidRDefault="00C8408E" w:rsidP="001514B8"/>
    <w:p w14:paraId="101483A3" w14:textId="77777777" w:rsidR="00C8408E" w:rsidRDefault="00C8408E" w:rsidP="001514B8"/>
    <w:p w14:paraId="7EEA93CD" w14:textId="77777777" w:rsidR="00C8408E" w:rsidRDefault="00C8408E" w:rsidP="001514B8"/>
    <w:p w14:paraId="79A27ADE" w14:textId="77777777" w:rsidR="00C8408E" w:rsidRDefault="00C8408E" w:rsidP="001514B8"/>
    <w:p w14:paraId="5153B690" w14:textId="77777777" w:rsidR="00C8408E" w:rsidRDefault="00C8408E" w:rsidP="001514B8"/>
    <w:p w14:paraId="06569674" w14:textId="77777777" w:rsidR="00C8408E" w:rsidRDefault="00C8408E" w:rsidP="001514B8"/>
    <w:p w14:paraId="3E17B87E" w14:textId="77777777" w:rsidR="00C8408E" w:rsidRDefault="00C8408E" w:rsidP="001514B8"/>
    <w:p w14:paraId="353872FA" w14:textId="77777777" w:rsidR="00C8408E" w:rsidRDefault="00C8408E" w:rsidP="001514B8"/>
    <w:p w14:paraId="77C01774" w14:textId="77777777" w:rsidR="00C8408E" w:rsidRDefault="00C8408E" w:rsidP="001514B8"/>
    <w:p w14:paraId="0420DAF8" w14:textId="75FC35BB" w:rsidR="001514B8" w:rsidRPr="00C8408E" w:rsidRDefault="001514B8" w:rsidP="001514B8">
      <w:pPr>
        <w:rPr>
          <w:i/>
          <w:iCs/>
        </w:rPr>
      </w:pPr>
    </w:p>
    <w:p w14:paraId="2C2AA999" w14:textId="77777777" w:rsidR="0010737E" w:rsidRDefault="0010737E" w:rsidP="0010737E"/>
    <w:p w14:paraId="030D6CAC" w14:textId="42941A39" w:rsidR="00250879" w:rsidRDefault="00250879">
      <w:r>
        <w:br w:type="page"/>
      </w:r>
    </w:p>
    <w:p w14:paraId="0FCF18E3" w14:textId="77777777" w:rsidR="00E50F31" w:rsidRDefault="00E50F31" w:rsidP="00E50F31">
      <w:pPr>
        <w:pStyle w:val="Heading1"/>
        <w:numPr>
          <w:ilvl w:val="0"/>
          <w:numId w:val="0"/>
        </w:numPr>
      </w:pPr>
      <w:bookmarkStart w:id="0" w:name="_Toc83674458"/>
      <w:r>
        <w:lastRenderedPageBreak/>
        <w:t>Executive Summary</w:t>
      </w:r>
      <w:bookmarkEnd w:id="0"/>
    </w:p>
    <w:p w14:paraId="70BB6EFA" w14:textId="3FEFC3EF" w:rsidR="000A46C0" w:rsidRDefault="000A46C0" w:rsidP="00250879"/>
    <w:p w14:paraId="2E391384" w14:textId="5684E485" w:rsidR="00B12710" w:rsidRPr="00C024F7" w:rsidRDefault="29B3DA9D" w:rsidP="3670D97E">
      <w:pPr>
        <w:rPr>
          <w:szCs w:val="20"/>
        </w:rPr>
      </w:pPr>
      <w:r w:rsidRPr="3670D97E">
        <w:rPr>
          <w:szCs w:val="20"/>
        </w:rPr>
        <w:t xml:space="preserve">Global warming caused by greenhouse gas emissions is the greatest challenge of mankind in recent history </w:t>
      </w:r>
      <w:r w:rsidR="00B12710" w:rsidRPr="3670D97E">
        <w:rPr>
          <w:szCs w:val="20"/>
        </w:rPr>
        <w:fldChar w:fldCharType="begin"/>
      </w:r>
      <w:r w:rsidR="00B12710" w:rsidRPr="3670D97E">
        <w:rPr>
          <w:szCs w:val="20"/>
        </w:rPr>
        <w:instrText xml:space="preserve"> ADDIN EN.CITE &lt;EndNote&gt;&lt;Cite&gt;&lt;Author&gt;Nations&lt;/Author&gt;&lt;Year&gt;2019&lt;/Year&gt;&lt;RecNum&gt;273&lt;/RecNum&gt;&lt;DisplayText&gt;[1]&lt;/DisplayText&gt;&lt;record&gt;&lt;rec-number&gt;273&lt;/rec-number&gt;&lt;foreign-keys&gt;&lt;key app="EN" db-id="dsezaaaxf5z9dte9xeovfea50xe9wdtdapd9" timestamp="1627272707"&gt;273&lt;/key&gt;&lt;/foreign-keys&gt;&lt;ref-type name="Book"&gt;6&lt;/ref-type&gt;&lt;contributors&gt;&lt;authors&gt;&lt;author&gt;United Nations&lt;/author&gt;&lt;/authors&gt;&lt;/contributors&gt;&lt;titles&gt;&lt;title&gt;The Sustainable Development Goals Report&lt;/title&gt;&lt;/titles&gt;&lt;dates&gt;&lt;year&gt;2019&lt;/year&gt;&lt;/dates&gt;&lt;publisher&gt;United Nations&lt;/publisher&gt;&lt;urls&gt;&lt;related-urls&gt;&lt;url&gt;https://www.un-ilibrary.org/content/books/9789210478878&lt;/url&gt;&lt;/related-urls&gt;&lt;/urls&gt;&lt;electronic-resource-num&gt;https://doi.org/10.18356/55eb9109-en&lt;/electronic-resource-num&gt;&lt;/record&gt;&lt;/Cite&gt;&lt;/EndNote&gt;</w:instrText>
      </w:r>
      <w:r w:rsidR="00B12710" w:rsidRPr="3670D97E">
        <w:rPr>
          <w:szCs w:val="20"/>
        </w:rPr>
        <w:fldChar w:fldCharType="separate"/>
      </w:r>
      <w:r w:rsidRPr="3670D97E">
        <w:rPr>
          <w:noProof/>
          <w:szCs w:val="20"/>
        </w:rPr>
        <w:t>[1]</w:t>
      </w:r>
      <w:r w:rsidR="00B12710" w:rsidRPr="3670D97E">
        <w:rPr>
          <w:szCs w:val="20"/>
        </w:rPr>
        <w:fldChar w:fldCharType="end"/>
      </w:r>
      <w:r w:rsidRPr="3670D97E">
        <w:rPr>
          <w:szCs w:val="20"/>
        </w:rPr>
        <w:t xml:space="preserve">. The largest share of these emissions is contributed by the energy sector </w:t>
      </w:r>
      <w:r w:rsidR="00B12710" w:rsidRPr="3670D97E">
        <w:rPr>
          <w:szCs w:val="20"/>
        </w:rPr>
        <w:fldChar w:fldCharType="begin"/>
      </w:r>
      <w:r w:rsidR="00B12710" w:rsidRPr="3670D97E">
        <w:rPr>
          <w:szCs w:val="20"/>
        </w:rPr>
        <w:instrText xml:space="preserve"> ADDIN EN.CITE &lt;EndNote&gt;&lt;Cite&gt;&lt;Year&gt;2016&lt;/Year&gt;&lt;RecNum&gt;70&lt;/RecNum&gt;&lt;DisplayText&gt;[2]&lt;/DisplayText&gt;&lt;record&gt;&lt;rec-number&gt;70&lt;/rec-number&gt;&lt;foreign-keys&gt;&lt;key app="EN" db-id="dsezaaaxf5z9dte9xeovfea50xe9wdtdapd9" timestamp="1625459550"&gt;70&lt;/key&gt;&lt;/foreign-keys&gt;&lt;ref-type name="Report"&gt;27&lt;/ref-type&gt;&lt;contributors&gt;&lt;/contributors&gt;&lt;titles&gt;&lt;title&gt;Retirement of coal fired power stations&lt;/title&gt;&lt;/titles&gt;&lt;dates&gt;&lt;year&gt;2016&lt;/year&gt;&lt;/dates&gt;&lt;publisher&gt;Commonwealth of Australia &lt;/publisher&gt;&lt;urls&gt;&lt;/urls&gt;&lt;/record&gt;&lt;/Cite&gt;&lt;/EndNote&gt;</w:instrText>
      </w:r>
      <w:r w:rsidR="00B12710" w:rsidRPr="3670D97E">
        <w:rPr>
          <w:szCs w:val="20"/>
        </w:rPr>
        <w:fldChar w:fldCharType="separate"/>
      </w:r>
      <w:r w:rsidRPr="3670D97E">
        <w:rPr>
          <w:noProof/>
          <w:szCs w:val="20"/>
        </w:rPr>
        <w:t>[2]</w:t>
      </w:r>
      <w:r w:rsidR="00B12710" w:rsidRPr="3670D97E">
        <w:rPr>
          <w:szCs w:val="20"/>
        </w:rPr>
        <w:fldChar w:fldCharType="end"/>
      </w:r>
      <w:r w:rsidRPr="3670D97E">
        <w:rPr>
          <w:szCs w:val="20"/>
        </w:rPr>
        <w:t xml:space="preserve">. </w:t>
      </w:r>
      <w:r w:rsidR="2BFBB923" w:rsidRPr="3670D97E">
        <w:rPr>
          <w:szCs w:val="20"/>
        </w:rPr>
        <w:t>Therefore,</w:t>
      </w:r>
      <w:r w:rsidRPr="3670D97E">
        <w:rPr>
          <w:szCs w:val="20"/>
        </w:rPr>
        <w:t> </w:t>
      </w:r>
      <w:r w:rsidR="14D829AE" w:rsidRPr="3670D97E">
        <w:rPr>
          <w:szCs w:val="20"/>
        </w:rPr>
        <w:t xml:space="preserve">there has been a political and social movement towards </w:t>
      </w:r>
      <w:r w:rsidRPr="3670D97E">
        <w:rPr>
          <w:szCs w:val="20"/>
        </w:rPr>
        <w:t>reduc</w:t>
      </w:r>
      <w:r w:rsidR="2BFBB923" w:rsidRPr="3670D97E">
        <w:rPr>
          <w:szCs w:val="20"/>
        </w:rPr>
        <w:t>ing</w:t>
      </w:r>
      <w:r w:rsidRPr="3670D97E">
        <w:rPr>
          <w:szCs w:val="20"/>
        </w:rPr>
        <w:t xml:space="preserve"> energy-related emissions </w:t>
      </w:r>
      <w:r w:rsidR="43D5E333" w:rsidRPr="3670D97E">
        <w:rPr>
          <w:szCs w:val="20"/>
        </w:rPr>
        <w:t>using</w:t>
      </w:r>
      <w:r w:rsidRPr="3670D97E">
        <w:rPr>
          <w:szCs w:val="20"/>
        </w:rPr>
        <w:t xml:space="preserve"> renewable </w:t>
      </w:r>
      <w:r w:rsidR="43D5E333" w:rsidRPr="3670D97E">
        <w:rPr>
          <w:szCs w:val="20"/>
        </w:rPr>
        <w:t xml:space="preserve">energy </w:t>
      </w:r>
      <w:r w:rsidRPr="3670D97E">
        <w:rPr>
          <w:szCs w:val="20"/>
        </w:rPr>
        <w:t>sources and energy saving technologies. </w:t>
      </w:r>
      <w:r w:rsidR="6B3B57F4" w:rsidRPr="3670D97E">
        <w:rPr>
          <w:szCs w:val="20"/>
        </w:rPr>
        <w:t xml:space="preserve">Australia has had an extensive </w:t>
      </w:r>
      <w:r w:rsidR="351EBAF1" w:rsidRPr="3670D97E">
        <w:rPr>
          <w:szCs w:val="20"/>
        </w:rPr>
        <w:t>renewable promotion program during the recent decade. In 2020, renewable energy was responsible for 27.7 per cent of Australia's total electricity generation</w:t>
      </w:r>
      <w:r w:rsidR="00900DA4" w:rsidRPr="3670D97E">
        <w:rPr>
          <w:rStyle w:val="FootnoteReference"/>
          <w:szCs w:val="20"/>
        </w:rPr>
        <w:footnoteReference w:id="2"/>
      </w:r>
      <w:r w:rsidR="374A9A22" w:rsidRPr="3670D97E">
        <w:rPr>
          <w:szCs w:val="20"/>
        </w:rPr>
        <w:t>, where solar has the largest share</w:t>
      </w:r>
      <w:r w:rsidR="7905B01C" w:rsidRPr="3670D97E">
        <w:rPr>
          <w:szCs w:val="20"/>
        </w:rPr>
        <w:t xml:space="preserve"> thanks to Australian homes</w:t>
      </w:r>
      <w:r w:rsidR="2FCEFCF3" w:rsidRPr="3670D97E">
        <w:rPr>
          <w:szCs w:val="20"/>
        </w:rPr>
        <w:t>’</w:t>
      </w:r>
      <w:r w:rsidR="7905B01C" w:rsidRPr="3670D97E">
        <w:rPr>
          <w:szCs w:val="20"/>
        </w:rPr>
        <w:t xml:space="preserve"> rooftop panels</w:t>
      </w:r>
      <w:r w:rsidR="009548EA" w:rsidRPr="3670D97E">
        <w:rPr>
          <w:rStyle w:val="FootnoteReference"/>
          <w:szCs w:val="20"/>
        </w:rPr>
        <w:footnoteReference w:id="3"/>
      </w:r>
      <w:r w:rsidR="7905B01C" w:rsidRPr="3670D97E">
        <w:rPr>
          <w:szCs w:val="20"/>
        </w:rPr>
        <w:t>.</w:t>
      </w:r>
      <w:r w:rsidR="351EBAF1" w:rsidRPr="3670D97E">
        <w:rPr>
          <w:b/>
          <w:color w:val="202124"/>
          <w:szCs w:val="20"/>
          <w:shd w:val="clear" w:color="auto" w:fill="FFFFFF"/>
        </w:rPr>
        <w:t xml:space="preserve"> </w:t>
      </w:r>
      <w:r w:rsidR="2FCEFCF3" w:rsidRPr="3670D97E">
        <w:rPr>
          <w:szCs w:val="20"/>
        </w:rPr>
        <w:t xml:space="preserve">However, </w:t>
      </w:r>
      <w:r w:rsidR="2F38AC21" w:rsidRPr="3670D97E">
        <w:rPr>
          <w:szCs w:val="20"/>
        </w:rPr>
        <w:t xml:space="preserve">transition of the power system towards renewable generation has its own social and technical </w:t>
      </w:r>
      <w:r w:rsidR="27455D2C" w:rsidRPr="3670D97E">
        <w:rPr>
          <w:szCs w:val="20"/>
        </w:rPr>
        <w:t>challenges</w:t>
      </w:r>
      <w:r w:rsidR="71D28C4C" w:rsidRPr="3670D97E">
        <w:rPr>
          <w:szCs w:val="20"/>
        </w:rPr>
        <w:t xml:space="preserve"> which are mainly caused by their unpredictable and variable nature.</w:t>
      </w:r>
      <w:r w:rsidR="2F38AC21" w:rsidRPr="3670D97E">
        <w:rPr>
          <w:szCs w:val="20"/>
        </w:rPr>
        <w:t xml:space="preserve"> </w:t>
      </w:r>
    </w:p>
    <w:p w14:paraId="619D405F" w14:textId="0C92363F" w:rsidR="004A74AA" w:rsidRPr="00C024F7" w:rsidRDefault="5E57A3AE" w:rsidP="3670D97E">
      <w:pPr>
        <w:rPr>
          <w:szCs w:val="20"/>
        </w:rPr>
      </w:pPr>
      <w:r w:rsidRPr="3670D97E">
        <w:rPr>
          <w:szCs w:val="20"/>
        </w:rPr>
        <w:t>CSIRO</w:t>
      </w:r>
      <w:r w:rsidR="00336FC9">
        <w:rPr>
          <w:szCs w:val="20"/>
        </w:rPr>
        <w:t xml:space="preserve"> and </w:t>
      </w:r>
      <w:r w:rsidR="002A3561">
        <w:rPr>
          <w:szCs w:val="20"/>
        </w:rPr>
        <w:t>AEMO</w:t>
      </w:r>
      <w:r w:rsidR="444853EC" w:rsidRPr="3670D97E">
        <w:rPr>
          <w:szCs w:val="20"/>
        </w:rPr>
        <w:t xml:space="preserve"> </w:t>
      </w:r>
      <w:r w:rsidRPr="3670D97E">
        <w:rPr>
          <w:szCs w:val="20"/>
        </w:rPr>
        <w:t xml:space="preserve">has </w:t>
      </w:r>
      <w:r w:rsidR="444853EC" w:rsidRPr="3670D97E">
        <w:rPr>
          <w:szCs w:val="20"/>
        </w:rPr>
        <w:t xml:space="preserve">shaped all these </w:t>
      </w:r>
      <w:r w:rsidR="1308B26F" w:rsidRPr="3670D97E">
        <w:rPr>
          <w:szCs w:val="20"/>
        </w:rPr>
        <w:t>challenges</w:t>
      </w:r>
      <w:r w:rsidR="444853EC" w:rsidRPr="3670D97E">
        <w:rPr>
          <w:szCs w:val="20"/>
        </w:rPr>
        <w:t xml:space="preserve"> in</w:t>
      </w:r>
      <w:r w:rsidR="09FC59B8" w:rsidRPr="3670D97E">
        <w:rPr>
          <w:szCs w:val="20"/>
        </w:rPr>
        <w:t>to</w:t>
      </w:r>
      <w:r w:rsidR="444853EC" w:rsidRPr="3670D97E">
        <w:rPr>
          <w:szCs w:val="20"/>
        </w:rPr>
        <w:t xml:space="preserve"> 9 research topics</w:t>
      </w:r>
      <w:r w:rsidR="00F47D20">
        <w:rPr>
          <w:szCs w:val="20"/>
        </w:rPr>
        <w:t xml:space="preserve"> by a</w:t>
      </w:r>
      <w:r w:rsidR="00CF11DF">
        <w:rPr>
          <w:szCs w:val="20"/>
        </w:rPr>
        <w:t>dd</w:t>
      </w:r>
      <w:r w:rsidR="00F47D20">
        <w:rPr>
          <w:szCs w:val="20"/>
        </w:rPr>
        <w:t>ing three questions to</w:t>
      </w:r>
      <w:r w:rsidR="00632AE4">
        <w:rPr>
          <w:szCs w:val="20"/>
        </w:rPr>
        <w:t xml:space="preserve"> </w:t>
      </w:r>
      <w:r w:rsidR="00632AE4" w:rsidRPr="3670D97E">
        <w:rPr>
          <w:szCs w:val="20"/>
        </w:rPr>
        <w:t>the Global Power System Transition (G-PST) agenda</w:t>
      </w:r>
      <w:r w:rsidR="129F92BF" w:rsidRPr="3670D97E">
        <w:rPr>
          <w:szCs w:val="20"/>
        </w:rPr>
        <w:t xml:space="preserve">. </w:t>
      </w:r>
      <w:r w:rsidR="6FE9B51F" w:rsidRPr="3670D97E">
        <w:rPr>
          <w:szCs w:val="20"/>
        </w:rPr>
        <w:t xml:space="preserve">At the heart of these challenges are “services” that need to evolve with the changing characteristics of the power system and are fundamental to supporting the socio-technical objective of “reliably maintaining supply-demand balance, at all points in time, at all locations, at least cost, equitably, and with minimum impact on the environment”. </w:t>
      </w:r>
      <w:r w:rsidR="0341C2B8" w:rsidRPr="3670D97E">
        <w:rPr>
          <w:szCs w:val="20"/>
        </w:rPr>
        <w:t>The</w:t>
      </w:r>
      <w:r w:rsidR="41486F0D" w:rsidRPr="3670D97E">
        <w:rPr>
          <w:szCs w:val="20"/>
        </w:rPr>
        <w:t xml:space="preserve"> thought-start</w:t>
      </w:r>
      <w:r w:rsidR="009E3E64">
        <w:rPr>
          <w:szCs w:val="20"/>
        </w:rPr>
        <w:t>er</w:t>
      </w:r>
      <w:r w:rsidR="41486F0D" w:rsidRPr="3670D97E">
        <w:rPr>
          <w:szCs w:val="20"/>
        </w:rPr>
        <w:t xml:space="preserve"> questions</w:t>
      </w:r>
      <w:r w:rsidR="6BDDBD9D" w:rsidRPr="3670D97E">
        <w:rPr>
          <w:szCs w:val="20"/>
        </w:rPr>
        <w:t xml:space="preserve"> about </w:t>
      </w:r>
      <w:r w:rsidR="6BDDBD9D" w:rsidRPr="3670D97E">
        <w:rPr>
          <w:i/>
          <w:szCs w:val="20"/>
        </w:rPr>
        <w:t>Services</w:t>
      </w:r>
      <w:r w:rsidR="41486F0D" w:rsidRPr="3670D97E">
        <w:rPr>
          <w:szCs w:val="20"/>
        </w:rPr>
        <w:t xml:space="preserve"> </w:t>
      </w:r>
      <w:r w:rsidR="6BDDBD9D" w:rsidRPr="3670D97E">
        <w:rPr>
          <w:szCs w:val="20"/>
        </w:rPr>
        <w:t>from</w:t>
      </w:r>
      <w:r w:rsidR="31744230" w:rsidRPr="3670D97E">
        <w:rPr>
          <w:szCs w:val="20"/>
        </w:rPr>
        <w:t xml:space="preserve"> </w:t>
      </w:r>
      <w:r w:rsidR="6BDDBD9D" w:rsidRPr="3670D97E">
        <w:rPr>
          <w:szCs w:val="20"/>
        </w:rPr>
        <w:t xml:space="preserve">both </w:t>
      </w:r>
      <w:r w:rsidR="009E3E64">
        <w:rPr>
          <w:szCs w:val="20"/>
        </w:rPr>
        <w:t xml:space="preserve">a </w:t>
      </w:r>
      <w:r w:rsidR="31744230" w:rsidRPr="3670D97E">
        <w:rPr>
          <w:szCs w:val="20"/>
        </w:rPr>
        <w:t>system</w:t>
      </w:r>
      <w:r w:rsidR="6BDDBD9D" w:rsidRPr="3670D97E">
        <w:rPr>
          <w:szCs w:val="20"/>
        </w:rPr>
        <w:t xml:space="preserve"> and technology perspective </w:t>
      </w:r>
      <w:r w:rsidR="6C01525D" w:rsidRPr="3670D97E">
        <w:rPr>
          <w:szCs w:val="20"/>
        </w:rPr>
        <w:t xml:space="preserve">are shown in </w:t>
      </w:r>
      <w:r w:rsidR="6F2F1CB6" w:rsidRPr="3670D97E">
        <w:rPr>
          <w:szCs w:val="20"/>
        </w:rPr>
        <w:t>figure ex1.</w:t>
      </w:r>
    </w:p>
    <w:p w14:paraId="138B51CE" w14:textId="30750367" w:rsidR="00FF3E96" w:rsidRDefault="00E1690B" w:rsidP="00A651CA">
      <w:r>
        <w:object w:dxaOrig="15401" w:dyaOrig="6321" w14:anchorId="303BAA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he contract is to study services in future power grids, considering 10 research questions which are mainly about technical aspects of integrating different technologies, such as distributed energy resources, into the grid. " style="width:451pt;height:184.5pt" o:ole="">
            <v:imagedata r:id="rId13" o:title=""/>
          </v:shape>
          <o:OLEObject Type="Embed" ProgID="Visio.Drawing.15" ShapeID="_x0000_i1025" DrawAspect="Content" ObjectID="_1709468168" r:id="rId14"/>
        </w:object>
      </w:r>
    </w:p>
    <w:p w14:paraId="2DBADF78" w14:textId="189E2CB7" w:rsidR="00E04993" w:rsidRPr="00C024F7" w:rsidRDefault="00FF3E96" w:rsidP="009817AE">
      <w:pPr>
        <w:jc w:val="center"/>
        <w:rPr>
          <w:b/>
          <w:szCs w:val="20"/>
        </w:rPr>
      </w:pPr>
      <w:r w:rsidRPr="00C024F7">
        <w:rPr>
          <w:b/>
          <w:sz w:val="16"/>
          <w:szCs w:val="16"/>
        </w:rPr>
        <w:t xml:space="preserve">Figure ex1. </w:t>
      </w:r>
      <w:r w:rsidR="00682A50" w:rsidRPr="00C024F7">
        <w:rPr>
          <w:b/>
          <w:sz w:val="16"/>
          <w:szCs w:val="16"/>
        </w:rPr>
        <w:t>CSIRO research topics and research questions about “Services” in future power grids</w:t>
      </w:r>
    </w:p>
    <w:p w14:paraId="0C82E786" w14:textId="0EE6AB18" w:rsidR="006C2473" w:rsidRPr="00C024F7" w:rsidRDefault="003D4BE4" w:rsidP="003B0324">
      <w:pPr>
        <w:rPr>
          <w:szCs w:val="20"/>
        </w:rPr>
      </w:pPr>
      <w:r w:rsidRPr="00C024F7">
        <w:rPr>
          <w:szCs w:val="20"/>
        </w:rPr>
        <w:t xml:space="preserve">The Services for future Australian grids need separating out to match i) customer needs; ii) system preparedness for sufficient or necessary resilience, creating a bridge to detailed electricity market designs as they emerge. This includes mapping to essential system services planned by the ESB’s post-2025 market design but should not be limited by existing thinking. We believe that both </w:t>
      </w:r>
      <w:r w:rsidR="005107BC" w:rsidRPr="00C024F7">
        <w:rPr>
          <w:szCs w:val="20"/>
        </w:rPr>
        <w:t>‘</w:t>
      </w:r>
      <w:r w:rsidRPr="00C024F7">
        <w:rPr>
          <w:szCs w:val="20"/>
        </w:rPr>
        <w:t>economic</w:t>
      </w:r>
      <w:r w:rsidR="005107BC" w:rsidRPr="00C024F7">
        <w:rPr>
          <w:szCs w:val="20"/>
        </w:rPr>
        <w:t>’</w:t>
      </w:r>
      <w:r w:rsidRPr="00C024F7">
        <w:rPr>
          <w:szCs w:val="20"/>
        </w:rPr>
        <w:t xml:space="preserve"> and </w:t>
      </w:r>
      <w:r w:rsidR="005107BC" w:rsidRPr="00C024F7">
        <w:rPr>
          <w:szCs w:val="20"/>
        </w:rPr>
        <w:t>‘</w:t>
      </w:r>
      <w:r w:rsidRPr="00C024F7">
        <w:rPr>
          <w:szCs w:val="20"/>
        </w:rPr>
        <w:t>technical</w:t>
      </w:r>
      <w:r w:rsidR="005107BC" w:rsidRPr="00C024F7">
        <w:rPr>
          <w:szCs w:val="20"/>
        </w:rPr>
        <w:t>’</w:t>
      </w:r>
      <w:r w:rsidRPr="00C024F7">
        <w:rPr>
          <w:szCs w:val="20"/>
        </w:rPr>
        <w:t xml:space="preserve"> aspects impact the speed of penetration</w:t>
      </w:r>
      <w:r w:rsidR="005107BC" w:rsidRPr="00C024F7">
        <w:rPr>
          <w:szCs w:val="20"/>
        </w:rPr>
        <w:t xml:space="preserve"> of renewables </w:t>
      </w:r>
      <w:r w:rsidR="003D2E78" w:rsidRPr="00C024F7">
        <w:rPr>
          <w:szCs w:val="20"/>
        </w:rPr>
        <w:t>in the Australian grid</w:t>
      </w:r>
      <w:r w:rsidR="00404A4D" w:rsidRPr="00C024F7">
        <w:rPr>
          <w:szCs w:val="20"/>
        </w:rPr>
        <w:t>. Uncertainty about when and where the “investments” may happen in the market, a</w:t>
      </w:r>
      <w:r w:rsidR="00ED3DE4" w:rsidRPr="00C024F7">
        <w:rPr>
          <w:szCs w:val="20"/>
        </w:rPr>
        <w:t xml:space="preserve">s well as ‘reliability’ as the main requirement of the grid shows that a comprehensive </w:t>
      </w:r>
      <w:r w:rsidR="004D05E0" w:rsidRPr="00C024F7">
        <w:rPr>
          <w:szCs w:val="20"/>
        </w:rPr>
        <w:t>techno-economic framework</w:t>
      </w:r>
      <w:r w:rsidR="00DA6147">
        <w:rPr>
          <w:szCs w:val="20"/>
        </w:rPr>
        <w:t xml:space="preserve"> for services</w:t>
      </w:r>
      <w:r w:rsidR="004D05E0" w:rsidRPr="00C024F7">
        <w:rPr>
          <w:szCs w:val="20"/>
        </w:rPr>
        <w:t xml:space="preserve"> is required for Australia.</w:t>
      </w:r>
      <w:r w:rsidR="004A0A64">
        <w:rPr>
          <w:szCs w:val="20"/>
        </w:rPr>
        <w:t xml:space="preserve"> “Topic-6: services” of this project contributes in developing </w:t>
      </w:r>
      <w:r w:rsidR="00186879">
        <w:rPr>
          <w:szCs w:val="20"/>
        </w:rPr>
        <w:t>such a framework</w:t>
      </w:r>
      <w:r w:rsidR="00A543CE">
        <w:rPr>
          <w:szCs w:val="20"/>
        </w:rPr>
        <w:t xml:space="preserve"> by proposing</w:t>
      </w:r>
      <w:r w:rsidR="007760CA" w:rsidRPr="00C024F7">
        <w:rPr>
          <w:szCs w:val="20"/>
        </w:rPr>
        <w:t xml:space="preserve"> a number of </w:t>
      </w:r>
      <w:r w:rsidR="00613059" w:rsidRPr="00C024F7">
        <w:rPr>
          <w:szCs w:val="20"/>
        </w:rPr>
        <w:t>fundamental research questions about Australian strategy in improving flexibility of the grid</w:t>
      </w:r>
      <w:r w:rsidR="00077578" w:rsidRPr="00C024F7">
        <w:rPr>
          <w:szCs w:val="20"/>
        </w:rPr>
        <w:t xml:space="preserve">, which may result in introducing markets for new </w:t>
      </w:r>
      <w:r w:rsidR="00D53687" w:rsidRPr="00C024F7">
        <w:rPr>
          <w:szCs w:val="20"/>
        </w:rPr>
        <w:t>services.</w:t>
      </w:r>
    </w:p>
    <w:p w14:paraId="55B0DF21" w14:textId="4186EB2E" w:rsidR="003D4BE4" w:rsidRPr="00C024F7" w:rsidRDefault="58E19325" w:rsidP="3670D97E">
      <w:pPr>
        <w:rPr>
          <w:szCs w:val="20"/>
        </w:rPr>
      </w:pPr>
      <w:r w:rsidRPr="3670D97E">
        <w:rPr>
          <w:szCs w:val="20"/>
        </w:rPr>
        <w:t xml:space="preserve">In parallel with developing such a framework and identifying </w:t>
      </w:r>
      <w:r w:rsidR="65C40E0B" w:rsidRPr="3670D97E">
        <w:rPr>
          <w:szCs w:val="20"/>
        </w:rPr>
        <w:t xml:space="preserve">its technical and operational requirements, </w:t>
      </w:r>
      <w:r w:rsidR="686A494D" w:rsidRPr="00EE1C99">
        <w:rPr>
          <w:szCs w:val="20"/>
        </w:rPr>
        <w:t>urgent requirements</w:t>
      </w:r>
      <w:r w:rsidR="141504FD" w:rsidRPr="00EE1C99">
        <w:rPr>
          <w:szCs w:val="20"/>
        </w:rPr>
        <w:t xml:space="preserve"> </w:t>
      </w:r>
      <w:r w:rsidR="00BE3BE8" w:rsidRPr="00EE1C99">
        <w:rPr>
          <w:szCs w:val="20"/>
        </w:rPr>
        <w:t xml:space="preserve">for </w:t>
      </w:r>
      <w:r w:rsidR="00EA1C1B" w:rsidRPr="00EE1C99">
        <w:rPr>
          <w:szCs w:val="20"/>
        </w:rPr>
        <w:t xml:space="preserve">services such as </w:t>
      </w:r>
      <w:r w:rsidR="141504FD" w:rsidRPr="00EE1C99">
        <w:rPr>
          <w:szCs w:val="20"/>
        </w:rPr>
        <w:t>voltage and frequency support</w:t>
      </w:r>
      <w:r w:rsidR="686A494D" w:rsidRPr="00EE1C99">
        <w:rPr>
          <w:szCs w:val="20"/>
        </w:rPr>
        <w:t xml:space="preserve"> </w:t>
      </w:r>
      <w:r w:rsidR="141504FD" w:rsidRPr="00EE1C99">
        <w:rPr>
          <w:szCs w:val="20"/>
        </w:rPr>
        <w:t>in</w:t>
      </w:r>
      <w:r w:rsidR="686A494D" w:rsidRPr="00EE1C99">
        <w:rPr>
          <w:szCs w:val="20"/>
        </w:rPr>
        <w:t xml:space="preserve"> </w:t>
      </w:r>
      <w:r w:rsidR="141504FD" w:rsidRPr="00EE1C99">
        <w:rPr>
          <w:szCs w:val="20"/>
        </w:rPr>
        <w:t xml:space="preserve">the Australian grid have to be addressed. </w:t>
      </w:r>
      <w:r w:rsidR="5542B24E" w:rsidRPr="00EE1C99">
        <w:rPr>
          <w:szCs w:val="20"/>
        </w:rPr>
        <w:t xml:space="preserve">AEMO has recently issued a fast frequency response rule change which is </w:t>
      </w:r>
      <w:r w:rsidR="0B6CC8F7" w:rsidRPr="00EE1C99">
        <w:rPr>
          <w:szCs w:val="20"/>
        </w:rPr>
        <w:t xml:space="preserve">planned </w:t>
      </w:r>
      <w:r w:rsidR="5542B24E" w:rsidRPr="00EE1C99">
        <w:rPr>
          <w:szCs w:val="20"/>
        </w:rPr>
        <w:t>to</w:t>
      </w:r>
      <w:r w:rsidR="5542B24E" w:rsidRPr="3670D97E">
        <w:rPr>
          <w:szCs w:val="20"/>
        </w:rPr>
        <w:t xml:space="preserve"> be revised </w:t>
      </w:r>
      <w:r w:rsidR="4106FD30" w:rsidRPr="3670D97E">
        <w:rPr>
          <w:szCs w:val="20"/>
        </w:rPr>
        <w:t xml:space="preserve">in </w:t>
      </w:r>
      <w:r w:rsidR="5542B24E" w:rsidRPr="3670D97E">
        <w:rPr>
          <w:szCs w:val="20"/>
        </w:rPr>
        <w:t>late 2022</w:t>
      </w:r>
      <w:r w:rsidR="4CE820CC" w:rsidRPr="3670D97E">
        <w:rPr>
          <w:szCs w:val="20"/>
        </w:rPr>
        <w:t xml:space="preserve"> when </w:t>
      </w:r>
      <w:r w:rsidR="2E38A2B7" w:rsidRPr="3670D97E">
        <w:rPr>
          <w:szCs w:val="20"/>
        </w:rPr>
        <w:t>detailed operational requirements</w:t>
      </w:r>
      <w:r w:rsidR="44974F1F" w:rsidRPr="3670D97E">
        <w:rPr>
          <w:szCs w:val="20"/>
        </w:rPr>
        <w:t xml:space="preserve"> are required</w:t>
      </w:r>
      <w:r w:rsidR="2E38A2B7" w:rsidRPr="3670D97E">
        <w:rPr>
          <w:szCs w:val="20"/>
        </w:rPr>
        <w:t xml:space="preserve">. </w:t>
      </w:r>
      <w:r w:rsidR="77AC2551" w:rsidRPr="3670D97E">
        <w:rPr>
          <w:szCs w:val="20"/>
        </w:rPr>
        <w:t xml:space="preserve">A </w:t>
      </w:r>
      <w:r w:rsidR="48381BF9" w:rsidRPr="3670D97E">
        <w:rPr>
          <w:szCs w:val="20"/>
        </w:rPr>
        <w:t xml:space="preserve">Network </w:t>
      </w:r>
      <w:r w:rsidR="13E3E3AC" w:rsidRPr="3670D97E">
        <w:rPr>
          <w:szCs w:val="20"/>
        </w:rPr>
        <w:t>S</w:t>
      </w:r>
      <w:r w:rsidR="48381BF9" w:rsidRPr="3670D97E">
        <w:rPr>
          <w:szCs w:val="20"/>
        </w:rPr>
        <w:t xml:space="preserve">upport and </w:t>
      </w:r>
      <w:r w:rsidR="13E3E3AC" w:rsidRPr="3670D97E">
        <w:rPr>
          <w:szCs w:val="20"/>
        </w:rPr>
        <w:t xml:space="preserve">Control Ancillary Services (NSCAS) review </w:t>
      </w:r>
      <w:r w:rsidR="481589C1" w:rsidRPr="3670D97E">
        <w:rPr>
          <w:szCs w:val="20"/>
        </w:rPr>
        <w:t xml:space="preserve">will be </w:t>
      </w:r>
      <w:r w:rsidR="00A155F9">
        <w:rPr>
          <w:szCs w:val="20"/>
        </w:rPr>
        <w:t>conducted</w:t>
      </w:r>
      <w:r w:rsidR="00A155F9" w:rsidRPr="3670D97E">
        <w:rPr>
          <w:szCs w:val="20"/>
        </w:rPr>
        <w:t xml:space="preserve"> </w:t>
      </w:r>
      <w:r w:rsidR="481589C1" w:rsidRPr="3670D97E">
        <w:rPr>
          <w:szCs w:val="20"/>
        </w:rPr>
        <w:t>by AEMO by the end of 2021, which require</w:t>
      </w:r>
      <w:r w:rsidR="52B46F68" w:rsidRPr="3670D97E">
        <w:rPr>
          <w:szCs w:val="20"/>
        </w:rPr>
        <w:t>s</w:t>
      </w:r>
      <w:r w:rsidR="481589C1" w:rsidRPr="3670D97E">
        <w:rPr>
          <w:szCs w:val="20"/>
        </w:rPr>
        <w:t xml:space="preserve"> a short-term research activity </w:t>
      </w:r>
      <w:r w:rsidR="52B46F68" w:rsidRPr="3670D97E">
        <w:rPr>
          <w:szCs w:val="20"/>
        </w:rPr>
        <w:t>on voltage support services.</w:t>
      </w:r>
      <w:r w:rsidR="4897109B" w:rsidRPr="3670D97E">
        <w:rPr>
          <w:szCs w:val="20"/>
        </w:rPr>
        <w:t xml:space="preserve"> </w:t>
      </w:r>
      <w:r w:rsidR="5821899F" w:rsidRPr="3670D97E">
        <w:rPr>
          <w:szCs w:val="20"/>
        </w:rPr>
        <w:t xml:space="preserve">Considering </w:t>
      </w:r>
      <w:r w:rsidR="00A155F9">
        <w:rPr>
          <w:szCs w:val="20"/>
        </w:rPr>
        <w:t>the r</w:t>
      </w:r>
      <w:r w:rsidR="5821899F" w:rsidRPr="3670D97E">
        <w:rPr>
          <w:szCs w:val="20"/>
        </w:rPr>
        <w:t xml:space="preserve">apid penetration </w:t>
      </w:r>
      <w:r w:rsidR="5821899F" w:rsidRPr="3670D97E">
        <w:rPr>
          <w:szCs w:val="20"/>
        </w:rPr>
        <w:lastRenderedPageBreak/>
        <w:t xml:space="preserve">of renewables in the Australian </w:t>
      </w:r>
      <w:r w:rsidR="0680F806" w:rsidRPr="3670D97E">
        <w:rPr>
          <w:szCs w:val="20"/>
        </w:rPr>
        <w:t xml:space="preserve">power grid, necessity and requirements of expanding services to the distribution level is a mid-term research activity which requires the aforementioned </w:t>
      </w:r>
      <w:r w:rsidR="1CA4C375" w:rsidRPr="3670D97E">
        <w:rPr>
          <w:szCs w:val="20"/>
        </w:rPr>
        <w:t>techno-economic framework revision to be finalised first.</w:t>
      </w:r>
    </w:p>
    <w:p w14:paraId="6A5F449D" w14:textId="0AC08CD1" w:rsidR="00F90C3E" w:rsidRDefault="3A66DEC0" w:rsidP="3670D97E">
      <w:pPr>
        <w:rPr>
          <w:szCs w:val="20"/>
        </w:rPr>
      </w:pPr>
      <w:r w:rsidRPr="3670D97E">
        <w:rPr>
          <w:szCs w:val="20"/>
        </w:rPr>
        <w:t>T</w:t>
      </w:r>
      <w:r w:rsidR="26C0062D" w:rsidRPr="3670D97E">
        <w:rPr>
          <w:szCs w:val="20"/>
        </w:rPr>
        <w:t xml:space="preserve">hese social, technical and technological concerns about </w:t>
      </w:r>
      <w:r w:rsidR="4711B21F" w:rsidRPr="3670D97E">
        <w:rPr>
          <w:szCs w:val="20"/>
        </w:rPr>
        <w:t xml:space="preserve">“Services” in power grid </w:t>
      </w:r>
      <w:r w:rsidR="5F16D9B1" w:rsidRPr="3670D97E">
        <w:rPr>
          <w:szCs w:val="20"/>
        </w:rPr>
        <w:t xml:space="preserve">are categorised </w:t>
      </w:r>
      <w:r w:rsidR="4711B21F" w:rsidRPr="3670D97E">
        <w:rPr>
          <w:szCs w:val="20"/>
        </w:rPr>
        <w:t>into</w:t>
      </w:r>
      <w:r w:rsidR="2B6D6A62" w:rsidRPr="3670D97E">
        <w:rPr>
          <w:szCs w:val="20"/>
        </w:rPr>
        <w:t xml:space="preserve"> the following</w:t>
      </w:r>
      <w:r w:rsidR="4711B21F" w:rsidRPr="3670D97E">
        <w:rPr>
          <w:szCs w:val="20"/>
        </w:rPr>
        <w:t xml:space="preserve"> five</w:t>
      </w:r>
      <w:r w:rsidR="70F84FEA" w:rsidRPr="3670D97E">
        <w:rPr>
          <w:szCs w:val="20"/>
        </w:rPr>
        <w:t xml:space="preserve"> “Open Question”</w:t>
      </w:r>
      <w:r w:rsidR="4711B21F" w:rsidRPr="3670D97E">
        <w:rPr>
          <w:szCs w:val="20"/>
        </w:rPr>
        <w:t xml:space="preserve"> groups</w:t>
      </w:r>
      <w:r w:rsidR="00152FBA">
        <w:rPr>
          <w:szCs w:val="20"/>
        </w:rPr>
        <w:t xml:space="preserve"> related to financial, technical, frequency</w:t>
      </w:r>
      <w:r w:rsidR="005915AC">
        <w:rPr>
          <w:szCs w:val="20"/>
        </w:rPr>
        <w:t xml:space="preserve"> and</w:t>
      </w:r>
      <w:r w:rsidR="00152FBA">
        <w:rPr>
          <w:szCs w:val="20"/>
        </w:rPr>
        <w:t xml:space="preserve"> </w:t>
      </w:r>
      <w:r w:rsidR="008704E3">
        <w:rPr>
          <w:szCs w:val="20"/>
        </w:rPr>
        <w:t>v</w:t>
      </w:r>
      <w:r w:rsidR="00152FBA">
        <w:rPr>
          <w:szCs w:val="20"/>
        </w:rPr>
        <w:t>oltage</w:t>
      </w:r>
      <w:r w:rsidR="005915AC">
        <w:rPr>
          <w:szCs w:val="20"/>
        </w:rPr>
        <w:t xml:space="preserve"> support, and required metrics.</w:t>
      </w:r>
    </w:p>
    <w:p w14:paraId="359202BB" w14:textId="77777777" w:rsidR="004F047F" w:rsidRPr="004F047F" w:rsidRDefault="004F047F" w:rsidP="004F047F">
      <w:pPr>
        <w:pStyle w:val="ListParagraph"/>
        <w:autoSpaceDE w:val="0"/>
        <w:autoSpaceDN w:val="0"/>
        <w:adjustRightInd w:val="0"/>
        <w:ind w:left="737"/>
        <w:jc w:val="left"/>
        <w:rPr>
          <w:szCs w:val="20"/>
        </w:rPr>
      </w:pPr>
    </w:p>
    <w:p w14:paraId="6062E9AA" w14:textId="6FDD6A49" w:rsidR="006B0F17" w:rsidRPr="003B7799" w:rsidRDefault="006B0F17" w:rsidP="00237486">
      <w:pPr>
        <w:pStyle w:val="ListParagraph"/>
        <w:numPr>
          <w:ilvl w:val="0"/>
          <w:numId w:val="17"/>
        </w:numPr>
        <w:autoSpaceDE w:val="0"/>
        <w:autoSpaceDN w:val="0"/>
        <w:adjustRightInd w:val="0"/>
        <w:ind w:left="426"/>
        <w:rPr>
          <w:rFonts w:ascii="Arial" w:hAnsi="Arial" w:cs="Arial"/>
          <w:szCs w:val="20"/>
        </w:rPr>
      </w:pPr>
      <w:r w:rsidRPr="003B7799">
        <w:rPr>
          <w:rFonts w:ascii="Arial" w:hAnsi="Arial" w:cs="Arial"/>
          <w:i/>
          <w:iCs/>
          <w:szCs w:val="20"/>
        </w:rPr>
        <w:t>What services are needed to achieve the technical requirements of Australia’s future power grid to maintain the supply-demand balance while keeping the grid under control at least cost</w:t>
      </w:r>
      <w:r w:rsidRPr="003B7799">
        <w:rPr>
          <w:rFonts w:ascii="Arial" w:hAnsi="Arial" w:cs="Arial"/>
          <w:szCs w:val="20"/>
        </w:rPr>
        <w:t>?</w:t>
      </w:r>
    </w:p>
    <w:p w14:paraId="4DAB1166" w14:textId="2EF4D925" w:rsidR="006B0F17" w:rsidRPr="00EC7C4E" w:rsidRDefault="006B0F17" w:rsidP="00237486">
      <w:pPr>
        <w:pStyle w:val="ListParagraph"/>
        <w:numPr>
          <w:ilvl w:val="1"/>
          <w:numId w:val="17"/>
        </w:numPr>
        <w:autoSpaceDE w:val="0"/>
        <w:autoSpaceDN w:val="0"/>
        <w:adjustRightInd w:val="0"/>
        <w:rPr>
          <w:rFonts w:ascii="Arial" w:hAnsi="Arial" w:cs="Arial"/>
          <w:sz w:val="16"/>
          <w:szCs w:val="16"/>
        </w:rPr>
      </w:pPr>
      <w:r>
        <w:rPr>
          <w:rFonts w:ascii="Arial" w:hAnsi="Arial" w:cs="Arial"/>
          <w:color w:val="000000"/>
          <w:szCs w:val="20"/>
        </w:rPr>
        <w:t>The n</w:t>
      </w:r>
      <w:r w:rsidRPr="00EC7C4E">
        <w:rPr>
          <w:rFonts w:ascii="Arial" w:hAnsi="Arial" w:cs="Arial"/>
          <w:color w:val="000000"/>
          <w:szCs w:val="20"/>
        </w:rPr>
        <w:t xml:space="preserve">ecessity </w:t>
      </w:r>
      <w:r>
        <w:rPr>
          <w:rFonts w:ascii="Arial" w:hAnsi="Arial" w:cs="Arial"/>
          <w:color w:val="000000"/>
          <w:szCs w:val="20"/>
        </w:rPr>
        <w:t xml:space="preserve">for </w:t>
      </w:r>
      <w:r w:rsidRPr="00EC7C4E">
        <w:rPr>
          <w:rFonts w:ascii="Arial" w:hAnsi="Arial" w:cs="Arial"/>
          <w:color w:val="000000"/>
          <w:szCs w:val="20"/>
        </w:rPr>
        <w:t xml:space="preserve">and </w:t>
      </w:r>
      <w:r>
        <w:rPr>
          <w:rFonts w:ascii="Arial" w:hAnsi="Arial" w:cs="Arial"/>
          <w:color w:val="000000"/>
          <w:szCs w:val="20"/>
        </w:rPr>
        <w:t xml:space="preserve">the </w:t>
      </w:r>
      <w:r w:rsidRPr="00EC7C4E">
        <w:rPr>
          <w:rFonts w:ascii="Arial" w:hAnsi="Arial" w:cs="Arial"/>
          <w:color w:val="000000"/>
          <w:szCs w:val="20"/>
        </w:rPr>
        <w:t xml:space="preserve">requirements of expanding frequency and voltage support services </w:t>
      </w:r>
      <w:r w:rsidR="00EA28DF">
        <w:rPr>
          <w:rFonts w:ascii="Arial" w:hAnsi="Arial" w:cs="Arial"/>
          <w:color w:val="000000"/>
          <w:szCs w:val="20"/>
        </w:rPr>
        <w:t>to VRE and DER, i.e. in both generation and distribution sides,</w:t>
      </w:r>
      <w:r w:rsidRPr="00EC7C4E">
        <w:rPr>
          <w:rFonts w:ascii="Arial" w:hAnsi="Arial" w:cs="Arial"/>
          <w:color w:val="000000"/>
          <w:szCs w:val="20"/>
        </w:rPr>
        <w:t xml:space="preserve"> in Australia need further studies.</w:t>
      </w:r>
    </w:p>
    <w:p w14:paraId="36C74C73" w14:textId="75BDC5AF" w:rsidR="006B0F17" w:rsidRPr="00A95927" w:rsidRDefault="006B0F17" w:rsidP="00237486">
      <w:pPr>
        <w:pStyle w:val="ListParagraph"/>
        <w:numPr>
          <w:ilvl w:val="1"/>
          <w:numId w:val="17"/>
        </w:numPr>
        <w:autoSpaceDE w:val="0"/>
        <w:autoSpaceDN w:val="0"/>
        <w:adjustRightInd w:val="0"/>
        <w:ind w:left="737"/>
        <w:rPr>
          <w:rFonts w:ascii="Arial" w:hAnsi="Arial" w:cs="Arial"/>
          <w:color w:val="000000"/>
          <w:szCs w:val="20"/>
        </w:rPr>
      </w:pPr>
      <w:r w:rsidRPr="00A95927">
        <w:rPr>
          <w:rFonts w:ascii="Arial" w:hAnsi="Arial" w:cs="Arial"/>
          <w:color w:val="000000"/>
          <w:szCs w:val="20"/>
        </w:rPr>
        <w:t>There is an appetite to unlock flexibility, either by way of matching customer needs with</w:t>
      </w:r>
      <w:r>
        <w:rPr>
          <w:rFonts w:ascii="Arial" w:hAnsi="Arial" w:cs="Arial"/>
          <w:color w:val="000000"/>
          <w:szCs w:val="20"/>
        </w:rPr>
        <w:t xml:space="preserve"> </w:t>
      </w:r>
      <w:r w:rsidRPr="00A95927">
        <w:rPr>
          <w:rFonts w:ascii="Arial" w:hAnsi="Arial" w:cs="Arial"/>
          <w:color w:val="000000"/>
          <w:szCs w:val="20"/>
        </w:rPr>
        <w:t>VRE,</w:t>
      </w:r>
      <w:r w:rsidR="00D56E6C">
        <w:rPr>
          <w:rFonts w:ascii="Arial" w:hAnsi="Arial" w:cs="Arial"/>
          <w:color w:val="000000"/>
          <w:szCs w:val="20"/>
        </w:rPr>
        <w:t xml:space="preserve"> </w:t>
      </w:r>
      <w:r w:rsidRPr="00A95927">
        <w:rPr>
          <w:rFonts w:ascii="Arial" w:hAnsi="Arial" w:cs="Arial"/>
          <w:color w:val="000000"/>
          <w:szCs w:val="20"/>
        </w:rPr>
        <w:t xml:space="preserve">or providing a new level of system preparedness through applications such as virtual power plants (VPPs). Both approaches are </w:t>
      </w:r>
      <w:r>
        <w:rPr>
          <w:rFonts w:ascii="Arial" w:hAnsi="Arial" w:cs="Arial"/>
          <w:color w:val="000000"/>
          <w:szCs w:val="20"/>
        </w:rPr>
        <w:t xml:space="preserve">a </w:t>
      </w:r>
      <w:r w:rsidRPr="00A95927">
        <w:rPr>
          <w:rFonts w:ascii="Arial" w:hAnsi="Arial" w:cs="Arial"/>
          <w:color w:val="000000"/>
          <w:szCs w:val="20"/>
        </w:rPr>
        <w:t xml:space="preserve">matter of research to </w:t>
      </w:r>
      <w:r w:rsidR="006A67D1">
        <w:rPr>
          <w:rFonts w:ascii="Arial" w:hAnsi="Arial" w:cs="Arial"/>
          <w:color w:val="000000"/>
          <w:szCs w:val="20"/>
        </w:rPr>
        <w:t>u</w:t>
      </w:r>
      <w:r w:rsidRPr="00A95927">
        <w:rPr>
          <w:rFonts w:ascii="Arial" w:hAnsi="Arial" w:cs="Arial"/>
          <w:color w:val="000000"/>
          <w:szCs w:val="20"/>
        </w:rPr>
        <w:t>ncover their advantages and disadvantages for the vast, chain</w:t>
      </w:r>
      <w:r>
        <w:rPr>
          <w:rFonts w:ascii="Arial" w:hAnsi="Arial" w:cs="Arial"/>
          <w:color w:val="000000"/>
          <w:szCs w:val="20"/>
        </w:rPr>
        <w:t>-link</w:t>
      </w:r>
      <w:r w:rsidRPr="00A95927">
        <w:rPr>
          <w:rFonts w:ascii="Arial" w:hAnsi="Arial" w:cs="Arial"/>
          <w:color w:val="000000"/>
          <w:szCs w:val="20"/>
        </w:rPr>
        <w:t xml:space="preserve"> network of Australia.</w:t>
      </w:r>
    </w:p>
    <w:p w14:paraId="5FD28324" w14:textId="3D7F9341" w:rsidR="005915AC" w:rsidRPr="004F047F" w:rsidRDefault="006B0F17" w:rsidP="00237486">
      <w:pPr>
        <w:pStyle w:val="ListParagraph"/>
        <w:numPr>
          <w:ilvl w:val="1"/>
          <w:numId w:val="17"/>
        </w:numPr>
        <w:autoSpaceDE w:val="0"/>
        <w:autoSpaceDN w:val="0"/>
        <w:adjustRightInd w:val="0"/>
        <w:ind w:left="737"/>
        <w:rPr>
          <w:szCs w:val="20"/>
        </w:rPr>
      </w:pPr>
      <w:r>
        <w:rPr>
          <w:rFonts w:ascii="Arial" w:hAnsi="Arial" w:cs="Arial"/>
          <w:color w:val="000000"/>
          <w:szCs w:val="20"/>
        </w:rPr>
        <w:t>F</w:t>
      </w:r>
      <w:r w:rsidRPr="00A95927">
        <w:rPr>
          <w:rFonts w:ascii="Arial" w:hAnsi="Arial" w:cs="Arial"/>
          <w:color w:val="000000"/>
          <w:szCs w:val="20"/>
        </w:rPr>
        <w:t>lexibility</w:t>
      </w:r>
      <w:r>
        <w:rPr>
          <w:rFonts w:ascii="Arial" w:hAnsi="Arial" w:cs="Arial"/>
          <w:color w:val="000000"/>
          <w:szCs w:val="20"/>
        </w:rPr>
        <w:t xml:space="preserve">, an attribute </w:t>
      </w:r>
      <w:r w:rsidRPr="00A95927">
        <w:rPr>
          <w:rFonts w:ascii="Arial" w:hAnsi="Arial" w:cs="Arial"/>
          <w:color w:val="000000"/>
          <w:szCs w:val="20"/>
        </w:rPr>
        <w:t xml:space="preserve">on top of all services, </w:t>
      </w:r>
      <w:r>
        <w:rPr>
          <w:rFonts w:ascii="Arial" w:hAnsi="Arial" w:cs="Arial"/>
          <w:color w:val="000000"/>
          <w:szCs w:val="20"/>
        </w:rPr>
        <w:t>n</w:t>
      </w:r>
      <w:r w:rsidRPr="00A95927">
        <w:rPr>
          <w:rFonts w:ascii="Arial" w:hAnsi="Arial" w:cs="Arial"/>
          <w:color w:val="000000"/>
          <w:szCs w:val="20"/>
        </w:rPr>
        <w:t>eeds standalone research in the Australian grid.</w:t>
      </w:r>
    </w:p>
    <w:p w14:paraId="6240FDDA" w14:textId="77777777" w:rsidR="004F047F" w:rsidRPr="006A67D1" w:rsidRDefault="004F047F" w:rsidP="004F047F">
      <w:pPr>
        <w:pStyle w:val="ListParagraph"/>
        <w:autoSpaceDE w:val="0"/>
        <w:autoSpaceDN w:val="0"/>
        <w:adjustRightInd w:val="0"/>
        <w:ind w:left="737"/>
        <w:rPr>
          <w:szCs w:val="20"/>
        </w:rPr>
      </w:pPr>
    </w:p>
    <w:p w14:paraId="1EEABFE0" w14:textId="20510909" w:rsidR="006A67D1" w:rsidRPr="003B7799" w:rsidRDefault="006A67D1" w:rsidP="00237486">
      <w:pPr>
        <w:pStyle w:val="ListParagraph"/>
        <w:numPr>
          <w:ilvl w:val="0"/>
          <w:numId w:val="17"/>
        </w:numPr>
        <w:autoSpaceDE w:val="0"/>
        <w:autoSpaceDN w:val="0"/>
        <w:adjustRightInd w:val="0"/>
        <w:ind w:left="426"/>
        <w:rPr>
          <w:rFonts w:ascii="Arial" w:hAnsi="Arial" w:cs="Arial"/>
          <w:szCs w:val="20"/>
        </w:rPr>
      </w:pPr>
      <w:r w:rsidRPr="003B7799">
        <w:rPr>
          <w:rFonts w:ascii="Arial" w:hAnsi="Arial" w:cs="Arial"/>
          <w:i/>
          <w:iCs/>
          <w:szCs w:val="20"/>
        </w:rPr>
        <w:t>Are frequency support services suitably configured to achieve the long-term interests of electricity stakeholders including reliability, affordability, flexibility and zero emission</w:t>
      </w:r>
      <w:r w:rsidRPr="003B7799">
        <w:rPr>
          <w:rFonts w:ascii="Arial" w:hAnsi="Arial" w:cs="Arial"/>
          <w:szCs w:val="20"/>
        </w:rPr>
        <w:t>?</w:t>
      </w:r>
    </w:p>
    <w:p w14:paraId="2ECFAEE5" w14:textId="77777777" w:rsidR="006A67D1" w:rsidRPr="008064DE" w:rsidRDefault="006A67D1" w:rsidP="00237486">
      <w:pPr>
        <w:pStyle w:val="ListParagraph"/>
        <w:numPr>
          <w:ilvl w:val="1"/>
          <w:numId w:val="17"/>
        </w:numPr>
        <w:autoSpaceDE w:val="0"/>
        <w:autoSpaceDN w:val="0"/>
        <w:adjustRightInd w:val="0"/>
        <w:ind w:left="737"/>
        <w:rPr>
          <w:color w:val="000000"/>
          <w:szCs w:val="20"/>
        </w:rPr>
      </w:pPr>
      <w:r w:rsidRPr="008064DE">
        <w:rPr>
          <w:color w:val="000000"/>
          <w:szCs w:val="20"/>
        </w:rPr>
        <w:t xml:space="preserve">What type of resources and configurations are more efficient for FFR provision?  </w:t>
      </w:r>
    </w:p>
    <w:p w14:paraId="70755BB5" w14:textId="77777777" w:rsidR="006A67D1" w:rsidRPr="008064DE" w:rsidRDefault="006A67D1" w:rsidP="00237486">
      <w:pPr>
        <w:pStyle w:val="ListParagraph"/>
        <w:numPr>
          <w:ilvl w:val="0"/>
          <w:numId w:val="18"/>
        </w:numPr>
        <w:autoSpaceDE w:val="0"/>
        <w:autoSpaceDN w:val="0"/>
        <w:adjustRightInd w:val="0"/>
        <w:rPr>
          <w:color w:val="000000"/>
          <w:szCs w:val="20"/>
        </w:rPr>
      </w:pPr>
      <w:r w:rsidRPr="008064DE">
        <w:rPr>
          <w:color w:val="000000"/>
          <w:szCs w:val="20"/>
        </w:rPr>
        <w:t>Virtual inertia in existing (or future) wind farms</w:t>
      </w:r>
    </w:p>
    <w:p w14:paraId="1B59FE02" w14:textId="77777777" w:rsidR="006A67D1" w:rsidRDefault="006A67D1" w:rsidP="00237486">
      <w:pPr>
        <w:pStyle w:val="ListParagraph"/>
        <w:numPr>
          <w:ilvl w:val="0"/>
          <w:numId w:val="18"/>
        </w:numPr>
        <w:autoSpaceDE w:val="0"/>
        <w:autoSpaceDN w:val="0"/>
        <w:adjustRightInd w:val="0"/>
        <w:rPr>
          <w:color w:val="000000"/>
          <w:szCs w:val="20"/>
        </w:rPr>
      </w:pPr>
      <w:r w:rsidRPr="006A67D1">
        <w:rPr>
          <w:color w:val="000000"/>
          <w:szCs w:val="20"/>
        </w:rPr>
        <w:t>Energy Storage Systems (ESSs) in PV/wind plants (considering costs).</w:t>
      </w:r>
    </w:p>
    <w:p w14:paraId="421145FE" w14:textId="34CC4403" w:rsidR="006A67D1" w:rsidRPr="006A67D1" w:rsidRDefault="006A67D1" w:rsidP="00237486">
      <w:pPr>
        <w:pStyle w:val="ListParagraph"/>
        <w:numPr>
          <w:ilvl w:val="0"/>
          <w:numId w:val="18"/>
        </w:numPr>
        <w:autoSpaceDE w:val="0"/>
        <w:autoSpaceDN w:val="0"/>
        <w:adjustRightInd w:val="0"/>
        <w:rPr>
          <w:color w:val="000000"/>
          <w:szCs w:val="20"/>
        </w:rPr>
      </w:pPr>
      <w:r w:rsidRPr="006A67D1">
        <w:rPr>
          <w:color w:val="000000"/>
          <w:szCs w:val="20"/>
        </w:rPr>
        <w:t>Deloaded operation of wind and solar-PV plants.</w:t>
      </w:r>
    </w:p>
    <w:p w14:paraId="5BEFE6D2" w14:textId="6D28A949" w:rsidR="006A67D1" w:rsidRPr="004F047F" w:rsidRDefault="006A67D1" w:rsidP="00237486">
      <w:pPr>
        <w:pStyle w:val="ListParagraph"/>
        <w:numPr>
          <w:ilvl w:val="1"/>
          <w:numId w:val="17"/>
        </w:numPr>
        <w:autoSpaceDE w:val="0"/>
        <w:autoSpaceDN w:val="0"/>
        <w:adjustRightInd w:val="0"/>
        <w:ind w:left="737"/>
        <w:rPr>
          <w:szCs w:val="20"/>
        </w:rPr>
      </w:pPr>
      <w:r>
        <w:rPr>
          <w:color w:val="000000"/>
          <w:szCs w:val="20"/>
        </w:rPr>
        <w:t>T</w:t>
      </w:r>
      <w:r w:rsidRPr="008064DE">
        <w:rPr>
          <w:color w:val="000000"/>
          <w:szCs w:val="20"/>
        </w:rPr>
        <w:t>he operational requirements for FFR resources</w:t>
      </w:r>
      <w:r>
        <w:rPr>
          <w:color w:val="000000"/>
          <w:szCs w:val="20"/>
        </w:rPr>
        <w:t>,</w:t>
      </w:r>
      <w:r w:rsidRPr="008064DE">
        <w:rPr>
          <w:color w:val="000000"/>
          <w:szCs w:val="20"/>
        </w:rPr>
        <w:t xml:space="preserve"> such as deployment condition and time of</w:t>
      </w:r>
      <w:r w:rsidR="004F047F">
        <w:rPr>
          <w:color w:val="000000"/>
          <w:szCs w:val="20"/>
        </w:rPr>
        <w:t xml:space="preserve"> </w:t>
      </w:r>
      <w:r w:rsidRPr="008064DE">
        <w:rPr>
          <w:color w:val="000000"/>
          <w:szCs w:val="20"/>
        </w:rPr>
        <w:t xml:space="preserve">dispatch, </w:t>
      </w:r>
      <w:r>
        <w:rPr>
          <w:color w:val="000000"/>
          <w:szCs w:val="20"/>
        </w:rPr>
        <w:t xml:space="preserve">and </w:t>
      </w:r>
      <w:r w:rsidRPr="008064DE">
        <w:rPr>
          <w:color w:val="000000"/>
          <w:szCs w:val="20"/>
        </w:rPr>
        <w:t>duration after deployment</w:t>
      </w:r>
      <w:r>
        <w:rPr>
          <w:color w:val="000000"/>
          <w:szCs w:val="20"/>
        </w:rPr>
        <w:t xml:space="preserve"> </w:t>
      </w:r>
      <w:r w:rsidRPr="008064DE">
        <w:rPr>
          <w:color w:val="000000"/>
          <w:szCs w:val="20"/>
        </w:rPr>
        <w:t xml:space="preserve">should be fully </w:t>
      </w:r>
      <w:r>
        <w:rPr>
          <w:color w:val="000000"/>
          <w:szCs w:val="20"/>
        </w:rPr>
        <w:t>quantified</w:t>
      </w:r>
      <w:r w:rsidRPr="008064DE">
        <w:rPr>
          <w:color w:val="000000"/>
          <w:szCs w:val="20"/>
        </w:rPr>
        <w:t>.</w:t>
      </w:r>
    </w:p>
    <w:p w14:paraId="4BF35160" w14:textId="77777777" w:rsidR="004F047F" w:rsidRPr="006A67D1" w:rsidRDefault="004F047F" w:rsidP="004F047F">
      <w:pPr>
        <w:pStyle w:val="ListParagraph"/>
        <w:autoSpaceDE w:val="0"/>
        <w:autoSpaceDN w:val="0"/>
        <w:adjustRightInd w:val="0"/>
        <w:ind w:left="737"/>
        <w:rPr>
          <w:szCs w:val="20"/>
        </w:rPr>
      </w:pPr>
    </w:p>
    <w:p w14:paraId="36A64325" w14:textId="77777777" w:rsidR="006A67D1" w:rsidRPr="003B7799" w:rsidRDefault="006A67D1" w:rsidP="00237486">
      <w:pPr>
        <w:pStyle w:val="ListParagraph"/>
        <w:numPr>
          <w:ilvl w:val="0"/>
          <w:numId w:val="17"/>
        </w:numPr>
        <w:autoSpaceDE w:val="0"/>
        <w:autoSpaceDN w:val="0"/>
        <w:adjustRightInd w:val="0"/>
        <w:ind w:left="426"/>
        <w:rPr>
          <w:rFonts w:ascii="Arial" w:hAnsi="Arial" w:cs="Arial"/>
          <w:sz w:val="16"/>
          <w:szCs w:val="16"/>
        </w:rPr>
      </w:pPr>
      <w:r w:rsidRPr="003B7799">
        <w:rPr>
          <w:rFonts w:ascii="Arial" w:hAnsi="Arial" w:cs="Arial"/>
          <w:i/>
          <w:iCs/>
          <w:szCs w:val="20"/>
        </w:rPr>
        <w:t>Are voltage support services suitably configured to achieve the long-term interests of electricity stakeholders</w:t>
      </w:r>
      <w:r w:rsidRPr="003B7799">
        <w:rPr>
          <w:rFonts w:ascii="Arial" w:hAnsi="Arial" w:cs="Arial"/>
          <w:szCs w:val="20"/>
        </w:rPr>
        <w:t>?</w:t>
      </w:r>
    </w:p>
    <w:p w14:paraId="236AA86D" w14:textId="2A91D6B1" w:rsidR="006A67D1" w:rsidRDefault="006A67D1" w:rsidP="00237486">
      <w:pPr>
        <w:pStyle w:val="ListParagraph"/>
        <w:numPr>
          <w:ilvl w:val="1"/>
          <w:numId w:val="17"/>
        </w:numPr>
        <w:autoSpaceDE w:val="0"/>
        <w:autoSpaceDN w:val="0"/>
        <w:adjustRightInd w:val="0"/>
        <w:rPr>
          <w:rFonts w:ascii="Arial" w:hAnsi="Arial" w:cs="Arial"/>
          <w:color w:val="000000"/>
          <w:szCs w:val="20"/>
        </w:rPr>
      </w:pPr>
      <w:r w:rsidRPr="009E1123">
        <w:rPr>
          <w:rFonts w:ascii="Arial" w:hAnsi="Arial" w:cs="Arial"/>
          <w:color w:val="000000"/>
          <w:szCs w:val="20"/>
        </w:rPr>
        <w:t xml:space="preserve">How should voltage support services be differentiated across the generation, transmission and distribution sectors of the grid? This must account for the different physical factors that cause </w:t>
      </w:r>
      <w:r>
        <w:rPr>
          <w:rFonts w:ascii="Arial" w:hAnsi="Arial" w:cs="Arial"/>
          <w:color w:val="000000"/>
          <w:szCs w:val="20"/>
        </w:rPr>
        <w:t>v</w:t>
      </w:r>
      <w:r w:rsidRPr="009E1123">
        <w:rPr>
          <w:rFonts w:ascii="Arial" w:hAnsi="Arial" w:cs="Arial"/>
          <w:color w:val="000000"/>
          <w:szCs w:val="20"/>
        </w:rPr>
        <w:t xml:space="preserve">oltage fluctuations in </w:t>
      </w:r>
      <w:r>
        <w:rPr>
          <w:rFonts w:ascii="Arial" w:hAnsi="Arial" w:cs="Arial"/>
          <w:color w:val="000000"/>
          <w:szCs w:val="20"/>
        </w:rPr>
        <w:t>e</w:t>
      </w:r>
      <w:r w:rsidRPr="009E1123">
        <w:rPr>
          <w:rFonts w:ascii="Arial" w:hAnsi="Arial" w:cs="Arial"/>
          <w:color w:val="000000"/>
          <w:szCs w:val="20"/>
        </w:rPr>
        <w:t>ach sector (e.g. weather changes or transmission faults).</w:t>
      </w:r>
    </w:p>
    <w:p w14:paraId="4D06DC01" w14:textId="4CF57D07" w:rsidR="006A67D1" w:rsidRPr="00305627" w:rsidRDefault="006A67D1" w:rsidP="00237486">
      <w:pPr>
        <w:pStyle w:val="ListParagraph"/>
        <w:numPr>
          <w:ilvl w:val="1"/>
          <w:numId w:val="17"/>
        </w:numPr>
        <w:autoSpaceDE w:val="0"/>
        <w:autoSpaceDN w:val="0"/>
        <w:adjustRightInd w:val="0"/>
        <w:rPr>
          <w:szCs w:val="20"/>
        </w:rPr>
      </w:pPr>
      <w:r>
        <w:rPr>
          <w:rFonts w:ascii="Arial" w:hAnsi="Arial" w:cs="Arial"/>
          <w:color w:val="000000"/>
          <w:szCs w:val="20"/>
        </w:rPr>
        <w:t>What opportunities for voltage support services arise through the uptake of new disruptive technologies (e.g. electric vehicles and battery energy storage systems)?</w:t>
      </w:r>
    </w:p>
    <w:p w14:paraId="00CA5A2D" w14:textId="77777777" w:rsidR="00305627" w:rsidRPr="006A67D1" w:rsidRDefault="00305627" w:rsidP="00305627">
      <w:pPr>
        <w:pStyle w:val="ListParagraph"/>
        <w:autoSpaceDE w:val="0"/>
        <w:autoSpaceDN w:val="0"/>
        <w:adjustRightInd w:val="0"/>
        <w:rPr>
          <w:szCs w:val="20"/>
        </w:rPr>
      </w:pPr>
    </w:p>
    <w:p w14:paraId="6F1C8223" w14:textId="77777777" w:rsidR="006A67D1" w:rsidRPr="003B7799" w:rsidRDefault="006A67D1" w:rsidP="00237486">
      <w:pPr>
        <w:pStyle w:val="ListParagraph"/>
        <w:numPr>
          <w:ilvl w:val="0"/>
          <w:numId w:val="17"/>
        </w:numPr>
        <w:autoSpaceDE w:val="0"/>
        <w:autoSpaceDN w:val="0"/>
        <w:adjustRightInd w:val="0"/>
        <w:ind w:left="426"/>
        <w:rPr>
          <w:rFonts w:ascii="Arial" w:hAnsi="Arial" w:cs="Arial"/>
          <w:i/>
          <w:iCs/>
          <w:color w:val="000000"/>
          <w:szCs w:val="20"/>
        </w:rPr>
      </w:pPr>
      <w:r w:rsidRPr="003B7799">
        <w:rPr>
          <w:rFonts w:ascii="Arial" w:hAnsi="Arial" w:cs="Arial"/>
          <w:i/>
          <w:iCs/>
          <w:color w:val="000000"/>
          <w:szCs w:val="20"/>
        </w:rPr>
        <w:t xml:space="preserve">What </w:t>
      </w:r>
      <w:r w:rsidRPr="003B7799">
        <w:rPr>
          <w:rFonts w:ascii="Arial" w:hAnsi="Arial" w:cs="Arial"/>
          <w:i/>
          <w:iCs/>
          <w:szCs w:val="20"/>
        </w:rPr>
        <w:t>metrics</w:t>
      </w:r>
      <w:r w:rsidRPr="003B7799">
        <w:rPr>
          <w:rFonts w:ascii="Arial" w:hAnsi="Arial" w:cs="Arial"/>
          <w:i/>
          <w:iCs/>
          <w:color w:val="000000"/>
          <w:szCs w:val="20"/>
        </w:rPr>
        <w:t xml:space="preserve"> should be used to define services in inverter-based resources</w:t>
      </w:r>
      <w:r w:rsidRPr="003B7799">
        <w:rPr>
          <w:rFonts w:ascii="Arial" w:hAnsi="Arial" w:cs="Arial"/>
          <w:color w:val="4D5156"/>
          <w:sz w:val="21"/>
          <w:szCs w:val="21"/>
          <w:shd w:val="clear" w:color="auto" w:fill="FFFFFF"/>
        </w:rPr>
        <w:t xml:space="preserve"> (</w:t>
      </w:r>
      <w:r w:rsidRPr="003B7799">
        <w:rPr>
          <w:rFonts w:ascii="Arial" w:hAnsi="Arial" w:cs="Arial"/>
          <w:i/>
          <w:iCs/>
          <w:color w:val="000000"/>
          <w:szCs w:val="20"/>
        </w:rPr>
        <w:t>IBR)-dominated grids?</w:t>
      </w:r>
    </w:p>
    <w:p w14:paraId="33B96BFE" w14:textId="77777777" w:rsidR="006A67D1" w:rsidRPr="00B96152" w:rsidRDefault="006A67D1" w:rsidP="00237486">
      <w:pPr>
        <w:pStyle w:val="ListParagraph"/>
        <w:numPr>
          <w:ilvl w:val="1"/>
          <w:numId w:val="17"/>
        </w:numPr>
        <w:autoSpaceDE w:val="0"/>
        <w:autoSpaceDN w:val="0"/>
        <w:adjustRightInd w:val="0"/>
        <w:rPr>
          <w:rFonts w:ascii="Arial" w:hAnsi="Arial" w:cs="Arial"/>
          <w:color w:val="000000"/>
          <w:szCs w:val="20"/>
        </w:rPr>
      </w:pPr>
      <w:r w:rsidRPr="00B96152">
        <w:rPr>
          <w:rFonts w:ascii="Arial" w:hAnsi="Arial" w:cs="Arial"/>
          <w:color w:val="000000"/>
          <w:szCs w:val="20"/>
        </w:rPr>
        <w:t>How should current metrics be re-defined to measure the impact of new technologies and services, such as ESS and HVDC.</w:t>
      </w:r>
    </w:p>
    <w:p w14:paraId="6B70C776" w14:textId="77777777" w:rsidR="006A67D1" w:rsidRPr="00B96152" w:rsidRDefault="006A67D1" w:rsidP="00237486">
      <w:pPr>
        <w:pStyle w:val="ListParagraph"/>
        <w:numPr>
          <w:ilvl w:val="1"/>
          <w:numId w:val="17"/>
        </w:numPr>
        <w:autoSpaceDE w:val="0"/>
        <w:autoSpaceDN w:val="0"/>
        <w:adjustRightInd w:val="0"/>
        <w:rPr>
          <w:rFonts w:ascii="Arial" w:hAnsi="Arial" w:cs="Arial"/>
          <w:color w:val="000000"/>
          <w:szCs w:val="20"/>
        </w:rPr>
      </w:pPr>
      <w:r w:rsidRPr="00B96152">
        <w:rPr>
          <w:rFonts w:ascii="Arial" w:hAnsi="Arial" w:cs="Arial"/>
          <w:color w:val="000000"/>
          <w:szCs w:val="20"/>
        </w:rPr>
        <w:t xml:space="preserve">What new metrics should be introduced to assess quality of service of IBR driven distributed supply and demand on frequency and voltage control, and black-start performance.  </w:t>
      </w:r>
    </w:p>
    <w:p w14:paraId="60A0F20D" w14:textId="7FC5D7FA" w:rsidR="006A67D1" w:rsidRPr="00B96152" w:rsidRDefault="006A67D1" w:rsidP="00237486">
      <w:pPr>
        <w:pStyle w:val="ListParagraph"/>
        <w:numPr>
          <w:ilvl w:val="1"/>
          <w:numId w:val="17"/>
        </w:numPr>
        <w:autoSpaceDE w:val="0"/>
        <w:autoSpaceDN w:val="0"/>
        <w:adjustRightInd w:val="0"/>
        <w:rPr>
          <w:rFonts w:ascii="Arial" w:hAnsi="Arial" w:cs="Arial"/>
          <w:color w:val="000000"/>
          <w:szCs w:val="20"/>
        </w:rPr>
      </w:pPr>
      <w:r w:rsidRPr="00B96152">
        <w:rPr>
          <w:rFonts w:ascii="Arial" w:hAnsi="Arial" w:cs="Arial"/>
          <w:color w:val="000000"/>
          <w:szCs w:val="20"/>
        </w:rPr>
        <w:t xml:space="preserve">How flexibility measures, such as </w:t>
      </w:r>
      <w:r>
        <w:rPr>
          <w:rFonts w:ascii="Arial" w:hAnsi="Arial" w:cs="Arial"/>
          <w:color w:val="000000"/>
          <w:szCs w:val="20"/>
        </w:rPr>
        <w:t xml:space="preserve">the </w:t>
      </w:r>
      <w:r w:rsidRPr="00B96152">
        <w:rPr>
          <w:rFonts w:ascii="Arial" w:hAnsi="Arial" w:cs="Arial"/>
          <w:color w:val="000000"/>
          <w:szCs w:val="20"/>
        </w:rPr>
        <w:t xml:space="preserve">flexibility chart and Insufficient Ramping Resource </w:t>
      </w:r>
      <w:r>
        <w:rPr>
          <w:rFonts w:ascii="Arial" w:hAnsi="Arial" w:cs="Arial"/>
          <w:color w:val="000000"/>
          <w:szCs w:val="20"/>
        </w:rPr>
        <w:t>e</w:t>
      </w:r>
      <w:r w:rsidRPr="00B96152">
        <w:rPr>
          <w:rFonts w:ascii="Arial" w:hAnsi="Arial" w:cs="Arial"/>
          <w:color w:val="000000"/>
          <w:szCs w:val="20"/>
        </w:rPr>
        <w:t>xpectation, can help in dynamic monitoring of the Australian grid flexibility?</w:t>
      </w:r>
    </w:p>
    <w:p w14:paraId="2EF4D74A" w14:textId="33D8CAE7" w:rsidR="006A67D1" w:rsidRPr="00BC3EA2" w:rsidRDefault="006A67D1" w:rsidP="00237486">
      <w:pPr>
        <w:pStyle w:val="ListParagraph"/>
        <w:numPr>
          <w:ilvl w:val="1"/>
          <w:numId w:val="17"/>
        </w:numPr>
        <w:autoSpaceDE w:val="0"/>
        <w:autoSpaceDN w:val="0"/>
        <w:adjustRightInd w:val="0"/>
        <w:rPr>
          <w:szCs w:val="20"/>
        </w:rPr>
      </w:pPr>
      <w:r w:rsidRPr="00B96152">
        <w:rPr>
          <w:rFonts w:ascii="Arial" w:hAnsi="Arial" w:cs="Arial"/>
          <w:color w:val="000000"/>
          <w:szCs w:val="20"/>
        </w:rPr>
        <w:t>Is there a requirement to introduce an inertia market in Australia? If yes, requirements, including inertia assessment process</w:t>
      </w:r>
      <w:r>
        <w:rPr>
          <w:rFonts w:ascii="Arial" w:hAnsi="Arial" w:cs="Arial"/>
          <w:color w:val="000000"/>
          <w:szCs w:val="20"/>
        </w:rPr>
        <w:t>es</w:t>
      </w:r>
      <w:r w:rsidRPr="00B96152">
        <w:rPr>
          <w:rFonts w:ascii="Arial" w:hAnsi="Arial" w:cs="Arial"/>
          <w:color w:val="000000"/>
          <w:szCs w:val="20"/>
        </w:rPr>
        <w:t>, should be introduced.</w:t>
      </w:r>
    </w:p>
    <w:p w14:paraId="1EECDCC2" w14:textId="77777777" w:rsidR="00BC3EA2" w:rsidRPr="00BC3EA2" w:rsidRDefault="00BC3EA2" w:rsidP="00BC3EA2">
      <w:pPr>
        <w:pStyle w:val="ListParagraph"/>
        <w:autoSpaceDE w:val="0"/>
        <w:autoSpaceDN w:val="0"/>
        <w:adjustRightInd w:val="0"/>
        <w:rPr>
          <w:szCs w:val="20"/>
        </w:rPr>
      </w:pPr>
    </w:p>
    <w:p w14:paraId="6F910D5C" w14:textId="77777777" w:rsidR="00BC3EA2" w:rsidRPr="00BC3EA2" w:rsidRDefault="00BC3EA2" w:rsidP="00BC3EA2">
      <w:pPr>
        <w:pStyle w:val="ListParagraph"/>
        <w:numPr>
          <w:ilvl w:val="0"/>
          <w:numId w:val="17"/>
        </w:numPr>
        <w:autoSpaceDE w:val="0"/>
        <w:autoSpaceDN w:val="0"/>
        <w:adjustRightInd w:val="0"/>
        <w:ind w:left="426"/>
        <w:rPr>
          <w:rFonts w:ascii="Arial" w:hAnsi="Arial" w:cs="Arial"/>
          <w:i/>
          <w:iCs/>
          <w:szCs w:val="20"/>
        </w:rPr>
      </w:pPr>
      <w:r w:rsidRPr="00BC3EA2">
        <w:rPr>
          <w:rFonts w:ascii="Arial" w:hAnsi="Arial" w:cs="Arial"/>
          <w:i/>
          <w:iCs/>
          <w:szCs w:val="20"/>
        </w:rPr>
        <w:t>What [Essential System] services are needed to maximise the benefits of stakeholders and to achieve an at least cost transition, given the non-steady state nature of investments and emerging technologies in the power grid?</w:t>
      </w:r>
    </w:p>
    <w:p w14:paraId="2ABA865F" w14:textId="77777777" w:rsidR="00BC3EA2" w:rsidRPr="00E278CA" w:rsidRDefault="00BC3EA2" w:rsidP="00BC3EA2">
      <w:pPr>
        <w:pStyle w:val="ListParagraph"/>
        <w:numPr>
          <w:ilvl w:val="1"/>
          <w:numId w:val="17"/>
        </w:numPr>
        <w:autoSpaceDE w:val="0"/>
        <w:autoSpaceDN w:val="0"/>
        <w:adjustRightInd w:val="0"/>
        <w:ind w:left="737"/>
        <w:jc w:val="left"/>
        <w:rPr>
          <w:rFonts w:ascii="Arial" w:hAnsi="Arial" w:cs="Arial"/>
          <w:color w:val="000000"/>
          <w:szCs w:val="20"/>
        </w:rPr>
      </w:pPr>
      <w:r w:rsidRPr="00E278CA">
        <w:rPr>
          <w:rFonts w:ascii="Arial" w:hAnsi="Arial" w:cs="Arial"/>
          <w:color w:val="000000"/>
          <w:szCs w:val="20"/>
        </w:rPr>
        <w:t xml:space="preserve"> How should services be coordinated across the transmission and distribution levels?</w:t>
      </w:r>
    </w:p>
    <w:p w14:paraId="50C1BF68" w14:textId="5446D46C" w:rsidR="00BC3EA2" w:rsidRPr="004F047F" w:rsidRDefault="00BC3EA2" w:rsidP="00BC3EA2">
      <w:pPr>
        <w:pStyle w:val="ListParagraph"/>
        <w:numPr>
          <w:ilvl w:val="1"/>
          <w:numId w:val="17"/>
        </w:numPr>
        <w:autoSpaceDE w:val="0"/>
        <w:autoSpaceDN w:val="0"/>
        <w:adjustRightInd w:val="0"/>
        <w:ind w:left="737"/>
        <w:jc w:val="left"/>
        <w:rPr>
          <w:szCs w:val="20"/>
        </w:rPr>
      </w:pPr>
      <w:r w:rsidRPr="00E278CA">
        <w:rPr>
          <w:rFonts w:ascii="Arial" w:hAnsi="Arial" w:cs="Arial"/>
          <w:color w:val="000000"/>
          <w:szCs w:val="20"/>
        </w:rPr>
        <w:t xml:space="preserve">What </w:t>
      </w:r>
      <w:r>
        <w:rPr>
          <w:rFonts w:ascii="Arial" w:hAnsi="Arial" w:cs="Arial"/>
          <w:color w:val="000000"/>
          <w:szCs w:val="20"/>
        </w:rPr>
        <w:t xml:space="preserve">wholesale market framework </w:t>
      </w:r>
      <w:r w:rsidRPr="00E278CA">
        <w:rPr>
          <w:rFonts w:ascii="Arial" w:hAnsi="Arial" w:cs="Arial"/>
          <w:color w:val="000000"/>
          <w:szCs w:val="20"/>
        </w:rPr>
        <w:t xml:space="preserve">can </w:t>
      </w:r>
      <w:r w:rsidR="001B61D6">
        <w:rPr>
          <w:rFonts w:ascii="Arial" w:hAnsi="Arial" w:cs="Arial"/>
          <w:color w:val="000000"/>
          <w:szCs w:val="20"/>
        </w:rPr>
        <w:t>support</w:t>
      </w:r>
      <w:r w:rsidRPr="00E278CA">
        <w:rPr>
          <w:rFonts w:ascii="Arial" w:hAnsi="Arial" w:cs="Arial"/>
          <w:color w:val="000000"/>
          <w:szCs w:val="20"/>
        </w:rPr>
        <w:t xml:space="preserve"> a sustainable power grid transformation, promoting demand response mechanisms and encouraging peak load mitigation?</w:t>
      </w:r>
    </w:p>
    <w:p w14:paraId="49441E7E" w14:textId="77777777" w:rsidR="00BC3EA2" w:rsidRPr="00BC3EA2" w:rsidRDefault="00BC3EA2" w:rsidP="00BC3EA2">
      <w:pPr>
        <w:autoSpaceDE w:val="0"/>
        <w:autoSpaceDN w:val="0"/>
        <w:adjustRightInd w:val="0"/>
        <w:rPr>
          <w:szCs w:val="20"/>
        </w:rPr>
      </w:pPr>
    </w:p>
    <w:p w14:paraId="19A274CC" w14:textId="77777777" w:rsidR="00F13F5C" w:rsidRDefault="00F13F5C" w:rsidP="003B0324">
      <w:pPr>
        <w:rPr>
          <w:szCs w:val="20"/>
        </w:rPr>
      </w:pPr>
    </w:p>
    <w:p w14:paraId="6252D11B" w14:textId="77777777" w:rsidR="0081589F" w:rsidRDefault="2532C399" w:rsidP="3670D97E">
      <w:pPr>
        <w:rPr>
          <w:szCs w:val="20"/>
        </w:rPr>
        <w:sectPr w:rsidR="0081589F" w:rsidSect="005A16F1">
          <w:headerReference w:type="even" r:id="rId15"/>
          <w:headerReference w:type="default" r:id="rId16"/>
          <w:footerReference w:type="even" r:id="rId17"/>
          <w:footerReference w:type="default" r:id="rId18"/>
          <w:headerReference w:type="first" r:id="rId19"/>
          <w:footerReference w:type="first" r:id="rId20"/>
          <w:pgSz w:w="11906" w:h="16838" w:code="9"/>
          <w:pgMar w:top="1440" w:right="1440" w:bottom="1440" w:left="1440" w:header="720" w:footer="720" w:gutter="0"/>
          <w:pgNumType w:fmt="lowerRoman"/>
          <w:cols w:space="720"/>
          <w:titlePg/>
          <w:docGrid w:linePitch="360"/>
        </w:sectPr>
      </w:pPr>
      <w:r w:rsidRPr="3670D97E">
        <w:rPr>
          <w:szCs w:val="20"/>
        </w:rPr>
        <w:lastRenderedPageBreak/>
        <w:t>Figure ex2 summarises the relationship between these open questions</w:t>
      </w:r>
      <w:r w:rsidR="5596D1E1" w:rsidRPr="3670D97E">
        <w:rPr>
          <w:szCs w:val="20"/>
        </w:rPr>
        <w:t>, the research questions in the contract and other research topics of this project.</w:t>
      </w:r>
      <w:r w:rsidRPr="3670D97E">
        <w:rPr>
          <w:szCs w:val="20"/>
        </w:rPr>
        <w:t xml:space="preserve"> </w:t>
      </w:r>
    </w:p>
    <w:p w14:paraId="6CD78FC4" w14:textId="28BAFCEE" w:rsidR="006563C9" w:rsidRDefault="007B5B7E" w:rsidP="003E5C1C">
      <w:pPr>
        <w:jc w:val="center"/>
      </w:pPr>
      <w:r>
        <w:object w:dxaOrig="30251" w:dyaOrig="15890" w14:anchorId="7D43392A">
          <v:shape id="_x0000_i1026" type="#_x0000_t75" alt="The contract questions can be categorised into five research topics: Technical requirement for the supply-demand balance, frequency control services, voltage support services, metrics, and the least cost transition. " style="width:697.5pt;height:366.5pt" o:ole="">
            <v:imagedata r:id="rId21" o:title=""/>
          </v:shape>
          <o:OLEObject Type="Embed" ProgID="Visio.Drawing.15" ShapeID="_x0000_i1026" DrawAspect="Content" ObjectID="_1709468169" r:id="rId22"/>
        </w:object>
      </w:r>
    </w:p>
    <w:p w14:paraId="39D62DC0" w14:textId="6698EA7D" w:rsidR="0081589F" w:rsidRDefault="0085002C" w:rsidP="0057427B">
      <w:pPr>
        <w:jc w:val="center"/>
        <w:rPr>
          <w:szCs w:val="20"/>
        </w:rPr>
      </w:pPr>
      <w:r w:rsidRPr="00C024F7">
        <w:rPr>
          <w:b/>
          <w:sz w:val="16"/>
          <w:szCs w:val="16"/>
        </w:rPr>
        <w:t>Figure ex</w:t>
      </w:r>
      <w:r>
        <w:rPr>
          <w:b/>
          <w:sz w:val="16"/>
          <w:szCs w:val="16"/>
        </w:rPr>
        <w:t>2</w:t>
      </w:r>
      <w:r w:rsidRPr="00C024F7">
        <w:rPr>
          <w:b/>
          <w:sz w:val="16"/>
          <w:szCs w:val="16"/>
        </w:rPr>
        <w:t xml:space="preserve">. </w:t>
      </w:r>
      <w:r w:rsidR="0020138B">
        <w:rPr>
          <w:b/>
          <w:sz w:val="16"/>
          <w:szCs w:val="16"/>
        </w:rPr>
        <w:t xml:space="preserve">Relationship between </w:t>
      </w:r>
      <w:r w:rsidRPr="00C024F7">
        <w:rPr>
          <w:b/>
          <w:sz w:val="16"/>
          <w:szCs w:val="16"/>
        </w:rPr>
        <w:t>CSIRO research topics</w:t>
      </w:r>
      <w:r w:rsidR="0020138B">
        <w:rPr>
          <w:b/>
          <w:sz w:val="16"/>
          <w:szCs w:val="16"/>
        </w:rPr>
        <w:t xml:space="preserve">, CSIRO research questions </w:t>
      </w:r>
      <w:r w:rsidR="00F4441A">
        <w:rPr>
          <w:b/>
          <w:sz w:val="16"/>
          <w:szCs w:val="16"/>
        </w:rPr>
        <w:t>for “Topic 6 – Services” and our proposed op</w:t>
      </w:r>
      <w:r w:rsidR="00C204F2">
        <w:rPr>
          <w:b/>
          <w:sz w:val="16"/>
          <w:szCs w:val="16"/>
        </w:rPr>
        <w:t>en questions</w:t>
      </w:r>
      <w:r w:rsidRPr="00C024F7">
        <w:rPr>
          <w:b/>
          <w:sz w:val="16"/>
          <w:szCs w:val="16"/>
        </w:rPr>
        <w:t xml:space="preserve"> </w:t>
      </w:r>
    </w:p>
    <w:p w14:paraId="6F279C06" w14:textId="77777777" w:rsidR="0081589F" w:rsidRDefault="0081589F" w:rsidP="003B0324">
      <w:pPr>
        <w:rPr>
          <w:szCs w:val="20"/>
        </w:rPr>
        <w:sectPr w:rsidR="0081589F" w:rsidSect="0081589F">
          <w:footerReference w:type="first" r:id="rId23"/>
          <w:pgSz w:w="16838" w:h="11906" w:orient="landscape" w:code="9"/>
          <w:pgMar w:top="1440" w:right="1440" w:bottom="1440" w:left="1440" w:header="720" w:footer="720" w:gutter="0"/>
          <w:pgNumType w:fmt="lowerRoman"/>
          <w:cols w:space="720"/>
          <w:titlePg/>
          <w:docGrid w:linePitch="360"/>
        </w:sectPr>
      </w:pPr>
    </w:p>
    <w:p w14:paraId="6C3C863B" w14:textId="1179FAD2" w:rsidR="00E50F31" w:rsidRDefault="00E50F31" w:rsidP="003B0324"/>
    <w:sdt>
      <w:sdtPr>
        <w:rPr>
          <w:rFonts w:asciiTheme="minorHAnsi" w:eastAsiaTheme="minorHAnsi" w:hAnsiTheme="minorHAnsi" w:cstheme="minorBidi"/>
          <w:color w:val="auto"/>
          <w:sz w:val="22"/>
          <w:szCs w:val="22"/>
          <w:lang w:val="en-AU"/>
        </w:rPr>
        <w:id w:val="-226221598"/>
        <w:docPartObj>
          <w:docPartGallery w:val="Table of Contents"/>
          <w:docPartUnique/>
        </w:docPartObj>
      </w:sdtPr>
      <w:sdtEndPr>
        <w:rPr>
          <w:rFonts w:asciiTheme="minorBidi" w:hAnsiTheme="minorBidi"/>
          <w:b/>
          <w:bCs/>
          <w:noProof/>
          <w:sz w:val="20"/>
        </w:rPr>
      </w:sdtEndPr>
      <w:sdtContent>
        <w:p w14:paraId="00D1422A" w14:textId="1BF0A04F" w:rsidR="00E50F31" w:rsidRDefault="00E50F31">
          <w:pPr>
            <w:pStyle w:val="TOCHeading"/>
          </w:pPr>
          <w:r>
            <w:t>Table of Contents</w:t>
          </w:r>
        </w:p>
        <w:p w14:paraId="58F14BDF" w14:textId="6B4BD561" w:rsidR="00EE1C99" w:rsidRDefault="00E50F31">
          <w:pPr>
            <w:pStyle w:val="TOC1"/>
            <w:rPr>
              <w:rFonts w:asciiTheme="minorHAnsi" w:eastAsiaTheme="minorEastAsia" w:hAnsiTheme="minorHAnsi"/>
              <w:noProof/>
              <w:sz w:val="22"/>
              <w:lang w:eastAsia="en-AU"/>
            </w:rPr>
          </w:pPr>
          <w:r>
            <w:fldChar w:fldCharType="begin"/>
          </w:r>
          <w:r>
            <w:instrText xml:space="preserve"> TOC \o "1-3" \h \z \u </w:instrText>
          </w:r>
          <w:r>
            <w:fldChar w:fldCharType="separate"/>
          </w:r>
          <w:hyperlink w:anchor="_Toc83674458" w:history="1">
            <w:r w:rsidR="00EE1C99" w:rsidRPr="007B31BC">
              <w:rPr>
                <w:rStyle w:val="Hyperlink"/>
                <w:noProof/>
              </w:rPr>
              <w:t>Executive Summary</w:t>
            </w:r>
            <w:r w:rsidR="00EE1C99">
              <w:rPr>
                <w:noProof/>
                <w:webHidden/>
              </w:rPr>
              <w:tab/>
            </w:r>
            <w:r w:rsidR="00EE1C99">
              <w:rPr>
                <w:noProof/>
                <w:webHidden/>
              </w:rPr>
              <w:fldChar w:fldCharType="begin"/>
            </w:r>
            <w:r w:rsidR="00EE1C99">
              <w:rPr>
                <w:noProof/>
                <w:webHidden/>
              </w:rPr>
              <w:instrText xml:space="preserve"> PAGEREF _Toc83674458 \h </w:instrText>
            </w:r>
            <w:r w:rsidR="00EE1C99">
              <w:rPr>
                <w:noProof/>
                <w:webHidden/>
              </w:rPr>
            </w:r>
            <w:r w:rsidR="00EE1C99">
              <w:rPr>
                <w:noProof/>
                <w:webHidden/>
              </w:rPr>
              <w:fldChar w:fldCharType="separate"/>
            </w:r>
            <w:r w:rsidR="00EB2125">
              <w:rPr>
                <w:noProof/>
                <w:webHidden/>
              </w:rPr>
              <w:t>ii</w:t>
            </w:r>
            <w:r w:rsidR="00EE1C99">
              <w:rPr>
                <w:noProof/>
                <w:webHidden/>
              </w:rPr>
              <w:fldChar w:fldCharType="end"/>
            </w:r>
          </w:hyperlink>
        </w:p>
        <w:p w14:paraId="3BF8A0D9" w14:textId="07477BAE" w:rsidR="00EE1C99" w:rsidRDefault="007F0442">
          <w:pPr>
            <w:pStyle w:val="TOC1"/>
            <w:rPr>
              <w:rFonts w:asciiTheme="minorHAnsi" w:eastAsiaTheme="minorEastAsia" w:hAnsiTheme="minorHAnsi"/>
              <w:noProof/>
              <w:sz w:val="22"/>
              <w:lang w:eastAsia="en-AU"/>
            </w:rPr>
          </w:pPr>
          <w:hyperlink w:anchor="_Toc83674459" w:history="1">
            <w:r w:rsidR="00EE1C99" w:rsidRPr="007B31BC">
              <w:rPr>
                <w:rStyle w:val="Hyperlink"/>
                <w:noProof/>
              </w:rPr>
              <w:t>1.</w:t>
            </w:r>
            <w:r w:rsidR="00EE1C99">
              <w:rPr>
                <w:rFonts w:asciiTheme="minorHAnsi" w:eastAsiaTheme="minorEastAsia" w:hAnsiTheme="minorHAnsi"/>
                <w:noProof/>
                <w:sz w:val="22"/>
                <w:lang w:eastAsia="en-AU"/>
              </w:rPr>
              <w:tab/>
            </w:r>
            <w:r w:rsidR="00EE1C99" w:rsidRPr="007B31BC">
              <w:rPr>
                <w:rStyle w:val="Hyperlink"/>
                <w:noProof/>
              </w:rPr>
              <w:t>Introduction</w:t>
            </w:r>
            <w:r w:rsidR="00EE1C99">
              <w:rPr>
                <w:noProof/>
                <w:webHidden/>
              </w:rPr>
              <w:tab/>
            </w:r>
            <w:r w:rsidR="00EE1C99">
              <w:rPr>
                <w:noProof/>
                <w:webHidden/>
              </w:rPr>
              <w:fldChar w:fldCharType="begin"/>
            </w:r>
            <w:r w:rsidR="00EE1C99">
              <w:rPr>
                <w:noProof/>
                <w:webHidden/>
              </w:rPr>
              <w:instrText xml:space="preserve"> PAGEREF _Toc83674459 \h </w:instrText>
            </w:r>
            <w:r w:rsidR="00EE1C99">
              <w:rPr>
                <w:noProof/>
                <w:webHidden/>
              </w:rPr>
            </w:r>
            <w:r w:rsidR="00EE1C99">
              <w:rPr>
                <w:noProof/>
                <w:webHidden/>
              </w:rPr>
              <w:fldChar w:fldCharType="separate"/>
            </w:r>
            <w:r w:rsidR="00EB2125">
              <w:rPr>
                <w:noProof/>
                <w:webHidden/>
              </w:rPr>
              <w:t>1</w:t>
            </w:r>
            <w:r w:rsidR="00EE1C99">
              <w:rPr>
                <w:noProof/>
                <w:webHidden/>
              </w:rPr>
              <w:fldChar w:fldCharType="end"/>
            </w:r>
          </w:hyperlink>
        </w:p>
        <w:p w14:paraId="4C3F81D1" w14:textId="7D758840" w:rsidR="00EE1C99" w:rsidRDefault="007F0442">
          <w:pPr>
            <w:pStyle w:val="TOC2"/>
            <w:tabs>
              <w:tab w:val="left" w:pos="880"/>
              <w:tab w:val="right" w:leader="dot" w:pos="9016"/>
            </w:tabs>
            <w:rPr>
              <w:rFonts w:asciiTheme="minorHAnsi" w:eastAsiaTheme="minorEastAsia" w:hAnsiTheme="minorHAnsi"/>
              <w:noProof/>
              <w:sz w:val="22"/>
              <w:lang w:eastAsia="en-AU"/>
            </w:rPr>
          </w:pPr>
          <w:hyperlink w:anchor="_Toc83674460" w:history="1">
            <w:r w:rsidR="00EE1C99" w:rsidRPr="007B31BC">
              <w:rPr>
                <w:rStyle w:val="Hyperlink"/>
                <w:noProof/>
              </w:rPr>
              <w:t>1.1.</w:t>
            </w:r>
            <w:r w:rsidR="00EE1C99">
              <w:rPr>
                <w:rFonts w:asciiTheme="minorHAnsi" w:eastAsiaTheme="minorEastAsia" w:hAnsiTheme="minorHAnsi"/>
                <w:noProof/>
                <w:sz w:val="22"/>
                <w:lang w:eastAsia="en-AU"/>
              </w:rPr>
              <w:tab/>
            </w:r>
            <w:r w:rsidR="00EE1C99" w:rsidRPr="007B31BC">
              <w:rPr>
                <w:rStyle w:val="Hyperlink"/>
                <w:noProof/>
              </w:rPr>
              <w:t>Background</w:t>
            </w:r>
            <w:r w:rsidR="00EE1C99">
              <w:rPr>
                <w:noProof/>
                <w:webHidden/>
              </w:rPr>
              <w:tab/>
            </w:r>
            <w:r w:rsidR="00EE1C99">
              <w:rPr>
                <w:noProof/>
                <w:webHidden/>
              </w:rPr>
              <w:fldChar w:fldCharType="begin"/>
            </w:r>
            <w:r w:rsidR="00EE1C99">
              <w:rPr>
                <w:noProof/>
                <w:webHidden/>
              </w:rPr>
              <w:instrText xml:space="preserve"> PAGEREF _Toc83674460 \h </w:instrText>
            </w:r>
            <w:r w:rsidR="00EE1C99">
              <w:rPr>
                <w:noProof/>
                <w:webHidden/>
              </w:rPr>
            </w:r>
            <w:r w:rsidR="00EE1C99">
              <w:rPr>
                <w:noProof/>
                <w:webHidden/>
              </w:rPr>
              <w:fldChar w:fldCharType="separate"/>
            </w:r>
            <w:r w:rsidR="00EB2125">
              <w:rPr>
                <w:noProof/>
                <w:webHidden/>
              </w:rPr>
              <w:t>2</w:t>
            </w:r>
            <w:r w:rsidR="00EE1C99">
              <w:rPr>
                <w:noProof/>
                <w:webHidden/>
              </w:rPr>
              <w:fldChar w:fldCharType="end"/>
            </w:r>
          </w:hyperlink>
        </w:p>
        <w:p w14:paraId="3B6418BA" w14:textId="0CABE89C" w:rsidR="00EE1C99" w:rsidRDefault="007F0442">
          <w:pPr>
            <w:pStyle w:val="TOC2"/>
            <w:tabs>
              <w:tab w:val="left" w:pos="880"/>
              <w:tab w:val="right" w:leader="dot" w:pos="9016"/>
            </w:tabs>
            <w:rPr>
              <w:rFonts w:asciiTheme="minorHAnsi" w:eastAsiaTheme="minorEastAsia" w:hAnsiTheme="minorHAnsi"/>
              <w:noProof/>
              <w:sz w:val="22"/>
              <w:lang w:eastAsia="en-AU"/>
            </w:rPr>
          </w:pPr>
          <w:hyperlink w:anchor="_Toc83674461" w:history="1">
            <w:r w:rsidR="00EE1C99" w:rsidRPr="007B31BC">
              <w:rPr>
                <w:rStyle w:val="Hyperlink"/>
                <w:noProof/>
              </w:rPr>
              <w:t>1.2.</w:t>
            </w:r>
            <w:r w:rsidR="00EE1C99">
              <w:rPr>
                <w:rFonts w:asciiTheme="minorHAnsi" w:eastAsiaTheme="minorEastAsia" w:hAnsiTheme="minorHAnsi"/>
                <w:noProof/>
                <w:sz w:val="22"/>
                <w:lang w:eastAsia="en-AU"/>
              </w:rPr>
              <w:tab/>
            </w:r>
            <w:r w:rsidR="00EE1C99" w:rsidRPr="007B31BC">
              <w:rPr>
                <w:rStyle w:val="Hyperlink"/>
                <w:noProof/>
              </w:rPr>
              <w:t>Energy Transition Goals</w:t>
            </w:r>
            <w:r w:rsidR="00EE1C99">
              <w:rPr>
                <w:noProof/>
                <w:webHidden/>
              </w:rPr>
              <w:tab/>
            </w:r>
            <w:r w:rsidR="00EE1C99">
              <w:rPr>
                <w:noProof/>
                <w:webHidden/>
              </w:rPr>
              <w:fldChar w:fldCharType="begin"/>
            </w:r>
            <w:r w:rsidR="00EE1C99">
              <w:rPr>
                <w:noProof/>
                <w:webHidden/>
              </w:rPr>
              <w:instrText xml:space="preserve"> PAGEREF _Toc83674461 \h </w:instrText>
            </w:r>
            <w:r w:rsidR="00EE1C99">
              <w:rPr>
                <w:noProof/>
                <w:webHidden/>
              </w:rPr>
            </w:r>
            <w:r w:rsidR="00EE1C99">
              <w:rPr>
                <w:noProof/>
                <w:webHidden/>
              </w:rPr>
              <w:fldChar w:fldCharType="separate"/>
            </w:r>
            <w:r w:rsidR="00EB2125">
              <w:rPr>
                <w:noProof/>
                <w:webHidden/>
              </w:rPr>
              <w:t>3</w:t>
            </w:r>
            <w:r w:rsidR="00EE1C99">
              <w:rPr>
                <w:noProof/>
                <w:webHidden/>
              </w:rPr>
              <w:fldChar w:fldCharType="end"/>
            </w:r>
          </w:hyperlink>
        </w:p>
        <w:p w14:paraId="0A155D55" w14:textId="49DC7327" w:rsidR="00EE1C99" w:rsidRDefault="007F0442">
          <w:pPr>
            <w:pStyle w:val="TOC1"/>
            <w:rPr>
              <w:rFonts w:asciiTheme="minorHAnsi" w:eastAsiaTheme="minorEastAsia" w:hAnsiTheme="minorHAnsi"/>
              <w:noProof/>
              <w:sz w:val="22"/>
              <w:lang w:eastAsia="en-AU"/>
            </w:rPr>
          </w:pPr>
          <w:hyperlink w:anchor="_Toc83674462" w:history="1">
            <w:r w:rsidR="00EE1C99" w:rsidRPr="007B31BC">
              <w:rPr>
                <w:rStyle w:val="Hyperlink"/>
                <w:noProof/>
              </w:rPr>
              <w:t>2.</w:t>
            </w:r>
            <w:r w:rsidR="00EE1C99">
              <w:rPr>
                <w:rFonts w:asciiTheme="minorHAnsi" w:eastAsiaTheme="minorEastAsia" w:hAnsiTheme="minorHAnsi"/>
                <w:noProof/>
                <w:sz w:val="22"/>
                <w:lang w:eastAsia="en-AU"/>
              </w:rPr>
              <w:tab/>
            </w:r>
            <w:r w:rsidR="00EE1C99" w:rsidRPr="007B31BC">
              <w:rPr>
                <w:rStyle w:val="Hyperlink"/>
                <w:noProof/>
              </w:rPr>
              <w:t>Methodology</w:t>
            </w:r>
            <w:r w:rsidR="00EE1C99">
              <w:rPr>
                <w:noProof/>
                <w:webHidden/>
              </w:rPr>
              <w:tab/>
            </w:r>
            <w:r w:rsidR="00EE1C99">
              <w:rPr>
                <w:noProof/>
                <w:webHidden/>
              </w:rPr>
              <w:fldChar w:fldCharType="begin"/>
            </w:r>
            <w:r w:rsidR="00EE1C99">
              <w:rPr>
                <w:noProof/>
                <w:webHidden/>
              </w:rPr>
              <w:instrText xml:space="preserve"> PAGEREF _Toc83674462 \h </w:instrText>
            </w:r>
            <w:r w:rsidR="00EE1C99">
              <w:rPr>
                <w:noProof/>
                <w:webHidden/>
              </w:rPr>
            </w:r>
            <w:r w:rsidR="00EE1C99">
              <w:rPr>
                <w:noProof/>
                <w:webHidden/>
              </w:rPr>
              <w:fldChar w:fldCharType="separate"/>
            </w:r>
            <w:r w:rsidR="00EB2125">
              <w:rPr>
                <w:noProof/>
                <w:webHidden/>
              </w:rPr>
              <w:t>4</w:t>
            </w:r>
            <w:r w:rsidR="00EE1C99">
              <w:rPr>
                <w:noProof/>
                <w:webHidden/>
              </w:rPr>
              <w:fldChar w:fldCharType="end"/>
            </w:r>
          </w:hyperlink>
        </w:p>
        <w:p w14:paraId="70AA3D79" w14:textId="45EA54C0" w:rsidR="00EE1C99" w:rsidRDefault="007F0442">
          <w:pPr>
            <w:pStyle w:val="TOC1"/>
            <w:rPr>
              <w:rFonts w:asciiTheme="minorHAnsi" w:eastAsiaTheme="minorEastAsia" w:hAnsiTheme="minorHAnsi"/>
              <w:noProof/>
              <w:sz w:val="22"/>
              <w:lang w:eastAsia="en-AU"/>
            </w:rPr>
          </w:pPr>
          <w:hyperlink w:anchor="_Toc83674463" w:history="1">
            <w:r w:rsidR="00EE1C99" w:rsidRPr="007B31BC">
              <w:rPr>
                <w:rStyle w:val="Hyperlink"/>
                <w:noProof/>
              </w:rPr>
              <w:t>3.</w:t>
            </w:r>
            <w:r w:rsidR="00EE1C99">
              <w:rPr>
                <w:rFonts w:asciiTheme="minorHAnsi" w:eastAsiaTheme="minorEastAsia" w:hAnsiTheme="minorHAnsi"/>
                <w:noProof/>
                <w:sz w:val="22"/>
                <w:lang w:eastAsia="en-AU"/>
              </w:rPr>
              <w:tab/>
            </w:r>
            <w:r w:rsidR="00EE1C99" w:rsidRPr="007B31BC">
              <w:rPr>
                <w:rStyle w:val="Hyperlink"/>
                <w:noProof/>
              </w:rPr>
              <w:t>Plan Development and Preliminary Recommendations</w:t>
            </w:r>
            <w:r w:rsidR="00EE1C99">
              <w:rPr>
                <w:noProof/>
                <w:webHidden/>
              </w:rPr>
              <w:tab/>
            </w:r>
            <w:r w:rsidR="00EE1C99">
              <w:rPr>
                <w:noProof/>
                <w:webHidden/>
              </w:rPr>
              <w:fldChar w:fldCharType="begin"/>
            </w:r>
            <w:r w:rsidR="00EE1C99">
              <w:rPr>
                <w:noProof/>
                <w:webHidden/>
              </w:rPr>
              <w:instrText xml:space="preserve"> PAGEREF _Toc83674463 \h </w:instrText>
            </w:r>
            <w:r w:rsidR="00EE1C99">
              <w:rPr>
                <w:noProof/>
                <w:webHidden/>
              </w:rPr>
            </w:r>
            <w:r w:rsidR="00EE1C99">
              <w:rPr>
                <w:noProof/>
                <w:webHidden/>
              </w:rPr>
              <w:fldChar w:fldCharType="separate"/>
            </w:r>
            <w:r w:rsidR="00EB2125">
              <w:rPr>
                <w:noProof/>
                <w:webHidden/>
              </w:rPr>
              <w:t>4</w:t>
            </w:r>
            <w:r w:rsidR="00EE1C99">
              <w:rPr>
                <w:noProof/>
                <w:webHidden/>
              </w:rPr>
              <w:fldChar w:fldCharType="end"/>
            </w:r>
          </w:hyperlink>
        </w:p>
        <w:p w14:paraId="4E05429E" w14:textId="352768B2" w:rsidR="00EE1C99" w:rsidRDefault="007F0442">
          <w:pPr>
            <w:pStyle w:val="TOC2"/>
            <w:tabs>
              <w:tab w:val="left" w:pos="880"/>
              <w:tab w:val="right" w:leader="dot" w:pos="9016"/>
            </w:tabs>
            <w:rPr>
              <w:rFonts w:asciiTheme="minorHAnsi" w:eastAsiaTheme="minorEastAsia" w:hAnsiTheme="minorHAnsi"/>
              <w:noProof/>
              <w:sz w:val="22"/>
              <w:lang w:eastAsia="en-AU"/>
            </w:rPr>
          </w:pPr>
          <w:hyperlink w:anchor="_Toc83674464" w:history="1">
            <w:r w:rsidR="00EE1C99" w:rsidRPr="007B31BC">
              <w:rPr>
                <w:rStyle w:val="Hyperlink"/>
                <w:noProof/>
              </w:rPr>
              <w:t>3.1.</w:t>
            </w:r>
            <w:r w:rsidR="00EE1C99">
              <w:rPr>
                <w:rFonts w:asciiTheme="minorHAnsi" w:eastAsiaTheme="minorEastAsia" w:hAnsiTheme="minorHAnsi"/>
                <w:noProof/>
                <w:sz w:val="22"/>
                <w:lang w:eastAsia="en-AU"/>
              </w:rPr>
              <w:tab/>
            </w:r>
            <w:r w:rsidR="00EE1C99" w:rsidRPr="007B31BC">
              <w:rPr>
                <w:rStyle w:val="Hyperlink"/>
                <w:noProof/>
              </w:rPr>
              <w:t>A general technical view</w:t>
            </w:r>
            <w:r w:rsidR="00EE1C99">
              <w:rPr>
                <w:noProof/>
                <w:webHidden/>
              </w:rPr>
              <w:tab/>
            </w:r>
            <w:r w:rsidR="00EE1C99">
              <w:rPr>
                <w:noProof/>
                <w:webHidden/>
              </w:rPr>
              <w:fldChar w:fldCharType="begin"/>
            </w:r>
            <w:r w:rsidR="00EE1C99">
              <w:rPr>
                <w:noProof/>
                <w:webHidden/>
              </w:rPr>
              <w:instrText xml:space="preserve"> PAGEREF _Toc83674464 \h </w:instrText>
            </w:r>
            <w:r w:rsidR="00EE1C99">
              <w:rPr>
                <w:noProof/>
                <w:webHidden/>
              </w:rPr>
            </w:r>
            <w:r w:rsidR="00EE1C99">
              <w:rPr>
                <w:noProof/>
                <w:webHidden/>
              </w:rPr>
              <w:fldChar w:fldCharType="separate"/>
            </w:r>
            <w:r w:rsidR="00EB2125">
              <w:rPr>
                <w:noProof/>
                <w:webHidden/>
              </w:rPr>
              <w:t>4</w:t>
            </w:r>
            <w:r w:rsidR="00EE1C99">
              <w:rPr>
                <w:noProof/>
                <w:webHidden/>
              </w:rPr>
              <w:fldChar w:fldCharType="end"/>
            </w:r>
          </w:hyperlink>
        </w:p>
        <w:p w14:paraId="3AD98463" w14:textId="416364AF" w:rsidR="00EE1C99" w:rsidRDefault="007F0442">
          <w:pPr>
            <w:pStyle w:val="TOC2"/>
            <w:tabs>
              <w:tab w:val="left" w:pos="880"/>
              <w:tab w:val="right" w:leader="dot" w:pos="9016"/>
            </w:tabs>
            <w:rPr>
              <w:rFonts w:asciiTheme="minorHAnsi" w:eastAsiaTheme="minorEastAsia" w:hAnsiTheme="minorHAnsi"/>
              <w:noProof/>
              <w:sz w:val="22"/>
              <w:lang w:eastAsia="en-AU"/>
            </w:rPr>
          </w:pPr>
          <w:hyperlink w:anchor="_Toc83674465" w:history="1">
            <w:r w:rsidR="00EE1C99" w:rsidRPr="007B31BC">
              <w:rPr>
                <w:rStyle w:val="Hyperlink"/>
                <w:noProof/>
              </w:rPr>
              <w:t>3.2.</w:t>
            </w:r>
            <w:r w:rsidR="00EE1C99">
              <w:rPr>
                <w:rFonts w:asciiTheme="minorHAnsi" w:eastAsiaTheme="minorEastAsia" w:hAnsiTheme="minorHAnsi"/>
                <w:noProof/>
                <w:sz w:val="22"/>
                <w:lang w:eastAsia="en-AU"/>
              </w:rPr>
              <w:tab/>
            </w:r>
            <w:r w:rsidR="00EE1C99" w:rsidRPr="007B31BC">
              <w:rPr>
                <w:rStyle w:val="Hyperlink"/>
                <w:noProof/>
              </w:rPr>
              <w:t>Flexibility of the power gird</w:t>
            </w:r>
            <w:r w:rsidR="00EE1C99">
              <w:rPr>
                <w:noProof/>
                <w:webHidden/>
              </w:rPr>
              <w:tab/>
            </w:r>
            <w:r w:rsidR="00EE1C99">
              <w:rPr>
                <w:noProof/>
                <w:webHidden/>
              </w:rPr>
              <w:fldChar w:fldCharType="begin"/>
            </w:r>
            <w:r w:rsidR="00EE1C99">
              <w:rPr>
                <w:noProof/>
                <w:webHidden/>
              </w:rPr>
              <w:instrText xml:space="preserve"> PAGEREF _Toc83674465 \h </w:instrText>
            </w:r>
            <w:r w:rsidR="00EE1C99">
              <w:rPr>
                <w:noProof/>
                <w:webHidden/>
              </w:rPr>
            </w:r>
            <w:r w:rsidR="00EE1C99">
              <w:rPr>
                <w:noProof/>
                <w:webHidden/>
              </w:rPr>
              <w:fldChar w:fldCharType="separate"/>
            </w:r>
            <w:r w:rsidR="00EB2125">
              <w:rPr>
                <w:noProof/>
                <w:webHidden/>
              </w:rPr>
              <w:t>6</w:t>
            </w:r>
            <w:r w:rsidR="00EE1C99">
              <w:rPr>
                <w:noProof/>
                <w:webHidden/>
              </w:rPr>
              <w:fldChar w:fldCharType="end"/>
            </w:r>
          </w:hyperlink>
        </w:p>
        <w:p w14:paraId="45B88D66" w14:textId="1796CF59" w:rsidR="00EE1C99" w:rsidRDefault="007F0442">
          <w:pPr>
            <w:pStyle w:val="TOC3"/>
            <w:tabs>
              <w:tab w:val="left" w:pos="1320"/>
              <w:tab w:val="right" w:leader="dot" w:pos="9016"/>
            </w:tabs>
            <w:rPr>
              <w:rFonts w:asciiTheme="minorHAnsi" w:eastAsiaTheme="minorEastAsia" w:hAnsiTheme="minorHAnsi"/>
              <w:noProof/>
              <w:sz w:val="22"/>
              <w:lang w:eastAsia="en-AU"/>
            </w:rPr>
          </w:pPr>
          <w:hyperlink w:anchor="_Toc83674466" w:history="1">
            <w:r w:rsidR="00EE1C99" w:rsidRPr="007B31BC">
              <w:rPr>
                <w:rStyle w:val="Hyperlink"/>
                <w:noProof/>
              </w:rPr>
              <w:t>3.2.1.</w:t>
            </w:r>
            <w:r w:rsidR="00EE1C99">
              <w:rPr>
                <w:rFonts w:asciiTheme="minorHAnsi" w:eastAsiaTheme="minorEastAsia" w:hAnsiTheme="minorHAnsi"/>
                <w:noProof/>
                <w:sz w:val="22"/>
                <w:lang w:eastAsia="en-AU"/>
              </w:rPr>
              <w:tab/>
            </w:r>
            <w:r w:rsidR="00EE1C99" w:rsidRPr="007B31BC">
              <w:rPr>
                <w:rStyle w:val="Hyperlink"/>
                <w:noProof/>
              </w:rPr>
              <w:t>Flexibility measurements</w:t>
            </w:r>
            <w:r w:rsidR="00EE1C99">
              <w:rPr>
                <w:noProof/>
                <w:webHidden/>
              </w:rPr>
              <w:tab/>
            </w:r>
            <w:r w:rsidR="00EE1C99">
              <w:rPr>
                <w:noProof/>
                <w:webHidden/>
              </w:rPr>
              <w:fldChar w:fldCharType="begin"/>
            </w:r>
            <w:r w:rsidR="00EE1C99">
              <w:rPr>
                <w:noProof/>
                <w:webHidden/>
              </w:rPr>
              <w:instrText xml:space="preserve"> PAGEREF _Toc83674466 \h </w:instrText>
            </w:r>
            <w:r w:rsidR="00EE1C99">
              <w:rPr>
                <w:noProof/>
                <w:webHidden/>
              </w:rPr>
            </w:r>
            <w:r w:rsidR="00EE1C99">
              <w:rPr>
                <w:noProof/>
                <w:webHidden/>
              </w:rPr>
              <w:fldChar w:fldCharType="separate"/>
            </w:r>
            <w:r w:rsidR="00EB2125">
              <w:rPr>
                <w:noProof/>
                <w:webHidden/>
              </w:rPr>
              <w:t>8</w:t>
            </w:r>
            <w:r w:rsidR="00EE1C99">
              <w:rPr>
                <w:noProof/>
                <w:webHidden/>
              </w:rPr>
              <w:fldChar w:fldCharType="end"/>
            </w:r>
          </w:hyperlink>
        </w:p>
        <w:p w14:paraId="54156E2D" w14:textId="2096E754" w:rsidR="00EE1C99" w:rsidRDefault="007F0442">
          <w:pPr>
            <w:pStyle w:val="TOC2"/>
            <w:tabs>
              <w:tab w:val="left" w:pos="880"/>
              <w:tab w:val="right" w:leader="dot" w:pos="9016"/>
            </w:tabs>
            <w:rPr>
              <w:rFonts w:asciiTheme="minorHAnsi" w:eastAsiaTheme="minorEastAsia" w:hAnsiTheme="minorHAnsi"/>
              <w:noProof/>
              <w:sz w:val="22"/>
              <w:lang w:eastAsia="en-AU"/>
            </w:rPr>
          </w:pPr>
          <w:hyperlink w:anchor="_Toc83674467" w:history="1">
            <w:r w:rsidR="00EE1C99" w:rsidRPr="007B31BC">
              <w:rPr>
                <w:rStyle w:val="Hyperlink"/>
                <w:noProof/>
              </w:rPr>
              <w:t>3.3.</w:t>
            </w:r>
            <w:r w:rsidR="00EE1C99">
              <w:rPr>
                <w:rFonts w:asciiTheme="minorHAnsi" w:eastAsiaTheme="minorEastAsia" w:hAnsiTheme="minorHAnsi"/>
                <w:noProof/>
                <w:sz w:val="22"/>
                <w:lang w:eastAsia="en-AU"/>
              </w:rPr>
              <w:tab/>
            </w:r>
            <w:r w:rsidR="00EE1C99" w:rsidRPr="007B31BC">
              <w:rPr>
                <w:rStyle w:val="Hyperlink"/>
                <w:noProof/>
              </w:rPr>
              <w:t>Frequency support services</w:t>
            </w:r>
            <w:r w:rsidR="00EE1C99">
              <w:rPr>
                <w:noProof/>
                <w:webHidden/>
              </w:rPr>
              <w:tab/>
            </w:r>
            <w:r w:rsidR="00EE1C99">
              <w:rPr>
                <w:noProof/>
                <w:webHidden/>
              </w:rPr>
              <w:fldChar w:fldCharType="begin"/>
            </w:r>
            <w:r w:rsidR="00EE1C99">
              <w:rPr>
                <w:noProof/>
                <w:webHidden/>
              </w:rPr>
              <w:instrText xml:space="preserve"> PAGEREF _Toc83674467 \h </w:instrText>
            </w:r>
            <w:r w:rsidR="00EE1C99">
              <w:rPr>
                <w:noProof/>
                <w:webHidden/>
              </w:rPr>
            </w:r>
            <w:r w:rsidR="00EE1C99">
              <w:rPr>
                <w:noProof/>
                <w:webHidden/>
              </w:rPr>
              <w:fldChar w:fldCharType="separate"/>
            </w:r>
            <w:r w:rsidR="00EB2125">
              <w:rPr>
                <w:noProof/>
                <w:webHidden/>
              </w:rPr>
              <w:t>11</w:t>
            </w:r>
            <w:r w:rsidR="00EE1C99">
              <w:rPr>
                <w:noProof/>
                <w:webHidden/>
              </w:rPr>
              <w:fldChar w:fldCharType="end"/>
            </w:r>
          </w:hyperlink>
        </w:p>
        <w:p w14:paraId="5530924F" w14:textId="0CDCDED6" w:rsidR="00EE1C99" w:rsidRDefault="007F0442">
          <w:pPr>
            <w:pStyle w:val="TOC2"/>
            <w:tabs>
              <w:tab w:val="left" w:pos="880"/>
              <w:tab w:val="right" w:leader="dot" w:pos="9016"/>
            </w:tabs>
            <w:rPr>
              <w:rFonts w:asciiTheme="minorHAnsi" w:eastAsiaTheme="minorEastAsia" w:hAnsiTheme="minorHAnsi"/>
              <w:noProof/>
              <w:sz w:val="22"/>
              <w:lang w:eastAsia="en-AU"/>
            </w:rPr>
          </w:pPr>
          <w:hyperlink w:anchor="_Toc83674468" w:history="1">
            <w:r w:rsidR="00EE1C99" w:rsidRPr="007B31BC">
              <w:rPr>
                <w:rStyle w:val="Hyperlink"/>
                <w:noProof/>
              </w:rPr>
              <w:t>3.4.</w:t>
            </w:r>
            <w:r w:rsidR="00EE1C99">
              <w:rPr>
                <w:rFonts w:asciiTheme="minorHAnsi" w:eastAsiaTheme="minorEastAsia" w:hAnsiTheme="minorHAnsi"/>
                <w:noProof/>
                <w:sz w:val="22"/>
                <w:lang w:eastAsia="en-AU"/>
              </w:rPr>
              <w:tab/>
            </w:r>
            <w:r w:rsidR="00EE1C99" w:rsidRPr="007B31BC">
              <w:rPr>
                <w:rStyle w:val="Hyperlink"/>
                <w:noProof/>
              </w:rPr>
              <w:t>Voltage support services</w:t>
            </w:r>
            <w:r w:rsidR="00EE1C99">
              <w:rPr>
                <w:noProof/>
                <w:webHidden/>
              </w:rPr>
              <w:tab/>
            </w:r>
            <w:r w:rsidR="00EE1C99">
              <w:rPr>
                <w:noProof/>
                <w:webHidden/>
              </w:rPr>
              <w:fldChar w:fldCharType="begin"/>
            </w:r>
            <w:r w:rsidR="00EE1C99">
              <w:rPr>
                <w:noProof/>
                <w:webHidden/>
              </w:rPr>
              <w:instrText xml:space="preserve"> PAGEREF _Toc83674468 \h </w:instrText>
            </w:r>
            <w:r w:rsidR="00EE1C99">
              <w:rPr>
                <w:noProof/>
                <w:webHidden/>
              </w:rPr>
            </w:r>
            <w:r w:rsidR="00EE1C99">
              <w:rPr>
                <w:noProof/>
                <w:webHidden/>
              </w:rPr>
              <w:fldChar w:fldCharType="separate"/>
            </w:r>
            <w:r w:rsidR="00EB2125">
              <w:rPr>
                <w:noProof/>
                <w:webHidden/>
              </w:rPr>
              <w:t>14</w:t>
            </w:r>
            <w:r w:rsidR="00EE1C99">
              <w:rPr>
                <w:noProof/>
                <w:webHidden/>
              </w:rPr>
              <w:fldChar w:fldCharType="end"/>
            </w:r>
          </w:hyperlink>
        </w:p>
        <w:p w14:paraId="4369B1FF" w14:textId="6B5CEFB6" w:rsidR="00EE1C99" w:rsidRDefault="007F0442">
          <w:pPr>
            <w:pStyle w:val="TOC2"/>
            <w:tabs>
              <w:tab w:val="left" w:pos="880"/>
              <w:tab w:val="right" w:leader="dot" w:pos="9016"/>
            </w:tabs>
            <w:rPr>
              <w:rFonts w:asciiTheme="minorHAnsi" w:eastAsiaTheme="minorEastAsia" w:hAnsiTheme="minorHAnsi"/>
              <w:noProof/>
              <w:sz w:val="22"/>
              <w:lang w:eastAsia="en-AU"/>
            </w:rPr>
          </w:pPr>
          <w:hyperlink w:anchor="_Toc83674469" w:history="1">
            <w:r w:rsidR="00EE1C99" w:rsidRPr="007B31BC">
              <w:rPr>
                <w:rStyle w:val="Hyperlink"/>
                <w:noProof/>
              </w:rPr>
              <w:t>3.5.</w:t>
            </w:r>
            <w:r w:rsidR="00EE1C99">
              <w:rPr>
                <w:rFonts w:asciiTheme="minorHAnsi" w:eastAsiaTheme="minorEastAsia" w:hAnsiTheme="minorHAnsi"/>
                <w:noProof/>
                <w:sz w:val="22"/>
                <w:lang w:eastAsia="en-AU"/>
              </w:rPr>
              <w:tab/>
            </w:r>
            <w:r w:rsidR="00EE1C99" w:rsidRPr="007B31BC">
              <w:rPr>
                <w:rStyle w:val="Hyperlink"/>
                <w:noProof/>
              </w:rPr>
              <w:t>Measures</w:t>
            </w:r>
            <w:r w:rsidR="00EE1C99">
              <w:rPr>
                <w:noProof/>
                <w:webHidden/>
              </w:rPr>
              <w:tab/>
            </w:r>
            <w:r w:rsidR="00EE1C99">
              <w:rPr>
                <w:noProof/>
                <w:webHidden/>
              </w:rPr>
              <w:fldChar w:fldCharType="begin"/>
            </w:r>
            <w:r w:rsidR="00EE1C99">
              <w:rPr>
                <w:noProof/>
                <w:webHidden/>
              </w:rPr>
              <w:instrText xml:space="preserve"> PAGEREF _Toc83674469 \h </w:instrText>
            </w:r>
            <w:r w:rsidR="00EE1C99">
              <w:rPr>
                <w:noProof/>
                <w:webHidden/>
              </w:rPr>
            </w:r>
            <w:r w:rsidR="00EE1C99">
              <w:rPr>
                <w:noProof/>
                <w:webHidden/>
              </w:rPr>
              <w:fldChar w:fldCharType="separate"/>
            </w:r>
            <w:r w:rsidR="00EB2125">
              <w:rPr>
                <w:noProof/>
                <w:webHidden/>
              </w:rPr>
              <w:t>15</w:t>
            </w:r>
            <w:r w:rsidR="00EE1C99">
              <w:rPr>
                <w:noProof/>
                <w:webHidden/>
              </w:rPr>
              <w:fldChar w:fldCharType="end"/>
            </w:r>
          </w:hyperlink>
        </w:p>
        <w:p w14:paraId="48DE608C" w14:textId="2A24EC29" w:rsidR="00EE1C99" w:rsidRDefault="007F0442">
          <w:pPr>
            <w:pStyle w:val="TOC2"/>
            <w:tabs>
              <w:tab w:val="left" w:pos="880"/>
              <w:tab w:val="right" w:leader="dot" w:pos="9016"/>
            </w:tabs>
            <w:rPr>
              <w:rFonts w:asciiTheme="minorHAnsi" w:eastAsiaTheme="minorEastAsia" w:hAnsiTheme="minorHAnsi"/>
              <w:noProof/>
              <w:sz w:val="22"/>
              <w:lang w:eastAsia="en-AU"/>
            </w:rPr>
          </w:pPr>
          <w:hyperlink w:anchor="_Toc83674470" w:history="1">
            <w:r w:rsidR="00EE1C99" w:rsidRPr="007B31BC">
              <w:rPr>
                <w:rStyle w:val="Hyperlink"/>
                <w:noProof/>
              </w:rPr>
              <w:t>3.6.</w:t>
            </w:r>
            <w:r w:rsidR="00EE1C99">
              <w:rPr>
                <w:rFonts w:asciiTheme="minorHAnsi" w:eastAsiaTheme="minorEastAsia" w:hAnsiTheme="minorHAnsi"/>
                <w:noProof/>
                <w:sz w:val="22"/>
                <w:lang w:eastAsia="en-AU"/>
              </w:rPr>
              <w:tab/>
            </w:r>
            <w:r w:rsidR="00EE1C99" w:rsidRPr="007B31BC">
              <w:rPr>
                <w:rStyle w:val="Hyperlink"/>
                <w:noProof/>
              </w:rPr>
              <w:t>Financial domain</w:t>
            </w:r>
            <w:r w:rsidR="00EE1C99">
              <w:rPr>
                <w:noProof/>
                <w:webHidden/>
              </w:rPr>
              <w:tab/>
            </w:r>
            <w:r w:rsidR="00EE1C99">
              <w:rPr>
                <w:noProof/>
                <w:webHidden/>
              </w:rPr>
              <w:fldChar w:fldCharType="begin"/>
            </w:r>
            <w:r w:rsidR="00EE1C99">
              <w:rPr>
                <w:noProof/>
                <w:webHidden/>
              </w:rPr>
              <w:instrText xml:space="preserve"> PAGEREF _Toc83674470 \h </w:instrText>
            </w:r>
            <w:r w:rsidR="00EE1C99">
              <w:rPr>
                <w:noProof/>
                <w:webHidden/>
              </w:rPr>
            </w:r>
            <w:r w:rsidR="00EE1C99">
              <w:rPr>
                <w:noProof/>
                <w:webHidden/>
              </w:rPr>
              <w:fldChar w:fldCharType="separate"/>
            </w:r>
            <w:r w:rsidR="00EB2125">
              <w:rPr>
                <w:noProof/>
                <w:webHidden/>
              </w:rPr>
              <w:t>16</w:t>
            </w:r>
            <w:r w:rsidR="00EE1C99">
              <w:rPr>
                <w:noProof/>
                <w:webHidden/>
              </w:rPr>
              <w:fldChar w:fldCharType="end"/>
            </w:r>
          </w:hyperlink>
        </w:p>
        <w:p w14:paraId="162ABDB1" w14:textId="2B92E2CC" w:rsidR="00EE1C99" w:rsidRDefault="007F0442">
          <w:pPr>
            <w:pStyle w:val="TOC2"/>
            <w:tabs>
              <w:tab w:val="left" w:pos="880"/>
              <w:tab w:val="right" w:leader="dot" w:pos="9016"/>
            </w:tabs>
            <w:rPr>
              <w:rFonts w:asciiTheme="minorHAnsi" w:eastAsiaTheme="minorEastAsia" w:hAnsiTheme="minorHAnsi"/>
              <w:noProof/>
              <w:sz w:val="22"/>
              <w:lang w:eastAsia="en-AU"/>
            </w:rPr>
          </w:pPr>
          <w:hyperlink w:anchor="_Toc83674471" w:history="1">
            <w:r w:rsidR="00EE1C99" w:rsidRPr="007B31BC">
              <w:rPr>
                <w:rStyle w:val="Hyperlink"/>
                <w:noProof/>
              </w:rPr>
              <w:t>3.7.</w:t>
            </w:r>
            <w:r w:rsidR="00EE1C99">
              <w:rPr>
                <w:rFonts w:asciiTheme="minorHAnsi" w:eastAsiaTheme="minorEastAsia" w:hAnsiTheme="minorHAnsi"/>
                <w:noProof/>
                <w:sz w:val="22"/>
                <w:lang w:eastAsia="en-AU"/>
              </w:rPr>
              <w:tab/>
            </w:r>
            <w:r w:rsidR="00EE1C99" w:rsidRPr="007B31BC">
              <w:rPr>
                <w:rStyle w:val="Hyperlink"/>
                <w:noProof/>
              </w:rPr>
              <w:t>Industry Activities</w:t>
            </w:r>
            <w:r w:rsidR="00EE1C99">
              <w:rPr>
                <w:noProof/>
                <w:webHidden/>
              </w:rPr>
              <w:tab/>
            </w:r>
            <w:r w:rsidR="00EE1C99">
              <w:rPr>
                <w:noProof/>
                <w:webHidden/>
              </w:rPr>
              <w:fldChar w:fldCharType="begin"/>
            </w:r>
            <w:r w:rsidR="00EE1C99">
              <w:rPr>
                <w:noProof/>
                <w:webHidden/>
              </w:rPr>
              <w:instrText xml:space="preserve"> PAGEREF _Toc83674471 \h </w:instrText>
            </w:r>
            <w:r w:rsidR="00EE1C99">
              <w:rPr>
                <w:noProof/>
                <w:webHidden/>
              </w:rPr>
            </w:r>
            <w:r w:rsidR="00EE1C99">
              <w:rPr>
                <w:noProof/>
                <w:webHidden/>
              </w:rPr>
              <w:fldChar w:fldCharType="separate"/>
            </w:r>
            <w:r w:rsidR="00EB2125">
              <w:rPr>
                <w:noProof/>
                <w:webHidden/>
              </w:rPr>
              <w:t>17</w:t>
            </w:r>
            <w:r w:rsidR="00EE1C99">
              <w:rPr>
                <w:noProof/>
                <w:webHidden/>
              </w:rPr>
              <w:fldChar w:fldCharType="end"/>
            </w:r>
          </w:hyperlink>
        </w:p>
        <w:p w14:paraId="00BBF92F" w14:textId="2C74A196" w:rsidR="00EE1C99" w:rsidRDefault="007F0442">
          <w:pPr>
            <w:pStyle w:val="TOC2"/>
            <w:tabs>
              <w:tab w:val="left" w:pos="880"/>
              <w:tab w:val="right" w:leader="dot" w:pos="9016"/>
            </w:tabs>
            <w:rPr>
              <w:rFonts w:asciiTheme="minorHAnsi" w:eastAsiaTheme="minorEastAsia" w:hAnsiTheme="minorHAnsi"/>
              <w:noProof/>
              <w:sz w:val="22"/>
              <w:lang w:eastAsia="en-AU"/>
            </w:rPr>
          </w:pPr>
          <w:hyperlink w:anchor="_Toc83674472" w:history="1">
            <w:r w:rsidR="00EE1C99" w:rsidRPr="007B31BC">
              <w:rPr>
                <w:rStyle w:val="Hyperlink"/>
                <w:noProof/>
              </w:rPr>
              <w:t>3.8.</w:t>
            </w:r>
            <w:r w:rsidR="00EE1C99">
              <w:rPr>
                <w:rFonts w:asciiTheme="minorHAnsi" w:eastAsiaTheme="minorEastAsia" w:hAnsiTheme="minorHAnsi"/>
                <w:noProof/>
                <w:sz w:val="22"/>
                <w:lang w:eastAsia="en-AU"/>
              </w:rPr>
              <w:tab/>
            </w:r>
            <w:r w:rsidR="00EE1C99" w:rsidRPr="007B31BC">
              <w:rPr>
                <w:rStyle w:val="Hyperlink"/>
                <w:noProof/>
              </w:rPr>
              <w:t>Key Research Questions</w:t>
            </w:r>
            <w:r w:rsidR="00EE1C99">
              <w:rPr>
                <w:noProof/>
                <w:webHidden/>
              </w:rPr>
              <w:tab/>
            </w:r>
            <w:r w:rsidR="00EE1C99">
              <w:rPr>
                <w:noProof/>
                <w:webHidden/>
              </w:rPr>
              <w:fldChar w:fldCharType="begin"/>
            </w:r>
            <w:r w:rsidR="00EE1C99">
              <w:rPr>
                <w:noProof/>
                <w:webHidden/>
              </w:rPr>
              <w:instrText xml:space="preserve"> PAGEREF _Toc83674472 \h </w:instrText>
            </w:r>
            <w:r w:rsidR="00EE1C99">
              <w:rPr>
                <w:noProof/>
                <w:webHidden/>
              </w:rPr>
            </w:r>
            <w:r w:rsidR="00EE1C99">
              <w:rPr>
                <w:noProof/>
                <w:webHidden/>
              </w:rPr>
              <w:fldChar w:fldCharType="separate"/>
            </w:r>
            <w:r w:rsidR="00EB2125">
              <w:rPr>
                <w:noProof/>
                <w:webHidden/>
              </w:rPr>
              <w:t>18</w:t>
            </w:r>
            <w:r w:rsidR="00EE1C99">
              <w:rPr>
                <w:noProof/>
                <w:webHidden/>
              </w:rPr>
              <w:fldChar w:fldCharType="end"/>
            </w:r>
          </w:hyperlink>
        </w:p>
        <w:p w14:paraId="4653374C" w14:textId="552A2ED2" w:rsidR="00EE1C99" w:rsidRDefault="007F0442">
          <w:pPr>
            <w:pStyle w:val="TOC1"/>
            <w:rPr>
              <w:rFonts w:asciiTheme="minorHAnsi" w:eastAsiaTheme="minorEastAsia" w:hAnsiTheme="minorHAnsi"/>
              <w:noProof/>
              <w:sz w:val="22"/>
              <w:lang w:eastAsia="en-AU"/>
            </w:rPr>
          </w:pPr>
          <w:hyperlink w:anchor="_Toc83674473" w:history="1">
            <w:r w:rsidR="00EE1C99" w:rsidRPr="007B31BC">
              <w:rPr>
                <w:rStyle w:val="Hyperlink"/>
                <w:noProof/>
              </w:rPr>
              <w:t>4.</w:t>
            </w:r>
            <w:r w:rsidR="00EE1C99">
              <w:rPr>
                <w:rFonts w:asciiTheme="minorHAnsi" w:eastAsiaTheme="minorEastAsia" w:hAnsiTheme="minorHAnsi"/>
                <w:noProof/>
                <w:sz w:val="22"/>
                <w:lang w:eastAsia="en-AU"/>
              </w:rPr>
              <w:tab/>
            </w:r>
            <w:r w:rsidR="00EE1C99" w:rsidRPr="007B31BC">
              <w:rPr>
                <w:rStyle w:val="Hyperlink"/>
                <w:noProof/>
              </w:rPr>
              <w:t>The Research Plan</w:t>
            </w:r>
            <w:r w:rsidR="00EE1C99">
              <w:rPr>
                <w:noProof/>
                <w:webHidden/>
              </w:rPr>
              <w:tab/>
            </w:r>
            <w:r w:rsidR="00EE1C99">
              <w:rPr>
                <w:noProof/>
                <w:webHidden/>
              </w:rPr>
              <w:fldChar w:fldCharType="begin"/>
            </w:r>
            <w:r w:rsidR="00EE1C99">
              <w:rPr>
                <w:noProof/>
                <w:webHidden/>
              </w:rPr>
              <w:instrText xml:space="preserve"> PAGEREF _Toc83674473 \h </w:instrText>
            </w:r>
            <w:r w:rsidR="00EE1C99">
              <w:rPr>
                <w:noProof/>
                <w:webHidden/>
              </w:rPr>
            </w:r>
            <w:r w:rsidR="00EE1C99">
              <w:rPr>
                <w:noProof/>
                <w:webHidden/>
              </w:rPr>
              <w:fldChar w:fldCharType="separate"/>
            </w:r>
            <w:r w:rsidR="00EB2125">
              <w:rPr>
                <w:noProof/>
                <w:webHidden/>
              </w:rPr>
              <w:t>20</w:t>
            </w:r>
            <w:r w:rsidR="00EE1C99">
              <w:rPr>
                <w:noProof/>
                <w:webHidden/>
              </w:rPr>
              <w:fldChar w:fldCharType="end"/>
            </w:r>
          </w:hyperlink>
        </w:p>
        <w:p w14:paraId="017D336F" w14:textId="62630C0C" w:rsidR="00EE1C99" w:rsidRDefault="007F0442">
          <w:pPr>
            <w:pStyle w:val="TOC2"/>
            <w:tabs>
              <w:tab w:val="left" w:pos="880"/>
              <w:tab w:val="right" w:leader="dot" w:pos="9016"/>
            </w:tabs>
            <w:rPr>
              <w:rFonts w:asciiTheme="minorHAnsi" w:eastAsiaTheme="minorEastAsia" w:hAnsiTheme="minorHAnsi"/>
              <w:noProof/>
              <w:sz w:val="22"/>
              <w:lang w:eastAsia="en-AU"/>
            </w:rPr>
          </w:pPr>
          <w:hyperlink w:anchor="_Toc83674474" w:history="1">
            <w:r w:rsidR="00EE1C99" w:rsidRPr="007B31BC">
              <w:rPr>
                <w:rStyle w:val="Hyperlink"/>
                <w:noProof/>
              </w:rPr>
              <w:t>4.1.</w:t>
            </w:r>
            <w:r w:rsidR="00EE1C99">
              <w:rPr>
                <w:rFonts w:asciiTheme="minorHAnsi" w:eastAsiaTheme="minorEastAsia" w:hAnsiTheme="minorHAnsi"/>
                <w:noProof/>
                <w:sz w:val="22"/>
                <w:lang w:eastAsia="en-AU"/>
              </w:rPr>
              <w:tab/>
            </w:r>
            <w:r w:rsidR="00EE1C99" w:rsidRPr="007B31BC">
              <w:rPr>
                <w:rStyle w:val="Hyperlink"/>
                <w:noProof/>
              </w:rPr>
              <w:t>Short-term plan (&lt; 2 years)</w:t>
            </w:r>
            <w:r w:rsidR="00EE1C99">
              <w:rPr>
                <w:noProof/>
                <w:webHidden/>
              </w:rPr>
              <w:tab/>
            </w:r>
            <w:r w:rsidR="00EE1C99">
              <w:rPr>
                <w:noProof/>
                <w:webHidden/>
              </w:rPr>
              <w:fldChar w:fldCharType="begin"/>
            </w:r>
            <w:r w:rsidR="00EE1C99">
              <w:rPr>
                <w:noProof/>
                <w:webHidden/>
              </w:rPr>
              <w:instrText xml:space="preserve"> PAGEREF _Toc83674474 \h </w:instrText>
            </w:r>
            <w:r w:rsidR="00EE1C99">
              <w:rPr>
                <w:noProof/>
                <w:webHidden/>
              </w:rPr>
            </w:r>
            <w:r w:rsidR="00EE1C99">
              <w:rPr>
                <w:noProof/>
                <w:webHidden/>
              </w:rPr>
              <w:fldChar w:fldCharType="separate"/>
            </w:r>
            <w:r w:rsidR="00EB2125">
              <w:rPr>
                <w:noProof/>
                <w:webHidden/>
              </w:rPr>
              <w:t>20</w:t>
            </w:r>
            <w:r w:rsidR="00EE1C99">
              <w:rPr>
                <w:noProof/>
                <w:webHidden/>
              </w:rPr>
              <w:fldChar w:fldCharType="end"/>
            </w:r>
          </w:hyperlink>
        </w:p>
        <w:p w14:paraId="3B2AD994" w14:textId="71743BA2" w:rsidR="00EE1C99" w:rsidRDefault="007F0442">
          <w:pPr>
            <w:pStyle w:val="TOC2"/>
            <w:tabs>
              <w:tab w:val="left" w:pos="880"/>
              <w:tab w:val="right" w:leader="dot" w:pos="9016"/>
            </w:tabs>
            <w:rPr>
              <w:rFonts w:asciiTheme="minorHAnsi" w:eastAsiaTheme="minorEastAsia" w:hAnsiTheme="minorHAnsi"/>
              <w:noProof/>
              <w:sz w:val="22"/>
              <w:lang w:eastAsia="en-AU"/>
            </w:rPr>
          </w:pPr>
          <w:hyperlink w:anchor="_Toc83674475" w:history="1">
            <w:r w:rsidR="00EE1C99" w:rsidRPr="007B31BC">
              <w:rPr>
                <w:rStyle w:val="Hyperlink"/>
                <w:noProof/>
              </w:rPr>
              <w:t>4.2.</w:t>
            </w:r>
            <w:r w:rsidR="00EE1C99">
              <w:rPr>
                <w:rFonts w:asciiTheme="minorHAnsi" w:eastAsiaTheme="minorEastAsia" w:hAnsiTheme="minorHAnsi"/>
                <w:noProof/>
                <w:sz w:val="22"/>
                <w:lang w:eastAsia="en-AU"/>
              </w:rPr>
              <w:tab/>
            </w:r>
            <w:r w:rsidR="00EE1C99" w:rsidRPr="007B31BC">
              <w:rPr>
                <w:rStyle w:val="Hyperlink"/>
                <w:noProof/>
              </w:rPr>
              <w:t>Mid-term (3-5 years) and long-term (&gt; 5 years) plans</w:t>
            </w:r>
            <w:r w:rsidR="00EE1C99">
              <w:rPr>
                <w:noProof/>
                <w:webHidden/>
              </w:rPr>
              <w:tab/>
            </w:r>
            <w:r w:rsidR="00EE1C99">
              <w:rPr>
                <w:noProof/>
                <w:webHidden/>
              </w:rPr>
              <w:fldChar w:fldCharType="begin"/>
            </w:r>
            <w:r w:rsidR="00EE1C99">
              <w:rPr>
                <w:noProof/>
                <w:webHidden/>
              </w:rPr>
              <w:instrText xml:space="preserve"> PAGEREF _Toc83674475 \h </w:instrText>
            </w:r>
            <w:r w:rsidR="00EE1C99">
              <w:rPr>
                <w:noProof/>
                <w:webHidden/>
              </w:rPr>
            </w:r>
            <w:r w:rsidR="00EE1C99">
              <w:rPr>
                <w:noProof/>
                <w:webHidden/>
              </w:rPr>
              <w:fldChar w:fldCharType="separate"/>
            </w:r>
            <w:r w:rsidR="00EB2125">
              <w:rPr>
                <w:noProof/>
                <w:webHidden/>
              </w:rPr>
              <w:t>20</w:t>
            </w:r>
            <w:r w:rsidR="00EE1C99">
              <w:rPr>
                <w:noProof/>
                <w:webHidden/>
              </w:rPr>
              <w:fldChar w:fldCharType="end"/>
            </w:r>
          </w:hyperlink>
        </w:p>
        <w:p w14:paraId="75E9DBB4" w14:textId="686DEED5" w:rsidR="00EE1C99" w:rsidRDefault="007F0442">
          <w:pPr>
            <w:pStyle w:val="TOC1"/>
            <w:rPr>
              <w:rFonts w:asciiTheme="minorHAnsi" w:eastAsiaTheme="minorEastAsia" w:hAnsiTheme="minorHAnsi"/>
              <w:noProof/>
              <w:sz w:val="22"/>
              <w:lang w:eastAsia="en-AU"/>
            </w:rPr>
          </w:pPr>
          <w:hyperlink w:anchor="_Toc83674476" w:history="1">
            <w:r w:rsidR="00EE1C99" w:rsidRPr="007B31BC">
              <w:rPr>
                <w:rStyle w:val="Hyperlink"/>
                <w:noProof/>
              </w:rPr>
              <w:t>Appendices</w:t>
            </w:r>
            <w:r w:rsidR="00EE1C99">
              <w:rPr>
                <w:noProof/>
                <w:webHidden/>
              </w:rPr>
              <w:tab/>
            </w:r>
            <w:r w:rsidR="00EE1C99">
              <w:rPr>
                <w:noProof/>
                <w:webHidden/>
              </w:rPr>
              <w:fldChar w:fldCharType="begin"/>
            </w:r>
            <w:r w:rsidR="00EE1C99">
              <w:rPr>
                <w:noProof/>
                <w:webHidden/>
              </w:rPr>
              <w:instrText xml:space="preserve"> PAGEREF _Toc83674476 \h </w:instrText>
            </w:r>
            <w:r w:rsidR="00EE1C99">
              <w:rPr>
                <w:noProof/>
                <w:webHidden/>
              </w:rPr>
            </w:r>
            <w:r w:rsidR="00EE1C99">
              <w:rPr>
                <w:noProof/>
                <w:webHidden/>
              </w:rPr>
              <w:fldChar w:fldCharType="separate"/>
            </w:r>
            <w:r w:rsidR="00EB2125">
              <w:rPr>
                <w:noProof/>
                <w:webHidden/>
              </w:rPr>
              <w:t>III</w:t>
            </w:r>
            <w:r w:rsidR="00EE1C99">
              <w:rPr>
                <w:noProof/>
                <w:webHidden/>
              </w:rPr>
              <w:fldChar w:fldCharType="end"/>
            </w:r>
          </w:hyperlink>
        </w:p>
        <w:p w14:paraId="279E8500" w14:textId="5E930058" w:rsidR="00EE1C99" w:rsidRDefault="007F0442">
          <w:pPr>
            <w:pStyle w:val="TOC2"/>
            <w:tabs>
              <w:tab w:val="right" w:leader="dot" w:pos="9016"/>
            </w:tabs>
            <w:rPr>
              <w:rFonts w:asciiTheme="minorHAnsi" w:eastAsiaTheme="minorEastAsia" w:hAnsiTheme="minorHAnsi"/>
              <w:noProof/>
              <w:sz w:val="22"/>
              <w:lang w:eastAsia="en-AU"/>
            </w:rPr>
          </w:pPr>
          <w:hyperlink w:anchor="_Toc83674477" w:history="1">
            <w:r w:rsidR="00EE1C99" w:rsidRPr="007B31BC">
              <w:rPr>
                <w:rStyle w:val="Hyperlink"/>
                <w:noProof/>
              </w:rPr>
              <w:t>Appendix A – Thought-starter Services Research Topic Questions</w:t>
            </w:r>
            <w:r w:rsidR="00EE1C99">
              <w:rPr>
                <w:noProof/>
                <w:webHidden/>
              </w:rPr>
              <w:tab/>
            </w:r>
            <w:r w:rsidR="00EE1C99">
              <w:rPr>
                <w:noProof/>
                <w:webHidden/>
              </w:rPr>
              <w:fldChar w:fldCharType="begin"/>
            </w:r>
            <w:r w:rsidR="00EE1C99">
              <w:rPr>
                <w:noProof/>
                <w:webHidden/>
              </w:rPr>
              <w:instrText xml:space="preserve"> PAGEREF _Toc83674477 \h </w:instrText>
            </w:r>
            <w:r w:rsidR="00EE1C99">
              <w:rPr>
                <w:noProof/>
                <w:webHidden/>
              </w:rPr>
            </w:r>
            <w:r w:rsidR="00EE1C99">
              <w:rPr>
                <w:noProof/>
                <w:webHidden/>
              </w:rPr>
              <w:fldChar w:fldCharType="separate"/>
            </w:r>
            <w:r w:rsidR="00EB2125">
              <w:rPr>
                <w:noProof/>
                <w:webHidden/>
              </w:rPr>
              <w:t>III</w:t>
            </w:r>
            <w:r w:rsidR="00EE1C99">
              <w:rPr>
                <w:noProof/>
                <w:webHidden/>
              </w:rPr>
              <w:fldChar w:fldCharType="end"/>
            </w:r>
          </w:hyperlink>
        </w:p>
        <w:p w14:paraId="0761072D" w14:textId="19147F5E" w:rsidR="00EE1C99" w:rsidRDefault="007F0442">
          <w:pPr>
            <w:pStyle w:val="TOC2"/>
            <w:tabs>
              <w:tab w:val="right" w:leader="dot" w:pos="9016"/>
            </w:tabs>
            <w:rPr>
              <w:rFonts w:asciiTheme="minorHAnsi" w:eastAsiaTheme="minorEastAsia" w:hAnsiTheme="minorHAnsi"/>
              <w:noProof/>
              <w:sz w:val="22"/>
              <w:lang w:eastAsia="en-AU"/>
            </w:rPr>
          </w:pPr>
          <w:hyperlink w:anchor="_Toc83674478" w:history="1">
            <w:r w:rsidR="00EE1C99" w:rsidRPr="007B31BC">
              <w:rPr>
                <w:rStyle w:val="Hyperlink"/>
                <w:noProof/>
              </w:rPr>
              <w:t>Appendix B – Services in HVDC systems in a European context</w:t>
            </w:r>
            <w:r w:rsidR="00EE1C99">
              <w:rPr>
                <w:noProof/>
                <w:webHidden/>
              </w:rPr>
              <w:tab/>
            </w:r>
            <w:r w:rsidR="00EE1C99">
              <w:rPr>
                <w:noProof/>
                <w:webHidden/>
              </w:rPr>
              <w:fldChar w:fldCharType="begin"/>
            </w:r>
            <w:r w:rsidR="00EE1C99">
              <w:rPr>
                <w:noProof/>
                <w:webHidden/>
              </w:rPr>
              <w:instrText xml:space="preserve"> PAGEREF _Toc83674478 \h </w:instrText>
            </w:r>
            <w:r w:rsidR="00EE1C99">
              <w:rPr>
                <w:noProof/>
                <w:webHidden/>
              </w:rPr>
            </w:r>
            <w:r w:rsidR="00EE1C99">
              <w:rPr>
                <w:noProof/>
                <w:webHidden/>
              </w:rPr>
              <w:fldChar w:fldCharType="separate"/>
            </w:r>
            <w:r w:rsidR="00EB2125">
              <w:rPr>
                <w:noProof/>
                <w:webHidden/>
              </w:rPr>
              <w:t>IV</w:t>
            </w:r>
            <w:r w:rsidR="00EE1C99">
              <w:rPr>
                <w:noProof/>
                <w:webHidden/>
              </w:rPr>
              <w:fldChar w:fldCharType="end"/>
            </w:r>
          </w:hyperlink>
        </w:p>
        <w:p w14:paraId="305D0956" w14:textId="00ECAF2C" w:rsidR="00EE1C99" w:rsidRDefault="007F0442">
          <w:pPr>
            <w:pStyle w:val="TOC1"/>
            <w:rPr>
              <w:rFonts w:asciiTheme="minorHAnsi" w:eastAsiaTheme="minorEastAsia" w:hAnsiTheme="minorHAnsi"/>
              <w:noProof/>
              <w:sz w:val="22"/>
              <w:lang w:eastAsia="en-AU"/>
            </w:rPr>
          </w:pPr>
          <w:hyperlink w:anchor="_Toc83674479" w:history="1">
            <w:r w:rsidR="00EE1C99" w:rsidRPr="007B31BC">
              <w:rPr>
                <w:rStyle w:val="Hyperlink"/>
                <w:noProof/>
              </w:rPr>
              <w:t>Acknowledgements</w:t>
            </w:r>
            <w:r w:rsidR="00EE1C99">
              <w:rPr>
                <w:noProof/>
                <w:webHidden/>
              </w:rPr>
              <w:tab/>
            </w:r>
            <w:r w:rsidR="00EE1C99">
              <w:rPr>
                <w:noProof/>
                <w:webHidden/>
              </w:rPr>
              <w:fldChar w:fldCharType="begin"/>
            </w:r>
            <w:r w:rsidR="00EE1C99">
              <w:rPr>
                <w:noProof/>
                <w:webHidden/>
              </w:rPr>
              <w:instrText xml:space="preserve"> PAGEREF _Toc83674479 \h </w:instrText>
            </w:r>
            <w:r w:rsidR="00EE1C99">
              <w:rPr>
                <w:noProof/>
                <w:webHidden/>
              </w:rPr>
            </w:r>
            <w:r w:rsidR="00EE1C99">
              <w:rPr>
                <w:noProof/>
                <w:webHidden/>
              </w:rPr>
              <w:fldChar w:fldCharType="separate"/>
            </w:r>
            <w:r w:rsidR="00EB2125">
              <w:rPr>
                <w:noProof/>
                <w:webHidden/>
              </w:rPr>
              <w:t>V</w:t>
            </w:r>
            <w:r w:rsidR="00EE1C99">
              <w:rPr>
                <w:noProof/>
                <w:webHidden/>
              </w:rPr>
              <w:fldChar w:fldCharType="end"/>
            </w:r>
          </w:hyperlink>
        </w:p>
        <w:p w14:paraId="7C3C06B9" w14:textId="56EEFF2B" w:rsidR="00EE1C99" w:rsidRDefault="007F0442">
          <w:pPr>
            <w:pStyle w:val="TOC1"/>
            <w:rPr>
              <w:rFonts w:asciiTheme="minorHAnsi" w:eastAsiaTheme="minorEastAsia" w:hAnsiTheme="minorHAnsi"/>
              <w:noProof/>
              <w:sz w:val="22"/>
              <w:lang w:eastAsia="en-AU"/>
            </w:rPr>
          </w:pPr>
          <w:hyperlink w:anchor="_Toc83674480" w:history="1">
            <w:r w:rsidR="00EE1C99" w:rsidRPr="007B31BC">
              <w:rPr>
                <w:rStyle w:val="Hyperlink"/>
                <w:noProof/>
              </w:rPr>
              <w:t>References</w:t>
            </w:r>
            <w:r w:rsidR="00EE1C99">
              <w:rPr>
                <w:noProof/>
                <w:webHidden/>
              </w:rPr>
              <w:tab/>
            </w:r>
            <w:r w:rsidR="00EE1C99">
              <w:rPr>
                <w:noProof/>
                <w:webHidden/>
              </w:rPr>
              <w:fldChar w:fldCharType="begin"/>
            </w:r>
            <w:r w:rsidR="00EE1C99">
              <w:rPr>
                <w:noProof/>
                <w:webHidden/>
              </w:rPr>
              <w:instrText xml:space="preserve"> PAGEREF _Toc83674480 \h </w:instrText>
            </w:r>
            <w:r w:rsidR="00EE1C99">
              <w:rPr>
                <w:noProof/>
                <w:webHidden/>
              </w:rPr>
            </w:r>
            <w:r w:rsidR="00EE1C99">
              <w:rPr>
                <w:noProof/>
                <w:webHidden/>
              </w:rPr>
              <w:fldChar w:fldCharType="separate"/>
            </w:r>
            <w:r w:rsidR="00EB2125">
              <w:rPr>
                <w:noProof/>
                <w:webHidden/>
              </w:rPr>
              <w:t>VI</w:t>
            </w:r>
            <w:r w:rsidR="00EE1C99">
              <w:rPr>
                <w:noProof/>
                <w:webHidden/>
              </w:rPr>
              <w:fldChar w:fldCharType="end"/>
            </w:r>
          </w:hyperlink>
        </w:p>
        <w:p w14:paraId="76E3FA9B" w14:textId="645CD8AD" w:rsidR="00E50F31" w:rsidRDefault="00E50F31">
          <w:r>
            <w:rPr>
              <w:b/>
              <w:bCs/>
              <w:noProof/>
            </w:rPr>
            <w:fldChar w:fldCharType="end"/>
          </w:r>
        </w:p>
      </w:sdtContent>
    </w:sdt>
    <w:p w14:paraId="210CBD92" w14:textId="77777777" w:rsidR="00E50F31" w:rsidRDefault="00E50F31" w:rsidP="00250879"/>
    <w:p w14:paraId="52F41265" w14:textId="77777777" w:rsidR="000A46C0" w:rsidRDefault="000A46C0" w:rsidP="00250879"/>
    <w:p w14:paraId="314F9E16" w14:textId="0A1BD077" w:rsidR="001F68E8" w:rsidRDefault="001F68E8">
      <w:pPr>
        <w:jc w:val="left"/>
      </w:pPr>
      <w:r>
        <w:br w:type="page"/>
      </w:r>
    </w:p>
    <w:p w14:paraId="68192D76" w14:textId="50B5EC0E" w:rsidR="00370835" w:rsidRDefault="00370835" w:rsidP="00FA239F">
      <w:pPr>
        <w:pStyle w:val="TOCHeading"/>
      </w:pPr>
      <w:r>
        <w:lastRenderedPageBreak/>
        <w:t>List of Figures</w:t>
      </w:r>
    </w:p>
    <w:p w14:paraId="65678EEB" w14:textId="63D4C9E5" w:rsidR="00BB6E1B" w:rsidRDefault="00192911">
      <w:pPr>
        <w:pStyle w:val="TOC1"/>
        <w:rPr>
          <w:rFonts w:asciiTheme="minorHAnsi" w:eastAsiaTheme="minorEastAsia" w:hAnsiTheme="minorHAnsi"/>
          <w:noProof/>
          <w:sz w:val="22"/>
          <w:lang w:eastAsia="en-AU"/>
        </w:rPr>
      </w:pPr>
      <w:r>
        <w:fldChar w:fldCharType="begin"/>
      </w:r>
      <w:r>
        <w:instrText xml:space="preserve"> TOC \h \z \t "Figure Caption,1" </w:instrText>
      </w:r>
      <w:r>
        <w:fldChar w:fldCharType="separate"/>
      </w:r>
      <w:hyperlink w:anchor="_Toc81571319" w:history="1">
        <w:r w:rsidR="00BB6E1B" w:rsidRPr="00CD0A91">
          <w:rPr>
            <w:rStyle w:val="Hyperlink"/>
            <w:noProof/>
          </w:rPr>
          <w:t>Figure 1. Contour profile of frequency with total installed renewable energy sources capacity (orange line) as a function of time.</w:t>
        </w:r>
        <w:r w:rsidR="00BB6E1B">
          <w:rPr>
            <w:noProof/>
            <w:webHidden/>
          </w:rPr>
          <w:tab/>
        </w:r>
        <w:r w:rsidR="00BB6E1B">
          <w:rPr>
            <w:noProof/>
            <w:webHidden/>
          </w:rPr>
          <w:fldChar w:fldCharType="begin"/>
        </w:r>
        <w:r w:rsidR="00BB6E1B">
          <w:rPr>
            <w:noProof/>
            <w:webHidden/>
          </w:rPr>
          <w:instrText xml:space="preserve"> PAGEREF _Toc81571319 \h </w:instrText>
        </w:r>
        <w:r w:rsidR="00BB6E1B">
          <w:rPr>
            <w:noProof/>
            <w:webHidden/>
          </w:rPr>
        </w:r>
        <w:r w:rsidR="00BB6E1B">
          <w:rPr>
            <w:noProof/>
            <w:webHidden/>
          </w:rPr>
          <w:fldChar w:fldCharType="separate"/>
        </w:r>
        <w:r w:rsidR="00EB2125">
          <w:rPr>
            <w:noProof/>
            <w:webHidden/>
          </w:rPr>
          <w:t>3</w:t>
        </w:r>
        <w:r w:rsidR="00BB6E1B">
          <w:rPr>
            <w:noProof/>
            <w:webHidden/>
          </w:rPr>
          <w:fldChar w:fldCharType="end"/>
        </w:r>
      </w:hyperlink>
    </w:p>
    <w:p w14:paraId="50E2CACD" w14:textId="7205BB28" w:rsidR="00BB6E1B" w:rsidRDefault="007F0442">
      <w:pPr>
        <w:pStyle w:val="TOC1"/>
        <w:rPr>
          <w:rFonts w:asciiTheme="minorHAnsi" w:eastAsiaTheme="minorEastAsia" w:hAnsiTheme="minorHAnsi"/>
          <w:noProof/>
          <w:sz w:val="22"/>
          <w:lang w:eastAsia="en-AU"/>
        </w:rPr>
      </w:pPr>
      <w:hyperlink w:anchor="_Toc81571320" w:history="1">
        <w:r w:rsidR="00BB6E1B" w:rsidRPr="00CD0A91">
          <w:rPr>
            <w:rStyle w:val="Hyperlink"/>
            <w:noProof/>
          </w:rPr>
          <w:t>Figure 2. Share of each element of a power grid in flexibility in order to accommodate more RES.</w:t>
        </w:r>
        <w:r w:rsidR="00BB6E1B">
          <w:rPr>
            <w:noProof/>
            <w:webHidden/>
          </w:rPr>
          <w:tab/>
        </w:r>
        <w:r w:rsidR="00BB6E1B">
          <w:rPr>
            <w:noProof/>
            <w:webHidden/>
          </w:rPr>
          <w:fldChar w:fldCharType="begin"/>
        </w:r>
        <w:r w:rsidR="00BB6E1B">
          <w:rPr>
            <w:noProof/>
            <w:webHidden/>
          </w:rPr>
          <w:instrText xml:space="preserve"> PAGEREF _Toc81571320 \h </w:instrText>
        </w:r>
        <w:r w:rsidR="00BB6E1B">
          <w:rPr>
            <w:noProof/>
            <w:webHidden/>
          </w:rPr>
        </w:r>
        <w:r w:rsidR="00BB6E1B">
          <w:rPr>
            <w:noProof/>
            <w:webHidden/>
          </w:rPr>
          <w:fldChar w:fldCharType="separate"/>
        </w:r>
        <w:r w:rsidR="00EB2125">
          <w:rPr>
            <w:noProof/>
            <w:webHidden/>
          </w:rPr>
          <w:t>7</w:t>
        </w:r>
        <w:r w:rsidR="00BB6E1B">
          <w:rPr>
            <w:noProof/>
            <w:webHidden/>
          </w:rPr>
          <w:fldChar w:fldCharType="end"/>
        </w:r>
      </w:hyperlink>
    </w:p>
    <w:p w14:paraId="278AF6DC" w14:textId="0547459B" w:rsidR="00BB6E1B" w:rsidRDefault="007F0442">
      <w:pPr>
        <w:pStyle w:val="TOC1"/>
        <w:rPr>
          <w:rFonts w:asciiTheme="minorHAnsi" w:eastAsiaTheme="minorEastAsia" w:hAnsiTheme="minorHAnsi"/>
          <w:noProof/>
          <w:sz w:val="22"/>
          <w:lang w:eastAsia="en-AU"/>
        </w:rPr>
      </w:pPr>
      <w:hyperlink w:anchor="_Toc81571321" w:history="1">
        <w:r w:rsidR="00BB6E1B" w:rsidRPr="00CD0A91">
          <w:rPr>
            <w:rStyle w:val="Hyperlink"/>
            <w:noProof/>
          </w:rPr>
          <w:t>Figure 3. Dynamic range of net electricity demand for different RES penetration levels.</w:t>
        </w:r>
        <w:r w:rsidR="00BB6E1B">
          <w:rPr>
            <w:noProof/>
            <w:webHidden/>
          </w:rPr>
          <w:tab/>
        </w:r>
        <w:r w:rsidR="00BB6E1B">
          <w:rPr>
            <w:noProof/>
            <w:webHidden/>
          </w:rPr>
          <w:fldChar w:fldCharType="begin"/>
        </w:r>
        <w:r w:rsidR="00BB6E1B">
          <w:rPr>
            <w:noProof/>
            <w:webHidden/>
          </w:rPr>
          <w:instrText xml:space="preserve"> PAGEREF _Toc81571321 \h </w:instrText>
        </w:r>
        <w:r w:rsidR="00BB6E1B">
          <w:rPr>
            <w:noProof/>
            <w:webHidden/>
          </w:rPr>
        </w:r>
        <w:r w:rsidR="00BB6E1B">
          <w:rPr>
            <w:noProof/>
            <w:webHidden/>
          </w:rPr>
          <w:fldChar w:fldCharType="separate"/>
        </w:r>
        <w:r w:rsidR="00EB2125">
          <w:rPr>
            <w:noProof/>
            <w:webHidden/>
          </w:rPr>
          <w:t>7</w:t>
        </w:r>
        <w:r w:rsidR="00BB6E1B">
          <w:rPr>
            <w:noProof/>
            <w:webHidden/>
          </w:rPr>
          <w:fldChar w:fldCharType="end"/>
        </w:r>
      </w:hyperlink>
    </w:p>
    <w:p w14:paraId="192D2E57" w14:textId="0963612C" w:rsidR="00BB6E1B" w:rsidRDefault="007F0442">
      <w:pPr>
        <w:pStyle w:val="TOC1"/>
        <w:rPr>
          <w:rFonts w:asciiTheme="minorHAnsi" w:eastAsiaTheme="minorEastAsia" w:hAnsiTheme="minorHAnsi"/>
          <w:noProof/>
          <w:sz w:val="22"/>
          <w:lang w:eastAsia="en-AU"/>
        </w:rPr>
      </w:pPr>
      <w:hyperlink w:anchor="_Toc81571322" w:history="1">
        <w:r w:rsidR="00BB6E1B" w:rsidRPr="00CD0A91">
          <w:rPr>
            <w:rStyle w:val="Hyperlink"/>
            <w:noProof/>
          </w:rPr>
          <w:t>Figure 4. Flexibility charts with wind penetration ratio.</w:t>
        </w:r>
        <w:r w:rsidR="00BB6E1B">
          <w:rPr>
            <w:noProof/>
            <w:webHidden/>
          </w:rPr>
          <w:tab/>
        </w:r>
        <w:r w:rsidR="00BB6E1B">
          <w:rPr>
            <w:noProof/>
            <w:webHidden/>
          </w:rPr>
          <w:fldChar w:fldCharType="begin"/>
        </w:r>
        <w:r w:rsidR="00BB6E1B">
          <w:rPr>
            <w:noProof/>
            <w:webHidden/>
          </w:rPr>
          <w:instrText xml:space="preserve"> PAGEREF _Toc81571322 \h </w:instrText>
        </w:r>
        <w:r w:rsidR="00BB6E1B">
          <w:rPr>
            <w:noProof/>
            <w:webHidden/>
          </w:rPr>
        </w:r>
        <w:r w:rsidR="00BB6E1B">
          <w:rPr>
            <w:noProof/>
            <w:webHidden/>
          </w:rPr>
          <w:fldChar w:fldCharType="separate"/>
        </w:r>
        <w:r w:rsidR="00EB2125">
          <w:rPr>
            <w:noProof/>
            <w:webHidden/>
          </w:rPr>
          <w:t>9</w:t>
        </w:r>
        <w:r w:rsidR="00BB6E1B">
          <w:rPr>
            <w:noProof/>
            <w:webHidden/>
          </w:rPr>
          <w:fldChar w:fldCharType="end"/>
        </w:r>
      </w:hyperlink>
    </w:p>
    <w:p w14:paraId="75577FF7" w14:textId="691DDD1A" w:rsidR="00BB6E1B" w:rsidRDefault="007F0442">
      <w:pPr>
        <w:pStyle w:val="TOC1"/>
        <w:rPr>
          <w:rFonts w:asciiTheme="minorHAnsi" w:eastAsiaTheme="minorEastAsia" w:hAnsiTheme="minorHAnsi"/>
          <w:noProof/>
          <w:sz w:val="22"/>
          <w:lang w:eastAsia="en-AU"/>
        </w:rPr>
      </w:pPr>
      <w:hyperlink w:anchor="_Toc81571323" w:history="1">
        <w:r w:rsidR="00BB6E1B" w:rsidRPr="00CD0A91">
          <w:rPr>
            <w:rStyle w:val="Hyperlink"/>
            <w:noProof/>
          </w:rPr>
          <w:t>Figure 5. ERCOT ancillary services framework.</w:t>
        </w:r>
        <w:r w:rsidR="00BB6E1B">
          <w:rPr>
            <w:noProof/>
            <w:webHidden/>
          </w:rPr>
          <w:tab/>
        </w:r>
        <w:r w:rsidR="00BB6E1B">
          <w:rPr>
            <w:noProof/>
            <w:webHidden/>
          </w:rPr>
          <w:fldChar w:fldCharType="begin"/>
        </w:r>
        <w:r w:rsidR="00BB6E1B">
          <w:rPr>
            <w:noProof/>
            <w:webHidden/>
          </w:rPr>
          <w:instrText xml:space="preserve"> PAGEREF _Toc81571323 \h </w:instrText>
        </w:r>
        <w:r w:rsidR="00BB6E1B">
          <w:rPr>
            <w:noProof/>
            <w:webHidden/>
          </w:rPr>
        </w:r>
        <w:r w:rsidR="00BB6E1B">
          <w:rPr>
            <w:noProof/>
            <w:webHidden/>
          </w:rPr>
          <w:fldChar w:fldCharType="separate"/>
        </w:r>
        <w:r w:rsidR="00EB2125">
          <w:rPr>
            <w:noProof/>
            <w:webHidden/>
          </w:rPr>
          <w:t>11</w:t>
        </w:r>
        <w:r w:rsidR="00BB6E1B">
          <w:rPr>
            <w:noProof/>
            <w:webHidden/>
          </w:rPr>
          <w:fldChar w:fldCharType="end"/>
        </w:r>
      </w:hyperlink>
    </w:p>
    <w:p w14:paraId="38D5280F" w14:textId="648745AA" w:rsidR="00BB6E1B" w:rsidRDefault="007F0442">
      <w:pPr>
        <w:pStyle w:val="TOC1"/>
        <w:rPr>
          <w:rFonts w:asciiTheme="minorHAnsi" w:eastAsiaTheme="minorEastAsia" w:hAnsiTheme="minorHAnsi"/>
          <w:noProof/>
          <w:sz w:val="22"/>
          <w:lang w:eastAsia="en-AU"/>
        </w:rPr>
      </w:pPr>
      <w:hyperlink w:anchor="_Toc81571324" w:history="1">
        <w:r w:rsidR="00BB6E1B" w:rsidRPr="00CD0A91">
          <w:rPr>
            <w:rStyle w:val="Hyperlink"/>
            <w:noProof/>
          </w:rPr>
          <w:t>Figure 6. a) Implementation of virtual inertia in wind power plants, and b) Impact of virtual inertia on frequency oscillations.</w:t>
        </w:r>
        <w:r w:rsidR="00BB6E1B">
          <w:rPr>
            <w:noProof/>
            <w:webHidden/>
          </w:rPr>
          <w:tab/>
        </w:r>
        <w:r w:rsidR="00BB6E1B">
          <w:rPr>
            <w:noProof/>
            <w:webHidden/>
          </w:rPr>
          <w:fldChar w:fldCharType="begin"/>
        </w:r>
        <w:r w:rsidR="00BB6E1B">
          <w:rPr>
            <w:noProof/>
            <w:webHidden/>
          </w:rPr>
          <w:instrText xml:space="preserve"> PAGEREF _Toc81571324 \h </w:instrText>
        </w:r>
        <w:r w:rsidR="00BB6E1B">
          <w:rPr>
            <w:noProof/>
            <w:webHidden/>
          </w:rPr>
        </w:r>
        <w:r w:rsidR="00BB6E1B">
          <w:rPr>
            <w:noProof/>
            <w:webHidden/>
          </w:rPr>
          <w:fldChar w:fldCharType="separate"/>
        </w:r>
        <w:r w:rsidR="00EB2125">
          <w:rPr>
            <w:noProof/>
            <w:webHidden/>
          </w:rPr>
          <w:t>12</w:t>
        </w:r>
        <w:r w:rsidR="00BB6E1B">
          <w:rPr>
            <w:noProof/>
            <w:webHidden/>
          </w:rPr>
          <w:fldChar w:fldCharType="end"/>
        </w:r>
      </w:hyperlink>
    </w:p>
    <w:p w14:paraId="646E8EB4" w14:textId="70D8641F" w:rsidR="00BB6E1B" w:rsidRDefault="007F0442">
      <w:pPr>
        <w:pStyle w:val="TOC1"/>
        <w:rPr>
          <w:rFonts w:asciiTheme="minorHAnsi" w:eastAsiaTheme="minorEastAsia" w:hAnsiTheme="minorHAnsi"/>
          <w:noProof/>
          <w:sz w:val="22"/>
          <w:lang w:eastAsia="en-AU"/>
        </w:rPr>
      </w:pPr>
      <w:hyperlink w:anchor="_Toc81571325" w:history="1">
        <w:r w:rsidR="00BB6E1B" w:rsidRPr="00CD0A91">
          <w:rPr>
            <w:rStyle w:val="Hyperlink"/>
            <w:noProof/>
          </w:rPr>
          <w:t>Figure 7. Ancillary services provided by BESS.</w:t>
        </w:r>
        <w:r w:rsidR="00BB6E1B">
          <w:rPr>
            <w:noProof/>
            <w:webHidden/>
          </w:rPr>
          <w:tab/>
        </w:r>
        <w:r w:rsidR="00BB6E1B">
          <w:rPr>
            <w:noProof/>
            <w:webHidden/>
          </w:rPr>
          <w:fldChar w:fldCharType="begin"/>
        </w:r>
        <w:r w:rsidR="00BB6E1B">
          <w:rPr>
            <w:noProof/>
            <w:webHidden/>
          </w:rPr>
          <w:instrText xml:space="preserve"> PAGEREF _Toc81571325 \h </w:instrText>
        </w:r>
        <w:r w:rsidR="00BB6E1B">
          <w:rPr>
            <w:noProof/>
            <w:webHidden/>
          </w:rPr>
        </w:r>
        <w:r w:rsidR="00BB6E1B">
          <w:rPr>
            <w:noProof/>
            <w:webHidden/>
          </w:rPr>
          <w:fldChar w:fldCharType="separate"/>
        </w:r>
        <w:r w:rsidR="00EB2125">
          <w:rPr>
            <w:noProof/>
            <w:webHidden/>
          </w:rPr>
          <w:t>13</w:t>
        </w:r>
        <w:r w:rsidR="00BB6E1B">
          <w:rPr>
            <w:noProof/>
            <w:webHidden/>
          </w:rPr>
          <w:fldChar w:fldCharType="end"/>
        </w:r>
      </w:hyperlink>
    </w:p>
    <w:p w14:paraId="006585A2" w14:textId="036A6277" w:rsidR="00BB6E1B" w:rsidRDefault="007F0442">
      <w:pPr>
        <w:pStyle w:val="TOC1"/>
        <w:rPr>
          <w:rFonts w:asciiTheme="minorHAnsi" w:eastAsiaTheme="minorEastAsia" w:hAnsiTheme="minorHAnsi"/>
          <w:noProof/>
          <w:sz w:val="22"/>
          <w:lang w:eastAsia="en-AU"/>
        </w:rPr>
      </w:pPr>
      <w:hyperlink w:anchor="_Toc81571326" w:history="1">
        <w:r w:rsidR="00BB6E1B" w:rsidRPr="00CD0A91">
          <w:rPr>
            <w:rStyle w:val="Hyperlink"/>
            <w:noProof/>
          </w:rPr>
          <w:t>Figure 8. Possible services from ES</w:t>
        </w:r>
        <w:r w:rsidR="00C56BFE">
          <w:rPr>
            <w:rStyle w:val="Hyperlink"/>
            <w:noProof/>
          </w:rPr>
          <w:t>S</w:t>
        </w:r>
        <w:r w:rsidR="00BB6E1B" w:rsidRPr="00CD0A91">
          <w:rPr>
            <w:rStyle w:val="Hyperlink"/>
            <w:noProof/>
          </w:rPr>
          <w:t>.</w:t>
        </w:r>
        <w:r w:rsidR="00BB6E1B">
          <w:rPr>
            <w:noProof/>
            <w:webHidden/>
          </w:rPr>
          <w:tab/>
        </w:r>
        <w:r w:rsidR="00BB6E1B">
          <w:rPr>
            <w:noProof/>
            <w:webHidden/>
          </w:rPr>
          <w:fldChar w:fldCharType="begin"/>
        </w:r>
        <w:r w:rsidR="00BB6E1B">
          <w:rPr>
            <w:noProof/>
            <w:webHidden/>
          </w:rPr>
          <w:instrText xml:space="preserve"> PAGEREF _Toc81571326 \h </w:instrText>
        </w:r>
        <w:r w:rsidR="00BB6E1B">
          <w:rPr>
            <w:noProof/>
            <w:webHidden/>
          </w:rPr>
        </w:r>
        <w:r w:rsidR="00BB6E1B">
          <w:rPr>
            <w:noProof/>
            <w:webHidden/>
          </w:rPr>
          <w:fldChar w:fldCharType="separate"/>
        </w:r>
        <w:r w:rsidR="00EB2125">
          <w:rPr>
            <w:noProof/>
            <w:webHidden/>
          </w:rPr>
          <w:t>16</w:t>
        </w:r>
        <w:r w:rsidR="00BB6E1B">
          <w:rPr>
            <w:noProof/>
            <w:webHidden/>
          </w:rPr>
          <w:fldChar w:fldCharType="end"/>
        </w:r>
      </w:hyperlink>
    </w:p>
    <w:p w14:paraId="6E2DAFE6" w14:textId="5163314F" w:rsidR="00370835" w:rsidRDefault="00192911">
      <w:pPr>
        <w:jc w:val="left"/>
      </w:pPr>
      <w:r>
        <w:fldChar w:fldCharType="end"/>
      </w:r>
    </w:p>
    <w:p w14:paraId="4698D7A2" w14:textId="70954820" w:rsidR="00F33C3A" w:rsidRDefault="00F33C3A">
      <w:pPr>
        <w:jc w:val="left"/>
      </w:pPr>
    </w:p>
    <w:p w14:paraId="29FCF182" w14:textId="77777777" w:rsidR="00F33C3A" w:rsidRDefault="00F33C3A">
      <w:pPr>
        <w:jc w:val="left"/>
      </w:pPr>
    </w:p>
    <w:p w14:paraId="32BB9F53" w14:textId="77777777" w:rsidR="000E45BC" w:rsidRDefault="000E45BC">
      <w:pPr>
        <w:jc w:val="left"/>
      </w:pPr>
    </w:p>
    <w:p w14:paraId="73B4A4E7" w14:textId="4D7E8A47" w:rsidR="007132A9" w:rsidRDefault="007132A9" w:rsidP="00FA239F">
      <w:pPr>
        <w:pStyle w:val="TOCHeading"/>
      </w:pPr>
      <w:r>
        <w:t>List of Tables</w:t>
      </w:r>
    </w:p>
    <w:p w14:paraId="75F092EF" w14:textId="55C8DA7C" w:rsidR="00EE1C99" w:rsidRDefault="003A40FA">
      <w:pPr>
        <w:pStyle w:val="TOC1"/>
        <w:rPr>
          <w:rFonts w:asciiTheme="minorHAnsi" w:eastAsiaTheme="minorEastAsia" w:hAnsiTheme="minorHAnsi"/>
          <w:noProof/>
          <w:sz w:val="22"/>
          <w:lang w:eastAsia="en-AU"/>
        </w:rPr>
      </w:pPr>
      <w:r>
        <w:fldChar w:fldCharType="begin"/>
      </w:r>
      <w:r>
        <w:instrText xml:space="preserve"> TOC \h \z \t "Table Caption,1" </w:instrText>
      </w:r>
      <w:r>
        <w:fldChar w:fldCharType="separate"/>
      </w:r>
      <w:hyperlink w:anchor="_Toc83674481" w:history="1">
        <w:r w:rsidR="00EE1C99" w:rsidRPr="00D40041">
          <w:rPr>
            <w:rStyle w:val="Hyperlink"/>
            <w:noProof/>
          </w:rPr>
          <w:t>Table 1. Recommendations for research activities in the technical domain.</w:t>
        </w:r>
        <w:r w:rsidR="00EE1C99">
          <w:rPr>
            <w:noProof/>
            <w:webHidden/>
          </w:rPr>
          <w:tab/>
        </w:r>
        <w:r w:rsidR="00EE1C99">
          <w:rPr>
            <w:noProof/>
            <w:webHidden/>
          </w:rPr>
          <w:fldChar w:fldCharType="begin"/>
        </w:r>
        <w:r w:rsidR="00EE1C99">
          <w:rPr>
            <w:noProof/>
            <w:webHidden/>
          </w:rPr>
          <w:instrText xml:space="preserve"> PAGEREF _Toc83674481 \h </w:instrText>
        </w:r>
        <w:r w:rsidR="00EE1C99">
          <w:rPr>
            <w:noProof/>
            <w:webHidden/>
          </w:rPr>
        </w:r>
        <w:r w:rsidR="00EE1C99">
          <w:rPr>
            <w:noProof/>
            <w:webHidden/>
          </w:rPr>
          <w:fldChar w:fldCharType="separate"/>
        </w:r>
        <w:r w:rsidR="00EB2125">
          <w:rPr>
            <w:noProof/>
            <w:webHidden/>
          </w:rPr>
          <w:t>6</w:t>
        </w:r>
        <w:r w:rsidR="00EE1C99">
          <w:rPr>
            <w:noProof/>
            <w:webHidden/>
          </w:rPr>
          <w:fldChar w:fldCharType="end"/>
        </w:r>
      </w:hyperlink>
    </w:p>
    <w:p w14:paraId="2941DF86" w14:textId="69175BB2" w:rsidR="00EE1C99" w:rsidRDefault="007F0442">
      <w:pPr>
        <w:pStyle w:val="TOC1"/>
        <w:rPr>
          <w:rFonts w:asciiTheme="minorHAnsi" w:eastAsiaTheme="minorEastAsia" w:hAnsiTheme="minorHAnsi"/>
          <w:noProof/>
          <w:sz w:val="22"/>
          <w:lang w:eastAsia="en-AU"/>
        </w:rPr>
      </w:pPr>
      <w:hyperlink w:anchor="_Toc83674482" w:history="1">
        <w:r w:rsidR="00EE1C99" w:rsidRPr="00D40041">
          <w:rPr>
            <w:rStyle w:val="Hyperlink"/>
            <w:noProof/>
          </w:rPr>
          <w:t>Table 2: Frameworks to measure grid flexibility [27]</w:t>
        </w:r>
        <w:r w:rsidR="00EE1C99">
          <w:rPr>
            <w:noProof/>
            <w:webHidden/>
          </w:rPr>
          <w:tab/>
        </w:r>
        <w:r w:rsidR="00EE1C99">
          <w:rPr>
            <w:noProof/>
            <w:webHidden/>
          </w:rPr>
          <w:fldChar w:fldCharType="begin"/>
        </w:r>
        <w:r w:rsidR="00EE1C99">
          <w:rPr>
            <w:noProof/>
            <w:webHidden/>
          </w:rPr>
          <w:instrText xml:space="preserve"> PAGEREF _Toc83674482 \h </w:instrText>
        </w:r>
        <w:r w:rsidR="00EE1C99">
          <w:rPr>
            <w:noProof/>
            <w:webHidden/>
          </w:rPr>
        </w:r>
        <w:r w:rsidR="00EE1C99">
          <w:rPr>
            <w:noProof/>
            <w:webHidden/>
          </w:rPr>
          <w:fldChar w:fldCharType="separate"/>
        </w:r>
        <w:r w:rsidR="00EB2125">
          <w:rPr>
            <w:noProof/>
            <w:webHidden/>
          </w:rPr>
          <w:t>10</w:t>
        </w:r>
        <w:r w:rsidR="00EE1C99">
          <w:rPr>
            <w:noProof/>
            <w:webHidden/>
          </w:rPr>
          <w:fldChar w:fldCharType="end"/>
        </w:r>
      </w:hyperlink>
    </w:p>
    <w:p w14:paraId="5F28E587" w14:textId="00633F52" w:rsidR="00EE1C99" w:rsidRDefault="007F0442">
      <w:pPr>
        <w:pStyle w:val="TOC1"/>
        <w:rPr>
          <w:rFonts w:asciiTheme="minorHAnsi" w:eastAsiaTheme="minorEastAsia" w:hAnsiTheme="minorHAnsi"/>
          <w:noProof/>
          <w:sz w:val="22"/>
          <w:lang w:eastAsia="en-AU"/>
        </w:rPr>
      </w:pPr>
      <w:hyperlink w:anchor="_Toc83674483" w:history="1">
        <w:r w:rsidR="00EE1C99" w:rsidRPr="00D40041">
          <w:rPr>
            <w:rStyle w:val="Hyperlink"/>
            <w:noProof/>
          </w:rPr>
          <w:t>Table 3. Recommendations for the frequency support services.</w:t>
        </w:r>
        <w:r w:rsidR="00EE1C99">
          <w:rPr>
            <w:noProof/>
            <w:webHidden/>
          </w:rPr>
          <w:tab/>
        </w:r>
        <w:r w:rsidR="00EE1C99">
          <w:rPr>
            <w:noProof/>
            <w:webHidden/>
          </w:rPr>
          <w:fldChar w:fldCharType="begin"/>
        </w:r>
        <w:r w:rsidR="00EE1C99">
          <w:rPr>
            <w:noProof/>
            <w:webHidden/>
          </w:rPr>
          <w:instrText xml:space="preserve"> PAGEREF _Toc83674483 \h </w:instrText>
        </w:r>
        <w:r w:rsidR="00EE1C99">
          <w:rPr>
            <w:noProof/>
            <w:webHidden/>
          </w:rPr>
        </w:r>
        <w:r w:rsidR="00EE1C99">
          <w:rPr>
            <w:noProof/>
            <w:webHidden/>
          </w:rPr>
          <w:fldChar w:fldCharType="separate"/>
        </w:r>
        <w:r w:rsidR="00EB2125">
          <w:rPr>
            <w:noProof/>
            <w:webHidden/>
          </w:rPr>
          <w:t>13</w:t>
        </w:r>
        <w:r w:rsidR="00EE1C99">
          <w:rPr>
            <w:noProof/>
            <w:webHidden/>
          </w:rPr>
          <w:fldChar w:fldCharType="end"/>
        </w:r>
      </w:hyperlink>
    </w:p>
    <w:p w14:paraId="3EFA61AE" w14:textId="3ABE5E2F" w:rsidR="00EE1C99" w:rsidRDefault="007F0442">
      <w:pPr>
        <w:pStyle w:val="TOC1"/>
        <w:rPr>
          <w:rFonts w:asciiTheme="minorHAnsi" w:eastAsiaTheme="minorEastAsia" w:hAnsiTheme="minorHAnsi"/>
          <w:noProof/>
          <w:sz w:val="22"/>
          <w:lang w:eastAsia="en-AU"/>
        </w:rPr>
      </w:pPr>
      <w:hyperlink w:anchor="_Toc83674484" w:history="1">
        <w:r w:rsidR="00EE1C99" w:rsidRPr="00D40041">
          <w:rPr>
            <w:rStyle w:val="Hyperlink"/>
            <w:noProof/>
          </w:rPr>
          <w:t>Table 4. Recommendations for voltage support services.</w:t>
        </w:r>
        <w:r w:rsidR="00EE1C99">
          <w:rPr>
            <w:noProof/>
            <w:webHidden/>
          </w:rPr>
          <w:tab/>
        </w:r>
        <w:r w:rsidR="00EE1C99">
          <w:rPr>
            <w:noProof/>
            <w:webHidden/>
          </w:rPr>
          <w:fldChar w:fldCharType="begin"/>
        </w:r>
        <w:r w:rsidR="00EE1C99">
          <w:rPr>
            <w:noProof/>
            <w:webHidden/>
          </w:rPr>
          <w:instrText xml:space="preserve"> PAGEREF _Toc83674484 \h </w:instrText>
        </w:r>
        <w:r w:rsidR="00EE1C99">
          <w:rPr>
            <w:noProof/>
            <w:webHidden/>
          </w:rPr>
        </w:r>
        <w:r w:rsidR="00EE1C99">
          <w:rPr>
            <w:noProof/>
            <w:webHidden/>
          </w:rPr>
          <w:fldChar w:fldCharType="separate"/>
        </w:r>
        <w:r w:rsidR="00EB2125">
          <w:rPr>
            <w:noProof/>
            <w:webHidden/>
          </w:rPr>
          <w:t>15</w:t>
        </w:r>
        <w:r w:rsidR="00EE1C99">
          <w:rPr>
            <w:noProof/>
            <w:webHidden/>
          </w:rPr>
          <w:fldChar w:fldCharType="end"/>
        </w:r>
      </w:hyperlink>
    </w:p>
    <w:p w14:paraId="268230CC" w14:textId="2F062860" w:rsidR="00EE1C99" w:rsidRDefault="007F0442">
      <w:pPr>
        <w:pStyle w:val="TOC1"/>
        <w:rPr>
          <w:rFonts w:asciiTheme="minorHAnsi" w:eastAsiaTheme="minorEastAsia" w:hAnsiTheme="minorHAnsi"/>
          <w:noProof/>
          <w:sz w:val="22"/>
          <w:lang w:eastAsia="en-AU"/>
        </w:rPr>
      </w:pPr>
      <w:hyperlink w:anchor="_Toc83674485" w:history="1">
        <w:r w:rsidR="00EE1C99" w:rsidRPr="00D40041">
          <w:rPr>
            <w:rStyle w:val="Hyperlink"/>
            <w:noProof/>
          </w:rPr>
          <w:t>Table 5. Recommendations for review or define new metrics.</w:t>
        </w:r>
        <w:r w:rsidR="00EE1C99">
          <w:rPr>
            <w:noProof/>
            <w:webHidden/>
          </w:rPr>
          <w:tab/>
        </w:r>
        <w:r w:rsidR="00EE1C99">
          <w:rPr>
            <w:noProof/>
            <w:webHidden/>
          </w:rPr>
          <w:fldChar w:fldCharType="begin"/>
        </w:r>
        <w:r w:rsidR="00EE1C99">
          <w:rPr>
            <w:noProof/>
            <w:webHidden/>
          </w:rPr>
          <w:instrText xml:space="preserve"> PAGEREF _Toc83674485 \h </w:instrText>
        </w:r>
        <w:r w:rsidR="00EE1C99">
          <w:rPr>
            <w:noProof/>
            <w:webHidden/>
          </w:rPr>
        </w:r>
        <w:r w:rsidR="00EE1C99">
          <w:rPr>
            <w:noProof/>
            <w:webHidden/>
          </w:rPr>
          <w:fldChar w:fldCharType="separate"/>
        </w:r>
        <w:r w:rsidR="00EB2125">
          <w:rPr>
            <w:noProof/>
            <w:webHidden/>
          </w:rPr>
          <w:t>16</w:t>
        </w:r>
        <w:r w:rsidR="00EE1C99">
          <w:rPr>
            <w:noProof/>
            <w:webHidden/>
          </w:rPr>
          <w:fldChar w:fldCharType="end"/>
        </w:r>
      </w:hyperlink>
    </w:p>
    <w:p w14:paraId="6B96BAC1" w14:textId="4C3BCA35" w:rsidR="00EE1C99" w:rsidRDefault="007F0442">
      <w:pPr>
        <w:pStyle w:val="TOC1"/>
        <w:rPr>
          <w:rFonts w:asciiTheme="minorHAnsi" w:eastAsiaTheme="minorEastAsia" w:hAnsiTheme="minorHAnsi"/>
          <w:noProof/>
          <w:sz w:val="22"/>
          <w:lang w:eastAsia="en-AU"/>
        </w:rPr>
      </w:pPr>
      <w:hyperlink w:anchor="_Toc83674486" w:history="1">
        <w:r w:rsidR="00EE1C99" w:rsidRPr="00D40041">
          <w:rPr>
            <w:rStyle w:val="Hyperlink"/>
            <w:noProof/>
          </w:rPr>
          <w:t>Table 6. Recommendations for research activities in the financial domain.</w:t>
        </w:r>
        <w:r w:rsidR="00EE1C99">
          <w:rPr>
            <w:noProof/>
            <w:webHidden/>
          </w:rPr>
          <w:tab/>
        </w:r>
        <w:r w:rsidR="00EE1C99">
          <w:rPr>
            <w:noProof/>
            <w:webHidden/>
          </w:rPr>
          <w:fldChar w:fldCharType="begin"/>
        </w:r>
        <w:r w:rsidR="00EE1C99">
          <w:rPr>
            <w:noProof/>
            <w:webHidden/>
          </w:rPr>
          <w:instrText xml:space="preserve"> PAGEREF _Toc83674486 \h </w:instrText>
        </w:r>
        <w:r w:rsidR="00EE1C99">
          <w:rPr>
            <w:noProof/>
            <w:webHidden/>
          </w:rPr>
        </w:r>
        <w:r w:rsidR="00EE1C99">
          <w:rPr>
            <w:noProof/>
            <w:webHidden/>
          </w:rPr>
          <w:fldChar w:fldCharType="separate"/>
        </w:r>
        <w:r w:rsidR="00EB2125">
          <w:rPr>
            <w:noProof/>
            <w:webHidden/>
          </w:rPr>
          <w:t>17</w:t>
        </w:r>
        <w:r w:rsidR="00EE1C99">
          <w:rPr>
            <w:noProof/>
            <w:webHidden/>
          </w:rPr>
          <w:fldChar w:fldCharType="end"/>
        </w:r>
      </w:hyperlink>
    </w:p>
    <w:p w14:paraId="1087643E" w14:textId="3CA5C576" w:rsidR="00EE1C99" w:rsidRDefault="007F0442">
      <w:pPr>
        <w:pStyle w:val="TOC1"/>
        <w:rPr>
          <w:rFonts w:asciiTheme="minorHAnsi" w:eastAsiaTheme="minorEastAsia" w:hAnsiTheme="minorHAnsi"/>
          <w:noProof/>
          <w:sz w:val="22"/>
          <w:lang w:eastAsia="en-AU"/>
        </w:rPr>
      </w:pPr>
      <w:hyperlink w:anchor="_Toc83674487" w:history="1">
        <w:r w:rsidR="00EE1C99" w:rsidRPr="00D40041">
          <w:rPr>
            <w:rStyle w:val="Hyperlink"/>
            <w:noProof/>
          </w:rPr>
          <w:t>Table 7. Review of key research questions.</w:t>
        </w:r>
        <w:r w:rsidR="00EE1C99">
          <w:rPr>
            <w:noProof/>
            <w:webHidden/>
          </w:rPr>
          <w:tab/>
        </w:r>
        <w:r w:rsidR="00EE1C99">
          <w:rPr>
            <w:noProof/>
            <w:webHidden/>
          </w:rPr>
          <w:fldChar w:fldCharType="begin"/>
        </w:r>
        <w:r w:rsidR="00EE1C99">
          <w:rPr>
            <w:noProof/>
            <w:webHidden/>
          </w:rPr>
          <w:instrText xml:space="preserve"> PAGEREF _Toc83674487 \h </w:instrText>
        </w:r>
        <w:r w:rsidR="00EE1C99">
          <w:rPr>
            <w:noProof/>
            <w:webHidden/>
          </w:rPr>
        </w:r>
        <w:r w:rsidR="00EE1C99">
          <w:rPr>
            <w:noProof/>
            <w:webHidden/>
          </w:rPr>
          <w:fldChar w:fldCharType="separate"/>
        </w:r>
        <w:r w:rsidR="00EB2125">
          <w:rPr>
            <w:noProof/>
            <w:webHidden/>
          </w:rPr>
          <w:t>19</w:t>
        </w:r>
        <w:r w:rsidR="00EE1C99">
          <w:rPr>
            <w:noProof/>
            <w:webHidden/>
          </w:rPr>
          <w:fldChar w:fldCharType="end"/>
        </w:r>
      </w:hyperlink>
    </w:p>
    <w:p w14:paraId="351D682E" w14:textId="7758D9D2" w:rsidR="00EE1C99" w:rsidRDefault="007F0442">
      <w:pPr>
        <w:pStyle w:val="TOC1"/>
        <w:rPr>
          <w:rFonts w:asciiTheme="minorHAnsi" w:eastAsiaTheme="minorEastAsia" w:hAnsiTheme="minorHAnsi"/>
          <w:noProof/>
          <w:sz w:val="22"/>
          <w:lang w:eastAsia="en-AU"/>
        </w:rPr>
      </w:pPr>
      <w:hyperlink w:anchor="_Toc83674488" w:history="1">
        <w:r w:rsidR="00EE1C99" w:rsidRPr="00D40041">
          <w:rPr>
            <w:rStyle w:val="Hyperlink"/>
            <w:noProof/>
          </w:rPr>
          <w:t>Table 8. Research plan.</w:t>
        </w:r>
        <w:r w:rsidR="00EE1C99">
          <w:rPr>
            <w:noProof/>
            <w:webHidden/>
          </w:rPr>
          <w:tab/>
        </w:r>
        <w:r w:rsidR="00EE1C99">
          <w:rPr>
            <w:noProof/>
            <w:webHidden/>
          </w:rPr>
          <w:fldChar w:fldCharType="begin"/>
        </w:r>
        <w:r w:rsidR="00EE1C99">
          <w:rPr>
            <w:noProof/>
            <w:webHidden/>
          </w:rPr>
          <w:instrText xml:space="preserve"> PAGEREF _Toc83674488 \h </w:instrText>
        </w:r>
        <w:r w:rsidR="00EE1C99">
          <w:rPr>
            <w:noProof/>
            <w:webHidden/>
          </w:rPr>
        </w:r>
        <w:r w:rsidR="00EE1C99">
          <w:rPr>
            <w:noProof/>
            <w:webHidden/>
          </w:rPr>
          <w:fldChar w:fldCharType="separate"/>
        </w:r>
        <w:r w:rsidR="00EB2125">
          <w:rPr>
            <w:noProof/>
            <w:webHidden/>
          </w:rPr>
          <w:t>23</w:t>
        </w:r>
        <w:r w:rsidR="00EE1C99">
          <w:rPr>
            <w:noProof/>
            <w:webHidden/>
          </w:rPr>
          <w:fldChar w:fldCharType="end"/>
        </w:r>
      </w:hyperlink>
    </w:p>
    <w:p w14:paraId="28A604F7" w14:textId="7039D6C1" w:rsidR="00E53A86" w:rsidRDefault="003A40FA">
      <w:pPr>
        <w:jc w:val="left"/>
      </w:pPr>
      <w:r>
        <w:fldChar w:fldCharType="end"/>
      </w:r>
    </w:p>
    <w:p w14:paraId="3F756AD9" w14:textId="77777777" w:rsidR="00E53A86" w:rsidRDefault="00E53A86">
      <w:pPr>
        <w:jc w:val="left"/>
      </w:pPr>
      <w:r>
        <w:br w:type="page"/>
      </w:r>
    </w:p>
    <w:p w14:paraId="173B7D16" w14:textId="7F97CA3B" w:rsidR="007132A9" w:rsidRDefault="00E53A86" w:rsidP="00E53A86">
      <w:pPr>
        <w:pStyle w:val="TOCHeading"/>
      </w:pPr>
      <w:r>
        <w:lastRenderedPageBreak/>
        <w:t>Glossary</w:t>
      </w:r>
    </w:p>
    <w:p w14:paraId="664FEFDD" w14:textId="77777777" w:rsidR="00D917AF" w:rsidRPr="00D917AF" w:rsidRDefault="00D917AF" w:rsidP="00D917AF">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7745"/>
      </w:tblGrid>
      <w:tr w:rsidR="00C02C14" w14:paraId="0041D77E" w14:textId="77777777" w:rsidTr="00B1502F">
        <w:tc>
          <w:tcPr>
            <w:tcW w:w="1271" w:type="dxa"/>
          </w:tcPr>
          <w:p w14:paraId="32A946FD" w14:textId="45912CBC" w:rsidR="00C02C14" w:rsidRDefault="00C02C14" w:rsidP="00C02C14">
            <w:pPr>
              <w:jc w:val="left"/>
            </w:pPr>
            <w:r>
              <w:t>AEMC</w:t>
            </w:r>
          </w:p>
        </w:tc>
        <w:tc>
          <w:tcPr>
            <w:tcW w:w="7745" w:type="dxa"/>
          </w:tcPr>
          <w:p w14:paraId="2315393E" w14:textId="5CA4590A" w:rsidR="00C02C14" w:rsidRDefault="00C02C14" w:rsidP="00C02C14">
            <w:pPr>
              <w:jc w:val="left"/>
            </w:pPr>
            <w:r>
              <w:t xml:space="preserve">Australian Energy Market Commission </w:t>
            </w:r>
          </w:p>
        </w:tc>
      </w:tr>
      <w:tr w:rsidR="00C02C14" w14:paraId="1C270168" w14:textId="77777777" w:rsidTr="00B1502F">
        <w:tc>
          <w:tcPr>
            <w:tcW w:w="1271" w:type="dxa"/>
          </w:tcPr>
          <w:p w14:paraId="1561DC48" w14:textId="69DA1D27" w:rsidR="00C02C14" w:rsidRDefault="00C02C14" w:rsidP="00C02C14">
            <w:pPr>
              <w:jc w:val="left"/>
            </w:pPr>
            <w:r>
              <w:t>AEMO</w:t>
            </w:r>
          </w:p>
        </w:tc>
        <w:tc>
          <w:tcPr>
            <w:tcW w:w="7745" w:type="dxa"/>
          </w:tcPr>
          <w:p w14:paraId="664C6762" w14:textId="49F19916" w:rsidR="00C02C14" w:rsidRDefault="00C02C14" w:rsidP="00C02C14">
            <w:pPr>
              <w:jc w:val="left"/>
            </w:pPr>
            <w:r>
              <w:t>Australian Energy Market Operator</w:t>
            </w:r>
          </w:p>
        </w:tc>
      </w:tr>
      <w:tr w:rsidR="00C02C14" w14:paraId="519D7CE3" w14:textId="77777777" w:rsidTr="00B1502F">
        <w:tc>
          <w:tcPr>
            <w:tcW w:w="1271" w:type="dxa"/>
          </w:tcPr>
          <w:p w14:paraId="1F6DAE5A" w14:textId="3721E568" w:rsidR="00C02C14" w:rsidRDefault="00C02C14" w:rsidP="00C02C14">
            <w:pPr>
              <w:jc w:val="left"/>
            </w:pPr>
            <w:r>
              <w:t>AGC</w:t>
            </w:r>
          </w:p>
        </w:tc>
        <w:tc>
          <w:tcPr>
            <w:tcW w:w="7745" w:type="dxa"/>
          </w:tcPr>
          <w:p w14:paraId="4DC675AE" w14:textId="49DAA21D" w:rsidR="00C02C14" w:rsidRDefault="00C02C14" w:rsidP="00C02C14">
            <w:pPr>
              <w:jc w:val="left"/>
            </w:pPr>
            <w:r>
              <w:t>Automatic Generation Control</w:t>
            </w:r>
          </w:p>
        </w:tc>
      </w:tr>
      <w:tr w:rsidR="000F6207" w14:paraId="3899D7C5" w14:textId="77777777" w:rsidTr="00B1502F">
        <w:tc>
          <w:tcPr>
            <w:tcW w:w="1271" w:type="dxa"/>
          </w:tcPr>
          <w:p w14:paraId="2A53EB3D" w14:textId="105EA8A2" w:rsidR="000F6207" w:rsidRDefault="000F6207" w:rsidP="00C02C14">
            <w:pPr>
              <w:jc w:val="left"/>
            </w:pPr>
            <w:r>
              <w:t>BESS</w:t>
            </w:r>
          </w:p>
        </w:tc>
        <w:tc>
          <w:tcPr>
            <w:tcW w:w="7745" w:type="dxa"/>
          </w:tcPr>
          <w:p w14:paraId="70744C23" w14:textId="2BED1BA5" w:rsidR="000F6207" w:rsidRDefault="000F6207" w:rsidP="00C02C14">
            <w:pPr>
              <w:jc w:val="left"/>
              <w:rPr>
                <w:szCs w:val="20"/>
              </w:rPr>
            </w:pPr>
            <w:r>
              <w:rPr>
                <w:szCs w:val="20"/>
              </w:rPr>
              <w:t>Battery Energy Storage System</w:t>
            </w:r>
          </w:p>
        </w:tc>
      </w:tr>
      <w:tr w:rsidR="00C02C14" w14:paraId="292C9535" w14:textId="77777777" w:rsidTr="00B1502F">
        <w:tc>
          <w:tcPr>
            <w:tcW w:w="1271" w:type="dxa"/>
          </w:tcPr>
          <w:p w14:paraId="44A620C4" w14:textId="789EC861" w:rsidR="00C02C14" w:rsidRDefault="00C02C14" w:rsidP="00C02C14">
            <w:pPr>
              <w:jc w:val="left"/>
            </w:pPr>
            <w:r>
              <w:t>CCGT</w:t>
            </w:r>
          </w:p>
        </w:tc>
        <w:tc>
          <w:tcPr>
            <w:tcW w:w="7745" w:type="dxa"/>
          </w:tcPr>
          <w:p w14:paraId="3443D419" w14:textId="11039DE4" w:rsidR="00C02C14" w:rsidRDefault="00C02C14" w:rsidP="00C02C14">
            <w:pPr>
              <w:jc w:val="left"/>
              <w:rPr>
                <w:szCs w:val="20"/>
              </w:rPr>
            </w:pPr>
            <w:r>
              <w:rPr>
                <w:szCs w:val="20"/>
              </w:rPr>
              <w:t>combined cycle gas turbines</w:t>
            </w:r>
          </w:p>
        </w:tc>
      </w:tr>
      <w:tr w:rsidR="00C02C14" w14:paraId="49E81EC2" w14:textId="77777777" w:rsidTr="00B1502F">
        <w:tc>
          <w:tcPr>
            <w:tcW w:w="1271" w:type="dxa"/>
          </w:tcPr>
          <w:p w14:paraId="05A1E613" w14:textId="44589366" w:rsidR="00C02C14" w:rsidRDefault="00C02C14" w:rsidP="00C02C14">
            <w:pPr>
              <w:jc w:val="left"/>
            </w:pPr>
            <w:r>
              <w:t>CHP</w:t>
            </w:r>
          </w:p>
        </w:tc>
        <w:tc>
          <w:tcPr>
            <w:tcW w:w="7745" w:type="dxa"/>
          </w:tcPr>
          <w:p w14:paraId="2F04100A" w14:textId="5B8BD31D" w:rsidR="00C02C14" w:rsidRPr="00201139" w:rsidRDefault="00C02C14" w:rsidP="00C02C14">
            <w:pPr>
              <w:jc w:val="left"/>
            </w:pPr>
            <w:r>
              <w:rPr>
                <w:szCs w:val="20"/>
              </w:rPr>
              <w:t>Combined heat and power</w:t>
            </w:r>
          </w:p>
        </w:tc>
      </w:tr>
      <w:tr w:rsidR="008A7BE2" w14:paraId="3D95E1A8" w14:textId="77777777" w:rsidTr="00B1502F">
        <w:tc>
          <w:tcPr>
            <w:tcW w:w="1271" w:type="dxa"/>
          </w:tcPr>
          <w:p w14:paraId="15E7A18A" w14:textId="2F49E8F5" w:rsidR="008A7BE2" w:rsidRDefault="008A7BE2" w:rsidP="00C02C14">
            <w:pPr>
              <w:jc w:val="left"/>
            </w:pPr>
            <w:r>
              <w:t>CSC</w:t>
            </w:r>
          </w:p>
        </w:tc>
        <w:tc>
          <w:tcPr>
            <w:tcW w:w="7745" w:type="dxa"/>
          </w:tcPr>
          <w:p w14:paraId="722CD936" w14:textId="79AC31C1" w:rsidR="008A7BE2" w:rsidRDefault="008A7BE2" w:rsidP="00C02C14">
            <w:pPr>
              <w:jc w:val="left"/>
              <w:rPr>
                <w:szCs w:val="20"/>
              </w:rPr>
            </w:pPr>
            <w:r>
              <w:t>Current Source Converter</w:t>
            </w:r>
          </w:p>
        </w:tc>
      </w:tr>
      <w:tr w:rsidR="000332AB" w14:paraId="7DAF1FCC" w14:textId="77777777" w:rsidTr="00B1502F">
        <w:tc>
          <w:tcPr>
            <w:tcW w:w="1271" w:type="dxa"/>
          </w:tcPr>
          <w:p w14:paraId="4E8BE395" w14:textId="2916D018" w:rsidR="000332AB" w:rsidRDefault="000332AB" w:rsidP="00C02C14">
            <w:pPr>
              <w:jc w:val="left"/>
            </w:pPr>
            <w:r>
              <w:t>CSCR</w:t>
            </w:r>
          </w:p>
        </w:tc>
        <w:tc>
          <w:tcPr>
            <w:tcW w:w="7745" w:type="dxa"/>
          </w:tcPr>
          <w:p w14:paraId="67A69BAD" w14:textId="1073E2FE" w:rsidR="000332AB" w:rsidRPr="00201139" w:rsidRDefault="000332AB" w:rsidP="00C02C14">
            <w:pPr>
              <w:jc w:val="left"/>
            </w:pPr>
            <w:r>
              <w:rPr>
                <w:szCs w:val="20"/>
              </w:rPr>
              <w:t>Composite SCR</w:t>
            </w:r>
          </w:p>
        </w:tc>
      </w:tr>
      <w:tr w:rsidR="00C02C14" w14:paraId="1CCBAA58" w14:textId="77777777" w:rsidTr="00B1502F">
        <w:tc>
          <w:tcPr>
            <w:tcW w:w="1271" w:type="dxa"/>
          </w:tcPr>
          <w:p w14:paraId="5FEFE36E" w14:textId="5B0FF979" w:rsidR="00C02C14" w:rsidRDefault="00C02C14" w:rsidP="00C02C14">
            <w:pPr>
              <w:jc w:val="left"/>
            </w:pPr>
            <w:r>
              <w:t>CSIRO</w:t>
            </w:r>
          </w:p>
        </w:tc>
        <w:tc>
          <w:tcPr>
            <w:tcW w:w="7745" w:type="dxa"/>
          </w:tcPr>
          <w:p w14:paraId="10F4DCEA" w14:textId="60C027E1" w:rsidR="00C02C14" w:rsidRDefault="00C02C14" w:rsidP="00C02C14">
            <w:pPr>
              <w:jc w:val="left"/>
            </w:pPr>
            <w:r w:rsidRPr="00201139">
              <w:t>Commonwealth Scientific and Industrial Research Organisation</w:t>
            </w:r>
          </w:p>
        </w:tc>
      </w:tr>
      <w:tr w:rsidR="00C02C14" w14:paraId="10F18C23" w14:textId="77777777" w:rsidTr="00B1502F">
        <w:tc>
          <w:tcPr>
            <w:tcW w:w="1271" w:type="dxa"/>
          </w:tcPr>
          <w:p w14:paraId="77AABE2A" w14:textId="13DCD298" w:rsidR="00C02C14" w:rsidRDefault="00C02C14" w:rsidP="00C02C14">
            <w:pPr>
              <w:jc w:val="left"/>
            </w:pPr>
            <w:r>
              <w:t>DER</w:t>
            </w:r>
          </w:p>
        </w:tc>
        <w:tc>
          <w:tcPr>
            <w:tcW w:w="7745" w:type="dxa"/>
          </w:tcPr>
          <w:p w14:paraId="6C4E3FC6" w14:textId="338A5CD0" w:rsidR="00C02C14" w:rsidRDefault="00C02C14" w:rsidP="00C02C14">
            <w:pPr>
              <w:jc w:val="left"/>
            </w:pPr>
            <w:r>
              <w:t>Distributed Energy Resource</w:t>
            </w:r>
          </w:p>
        </w:tc>
      </w:tr>
      <w:tr w:rsidR="000F6207" w14:paraId="51311B03" w14:textId="77777777" w:rsidTr="00B1502F">
        <w:tc>
          <w:tcPr>
            <w:tcW w:w="1271" w:type="dxa"/>
          </w:tcPr>
          <w:p w14:paraId="7463A712" w14:textId="64C57A83" w:rsidR="000F6207" w:rsidRDefault="000F6207" w:rsidP="00C02C14">
            <w:pPr>
              <w:jc w:val="left"/>
            </w:pPr>
            <w:r>
              <w:t>ERCOT</w:t>
            </w:r>
          </w:p>
        </w:tc>
        <w:tc>
          <w:tcPr>
            <w:tcW w:w="7745" w:type="dxa"/>
          </w:tcPr>
          <w:p w14:paraId="2E0D598C" w14:textId="3B5C30FA" w:rsidR="000F6207" w:rsidRPr="00F72CDC" w:rsidRDefault="000F6207" w:rsidP="00C02C14">
            <w:pPr>
              <w:jc w:val="left"/>
            </w:pPr>
            <w:r>
              <w:rPr>
                <w:szCs w:val="20"/>
              </w:rPr>
              <w:t>Electric Reliability Council of Texas</w:t>
            </w:r>
          </w:p>
        </w:tc>
      </w:tr>
      <w:tr w:rsidR="00C02C14" w14:paraId="4A662F8E" w14:textId="77777777" w:rsidTr="00B1502F">
        <w:tc>
          <w:tcPr>
            <w:tcW w:w="1271" w:type="dxa"/>
          </w:tcPr>
          <w:p w14:paraId="59FA0EA7" w14:textId="59273B67" w:rsidR="00C02C14" w:rsidRDefault="00C02C14" w:rsidP="00C02C14">
            <w:pPr>
              <w:jc w:val="left"/>
            </w:pPr>
            <w:r>
              <w:t>ENTSO-E</w:t>
            </w:r>
          </w:p>
        </w:tc>
        <w:tc>
          <w:tcPr>
            <w:tcW w:w="7745" w:type="dxa"/>
          </w:tcPr>
          <w:p w14:paraId="6910F3CF" w14:textId="511ECC30" w:rsidR="00C02C14" w:rsidRDefault="00C02C14" w:rsidP="00C02C14">
            <w:pPr>
              <w:jc w:val="left"/>
            </w:pPr>
            <w:r w:rsidRPr="00F72CDC">
              <w:t>European Network of Transmission System Operators for Electricity</w:t>
            </w:r>
          </w:p>
        </w:tc>
      </w:tr>
      <w:tr w:rsidR="007D1161" w14:paraId="79D489AF" w14:textId="77777777" w:rsidTr="00B1502F">
        <w:tc>
          <w:tcPr>
            <w:tcW w:w="1271" w:type="dxa"/>
          </w:tcPr>
          <w:p w14:paraId="000499F9" w14:textId="32503A07" w:rsidR="007D1161" w:rsidRDefault="007D1161" w:rsidP="00C02C14">
            <w:pPr>
              <w:jc w:val="left"/>
            </w:pPr>
            <w:r>
              <w:t>ESB</w:t>
            </w:r>
          </w:p>
        </w:tc>
        <w:tc>
          <w:tcPr>
            <w:tcW w:w="7745" w:type="dxa"/>
          </w:tcPr>
          <w:p w14:paraId="4B93A2AC" w14:textId="70B1CAFC" w:rsidR="007D1161" w:rsidRDefault="007D1161" w:rsidP="00C02C14">
            <w:pPr>
              <w:jc w:val="left"/>
            </w:pPr>
            <w:r>
              <w:t>Energy Security Board</w:t>
            </w:r>
          </w:p>
        </w:tc>
      </w:tr>
      <w:tr w:rsidR="009534A7" w14:paraId="6DF8607E" w14:textId="77777777" w:rsidTr="00B1502F">
        <w:tc>
          <w:tcPr>
            <w:tcW w:w="1271" w:type="dxa"/>
          </w:tcPr>
          <w:p w14:paraId="5A737B87" w14:textId="26A7E168" w:rsidR="009534A7" w:rsidRDefault="009534A7" w:rsidP="00C02C14">
            <w:pPr>
              <w:jc w:val="left"/>
            </w:pPr>
            <w:r>
              <w:t>FACTS</w:t>
            </w:r>
          </w:p>
        </w:tc>
        <w:tc>
          <w:tcPr>
            <w:tcW w:w="7745" w:type="dxa"/>
          </w:tcPr>
          <w:p w14:paraId="1B56DA10" w14:textId="46E57424" w:rsidR="009534A7" w:rsidRDefault="009534A7" w:rsidP="00C02C14">
            <w:pPr>
              <w:jc w:val="left"/>
            </w:pPr>
            <w:r>
              <w:rPr>
                <w:szCs w:val="20"/>
              </w:rPr>
              <w:t>Flexible AC Transmission System</w:t>
            </w:r>
          </w:p>
        </w:tc>
      </w:tr>
      <w:tr w:rsidR="00C02C14" w14:paraId="49F79200" w14:textId="77777777" w:rsidTr="00B1502F">
        <w:tc>
          <w:tcPr>
            <w:tcW w:w="1271" w:type="dxa"/>
          </w:tcPr>
          <w:p w14:paraId="21CCE0CA" w14:textId="7BE0B723" w:rsidR="00C02C14" w:rsidRDefault="00C02C14" w:rsidP="00C02C14">
            <w:pPr>
              <w:jc w:val="left"/>
            </w:pPr>
            <w:r>
              <w:t>FCAS</w:t>
            </w:r>
          </w:p>
        </w:tc>
        <w:tc>
          <w:tcPr>
            <w:tcW w:w="7745" w:type="dxa"/>
          </w:tcPr>
          <w:p w14:paraId="4BD8746F" w14:textId="4DAC6148" w:rsidR="00C02C14" w:rsidRDefault="00C02C14" w:rsidP="00C02C14">
            <w:pPr>
              <w:jc w:val="left"/>
            </w:pPr>
            <w:r>
              <w:t>Frequency Control Ancillary Service</w:t>
            </w:r>
          </w:p>
        </w:tc>
      </w:tr>
      <w:tr w:rsidR="009F74A1" w14:paraId="27378128" w14:textId="77777777" w:rsidTr="00B1502F">
        <w:tc>
          <w:tcPr>
            <w:tcW w:w="1271" w:type="dxa"/>
          </w:tcPr>
          <w:p w14:paraId="730E9ED5" w14:textId="5CBC7A62" w:rsidR="009F74A1" w:rsidRDefault="009F74A1" w:rsidP="00C02C14">
            <w:pPr>
              <w:jc w:val="left"/>
            </w:pPr>
            <w:r>
              <w:t>FFR</w:t>
            </w:r>
          </w:p>
        </w:tc>
        <w:tc>
          <w:tcPr>
            <w:tcW w:w="7745" w:type="dxa"/>
          </w:tcPr>
          <w:p w14:paraId="12F04944" w14:textId="26A7F8DE" w:rsidR="009F74A1" w:rsidRDefault="009F74A1" w:rsidP="00C02C14">
            <w:pPr>
              <w:jc w:val="left"/>
            </w:pPr>
            <w:r>
              <w:t>Fast Frequency Response</w:t>
            </w:r>
          </w:p>
        </w:tc>
      </w:tr>
      <w:tr w:rsidR="00C02C14" w14:paraId="483D8856" w14:textId="77777777" w:rsidTr="00B1502F">
        <w:tc>
          <w:tcPr>
            <w:tcW w:w="1271" w:type="dxa"/>
          </w:tcPr>
          <w:p w14:paraId="2C87BC5A" w14:textId="0C55754F" w:rsidR="00C02C14" w:rsidRDefault="00C02C14" w:rsidP="00C02C14">
            <w:pPr>
              <w:jc w:val="left"/>
            </w:pPr>
            <w:r>
              <w:t>GPST</w:t>
            </w:r>
          </w:p>
        </w:tc>
        <w:tc>
          <w:tcPr>
            <w:tcW w:w="7745" w:type="dxa"/>
          </w:tcPr>
          <w:p w14:paraId="6E5183E3" w14:textId="6A456319" w:rsidR="00C02C14" w:rsidRDefault="00C02C14" w:rsidP="00C02C14">
            <w:pPr>
              <w:jc w:val="left"/>
            </w:pPr>
            <w:r>
              <w:t xml:space="preserve">Global Power System Transition consortium </w:t>
            </w:r>
          </w:p>
        </w:tc>
      </w:tr>
      <w:tr w:rsidR="00C02C14" w14:paraId="52A5A339" w14:textId="77777777" w:rsidTr="00B1502F">
        <w:tc>
          <w:tcPr>
            <w:tcW w:w="1271" w:type="dxa"/>
          </w:tcPr>
          <w:p w14:paraId="6D213990" w14:textId="216ACF49" w:rsidR="00C02C14" w:rsidRDefault="00C02C14" w:rsidP="00C02C14">
            <w:pPr>
              <w:jc w:val="left"/>
            </w:pPr>
            <w:r>
              <w:t>HVDC</w:t>
            </w:r>
          </w:p>
        </w:tc>
        <w:tc>
          <w:tcPr>
            <w:tcW w:w="7745" w:type="dxa"/>
          </w:tcPr>
          <w:p w14:paraId="2EAA3450" w14:textId="115C57A8" w:rsidR="00C02C14" w:rsidRDefault="00C02C14" w:rsidP="00C02C14">
            <w:pPr>
              <w:jc w:val="left"/>
            </w:pPr>
            <w:r w:rsidRPr="000F5168">
              <w:t>High-Voltage DC</w:t>
            </w:r>
          </w:p>
        </w:tc>
      </w:tr>
      <w:tr w:rsidR="00C0507A" w14:paraId="4B59DAB5" w14:textId="77777777" w:rsidTr="00B1502F">
        <w:tc>
          <w:tcPr>
            <w:tcW w:w="1271" w:type="dxa"/>
          </w:tcPr>
          <w:p w14:paraId="6EE3B6DD" w14:textId="6682E013" w:rsidR="00C0507A" w:rsidRDefault="00C0507A" w:rsidP="00C02C14">
            <w:pPr>
              <w:jc w:val="left"/>
            </w:pPr>
            <w:r>
              <w:t>LCC</w:t>
            </w:r>
          </w:p>
        </w:tc>
        <w:tc>
          <w:tcPr>
            <w:tcW w:w="7745" w:type="dxa"/>
          </w:tcPr>
          <w:p w14:paraId="30EB3B97" w14:textId="61F1FD35" w:rsidR="00C0507A" w:rsidRDefault="00C0507A" w:rsidP="00C02C14">
            <w:pPr>
              <w:jc w:val="left"/>
            </w:pPr>
            <w:r>
              <w:t>Line Commutated Converter</w:t>
            </w:r>
          </w:p>
        </w:tc>
      </w:tr>
      <w:tr w:rsidR="00C02C14" w14:paraId="5A9332D6" w14:textId="77777777" w:rsidTr="00B1502F">
        <w:tc>
          <w:tcPr>
            <w:tcW w:w="1271" w:type="dxa"/>
          </w:tcPr>
          <w:p w14:paraId="2A95A586" w14:textId="644C290A" w:rsidR="00C02C14" w:rsidRDefault="00C02C14" w:rsidP="00C02C14">
            <w:pPr>
              <w:jc w:val="left"/>
            </w:pPr>
            <w:r>
              <w:t>IAEA</w:t>
            </w:r>
          </w:p>
        </w:tc>
        <w:tc>
          <w:tcPr>
            <w:tcW w:w="7745" w:type="dxa"/>
          </w:tcPr>
          <w:p w14:paraId="49FBC3CC" w14:textId="14036DE0" w:rsidR="00C02C14" w:rsidRDefault="00C02C14" w:rsidP="00C02C14">
            <w:pPr>
              <w:jc w:val="left"/>
            </w:pPr>
            <w:r>
              <w:t>International Atomic Energy Agency</w:t>
            </w:r>
          </w:p>
        </w:tc>
      </w:tr>
      <w:tr w:rsidR="00C02C14" w14:paraId="1B388A81" w14:textId="77777777" w:rsidTr="00B1502F">
        <w:tc>
          <w:tcPr>
            <w:tcW w:w="1271" w:type="dxa"/>
          </w:tcPr>
          <w:p w14:paraId="4B898FBB" w14:textId="6E3FCD20" w:rsidR="00C02C14" w:rsidRDefault="00C02C14" w:rsidP="00C02C14">
            <w:pPr>
              <w:jc w:val="left"/>
            </w:pPr>
            <w:r>
              <w:t>IEA</w:t>
            </w:r>
          </w:p>
        </w:tc>
        <w:tc>
          <w:tcPr>
            <w:tcW w:w="7745" w:type="dxa"/>
          </w:tcPr>
          <w:p w14:paraId="775BE3A1" w14:textId="1E34FB90" w:rsidR="00C02C14" w:rsidRDefault="00C02C14" w:rsidP="00C02C14">
            <w:pPr>
              <w:jc w:val="left"/>
            </w:pPr>
            <w:r>
              <w:t>International Energy Agency</w:t>
            </w:r>
          </w:p>
        </w:tc>
      </w:tr>
      <w:tr w:rsidR="00C02C14" w14:paraId="4DA976D2" w14:textId="77777777" w:rsidTr="00B1502F">
        <w:tc>
          <w:tcPr>
            <w:tcW w:w="1271" w:type="dxa"/>
          </w:tcPr>
          <w:p w14:paraId="273709D7" w14:textId="336F090B" w:rsidR="00C02C14" w:rsidRDefault="00C02C14" w:rsidP="00C02C14">
            <w:pPr>
              <w:jc w:val="left"/>
            </w:pPr>
            <w:r>
              <w:t>IIER-A</w:t>
            </w:r>
          </w:p>
        </w:tc>
        <w:tc>
          <w:tcPr>
            <w:tcW w:w="7745" w:type="dxa"/>
          </w:tcPr>
          <w:p w14:paraId="05815513" w14:textId="7940239D" w:rsidR="00C02C14" w:rsidRDefault="00C02C14" w:rsidP="00C02C14">
            <w:pPr>
              <w:jc w:val="left"/>
            </w:pPr>
            <w:r>
              <w:t>Institute for Integrated Economic Research – Australia</w:t>
            </w:r>
          </w:p>
        </w:tc>
      </w:tr>
      <w:tr w:rsidR="00C02C14" w14:paraId="0F7FAEEC" w14:textId="77777777" w:rsidTr="00B1502F">
        <w:tc>
          <w:tcPr>
            <w:tcW w:w="1271" w:type="dxa"/>
          </w:tcPr>
          <w:p w14:paraId="13FF84AE" w14:textId="6A5DD35C" w:rsidR="00C02C14" w:rsidRDefault="00C02C14" w:rsidP="00C02C14">
            <w:pPr>
              <w:jc w:val="left"/>
            </w:pPr>
            <w:r>
              <w:t>IRRE</w:t>
            </w:r>
          </w:p>
        </w:tc>
        <w:tc>
          <w:tcPr>
            <w:tcW w:w="7745" w:type="dxa"/>
          </w:tcPr>
          <w:p w14:paraId="4C91C6AD" w14:textId="7C754CC3" w:rsidR="00C02C14" w:rsidRDefault="00C02C14" w:rsidP="00C02C14">
            <w:pPr>
              <w:jc w:val="left"/>
            </w:pPr>
            <w:r>
              <w:rPr>
                <w:szCs w:val="20"/>
              </w:rPr>
              <w:t>Insufficient Ramping Resource Expectation</w:t>
            </w:r>
          </w:p>
        </w:tc>
      </w:tr>
      <w:tr w:rsidR="00C02C14" w14:paraId="05BB1F53" w14:textId="77777777" w:rsidTr="00B1502F">
        <w:tc>
          <w:tcPr>
            <w:tcW w:w="1271" w:type="dxa"/>
          </w:tcPr>
          <w:p w14:paraId="7C91BEC8" w14:textId="5A58668D" w:rsidR="00C02C14" w:rsidRDefault="00C02C14" w:rsidP="00C02C14">
            <w:pPr>
              <w:jc w:val="left"/>
            </w:pPr>
            <w:r>
              <w:t>ISP</w:t>
            </w:r>
          </w:p>
        </w:tc>
        <w:tc>
          <w:tcPr>
            <w:tcW w:w="7745" w:type="dxa"/>
          </w:tcPr>
          <w:p w14:paraId="7E51085F" w14:textId="76AD5B89" w:rsidR="00C02C14" w:rsidRDefault="00C02C14" w:rsidP="00C02C14">
            <w:pPr>
              <w:jc w:val="left"/>
            </w:pPr>
            <w:r>
              <w:t>Integrated System Plan</w:t>
            </w:r>
          </w:p>
        </w:tc>
      </w:tr>
      <w:tr w:rsidR="00C02C14" w14:paraId="58E1A4D2" w14:textId="77777777" w:rsidTr="00B1502F">
        <w:tc>
          <w:tcPr>
            <w:tcW w:w="1271" w:type="dxa"/>
          </w:tcPr>
          <w:p w14:paraId="242BFA8B" w14:textId="5D51F0CC" w:rsidR="00C02C14" w:rsidRDefault="00C02C14" w:rsidP="00C02C14">
            <w:pPr>
              <w:jc w:val="left"/>
            </w:pPr>
            <w:r>
              <w:t>NER</w:t>
            </w:r>
          </w:p>
        </w:tc>
        <w:tc>
          <w:tcPr>
            <w:tcW w:w="7745" w:type="dxa"/>
          </w:tcPr>
          <w:p w14:paraId="4637771E" w14:textId="3E7EA161" w:rsidR="00C02C14" w:rsidRDefault="00C02C14" w:rsidP="00C02C14">
            <w:pPr>
              <w:jc w:val="left"/>
              <w:rPr>
                <w:szCs w:val="20"/>
              </w:rPr>
            </w:pPr>
            <w:r>
              <w:t>National Electricity Rules</w:t>
            </w:r>
          </w:p>
        </w:tc>
      </w:tr>
      <w:tr w:rsidR="00C02C14" w14:paraId="4EA3E407" w14:textId="77777777" w:rsidTr="00B1502F">
        <w:tc>
          <w:tcPr>
            <w:tcW w:w="1271" w:type="dxa"/>
          </w:tcPr>
          <w:p w14:paraId="28862F87" w14:textId="0ABCE36E" w:rsidR="00C02C14" w:rsidRDefault="00C02C14" w:rsidP="00C02C14">
            <w:pPr>
              <w:jc w:val="left"/>
            </w:pPr>
            <w:r>
              <w:t>NFI</w:t>
            </w:r>
          </w:p>
        </w:tc>
        <w:tc>
          <w:tcPr>
            <w:tcW w:w="7745" w:type="dxa"/>
          </w:tcPr>
          <w:p w14:paraId="3EDA0FFB" w14:textId="5F501F13" w:rsidR="00C02C14" w:rsidRDefault="00C02C14" w:rsidP="00C02C14">
            <w:pPr>
              <w:jc w:val="left"/>
            </w:pPr>
            <w:r>
              <w:rPr>
                <w:szCs w:val="20"/>
              </w:rPr>
              <w:t>Normalised Flexibility Index</w:t>
            </w:r>
          </w:p>
        </w:tc>
      </w:tr>
      <w:tr w:rsidR="0037622C" w14:paraId="40B29941" w14:textId="77777777" w:rsidTr="00B1502F">
        <w:tc>
          <w:tcPr>
            <w:tcW w:w="1271" w:type="dxa"/>
          </w:tcPr>
          <w:p w14:paraId="36D2DD67" w14:textId="4D9F873A" w:rsidR="0037622C" w:rsidRDefault="0037622C" w:rsidP="0037622C">
            <w:pPr>
              <w:jc w:val="left"/>
            </w:pPr>
            <w:r>
              <w:t>NLCAS</w:t>
            </w:r>
          </w:p>
        </w:tc>
        <w:tc>
          <w:tcPr>
            <w:tcW w:w="7745" w:type="dxa"/>
          </w:tcPr>
          <w:p w14:paraId="5284836C" w14:textId="7C1389FE" w:rsidR="0037622C" w:rsidRDefault="0037622C" w:rsidP="0037622C">
            <w:pPr>
              <w:jc w:val="left"/>
            </w:pPr>
            <w:r>
              <w:t>Network Loading Control Ancillary Service</w:t>
            </w:r>
          </w:p>
        </w:tc>
      </w:tr>
      <w:tr w:rsidR="00C02C14" w14:paraId="669461F2" w14:textId="77777777" w:rsidTr="00B1502F">
        <w:tc>
          <w:tcPr>
            <w:tcW w:w="1271" w:type="dxa"/>
          </w:tcPr>
          <w:p w14:paraId="4B4E09A1" w14:textId="7F615C43" w:rsidR="00C02C14" w:rsidRDefault="00C02C14" w:rsidP="00C02C14">
            <w:pPr>
              <w:jc w:val="left"/>
            </w:pPr>
            <w:r>
              <w:t>NREL</w:t>
            </w:r>
          </w:p>
        </w:tc>
        <w:tc>
          <w:tcPr>
            <w:tcW w:w="7745" w:type="dxa"/>
          </w:tcPr>
          <w:p w14:paraId="0BD43225" w14:textId="657E7D11" w:rsidR="00C02C14" w:rsidRDefault="00C02C14" w:rsidP="00C02C14">
            <w:pPr>
              <w:jc w:val="left"/>
            </w:pPr>
            <w:r>
              <w:t>N</w:t>
            </w:r>
            <w:r w:rsidRPr="00E12959">
              <w:t xml:space="preserve">ational </w:t>
            </w:r>
            <w:r>
              <w:t>Renewable Energy L</w:t>
            </w:r>
            <w:r w:rsidRPr="00E12959">
              <w:t>aboratory</w:t>
            </w:r>
          </w:p>
        </w:tc>
      </w:tr>
      <w:tr w:rsidR="00901704" w14:paraId="6D621C04" w14:textId="77777777" w:rsidTr="00B1502F">
        <w:tc>
          <w:tcPr>
            <w:tcW w:w="1271" w:type="dxa"/>
          </w:tcPr>
          <w:p w14:paraId="30685A97" w14:textId="5FE59B11" w:rsidR="00901704" w:rsidRDefault="00901704" w:rsidP="00C02C14">
            <w:pPr>
              <w:jc w:val="left"/>
            </w:pPr>
            <w:r>
              <w:t>OLTC</w:t>
            </w:r>
          </w:p>
        </w:tc>
        <w:tc>
          <w:tcPr>
            <w:tcW w:w="7745" w:type="dxa"/>
          </w:tcPr>
          <w:p w14:paraId="2E682BB9" w14:textId="3592FDF4" w:rsidR="00901704" w:rsidRDefault="00901704" w:rsidP="00C02C14">
            <w:pPr>
              <w:jc w:val="left"/>
              <w:rPr>
                <w:szCs w:val="20"/>
              </w:rPr>
            </w:pPr>
            <w:r>
              <w:rPr>
                <w:szCs w:val="20"/>
              </w:rPr>
              <w:t>On-Load Tap Changer</w:t>
            </w:r>
          </w:p>
        </w:tc>
      </w:tr>
      <w:tr w:rsidR="00C02C14" w14:paraId="0919584A" w14:textId="77777777" w:rsidTr="00B1502F">
        <w:tc>
          <w:tcPr>
            <w:tcW w:w="1271" w:type="dxa"/>
          </w:tcPr>
          <w:p w14:paraId="5E32458C" w14:textId="51EBAE99" w:rsidR="00C02C14" w:rsidRDefault="00C02C14" w:rsidP="00C02C14">
            <w:pPr>
              <w:jc w:val="left"/>
            </w:pPr>
            <w:r>
              <w:t>PHS</w:t>
            </w:r>
          </w:p>
        </w:tc>
        <w:tc>
          <w:tcPr>
            <w:tcW w:w="7745" w:type="dxa"/>
          </w:tcPr>
          <w:p w14:paraId="49A2E433" w14:textId="0CE4AFAD" w:rsidR="00C02C14" w:rsidRDefault="00C02C14" w:rsidP="00C02C14">
            <w:pPr>
              <w:jc w:val="left"/>
            </w:pPr>
            <w:r>
              <w:rPr>
                <w:szCs w:val="20"/>
              </w:rPr>
              <w:t>Pumped Hydro Storage</w:t>
            </w:r>
          </w:p>
        </w:tc>
      </w:tr>
      <w:tr w:rsidR="00311FFC" w14:paraId="7D489E84" w14:textId="77777777" w:rsidTr="00B1502F">
        <w:tc>
          <w:tcPr>
            <w:tcW w:w="1271" w:type="dxa"/>
          </w:tcPr>
          <w:p w14:paraId="281B2F02" w14:textId="6354A6CC" w:rsidR="00311FFC" w:rsidRDefault="00311FFC" w:rsidP="00311FFC">
            <w:pPr>
              <w:jc w:val="left"/>
            </w:pPr>
            <w:r>
              <w:t>PSS</w:t>
            </w:r>
          </w:p>
        </w:tc>
        <w:tc>
          <w:tcPr>
            <w:tcW w:w="7745" w:type="dxa"/>
          </w:tcPr>
          <w:p w14:paraId="35E71620" w14:textId="418FBF0B" w:rsidR="00311FFC" w:rsidRDefault="00311FFC" w:rsidP="00311FFC">
            <w:pPr>
              <w:jc w:val="left"/>
            </w:pPr>
            <w:r>
              <w:t>Power System Stabiliser</w:t>
            </w:r>
          </w:p>
        </w:tc>
      </w:tr>
      <w:tr w:rsidR="00311FFC" w14:paraId="486AF619" w14:textId="77777777" w:rsidTr="00B1502F">
        <w:tc>
          <w:tcPr>
            <w:tcW w:w="1271" w:type="dxa"/>
          </w:tcPr>
          <w:p w14:paraId="39A8F55F" w14:textId="42A0E828" w:rsidR="00311FFC" w:rsidRDefault="00311FFC" w:rsidP="00311FFC">
            <w:pPr>
              <w:jc w:val="left"/>
            </w:pPr>
            <w:r>
              <w:t>PV</w:t>
            </w:r>
          </w:p>
        </w:tc>
        <w:tc>
          <w:tcPr>
            <w:tcW w:w="7745" w:type="dxa"/>
          </w:tcPr>
          <w:p w14:paraId="21DA2284" w14:textId="31F7143C" w:rsidR="00311FFC" w:rsidRDefault="00311FFC" w:rsidP="00311FFC">
            <w:pPr>
              <w:jc w:val="left"/>
            </w:pPr>
            <w:r>
              <w:t>P</w:t>
            </w:r>
            <w:r w:rsidRPr="005813AB">
              <w:t>hotovoltaics</w:t>
            </w:r>
          </w:p>
        </w:tc>
      </w:tr>
      <w:tr w:rsidR="00C02C14" w14:paraId="0A23EADD" w14:textId="77777777" w:rsidTr="00B1502F">
        <w:tc>
          <w:tcPr>
            <w:tcW w:w="1271" w:type="dxa"/>
          </w:tcPr>
          <w:p w14:paraId="51059566" w14:textId="6EBCCB86" w:rsidR="00C02C14" w:rsidRDefault="00C02C14" w:rsidP="00C02C14">
            <w:pPr>
              <w:jc w:val="left"/>
            </w:pPr>
            <w:r>
              <w:t>RoCoF</w:t>
            </w:r>
          </w:p>
        </w:tc>
        <w:tc>
          <w:tcPr>
            <w:tcW w:w="7745" w:type="dxa"/>
          </w:tcPr>
          <w:p w14:paraId="5E414C95" w14:textId="690F332F" w:rsidR="00C02C14" w:rsidRDefault="00C02C14" w:rsidP="00C02C14">
            <w:pPr>
              <w:jc w:val="left"/>
            </w:pPr>
            <w:r>
              <w:t>Rate of Change of Frequency</w:t>
            </w:r>
          </w:p>
        </w:tc>
      </w:tr>
      <w:tr w:rsidR="00C02C14" w14:paraId="386FF7C6" w14:textId="77777777" w:rsidTr="00B1502F">
        <w:tc>
          <w:tcPr>
            <w:tcW w:w="1271" w:type="dxa"/>
          </w:tcPr>
          <w:p w14:paraId="436C1D85" w14:textId="421BC825" w:rsidR="00C02C14" w:rsidRDefault="00C02C14" w:rsidP="00C02C14">
            <w:pPr>
              <w:jc w:val="left"/>
            </w:pPr>
            <w:r>
              <w:t>RES</w:t>
            </w:r>
          </w:p>
        </w:tc>
        <w:tc>
          <w:tcPr>
            <w:tcW w:w="7745" w:type="dxa"/>
          </w:tcPr>
          <w:p w14:paraId="25B5544E" w14:textId="3140898D" w:rsidR="00C02C14" w:rsidRDefault="00C02C14" w:rsidP="00C02C14">
            <w:pPr>
              <w:jc w:val="left"/>
            </w:pPr>
            <w:r>
              <w:t>Renewable Energy Sources</w:t>
            </w:r>
          </w:p>
        </w:tc>
      </w:tr>
      <w:tr w:rsidR="00C02C14" w14:paraId="67A7FBA3" w14:textId="77777777" w:rsidTr="00B1502F">
        <w:tc>
          <w:tcPr>
            <w:tcW w:w="1271" w:type="dxa"/>
          </w:tcPr>
          <w:p w14:paraId="6C65FDD9" w14:textId="53324E95" w:rsidR="00C02C14" w:rsidRDefault="00C02C14" w:rsidP="00C02C14">
            <w:pPr>
              <w:jc w:val="left"/>
            </w:pPr>
            <w:r>
              <w:t>SARS</w:t>
            </w:r>
          </w:p>
        </w:tc>
        <w:tc>
          <w:tcPr>
            <w:tcW w:w="7745" w:type="dxa"/>
          </w:tcPr>
          <w:p w14:paraId="1FC8711C" w14:textId="084FC012" w:rsidR="00C02C14" w:rsidRDefault="00C02C14" w:rsidP="00C02C14">
            <w:pPr>
              <w:jc w:val="left"/>
            </w:pPr>
            <w:r>
              <w:t>System Restart Ancillary Service</w:t>
            </w:r>
          </w:p>
        </w:tc>
      </w:tr>
      <w:tr w:rsidR="00C02C14" w14:paraId="5B55C452" w14:textId="77777777" w:rsidTr="00B1502F">
        <w:tc>
          <w:tcPr>
            <w:tcW w:w="1271" w:type="dxa"/>
          </w:tcPr>
          <w:p w14:paraId="2C8A4864" w14:textId="27AE48AF" w:rsidR="00C02C14" w:rsidRDefault="00C02C14" w:rsidP="00C02C14">
            <w:pPr>
              <w:jc w:val="left"/>
            </w:pPr>
            <w:r>
              <w:t>SCR</w:t>
            </w:r>
          </w:p>
        </w:tc>
        <w:tc>
          <w:tcPr>
            <w:tcW w:w="7745" w:type="dxa"/>
          </w:tcPr>
          <w:p w14:paraId="5007EE82" w14:textId="29C8ED91" w:rsidR="00C02C14" w:rsidRDefault="00C02C14" w:rsidP="00C02C14">
            <w:pPr>
              <w:jc w:val="left"/>
            </w:pPr>
            <w:r>
              <w:t>Short Circuit Ratio</w:t>
            </w:r>
          </w:p>
        </w:tc>
      </w:tr>
      <w:tr w:rsidR="00901704" w14:paraId="5EF06FC8" w14:textId="77777777" w:rsidTr="00B1502F">
        <w:tc>
          <w:tcPr>
            <w:tcW w:w="1271" w:type="dxa"/>
          </w:tcPr>
          <w:p w14:paraId="586AB4F6" w14:textId="344FE471" w:rsidR="00901704" w:rsidRDefault="00901704" w:rsidP="00C02C14">
            <w:pPr>
              <w:jc w:val="left"/>
            </w:pPr>
            <w:r>
              <w:t>STATCOM</w:t>
            </w:r>
          </w:p>
        </w:tc>
        <w:tc>
          <w:tcPr>
            <w:tcW w:w="7745" w:type="dxa"/>
          </w:tcPr>
          <w:p w14:paraId="10AD2EFE" w14:textId="23331774" w:rsidR="00901704" w:rsidRDefault="00901704" w:rsidP="00C02C14">
            <w:pPr>
              <w:jc w:val="left"/>
            </w:pPr>
            <w:r>
              <w:rPr>
                <w:szCs w:val="20"/>
              </w:rPr>
              <w:t>Static Synchronous Compensator</w:t>
            </w:r>
          </w:p>
        </w:tc>
      </w:tr>
      <w:tr w:rsidR="009F74A1" w14:paraId="577A7813" w14:textId="77777777" w:rsidTr="00B1502F">
        <w:tc>
          <w:tcPr>
            <w:tcW w:w="1271" w:type="dxa"/>
          </w:tcPr>
          <w:p w14:paraId="5996C5C2" w14:textId="223A8B50" w:rsidR="009F74A1" w:rsidRDefault="009F74A1" w:rsidP="00C02C14">
            <w:pPr>
              <w:jc w:val="left"/>
            </w:pPr>
            <w:r>
              <w:t>SVC</w:t>
            </w:r>
          </w:p>
        </w:tc>
        <w:tc>
          <w:tcPr>
            <w:tcW w:w="7745" w:type="dxa"/>
          </w:tcPr>
          <w:p w14:paraId="082D9359" w14:textId="49E6E2AD" w:rsidR="009F74A1" w:rsidRPr="009F74A1" w:rsidRDefault="009F74A1" w:rsidP="00C02C14">
            <w:pPr>
              <w:jc w:val="left"/>
              <w:rPr>
                <w:szCs w:val="20"/>
              </w:rPr>
            </w:pPr>
            <w:r w:rsidRPr="009F74A1">
              <w:rPr>
                <w:szCs w:val="20"/>
              </w:rPr>
              <w:t>Static VAR Compensator</w:t>
            </w:r>
          </w:p>
        </w:tc>
      </w:tr>
      <w:tr w:rsidR="00311FFC" w14:paraId="3FE40B7D" w14:textId="77777777" w:rsidTr="00B1502F">
        <w:tc>
          <w:tcPr>
            <w:tcW w:w="1271" w:type="dxa"/>
          </w:tcPr>
          <w:p w14:paraId="208BAEAF" w14:textId="425D9D89" w:rsidR="00311FFC" w:rsidRDefault="00311FFC" w:rsidP="00311FFC">
            <w:pPr>
              <w:jc w:val="left"/>
            </w:pPr>
            <w:r>
              <w:t>TOSAS</w:t>
            </w:r>
          </w:p>
        </w:tc>
        <w:tc>
          <w:tcPr>
            <w:tcW w:w="7745" w:type="dxa"/>
          </w:tcPr>
          <w:p w14:paraId="29B92C45" w14:textId="1C71660A" w:rsidR="00311FFC" w:rsidRDefault="00311FFC" w:rsidP="00311FFC">
            <w:pPr>
              <w:jc w:val="left"/>
            </w:pPr>
            <w:r>
              <w:t>Transient and Oscillatory Stability Ancillary Service</w:t>
            </w:r>
          </w:p>
        </w:tc>
      </w:tr>
      <w:tr w:rsidR="00311FFC" w14:paraId="687B1BA8" w14:textId="77777777" w:rsidTr="00B1502F">
        <w:tc>
          <w:tcPr>
            <w:tcW w:w="1271" w:type="dxa"/>
          </w:tcPr>
          <w:p w14:paraId="34A82690" w14:textId="5CA8C369" w:rsidR="00311FFC" w:rsidRDefault="00311FFC" w:rsidP="00311FFC">
            <w:pPr>
              <w:jc w:val="left"/>
            </w:pPr>
            <w:r>
              <w:t>VCAS</w:t>
            </w:r>
          </w:p>
        </w:tc>
        <w:tc>
          <w:tcPr>
            <w:tcW w:w="7745" w:type="dxa"/>
          </w:tcPr>
          <w:p w14:paraId="31DC38C8" w14:textId="515D6CFC" w:rsidR="00311FFC" w:rsidRDefault="00311FFC" w:rsidP="00311FFC">
            <w:pPr>
              <w:jc w:val="left"/>
            </w:pPr>
            <w:r>
              <w:t>Voltage Control Ancillary Service</w:t>
            </w:r>
          </w:p>
        </w:tc>
      </w:tr>
      <w:tr w:rsidR="00443860" w14:paraId="6D86D487" w14:textId="77777777" w:rsidTr="00B1502F">
        <w:tc>
          <w:tcPr>
            <w:tcW w:w="1271" w:type="dxa"/>
          </w:tcPr>
          <w:p w14:paraId="6B8EF93A" w14:textId="1BFA045E" w:rsidR="00443860" w:rsidRDefault="00443860" w:rsidP="00443860">
            <w:pPr>
              <w:jc w:val="left"/>
            </w:pPr>
            <w:r>
              <w:t>VPP</w:t>
            </w:r>
          </w:p>
        </w:tc>
        <w:tc>
          <w:tcPr>
            <w:tcW w:w="7745" w:type="dxa"/>
          </w:tcPr>
          <w:p w14:paraId="66FC0634" w14:textId="618650CE" w:rsidR="00443860" w:rsidRDefault="00443860" w:rsidP="00443860">
            <w:pPr>
              <w:jc w:val="left"/>
            </w:pPr>
            <w:r>
              <w:t>Virtual Power Plant</w:t>
            </w:r>
          </w:p>
        </w:tc>
      </w:tr>
      <w:tr w:rsidR="0022724A" w14:paraId="7F3A3CDF" w14:textId="77777777" w:rsidTr="00B1502F">
        <w:tc>
          <w:tcPr>
            <w:tcW w:w="1271" w:type="dxa"/>
          </w:tcPr>
          <w:p w14:paraId="18417822" w14:textId="753FF253" w:rsidR="0022724A" w:rsidRDefault="0022724A" w:rsidP="0022724A">
            <w:pPr>
              <w:jc w:val="left"/>
            </w:pPr>
            <w:r>
              <w:t>VRE</w:t>
            </w:r>
          </w:p>
        </w:tc>
        <w:tc>
          <w:tcPr>
            <w:tcW w:w="7745" w:type="dxa"/>
          </w:tcPr>
          <w:p w14:paraId="22AA6D92" w14:textId="314046A6" w:rsidR="0022724A" w:rsidRDefault="0022724A" w:rsidP="0022724A">
            <w:pPr>
              <w:jc w:val="left"/>
            </w:pPr>
            <w:r>
              <w:t>Variable Renewable Energy</w:t>
            </w:r>
          </w:p>
        </w:tc>
      </w:tr>
      <w:tr w:rsidR="0022724A" w14:paraId="10C2EC1A" w14:textId="77777777" w:rsidTr="00B1502F">
        <w:tc>
          <w:tcPr>
            <w:tcW w:w="1271" w:type="dxa"/>
          </w:tcPr>
          <w:p w14:paraId="1C760587" w14:textId="7B3F341C" w:rsidR="0022724A" w:rsidRDefault="0022724A" w:rsidP="0022724A">
            <w:pPr>
              <w:jc w:val="left"/>
            </w:pPr>
            <w:r>
              <w:t>VSC</w:t>
            </w:r>
          </w:p>
        </w:tc>
        <w:tc>
          <w:tcPr>
            <w:tcW w:w="7745" w:type="dxa"/>
          </w:tcPr>
          <w:p w14:paraId="76BECCC7" w14:textId="7639B0FD" w:rsidR="0022724A" w:rsidRDefault="0022724A" w:rsidP="0022724A">
            <w:pPr>
              <w:jc w:val="left"/>
            </w:pPr>
            <w:r>
              <w:t>Voltage Source Converters</w:t>
            </w:r>
          </w:p>
        </w:tc>
      </w:tr>
    </w:tbl>
    <w:p w14:paraId="067784C3" w14:textId="77777777" w:rsidR="00E53A86" w:rsidRDefault="00E53A86">
      <w:pPr>
        <w:jc w:val="left"/>
      </w:pPr>
    </w:p>
    <w:p w14:paraId="630227B3" w14:textId="77777777" w:rsidR="00370835" w:rsidRDefault="00370835">
      <w:pPr>
        <w:jc w:val="left"/>
      </w:pPr>
    </w:p>
    <w:p w14:paraId="13DB02B3" w14:textId="7A55BC67" w:rsidR="000A46C0" w:rsidRDefault="000A46C0" w:rsidP="001F68E8">
      <w:pPr>
        <w:jc w:val="left"/>
        <w:sectPr w:rsidR="000A46C0" w:rsidSect="0081589F">
          <w:footerReference w:type="first" r:id="rId24"/>
          <w:pgSz w:w="11906" w:h="16838" w:code="9"/>
          <w:pgMar w:top="1440" w:right="1440" w:bottom="1440" w:left="1440" w:header="720" w:footer="720" w:gutter="0"/>
          <w:pgNumType w:fmt="lowerRoman"/>
          <w:cols w:space="720"/>
          <w:titlePg/>
          <w:docGrid w:linePitch="360"/>
        </w:sectPr>
      </w:pPr>
    </w:p>
    <w:p w14:paraId="4CB69DD3" w14:textId="5DC86935" w:rsidR="00614AB4" w:rsidRPr="00BD7DFB" w:rsidRDefault="00614AB4" w:rsidP="00FC4C36">
      <w:pPr>
        <w:pStyle w:val="Heading1"/>
      </w:pPr>
      <w:bookmarkStart w:id="1" w:name="_Toc83674459"/>
      <w:r w:rsidRPr="00BD7DFB">
        <w:lastRenderedPageBreak/>
        <w:t>Introduction</w:t>
      </w:r>
      <w:bookmarkEnd w:id="1"/>
    </w:p>
    <w:p w14:paraId="5BD8F9C4" w14:textId="6D318899" w:rsidR="00DC51DB" w:rsidRDefault="00304241" w:rsidP="00614AB4">
      <w:r>
        <w:t xml:space="preserve">Australia is in a commanding position to lead change to the world owing to its availability </w:t>
      </w:r>
      <w:bookmarkStart w:id="2" w:name="_Hlk75092759"/>
      <w:r>
        <w:t>of vast renewable energy sources because of where it is geographically positioned</w:t>
      </w:r>
      <w:r w:rsidR="45C93D16">
        <w:t>, and its fast growth in renewables (almost double the global average</w:t>
      </w:r>
      <w:r w:rsidR="2419E7DC">
        <w:t>)</w:t>
      </w:r>
      <w:r>
        <w:t>. Furthermore, owing to its population’s attraction to living in coastal areas, Australia possesses one of the world’s longest interconnected power systems</w:t>
      </w:r>
      <w:bookmarkEnd w:id="2"/>
      <w:r w:rsidR="0049448E">
        <w:t xml:space="preserve"> </w:t>
      </w:r>
      <w:r w:rsidR="00BC5582">
        <w:fldChar w:fldCharType="begin"/>
      </w:r>
      <w:r w:rsidR="00B12710">
        <w:instrText xml:space="preserve"> ADDIN EN.CITE &lt;EndNote&gt;&lt;Cite&gt;&lt;Author&gt;J. Bryant&lt;/Author&gt;&lt;Year&gt;2019&lt;/Year&gt;&lt;RecNum&gt;64&lt;/RecNum&gt;&lt;DisplayText&gt;[3]&lt;/DisplayText&gt;&lt;record&gt;&lt;rec-number&gt;64&lt;/rec-number&gt;&lt;foreign-keys&gt;&lt;key app="EN" db-id="dsezaaaxf5z9dte9xeovfea50xe9wdtdapd9" timestamp="1624248308"&gt;64&lt;/key&gt;&lt;/foreign-keys&gt;&lt;ref-type name="Manuscript"&gt;36&lt;/ref-type&gt;&lt;contributors&gt;&lt;authors&gt;&lt;author&gt;J. Bryant,&lt;/author&gt;&lt;author&gt;R. Ghanbari,&lt;/author&gt;&lt;author&gt;M. Jalili,&lt;/author&gt;&lt;author&gt;P. Sokolowski,&lt;/author&gt;&lt;author&gt;L. Meegahapola.&lt;/author&gt;&lt;/authors&gt;&lt;secondary-authors&gt;&lt;author&gt;RMIT University&lt;/author&gt;&lt;/secondary-authors&gt;&lt;/contributors&gt;&lt;titles&gt;&lt;title&gt;Frequency control challenges in power systems with high renewable power generation: an Australian Perspective&lt;/title&gt;&lt;/titles&gt;&lt;dates&gt;&lt;year&gt;2019&lt;/year&gt;&lt;/dates&gt;&lt;urls&gt;&lt;/urls&gt;&lt;/record&gt;&lt;/Cite&gt;&lt;/EndNote&gt;</w:instrText>
      </w:r>
      <w:r w:rsidR="00BC5582">
        <w:fldChar w:fldCharType="separate"/>
      </w:r>
      <w:r w:rsidR="00B12710">
        <w:rPr>
          <w:noProof/>
        </w:rPr>
        <w:t>[3]</w:t>
      </w:r>
      <w:r w:rsidR="00BC5582">
        <w:fldChar w:fldCharType="end"/>
      </w:r>
      <w:r w:rsidR="1C66A083" w:rsidRPr="551ABFA7">
        <w:rPr>
          <w:noProof/>
        </w:rPr>
        <w:t xml:space="preserve">, which presents its </w:t>
      </w:r>
      <w:r w:rsidR="26FB4569" w:rsidRPr="3588CF26">
        <w:rPr>
          <w:noProof/>
        </w:rPr>
        <w:t xml:space="preserve">own </w:t>
      </w:r>
      <w:r w:rsidR="6FDB2FEA" w:rsidRPr="276B6DEB">
        <w:rPr>
          <w:noProof/>
        </w:rPr>
        <w:t>techn</w:t>
      </w:r>
      <w:r w:rsidR="001C1723">
        <w:rPr>
          <w:noProof/>
        </w:rPr>
        <w:t>i</w:t>
      </w:r>
      <w:r w:rsidR="6FDB2FEA" w:rsidRPr="276B6DEB">
        <w:rPr>
          <w:noProof/>
        </w:rPr>
        <w:t xml:space="preserve">cal </w:t>
      </w:r>
      <w:r w:rsidR="1C66A083" w:rsidRPr="551ABFA7">
        <w:rPr>
          <w:noProof/>
        </w:rPr>
        <w:t>challenge</w:t>
      </w:r>
      <w:r w:rsidR="3C7C0FEC" w:rsidRPr="3BD4BF2C">
        <w:rPr>
          <w:noProof/>
        </w:rPr>
        <w:t>.</w:t>
      </w:r>
      <w:r w:rsidR="006B789D">
        <w:rPr>
          <w:noProof/>
        </w:rPr>
        <w:t xml:space="preserve"> </w:t>
      </w:r>
      <w:r>
        <w:t>Australia</w:t>
      </w:r>
      <w:r w:rsidR="00D176D8">
        <w:t xml:space="preserve"> should be prepared</w:t>
      </w:r>
      <w:r>
        <w:t xml:space="preserve"> for </w:t>
      </w:r>
      <w:r w:rsidR="00051711">
        <w:t xml:space="preserve">a </w:t>
      </w:r>
      <w:r w:rsidR="00CE21D4">
        <w:t xml:space="preserve">future </w:t>
      </w:r>
      <w:r>
        <w:t>robust</w:t>
      </w:r>
      <w:r w:rsidR="00DC51DB">
        <w:t xml:space="preserve"> power </w:t>
      </w:r>
      <w:r w:rsidR="007629E5">
        <w:t>supply and use</w:t>
      </w:r>
      <w:r w:rsidR="71DD89E0">
        <w:t xml:space="preserve"> in the increasingly renewable </w:t>
      </w:r>
      <w:r w:rsidR="00457155">
        <w:t xml:space="preserve">dominated </w:t>
      </w:r>
      <w:r w:rsidR="71DD89E0">
        <w:t xml:space="preserve">energy </w:t>
      </w:r>
      <w:r w:rsidR="41FB2A10">
        <w:t>scenario</w:t>
      </w:r>
      <w:r w:rsidR="33320598">
        <w:t xml:space="preserve"> as well as meeting its target to cut greenhouse gas emissions to net zero by 2050</w:t>
      </w:r>
      <w:r w:rsidR="00BB6FEC">
        <w:t>.</w:t>
      </w:r>
      <w:r w:rsidR="00C82049">
        <w:t xml:space="preserve"> </w:t>
      </w:r>
      <w:r w:rsidR="00C82049" w:rsidRPr="00470388">
        <w:t>To this end,</w:t>
      </w:r>
      <w:r w:rsidR="00DC51DB" w:rsidRPr="00470388">
        <w:t xml:space="preserve"> new and existing services require lower</w:t>
      </w:r>
      <w:r w:rsidR="0085299E" w:rsidRPr="00470388">
        <w:t>ing</w:t>
      </w:r>
      <w:r w:rsidR="00DC51DB" w:rsidRPr="00470388">
        <w:t xml:space="preserve"> barriers and remov</w:t>
      </w:r>
      <w:r w:rsidR="0085299E" w:rsidRPr="00470388">
        <w:t>ing</w:t>
      </w:r>
      <w:r w:rsidR="00DC51DB" w:rsidRPr="00470388">
        <w:t xml:space="preserve"> boundaries </w:t>
      </w:r>
      <w:r w:rsidR="49A9E08E" w:rsidRPr="00470388">
        <w:t xml:space="preserve">for </w:t>
      </w:r>
      <w:r w:rsidR="00DC51DB" w:rsidRPr="00470388">
        <w:t xml:space="preserve">competitive entry of </w:t>
      </w:r>
      <w:r w:rsidR="317100A6" w:rsidRPr="00470388">
        <w:t xml:space="preserve">new </w:t>
      </w:r>
      <w:r w:rsidR="00DC51DB" w:rsidRPr="00470388">
        <w:t xml:space="preserve">technical solutions </w:t>
      </w:r>
      <w:r w:rsidR="5D847C7A" w:rsidRPr="00470388">
        <w:t xml:space="preserve">and </w:t>
      </w:r>
      <w:r w:rsidR="00B81957" w:rsidRPr="00470388">
        <w:t xml:space="preserve">the </w:t>
      </w:r>
      <w:r w:rsidR="328C6446" w:rsidRPr="00470388">
        <w:t xml:space="preserve">provision for </w:t>
      </w:r>
      <w:r w:rsidR="5D847C7A" w:rsidRPr="00470388">
        <w:t xml:space="preserve">encouraging </w:t>
      </w:r>
      <w:r w:rsidR="56BAA87A" w:rsidRPr="00470388">
        <w:t xml:space="preserve">development of innovative technologies </w:t>
      </w:r>
      <w:r w:rsidR="007629E5" w:rsidRPr="00470388">
        <w:t>to maintain</w:t>
      </w:r>
      <w:r w:rsidR="00DC51DB" w:rsidRPr="00470388">
        <w:t xml:space="preserve"> the supply-demand balance while keeping the grid under control</w:t>
      </w:r>
      <w:r w:rsidR="0085299E" w:rsidRPr="00470388">
        <w:t xml:space="preserve"> (at least cost)</w:t>
      </w:r>
      <w:r w:rsidR="00DC51DB" w:rsidRPr="00470388">
        <w:t>.</w:t>
      </w:r>
    </w:p>
    <w:p w14:paraId="737687E5" w14:textId="65803048" w:rsidR="00F16674" w:rsidRDefault="536B7830" w:rsidP="00D117F2">
      <w:r>
        <w:t xml:space="preserve">The </w:t>
      </w:r>
      <w:r w:rsidRPr="07CC6CA1">
        <w:rPr>
          <w:i/>
          <w:iCs/>
        </w:rPr>
        <w:t>Services</w:t>
      </w:r>
      <w:r>
        <w:t xml:space="preserve"> research plan aims to unlock assumed technical limitations of power system operation through building a holistic </w:t>
      </w:r>
      <w:r w:rsidR="65D3A084">
        <w:t xml:space="preserve">Australian </w:t>
      </w:r>
      <w:r>
        <w:t>picture</w:t>
      </w:r>
      <w:r w:rsidR="65D3A084">
        <w:t>.</w:t>
      </w:r>
      <w:r w:rsidR="335F6FDC">
        <w:t xml:space="preserve"> These technical </w:t>
      </w:r>
      <w:r w:rsidR="46B98F85">
        <w:t xml:space="preserve">limitations may be initiated from the </w:t>
      </w:r>
      <w:r w:rsidR="00693567">
        <w:t>topological</w:t>
      </w:r>
      <w:r w:rsidR="46B98F85">
        <w:t xml:space="preserve"> properties</w:t>
      </w:r>
      <w:r w:rsidR="00C21382">
        <w:t xml:space="preserve"> and structure</w:t>
      </w:r>
      <w:r w:rsidR="46B98F85">
        <w:t xml:space="preserve"> of the grid</w:t>
      </w:r>
      <w:r w:rsidR="0763F660">
        <w:t>. In general, s</w:t>
      </w:r>
      <w:r w:rsidR="040275B9">
        <w:t>ome of features of the Australian grid which impact services</w:t>
      </w:r>
      <w:r w:rsidR="1899A63A">
        <w:t xml:space="preserve"> are:</w:t>
      </w:r>
    </w:p>
    <w:p w14:paraId="12AAF627" w14:textId="03FE6FF8" w:rsidR="00F16674" w:rsidRDefault="1899A63A" w:rsidP="00237486">
      <w:pPr>
        <w:pStyle w:val="ListParagraph"/>
        <w:numPr>
          <w:ilvl w:val="0"/>
          <w:numId w:val="12"/>
        </w:numPr>
      </w:pPr>
      <w:r>
        <w:t>A fast growth in renewables in both generation and demand sides</w:t>
      </w:r>
      <w:r w:rsidR="573FC25F">
        <w:t>,</w:t>
      </w:r>
    </w:p>
    <w:p w14:paraId="71904611" w14:textId="13FE7C3A" w:rsidR="00304241" w:rsidRDefault="42018E07" w:rsidP="00237486">
      <w:pPr>
        <w:pStyle w:val="ListParagraph"/>
        <w:numPr>
          <w:ilvl w:val="0"/>
          <w:numId w:val="12"/>
        </w:numPr>
      </w:pPr>
      <w:r>
        <w:t xml:space="preserve">A vast land with </w:t>
      </w:r>
      <w:r w:rsidR="434E2AB9">
        <w:t>the world’s</w:t>
      </w:r>
      <w:r>
        <w:t xml:space="preserve"> longest interconnections</w:t>
      </w:r>
      <w:r w:rsidR="573FC25F">
        <w:t>,</w:t>
      </w:r>
    </w:p>
    <w:p w14:paraId="1F052924" w14:textId="3BAC115E" w:rsidR="002833C9" w:rsidRDefault="1FCF9785" w:rsidP="00237486">
      <w:pPr>
        <w:pStyle w:val="ListParagraph"/>
        <w:numPr>
          <w:ilvl w:val="0"/>
          <w:numId w:val="12"/>
        </w:numPr>
      </w:pPr>
      <w:r>
        <w:t>Aged infrastructure</w:t>
      </w:r>
      <w:r w:rsidR="32E60860">
        <w:t>,</w:t>
      </w:r>
    </w:p>
    <w:p w14:paraId="50E8E13C" w14:textId="4D4F16CC" w:rsidR="00F47461" w:rsidRDefault="0040536D" w:rsidP="00237486">
      <w:pPr>
        <w:pStyle w:val="ListParagraph"/>
        <w:numPr>
          <w:ilvl w:val="0"/>
          <w:numId w:val="12"/>
        </w:numPr>
      </w:pPr>
      <w:r>
        <w:t xml:space="preserve">A highly </w:t>
      </w:r>
      <w:r w:rsidR="1FCF9785">
        <w:t xml:space="preserve">regulated </w:t>
      </w:r>
      <w:r w:rsidR="4A14EBD4">
        <w:t>energy market</w:t>
      </w:r>
      <w:r w:rsidR="001360BA">
        <w:t>.</w:t>
      </w:r>
    </w:p>
    <w:p w14:paraId="08FB8934" w14:textId="030C030C" w:rsidR="00707BA2" w:rsidRDefault="00AE247D" w:rsidP="005D7C19">
      <w:r>
        <w:t>Services</w:t>
      </w:r>
      <w:r w:rsidR="001F6EA0">
        <w:t xml:space="preserve"> in Australia’s future power grids</w:t>
      </w:r>
      <w:r>
        <w:t xml:space="preserve"> should be</w:t>
      </w:r>
      <w:r w:rsidR="005D7C19">
        <w:t xml:space="preserve"> provide</w:t>
      </w:r>
      <w:r>
        <w:t>d in</w:t>
      </w:r>
      <w:r w:rsidR="005D7C19">
        <w:t xml:space="preserve"> an adaptable</w:t>
      </w:r>
      <w:r w:rsidR="00550C91">
        <w:t xml:space="preserve"> approach,</w:t>
      </w:r>
      <w:r w:rsidR="005D7C19">
        <w:t xml:space="preserve"> </w:t>
      </w:r>
      <w:r w:rsidR="472F321C">
        <w:t>yet</w:t>
      </w:r>
      <w:r w:rsidR="005D7C19">
        <w:t xml:space="preserve"> robust </w:t>
      </w:r>
      <w:r w:rsidR="001F6EA0">
        <w:t xml:space="preserve">against </w:t>
      </w:r>
      <w:r w:rsidR="002C4F3C">
        <w:t>technical</w:t>
      </w:r>
      <w:r w:rsidR="004B6AF7">
        <w:t>,</w:t>
      </w:r>
      <w:r w:rsidR="002C4F3C">
        <w:t xml:space="preserve"> operational</w:t>
      </w:r>
      <w:r w:rsidR="004B6AF7">
        <w:t xml:space="preserve"> and financial</w:t>
      </w:r>
      <w:r w:rsidR="002C4F3C">
        <w:t xml:space="preserve"> uncertainties</w:t>
      </w:r>
      <w:r w:rsidR="004B6AF7">
        <w:t>, during short-</w:t>
      </w:r>
      <w:r w:rsidR="004B3A66">
        <w:t>, mid- and long-term of the transition</w:t>
      </w:r>
      <w:r w:rsidR="438601B3">
        <w:t>. The services should properly accommodate challenges</w:t>
      </w:r>
      <w:r w:rsidR="002C4F3C">
        <w:t xml:space="preserve">, such as </w:t>
      </w:r>
      <w:r w:rsidR="001051EC">
        <w:t xml:space="preserve">uneven distribution of </w:t>
      </w:r>
      <w:r w:rsidR="00E96445">
        <w:t>renewable</w:t>
      </w:r>
      <w:r w:rsidR="001051EC">
        <w:t xml:space="preserve"> generators over the grid</w:t>
      </w:r>
      <w:r w:rsidR="00E96445">
        <w:t xml:space="preserve"> and massive presence of disruptive technologies</w:t>
      </w:r>
      <w:r w:rsidR="12767126">
        <w:t xml:space="preserve">, e.g. </w:t>
      </w:r>
      <w:r w:rsidR="00AA3F7A">
        <w:t>batteries and electric vehicles</w:t>
      </w:r>
      <w:r w:rsidR="002A2E12">
        <w:t>,</w:t>
      </w:r>
      <w:r w:rsidR="00AA3F7A">
        <w:t xml:space="preserve"> on the demand side.</w:t>
      </w:r>
      <w:r w:rsidR="00E96445">
        <w:t xml:space="preserve"> </w:t>
      </w:r>
    </w:p>
    <w:p w14:paraId="57BCE16E" w14:textId="678BE838" w:rsidR="00BC4D8C" w:rsidRDefault="00707BA2" w:rsidP="005D7C19">
      <w:r>
        <w:t>Australia has</w:t>
      </w:r>
      <w:r w:rsidR="00693567">
        <w:t xml:space="preserve"> had</w:t>
      </w:r>
      <w:r>
        <w:t xml:space="preserve"> a Frequency </w:t>
      </w:r>
      <w:r w:rsidR="0095189E">
        <w:t xml:space="preserve">Control Ancillary </w:t>
      </w:r>
      <w:r w:rsidR="001F0CB7">
        <w:t>Services (FCAS)</w:t>
      </w:r>
      <w:r w:rsidR="0095189E">
        <w:t xml:space="preserve"> market</w:t>
      </w:r>
      <w:r w:rsidR="001F0CB7">
        <w:t xml:space="preserve"> </w:t>
      </w:r>
      <w:r w:rsidR="00D76C45">
        <w:t xml:space="preserve">to maintain the system frequency within the specified limit. </w:t>
      </w:r>
      <w:r w:rsidR="00E048AB">
        <w:t xml:space="preserve">It includes regulating services for normal operation of the grid as well as services for </w:t>
      </w:r>
      <w:r w:rsidR="001A5602">
        <w:t xml:space="preserve">contingency events. Two regulating services, i.e. </w:t>
      </w:r>
      <w:r w:rsidR="00361423">
        <w:t>regulating raise and lower,</w:t>
      </w:r>
      <w:r w:rsidR="00463589">
        <w:t xml:space="preserve"> are centrally controlled by </w:t>
      </w:r>
      <w:r w:rsidR="00BE03F0">
        <w:t>the Australian Energy Market Operator (</w:t>
      </w:r>
      <w:r w:rsidR="00463589">
        <w:t>AEMO</w:t>
      </w:r>
      <w:r w:rsidR="00BE03F0">
        <w:t>)</w:t>
      </w:r>
      <w:r w:rsidR="00463589">
        <w:t xml:space="preserve"> and</w:t>
      </w:r>
      <w:r w:rsidR="00361423">
        <w:t xml:space="preserve"> deal with the minor imbalance between generation and consumption.</w:t>
      </w:r>
      <w:r w:rsidR="008B592F">
        <w:t xml:space="preserve"> </w:t>
      </w:r>
      <w:r w:rsidR="005635A4">
        <w:t xml:space="preserve">There are also six contingency services for </w:t>
      </w:r>
      <w:r w:rsidR="00D54624">
        <w:t>large supply</w:t>
      </w:r>
      <w:r w:rsidR="0025755B">
        <w:t>-</w:t>
      </w:r>
      <w:r w:rsidR="00D54624">
        <w:t xml:space="preserve">demand </w:t>
      </w:r>
      <w:r w:rsidR="00722586">
        <w:t xml:space="preserve">imbalances. They are fast, slow and delayed raise and lower services and </w:t>
      </w:r>
      <w:r w:rsidR="004E5671">
        <w:t xml:space="preserve">are locally controlled and triggered </w:t>
      </w:r>
      <w:r w:rsidR="00790C76">
        <w:t xml:space="preserve">by the frequency deviation following a contingency event </w:t>
      </w:r>
      <w:r w:rsidR="00735C6E">
        <w:fldChar w:fldCharType="begin"/>
      </w:r>
      <w:r w:rsidR="00B12710">
        <w:instrText xml:space="preserve"> ADDIN EN.CITE &lt;EndNote&gt;&lt;Cite&gt;&lt;Year&gt;July 2020&lt;/Year&gt;&lt;RecNum&gt;292&lt;/RecNum&gt;&lt;DisplayText&gt;[4]&lt;/DisplayText&gt;&lt;record&gt;&lt;rec-number&gt;292&lt;/rec-number&gt;&lt;foreign-keys&gt;&lt;key app="EN" db-id="dsezaaaxf5z9dte9xeovfea50xe9wdtdapd9" timestamp="1629332544"&gt;292&lt;/key&gt;&lt;/foreign-keys&gt;&lt;ref-type name="Report"&gt;27&lt;/ref-type&gt;&lt;contributors&gt;&lt;/contributors&gt;&lt;titles&gt;&lt;title&gt;Market ancilliary service specification&lt;/title&gt;&lt;/titles&gt;&lt;dates&gt;&lt;year&gt;July 2020&lt;/year&gt;&lt;/dates&gt;&lt;publisher&gt;Australian Energy Market Operator&lt;/publisher&gt;&lt;urls&gt;&lt;/urls&gt;&lt;/record&gt;&lt;/Cite&gt;&lt;/EndNote&gt;</w:instrText>
      </w:r>
      <w:r w:rsidR="00735C6E">
        <w:fldChar w:fldCharType="separate"/>
      </w:r>
      <w:r w:rsidR="00B12710">
        <w:rPr>
          <w:noProof/>
        </w:rPr>
        <w:t>[4]</w:t>
      </w:r>
      <w:r w:rsidR="00735C6E">
        <w:fldChar w:fldCharType="end"/>
      </w:r>
      <w:r w:rsidR="0025755B">
        <w:t>.</w:t>
      </w:r>
      <w:r w:rsidR="00790C76">
        <w:t xml:space="preserve"> </w:t>
      </w:r>
    </w:p>
    <w:p w14:paraId="12CFC136" w14:textId="5791D853" w:rsidR="000E2F6D" w:rsidRDefault="2023C337" w:rsidP="00697300">
      <w:r>
        <w:t>The Network control ancillary services</w:t>
      </w:r>
      <w:r w:rsidR="5B9C4795">
        <w:t xml:space="preserve"> available</w:t>
      </w:r>
      <w:r w:rsidR="5CEE52AB">
        <w:t xml:space="preserve"> in the</w:t>
      </w:r>
      <w:r>
        <w:t xml:space="preserve"> </w:t>
      </w:r>
      <w:r w:rsidR="7207D2EF">
        <w:t xml:space="preserve">Australian </w:t>
      </w:r>
      <w:r w:rsidR="00A64C53">
        <w:t>grid</w:t>
      </w:r>
      <w:r w:rsidR="7207D2EF">
        <w:t xml:space="preserve"> </w:t>
      </w:r>
      <w:r w:rsidR="5B9C4795">
        <w:t>which include Voltage Control Ancillary Service (VCAS), Network Loading Control Ancillary Service (NLCAS) and Transient and Oscillatory Stability Ancillary Service (TOSAS)</w:t>
      </w:r>
      <w:r w:rsidR="360FC9DF">
        <w:t>.</w:t>
      </w:r>
      <w:r w:rsidR="004B5D45">
        <w:t xml:space="preserve"> All of these are non-market services, contracted directly by AEMO where there is a technical requirement.</w:t>
      </w:r>
      <w:r w:rsidR="360FC9DF">
        <w:t xml:space="preserve"> </w:t>
      </w:r>
      <w:r w:rsidR="1CFA541F">
        <w:t xml:space="preserve">In the VCAS, generators contribute </w:t>
      </w:r>
      <w:r w:rsidR="48B55645">
        <w:t>to</w:t>
      </w:r>
      <w:r w:rsidR="1CFA541F">
        <w:t xml:space="preserve"> the voltage through control of reactive power. There are also </w:t>
      </w:r>
      <w:r w:rsidR="4D8A8550">
        <w:t xml:space="preserve">synchronous condensers and </w:t>
      </w:r>
      <w:r w:rsidR="003F5ACC">
        <w:t>s</w:t>
      </w:r>
      <w:r w:rsidR="4D8A8550">
        <w:t xml:space="preserve">tatic </w:t>
      </w:r>
      <w:r w:rsidR="003F5ACC">
        <w:t>r</w:t>
      </w:r>
      <w:r w:rsidR="4D8A8550">
        <w:t xml:space="preserve">eactive </w:t>
      </w:r>
      <w:r w:rsidR="003F5ACC">
        <w:t>p</w:t>
      </w:r>
      <w:r w:rsidR="4D8A8550">
        <w:t>lants to control the voltage locally</w:t>
      </w:r>
      <w:r w:rsidR="052F2C90">
        <w:t xml:space="preserve"> </w:t>
      </w:r>
      <w:r w:rsidR="001734D2">
        <w:fldChar w:fldCharType="begin"/>
      </w:r>
      <w:r w:rsidR="00B12710">
        <w:instrText xml:space="preserve"> ADDIN EN.CITE &lt;EndNote&gt;&lt;Cite&gt;&lt;Year&gt;April 2015&lt;/Year&gt;&lt;RecNum&gt;293&lt;/RecNum&gt;&lt;DisplayText&gt;[5]&lt;/DisplayText&gt;&lt;record&gt;&lt;rec-number&gt;293&lt;/rec-number&gt;&lt;foreign-keys&gt;&lt;key app="EN" db-id="dsezaaaxf5z9dte9xeovfea50xe9wdtdapd9" timestamp="1629333284"&gt;293&lt;/key&gt;&lt;/foreign-keys&gt;&lt;ref-type name="Report"&gt;27&lt;/ref-type&gt;&lt;contributors&gt;&lt;/contributors&gt;&lt;titles&gt;&lt;title&gt;Guide to Ancillary Services in the National Electricity Market&lt;/title&gt;&lt;/titles&gt;&lt;dates&gt;&lt;year&gt;April 2015&lt;/year&gt;&lt;/dates&gt;&lt;publisher&gt;Australian Energy Market Operator&lt;/publisher&gt;&lt;urls&gt;&lt;/urls&gt;&lt;/record&gt;&lt;/Cite&gt;&lt;/EndNote&gt;</w:instrText>
      </w:r>
      <w:r w:rsidR="001734D2">
        <w:fldChar w:fldCharType="separate"/>
      </w:r>
      <w:r w:rsidR="00B12710">
        <w:rPr>
          <w:noProof/>
        </w:rPr>
        <w:t>[5]</w:t>
      </w:r>
      <w:r w:rsidR="001734D2">
        <w:fldChar w:fldCharType="end"/>
      </w:r>
      <w:r w:rsidR="052F2C90">
        <w:t>.</w:t>
      </w:r>
      <w:r w:rsidR="5B9C4795">
        <w:t xml:space="preserve"> </w:t>
      </w:r>
      <w:r w:rsidR="780F86BA">
        <w:t xml:space="preserve">AEMO uses the NLCAS service to control the flow </w:t>
      </w:r>
      <w:r w:rsidR="7A213FA9">
        <w:t xml:space="preserve">on inter-connectors between any two </w:t>
      </w:r>
      <w:r w:rsidR="222E3153">
        <w:t>regions</w:t>
      </w:r>
      <w:r w:rsidR="7A213FA9">
        <w:t>, by sending appropriate commands</w:t>
      </w:r>
      <w:r w:rsidR="0031320E">
        <w:t xml:space="preserve"> for</w:t>
      </w:r>
      <w:r w:rsidR="7A213FA9">
        <w:t xml:space="preserve"> </w:t>
      </w:r>
      <w:r w:rsidR="23093849">
        <w:t>Automatic Generation Control</w:t>
      </w:r>
      <w:r w:rsidR="0031320E">
        <w:t xml:space="preserve"> (AGC)</w:t>
      </w:r>
      <w:r w:rsidR="23093849">
        <w:t xml:space="preserve"> or Load Shedding</w:t>
      </w:r>
      <w:r w:rsidR="005A62DE">
        <w:t xml:space="preserve"> </w:t>
      </w:r>
      <w:r w:rsidR="005A62DE">
        <w:fldChar w:fldCharType="begin"/>
      </w:r>
      <w:r w:rsidR="005A62DE">
        <w:instrText xml:space="preserve"> ADDIN EN.CITE &lt;EndNote&gt;&lt;Cite&gt;&lt;Year&gt;April 2015&lt;/Year&gt;&lt;RecNum&gt;293&lt;/RecNum&gt;&lt;DisplayText&gt;[5]&lt;/DisplayText&gt;&lt;record&gt;&lt;rec-number&gt;293&lt;/rec-number&gt;&lt;foreign-keys&gt;&lt;key app="EN" db-id="dsezaaaxf5z9dte9xeovfea50xe9wdtdapd9" timestamp="1629333284"&gt;293&lt;/key&gt;&lt;/foreign-keys&gt;&lt;ref-type name="Report"&gt;27&lt;/ref-type&gt;&lt;contributors&gt;&lt;/contributors&gt;&lt;titles&gt;&lt;title&gt;Guide to Ancillary Services in the National Electricity Market&lt;/title&gt;&lt;/titles&gt;&lt;dates&gt;&lt;year&gt;April 2015&lt;/year&gt;&lt;/dates&gt;&lt;publisher&gt;Australian Energy Market Operator&lt;/publisher&gt;&lt;urls&gt;&lt;/urls&gt;&lt;/record&gt;&lt;/Cite&gt;&lt;/EndNote&gt;</w:instrText>
      </w:r>
      <w:r w:rsidR="005A62DE">
        <w:fldChar w:fldCharType="separate"/>
      </w:r>
      <w:r w:rsidR="005A62DE">
        <w:rPr>
          <w:noProof/>
        </w:rPr>
        <w:t>[5]</w:t>
      </w:r>
      <w:r w:rsidR="005A62DE">
        <w:fldChar w:fldCharType="end"/>
      </w:r>
      <w:r w:rsidR="23093849">
        <w:t xml:space="preserve">. </w:t>
      </w:r>
      <w:r w:rsidR="222E3153">
        <w:t xml:space="preserve">TOSAS services such as </w:t>
      </w:r>
      <w:r w:rsidR="47B7BD72">
        <w:t xml:space="preserve">Power System Stabilisers (PSS) and fast regulating voltage services </w:t>
      </w:r>
      <w:r w:rsidR="20F7A663">
        <w:t xml:space="preserve">are designed to </w:t>
      </w:r>
      <w:r w:rsidR="2CA2F420">
        <w:t>fast-</w:t>
      </w:r>
      <w:r w:rsidR="3808638F">
        <w:t>regulate</w:t>
      </w:r>
      <w:r w:rsidR="20F7A663">
        <w:t xml:space="preserve"> the impact of </w:t>
      </w:r>
      <w:r w:rsidR="00DA65EB">
        <w:t xml:space="preserve">a </w:t>
      </w:r>
      <w:r w:rsidR="20F7A663">
        <w:t>transient ‘spike’</w:t>
      </w:r>
      <w:r w:rsidR="7EF0E6C4">
        <w:t xml:space="preserve">, that normally happens after faults, on the </w:t>
      </w:r>
      <w:r w:rsidR="3808638F">
        <w:t>network voltage</w:t>
      </w:r>
      <w:r w:rsidR="2CA2F420">
        <w:t xml:space="preserve"> </w:t>
      </w:r>
      <w:r w:rsidR="001734D2">
        <w:fldChar w:fldCharType="begin"/>
      </w:r>
      <w:r w:rsidR="00B12710">
        <w:instrText xml:space="preserve"> ADDIN EN.CITE &lt;EndNote&gt;&lt;Cite&gt;&lt;Year&gt;April 2015&lt;/Year&gt;&lt;RecNum&gt;293&lt;/RecNum&gt;&lt;DisplayText&gt;[5]&lt;/DisplayText&gt;&lt;record&gt;&lt;rec-number&gt;293&lt;/rec-number&gt;&lt;foreign-keys&gt;&lt;key app="EN" db-id="dsezaaaxf5z9dte9xeovfea50xe9wdtdapd9" timestamp="1629333284"&gt;293&lt;/key&gt;&lt;/foreign-keys&gt;&lt;ref-type name="Report"&gt;27&lt;/ref-type&gt;&lt;contributors&gt;&lt;/contributors&gt;&lt;titles&gt;&lt;title&gt;Guide to Ancillary Services in the National Electricity Market&lt;/title&gt;&lt;/titles&gt;&lt;dates&gt;&lt;year&gt;April 2015&lt;/year&gt;&lt;/dates&gt;&lt;publisher&gt;Australian Energy Market Operator&lt;/publisher&gt;&lt;urls&gt;&lt;/urls&gt;&lt;/record&gt;&lt;/Cite&gt;&lt;/EndNote&gt;</w:instrText>
      </w:r>
      <w:r w:rsidR="001734D2">
        <w:fldChar w:fldCharType="separate"/>
      </w:r>
      <w:r w:rsidR="00B12710">
        <w:rPr>
          <w:noProof/>
        </w:rPr>
        <w:t>[5]</w:t>
      </w:r>
      <w:r w:rsidR="001734D2">
        <w:fldChar w:fldCharType="end"/>
      </w:r>
      <w:r w:rsidR="3808638F">
        <w:t>.</w:t>
      </w:r>
    </w:p>
    <w:p w14:paraId="1002D7C5" w14:textId="58D1CCEA" w:rsidR="0014122F" w:rsidRPr="00697300" w:rsidRDefault="0014122F" w:rsidP="00697300">
      <w:r>
        <w:t xml:space="preserve">Finally, </w:t>
      </w:r>
      <w:r w:rsidR="00B85F18">
        <w:t>the System Restart Ancillary Service (</w:t>
      </w:r>
      <w:r w:rsidR="00065E77">
        <w:t>SRAS</w:t>
      </w:r>
      <w:r w:rsidR="00B85F18">
        <w:t xml:space="preserve">) enables </w:t>
      </w:r>
      <w:r w:rsidR="00BF2DE4">
        <w:t xml:space="preserve">the power grid to restart after a black-out. </w:t>
      </w:r>
      <w:r w:rsidR="00254F17">
        <w:t xml:space="preserve">Restarting can happen using </w:t>
      </w:r>
      <w:r w:rsidR="00C73543">
        <w:t xml:space="preserve">generators which can start and supply energy without any external </w:t>
      </w:r>
      <w:r w:rsidR="00CC4B11">
        <w:t xml:space="preserve">energy source, or those who can fold back their generation to their internal use and wait for AEMO’s command to get connected again. </w:t>
      </w:r>
      <w:r w:rsidR="00524C21">
        <w:t xml:space="preserve">Since </w:t>
      </w:r>
      <w:r w:rsidR="00F436B7">
        <w:t xml:space="preserve">“Topic 5 - </w:t>
      </w:r>
      <w:r w:rsidR="00F436B7">
        <w:rPr>
          <w:color w:val="000000"/>
        </w:rPr>
        <w:t xml:space="preserve">Restoration &amp; Black starting” of the GPST agenda focuses on </w:t>
      </w:r>
      <w:r w:rsidR="00957846">
        <w:rPr>
          <w:color w:val="000000"/>
        </w:rPr>
        <w:t xml:space="preserve">system restart, we will not </w:t>
      </w:r>
      <w:r w:rsidR="00081D68">
        <w:rPr>
          <w:color w:val="000000"/>
        </w:rPr>
        <w:t>pursue this topic</w:t>
      </w:r>
      <w:r w:rsidR="00957846">
        <w:rPr>
          <w:color w:val="000000"/>
        </w:rPr>
        <w:t xml:space="preserve"> in</w:t>
      </w:r>
      <w:r w:rsidR="00BC07F8">
        <w:rPr>
          <w:color w:val="000000"/>
        </w:rPr>
        <w:t xml:space="preserve"> detail in</w:t>
      </w:r>
      <w:r w:rsidR="00957846">
        <w:rPr>
          <w:color w:val="000000"/>
        </w:rPr>
        <w:t xml:space="preserve"> this</w:t>
      </w:r>
      <w:r w:rsidR="00BC07F8">
        <w:rPr>
          <w:color w:val="000000"/>
        </w:rPr>
        <w:t xml:space="preserve"> report.</w:t>
      </w:r>
      <w:r w:rsidR="00957846">
        <w:rPr>
          <w:color w:val="000000"/>
        </w:rPr>
        <w:t xml:space="preserve"> </w:t>
      </w:r>
    </w:p>
    <w:p w14:paraId="3373EFA5" w14:textId="6667B76E" w:rsidR="005D7C19" w:rsidRPr="0018044E" w:rsidRDefault="001734D2" w:rsidP="005D7C19">
      <w:r>
        <w:rPr>
          <w:szCs w:val="20"/>
        </w:rPr>
        <w:t xml:space="preserve"> </w:t>
      </w:r>
      <w:r w:rsidR="008E20D1">
        <w:t xml:space="preserve"> </w:t>
      </w:r>
      <w:r w:rsidR="00722586">
        <w:t xml:space="preserve"> </w:t>
      </w:r>
      <w:r w:rsidR="00361423">
        <w:t xml:space="preserve"> </w:t>
      </w:r>
      <w:r w:rsidR="00E048AB">
        <w:t xml:space="preserve"> </w:t>
      </w:r>
      <w:r w:rsidR="001F0CB7">
        <w:t xml:space="preserve"> </w:t>
      </w:r>
      <w:r w:rsidR="005D7C19">
        <w:t xml:space="preserve"> </w:t>
      </w:r>
    </w:p>
    <w:p w14:paraId="18CC5649" w14:textId="5299A9A6" w:rsidR="00614AB4" w:rsidRPr="00BD7DFB" w:rsidRDefault="0018044E" w:rsidP="00027861">
      <w:pPr>
        <w:pStyle w:val="Heading2"/>
      </w:pPr>
      <w:bookmarkStart w:id="3" w:name="_Toc83674460"/>
      <w:r w:rsidRPr="00BD7DFB">
        <w:lastRenderedPageBreak/>
        <w:t>Background</w:t>
      </w:r>
      <w:bookmarkEnd w:id="3"/>
    </w:p>
    <w:p w14:paraId="62392802" w14:textId="20909968" w:rsidR="00311A67" w:rsidRDefault="00CE21D4" w:rsidP="00CE21D4">
      <w:r>
        <w:t xml:space="preserve">Increasing </w:t>
      </w:r>
      <w:r w:rsidR="00081D68">
        <w:t xml:space="preserve">the </w:t>
      </w:r>
      <w:r>
        <w:t xml:space="preserve">penetration of </w:t>
      </w:r>
      <w:r w:rsidR="006123D2">
        <w:t>V</w:t>
      </w:r>
      <w:r>
        <w:t xml:space="preserve">ariable </w:t>
      </w:r>
      <w:r w:rsidR="006123D2">
        <w:t>R</w:t>
      </w:r>
      <w:r>
        <w:t xml:space="preserve">enewable </w:t>
      </w:r>
      <w:r w:rsidR="006123D2">
        <w:t>E</w:t>
      </w:r>
      <w:r>
        <w:t xml:space="preserve">nergy (VRE) is leading to a set of increasingly difficult challenges: these are </w:t>
      </w:r>
    </w:p>
    <w:p w14:paraId="0FE8D33A" w14:textId="77777777" w:rsidR="00311A67" w:rsidRDefault="00CE21D4" w:rsidP="00237486">
      <w:pPr>
        <w:pStyle w:val="ListParagraph"/>
        <w:numPr>
          <w:ilvl w:val="0"/>
          <w:numId w:val="15"/>
        </w:numPr>
      </w:pPr>
      <w:r>
        <w:t xml:space="preserve">weather dependent, leading to variability and uncertainty that must be managed at a sub hourly and seasonal timescale; </w:t>
      </w:r>
    </w:p>
    <w:p w14:paraId="5A20B305" w14:textId="77777777" w:rsidR="00311A67" w:rsidRDefault="00CE21D4" w:rsidP="00237486">
      <w:pPr>
        <w:pStyle w:val="ListParagraph"/>
        <w:numPr>
          <w:ilvl w:val="0"/>
          <w:numId w:val="15"/>
        </w:numPr>
      </w:pPr>
      <w:r>
        <w:t xml:space="preserve">interfaced to the power system by inverters, driving a variety of system challenges; and </w:t>
      </w:r>
    </w:p>
    <w:p w14:paraId="3B60B644" w14:textId="77777777" w:rsidR="00D776F4" w:rsidRDefault="00CE21D4" w:rsidP="00237486">
      <w:pPr>
        <w:pStyle w:val="ListParagraph"/>
        <w:numPr>
          <w:ilvl w:val="0"/>
          <w:numId w:val="15"/>
        </w:numPr>
      </w:pPr>
      <w:r>
        <w:t xml:space="preserve">inherently more distributed, posing a challenge to system operators tasked with monitoring them. </w:t>
      </w:r>
    </w:p>
    <w:p w14:paraId="0D3540E7" w14:textId="7D147A8D" w:rsidR="00CE21D4" w:rsidRDefault="00CE21D4" w:rsidP="00D776F4">
      <w:r>
        <w:t xml:space="preserve">Other changes, including increasing energy storage deployment and more actively varied demand driven by </w:t>
      </w:r>
      <w:r w:rsidR="000B0A18">
        <w:t>D</w:t>
      </w:r>
      <w:r>
        <w:t xml:space="preserve">istributed </w:t>
      </w:r>
      <w:r w:rsidR="000B0A18">
        <w:t>E</w:t>
      </w:r>
      <w:r>
        <w:t>nergy</w:t>
      </w:r>
      <w:r w:rsidR="000B0A18">
        <w:t xml:space="preserve"> R</w:t>
      </w:r>
      <w:r>
        <w:t>esources (DER), can pose additional challenges independent of</w:t>
      </w:r>
      <w:r w:rsidR="009D1EFB">
        <w:t>,</w:t>
      </w:r>
      <w:r>
        <w:t xml:space="preserve"> or compounded by </w:t>
      </w:r>
      <w:r w:rsidR="00485A3A">
        <w:t xml:space="preserve">large scale </w:t>
      </w:r>
      <w:r>
        <w:t xml:space="preserve">VRE. </w:t>
      </w:r>
    </w:p>
    <w:p w14:paraId="1F15436F" w14:textId="1E4B8C88" w:rsidR="0018044E" w:rsidRDefault="00CE21D4" w:rsidP="00CE21D4">
      <w:r>
        <w:t xml:space="preserve">At the heart of these research challenges are </w:t>
      </w:r>
      <w:r w:rsidRPr="00CE21D4">
        <w:rPr>
          <w:i/>
          <w:iCs/>
        </w:rPr>
        <w:t>Services</w:t>
      </w:r>
      <w:r>
        <w:t xml:space="preserve"> that need to evolve with the changing characteristics of the power system</w:t>
      </w:r>
      <w:r w:rsidR="005A5FDD">
        <w:t>. They</w:t>
      </w:r>
      <w:r>
        <w:t xml:space="preserve"> are fundamental to supporting the socio-technical objective of </w:t>
      </w:r>
      <w:bookmarkStart w:id="4" w:name="_Hlk75090467"/>
      <w:r w:rsidRPr="002266B2">
        <w:rPr>
          <w:i/>
          <w:iCs/>
        </w:rPr>
        <w:t xml:space="preserve">reliably maintaining supply-demand balance, </w:t>
      </w:r>
      <w:bookmarkStart w:id="5" w:name="_Hlk75091372"/>
      <w:r w:rsidRPr="002266B2">
        <w:rPr>
          <w:i/>
          <w:iCs/>
        </w:rPr>
        <w:t xml:space="preserve">at all points in time, at all locations, at least cost, equitably, and with minimum impact on the environment </w:t>
      </w:r>
      <w:bookmarkEnd w:id="4"/>
      <w:bookmarkEnd w:id="5"/>
      <w:r w:rsidRPr="002266B2">
        <w:t>(the GPST definition)</w:t>
      </w:r>
      <w:r>
        <w:t>. These services determine the operation and planning of the electricity grid across all time scales; the required characteristics of the technologies connected to the power system; and, through commercial mechanisms, the incentives to innovate and invest and to do so equitably. Current state-of-the-art services (e.g., capacity adequacy, ancillary services, etc.) fall far short of future service requirements; there is a danger of developing electricity grids that are costly, unreliable, inequitable, and not resilient and will therefore not deliver the step-change needed for the energy transition.</w:t>
      </w:r>
    </w:p>
    <w:p w14:paraId="447A8D49" w14:textId="1A8BC41C" w:rsidR="0047197F" w:rsidRPr="007E545B" w:rsidRDefault="0047197F" w:rsidP="005813AB">
      <w:pPr>
        <w:rPr>
          <w:rFonts w:ascii="Arial" w:hAnsi="Arial"/>
          <w:color w:val="333333"/>
          <w:shd w:val="clear" w:color="auto" w:fill="FFFFFF"/>
        </w:rPr>
      </w:pPr>
      <w:r>
        <w:t>Services are the f</w:t>
      </w:r>
      <w:r w:rsidRPr="007E545B">
        <w:t xml:space="preserve">unctions that work to </w:t>
      </w:r>
      <w:r>
        <w:t>maintain the supply-demand balance while keeping the grid under control at least cost.</w:t>
      </w:r>
      <w:r w:rsidRPr="007E545B">
        <w:t xml:space="preserve"> </w:t>
      </w:r>
      <w:r>
        <w:t>Unpacking</w:t>
      </w:r>
      <w:r w:rsidRPr="007E545B">
        <w:t>, the</w:t>
      </w:r>
      <w:r>
        <w:t>se</w:t>
      </w:r>
      <w:r w:rsidRPr="007E545B">
        <w:t xml:space="preserve"> services in</w:t>
      </w:r>
      <w:r>
        <w:t>clude,</w:t>
      </w:r>
    </w:p>
    <w:p w14:paraId="2C8AEFA7" w14:textId="77777777" w:rsidR="0047197F" w:rsidRPr="005813AB" w:rsidRDefault="0047197F" w:rsidP="00237486">
      <w:pPr>
        <w:pStyle w:val="ListParagraph"/>
        <w:numPr>
          <w:ilvl w:val="0"/>
          <w:numId w:val="4"/>
        </w:numPr>
      </w:pPr>
      <w:r w:rsidRPr="00D570D1">
        <w:rPr>
          <w:rFonts w:eastAsia="Calibri"/>
          <w:b/>
          <w:lang w:eastAsia="en-AU"/>
        </w:rPr>
        <w:t>Frequency support services</w:t>
      </w:r>
      <w:r w:rsidRPr="00D570D1">
        <w:rPr>
          <w:rFonts w:eastAsia="Calibri"/>
          <w:lang w:eastAsia="en-AU"/>
        </w:rPr>
        <w:t>.</w:t>
      </w:r>
      <w:r w:rsidRPr="005813AB">
        <w:rPr>
          <w:rFonts w:eastAsia="Calibri"/>
          <w:lang w:eastAsia="en-AU"/>
        </w:rPr>
        <w:t xml:space="preserve"> These services are responsible to keep the power system frequency at its nominal value, 50 Hz in Australia. Frequency is a metric to show the balance between generation and consumption. When the demand overtakes the generation, a frequency reduction occurs in the grid which is sensed using frequency meter equipment in power plants. They start to </w:t>
      </w:r>
      <w:r w:rsidRPr="005813AB">
        <w:t>increase their supply to compensate for this lack; thus, to keep frequency at 50Hz. In other words, all frequency control action is performed on the supply side.</w:t>
      </w:r>
    </w:p>
    <w:p w14:paraId="6918B41B" w14:textId="27253EC7" w:rsidR="0047197F" w:rsidRPr="005813AB" w:rsidRDefault="0047197F" w:rsidP="0047197F">
      <w:pPr>
        <w:pStyle w:val="ListParagraph"/>
      </w:pPr>
      <w:r w:rsidRPr="005813AB">
        <w:t xml:space="preserve">The operation of power distribution is shifting from the time distribution networks originated, owing to the emergence of DER, such as photovoltaics (PVs), batteries and electric vehicles. They were designed as a one-way delivery of power to consumers. However, in the presence of DERs, they are facing individuals that can be both generators and consumers </w:t>
      </w:r>
      <w:r w:rsidR="42E276F8" w:rsidRPr="005813AB">
        <w:t xml:space="preserve">(so-called prosumers) </w:t>
      </w:r>
      <w:r w:rsidRPr="005813AB">
        <w:t xml:space="preserve">at different times of a day. Advancement of smart </w:t>
      </w:r>
      <w:r w:rsidR="6EDA50CA" w:rsidRPr="005813AB">
        <w:t xml:space="preserve">metering </w:t>
      </w:r>
      <w:r w:rsidRPr="005813AB">
        <w:t>infrastructure in the distribution grids brings new monitoring and control facilities. Regarding frequency control, this advancement raises the question that “Can we share the frequency control task between both generation units and consumers?”. For example, running demand-response algorithms help to improve the balance between generation and consumption in distribution grids, and contribute to the load balance of the power system. In this research we review all load balancing and frequency control techniques in the presence of DER and VRE in the power system.</w:t>
      </w:r>
    </w:p>
    <w:p w14:paraId="73C252DC" w14:textId="4F2329F3" w:rsidR="0047197F" w:rsidRPr="005813AB" w:rsidRDefault="0047197F" w:rsidP="00237486">
      <w:pPr>
        <w:pStyle w:val="ListParagraph"/>
        <w:numPr>
          <w:ilvl w:val="0"/>
          <w:numId w:val="4"/>
        </w:numPr>
      </w:pPr>
      <w:r w:rsidRPr="00D570D1">
        <w:rPr>
          <w:b/>
          <w:bCs/>
        </w:rPr>
        <w:t>Voltage support services</w:t>
      </w:r>
      <w:r w:rsidRPr="005813AB">
        <w:rPr>
          <w:b/>
          <w:bCs/>
        </w:rPr>
        <w:t>.</w:t>
      </w:r>
      <w:r w:rsidRPr="005813AB">
        <w:t xml:space="preserve"> To ensure the safety of equipment and consumption devices, voltage should be kept in an acceptable range. Conventional voltage control services were implemented based on the reactive power regulation. Penetration of VRE in the grid result </w:t>
      </w:r>
      <w:r w:rsidR="6E27460F" w:rsidRPr="005813AB">
        <w:t>in</w:t>
      </w:r>
      <w:r w:rsidR="51CB17CF" w:rsidRPr="005813AB">
        <w:t xml:space="preserve"> </w:t>
      </w:r>
      <w:r w:rsidRPr="005813AB">
        <w:t xml:space="preserve">more uncertainty and fluctuations in voltage than before. Therefore, adequate reactive power reserve is required to ensure a stable and reliable power grid. </w:t>
      </w:r>
    </w:p>
    <w:p w14:paraId="130D206E" w14:textId="7EEF23D6" w:rsidR="000D22F8" w:rsidRPr="005813AB" w:rsidRDefault="00116083" w:rsidP="00CD2BE9">
      <w:pPr>
        <w:pStyle w:val="ListParagraph"/>
      </w:pPr>
      <w:r w:rsidRPr="005813AB">
        <w:t>Voltage control in distribution</w:t>
      </w:r>
      <w:r w:rsidR="0033461C" w:rsidRPr="005813AB">
        <w:t xml:space="preserve"> grids</w:t>
      </w:r>
      <w:r w:rsidRPr="005813AB">
        <w:t xml:space="preserve"> </w:t>
      </w:r>
      <w:r w:rsidR="002E0C6C" w:rsidRPr="005813AB">
        <w:t>is a new possibility thanks to DERs.</w:t>
      </w:r>
      <w:r w:rsidR="005429EC" w:rsidRPr="005813AB">
        <w:t xml:space="preserve"> The physics of voltage support in distribution grids </w:t>
      </w:r>
      <w:r w:rsidR="001215C5" w:rsidRPr="005813AB">
        <w:t xml:space="preserve">is different from the generation side. </w:t>
      </w:r>
      <w:r w:rsidR="00677D55" w:rsidRPr="005813AB">
        <w:t xml:space="preserve">Despite VAR control in the generation section for voltage support, </w:t>
      </w:r>
      <w:r w:rsidR="00244D89" w:rsidRPr="005813AB">
        <w:t>voltage in distribution grids can be controlled using active power</w:t>
      </w:r>
      <w:r w:rsidR="00D86887" w:rsidRPr="005813AB">
        <w:t xml:space="preserve">. This raises a lot of technical issues in coordinating these services over the whole grid. </w:t>
      </w:r>
      <w:r w:rsidR="00EE311C" w:rsidRPr="005813AB">
        <w:t xml:space="preserve">A new </w:t>
      </w:r>
      <w:r w:rsidR="009231A7" w:rsidRPr="005813AB">
        <w:t>monitoring and control regime for the national power dispatch centres need</w:t>
      </w:r>
      <w:r w:rsidR="00FB3727" w:rsidRPr="005813AB">
        <w:t>s</w:t>
      </w:r>
      <w:r w:rsidR="009231A7" w:rsidRPr="005813AB">
        <w:t xml:space="preserve"> to be developed.</w:t>
      </w:r>
      <w:r w:rsidR="005429EC" w:rsidRPr="005813AB">
        <w:t xml:space="preserve"> </w:t>
      </w:r>
    </w:p>
    <w:p w14:paraId="00F1C713" w14:textId="524B2ED0" w:rsidR="0047197F" w:rsidRPr="005813AB" w:rsidRDefault="0047197F" w:rsidP="00237486">
      <w:pPr>
        <w:pStyle w:val="ListParagraph"/>
        <w:numPr>
          <w:ilvl w:val="0"/>
          <w:numId w:val="4"/>
        </w:numPr>
      </w:pPr>
      <w:r w:rsidRPr="00D570D1">
        <w:rPr>
          <w:b/>
          <w:bCs/>
        </w:rPr>
        <w:lastRenderedPageBreak/>
        <w:t>System restart services</w:t>
      </w:r>
      <w:r w:rsidRPr="005813AB">
        <w:rPr>
          <w:b/>
          <w:bCs/>
        </w:rPr>
        <w:t>.</w:t>
      </w:r>
      <w:r w:rsidRPr="005813AB">
        <w:t xml:space="preserve"> These services are responsible for reconstruction of supply</w:t>
      </w:r>
      <w:r w:rsidR="00FB3727" w:rsidRPr="005813AB">
        <w:t>,</w:t>
      </w:r>
      <w:r w:rsidRPr="005813AB">
        <w:t xml:space="preserve"> as quickly as possible</w:t>
      </w:r>
      <w:r w:rsidR="00FB3727" w:rsidRPr="005813AB">
        <w:t>,</w:t>
      </w:r>
      <w:r w:rsidRPr="005813AB">
        <w:t xml:space="preserve"> after a power failure. This duty is </w:t>
      </w:r>
      <w:r w:rsidR="00F359FE" w:rsidRPr="005813AB">
        <w:t>carried</w:t>
      </w:r>
      <w:r w:rsidRPr="005813AB">
        <w:t xml:space="preserve"> out by </w:t>
      </w:r>
      <w:r w:rsidR="00817E2D" w:rsidRPr="005813AB">
        <w:t xml:space="preserve">a </w:t>
      </w:r>
      <w:r w:rsidRPr="005813AB">
        <w:t>power plant which can start up without external power supply, the feature not available in thermal or nuclear powerplants which mainly generate the base load. Conventionally, this task was performed by hydro powerplant</w:t>
      </w:r>
      <w:r w:rsidR="00817E2D" w:rsidRPr="005813AB">
        <w:t>s</w:t>
      </w:r>
      <w:r w:rsidRPr="005813AB">
        <w:t xml:space="preserve">. Electricity storage facilities are also </w:t>
      </w:r>
      <w:r w:rsidR="1671307A" w:rsidRPr="005813AB">
        <w:t>an</w:t>
      </w:r>
      <w:r w:rsidRPr="005813AB">
        <w:t xml:space="preserve"> option. However, answering the question of “how can DER be used to restore the grid in unlikely events” requires further research. </w:t>
      </w:r>
    </w:p>
    <w:p w14:paraId="35CEF45E" w14:textId="3F2ACF26" w:rsidR="00360B72" w:rsidRDefault="0047197F" w:rsidP="00360B72">
      <w:pPr>
        <w:spacing w:after="0" w:line="276" w:lineRule="auto"/>
        <w:rPr>
          <w:rFonts w:ascii="Calibri" w:eastAsia="Calibri" w:hAnsi="Calibri" w:cs="Arial"/>
        </w:rPr>
      </w:pPr>
      <w:r w:rsidRPr="00D570D1">
        <w:rPr>
          <w:rFonts w:eastAsia="Calibri"/>
        </w:rPr>
        <w:t>System flexibility is a requirement on top of all these</w:t>
      </w:r>
      <w:r w:rsidR="0004358B" w:rsidRPr="00D570D1">
        <w:rPr>
          <w:rFonts w:eastAsia="Calibri"/>
        </w:rPr>
        <w:t xml:space="preserve"> </w:t>
      </w:r>
      <w:r w:rsidRPr="00D570D1">
        <w:rPr>
          <w:rFonts w:eastAsia="Calibri"/>
        </w:rPr>
        <w:t>services</w:t>
      </w:r>
      <w:r w:rsidRPr="005813AB">
        <w:rPr>
          <w:rFonts w:eastAsia="Calibri"/>
        </w:rPr>
        <w:t xml:space="preserve">. The flexibility of the system represents its ability to accommodate the variability and uncertainty in the load-generation balance while maintaining satisfactory levels of performance for any time scale. </w:t>
      </w:r>
      <w:r w:rsidR="00F53ECE" w:rsidRPr="005813AB">
        <w:rPr>
          <w:rFonts w:eastAsia="Calibri"/>
        </w:rPr>
        <w:t xml:space="preserve">For example, </w:t>
      </w:r>
      <w:r w:rsidRPr="005813AB">
        <w:rPr>
          <w:rFonts w:eastAsia="Calibri"/>
        </w:rPr>
        <w:t xml:space="preserve">spinning reserve, the amount of power generated by the power plant, </w:t>
      </w:r>
      <w:r w:rsidR="00052FFD" w:rsidRPr="005813AB">
        <w:rPr>
          <w:rFonts w:eastAsia="Calibri"/>
        </w:rPr>
        <w:t xml:space="preserve">has </w:t>
      </w:r>
      <w:r w:rsidRPr="005813AB">
        <w:rPr>
          <w:rFonts w:eastAsia="Calibri"/>
        </w:rPr>
        <w:t xml:space="preserve">been </w:t>
      </w:r>
      <w:r w:rsidR="009F40B5" w:rsidRPr="005813AB">
        <w:rPr>
          <w:rFonts w:eastAsia="Calibri"/>
        </w:rPr>
        <w:t>conventionally used</w:t>
      </w:r>
      <w:r w:rsidRPr="005813AB">
        <w:rPr>
          <w:rFonts w:eastAsia="Calibri"/>
        </w:rPr>
        <w:t xml:space="preserve"> to provide operational flexibility. </w:t>
      </w:r>
      <w:r w:rsidR="00066D84" w:rsidRPr="005813AB">
        <w:rPr>
          <w:rFonts w:eastAsia="Calibri"/>
        </w:rPr>
        <w:t>To keep the supply-demand balance under u</w:t>
      </w:r>
      <w:r w:rsidRPr="005813AB">
        <w:rPr>
          <w:rFonts w:eastAsia="Calibri"/>
        </w:rPr>
        <w:t>ncertain and intermitten</w:t>
      </w:r>
      <w:r w:rsidR="00066D84" w:rsidRPr="005813AB">
        <w:rPr>
          <w:rFonts w:eastAsia="Calibri"/>
        </w:rPr>
        <w:t>t</w:t>
      </w:r>
      <w:r w:rsidRPr="005813AB">
        <w:rPr>
          <w:rFonts w:eastAsia="Calibri"/>
        </w:rPr>
        <w:t xml:space="preserve"> RE sources</w:t>
      </w:r>
      <w:r w:rsidR="00066D84" w:rsidRPr="005813AB">
        <w:rPr>
          <w:rFonts w:eastAsia="Calibri"/>
        </w:rPr>
        <w:t>,</w:t>
      </w:r>
      <w:r w:rsidRPr="005813AB">
        <w:rPr>
          <w:rFonts w:eastAsia="Calibri"/>
        </w:rPr>
        <w:t xml:space="preserve"> </w:t>
      </w:r>
      <w:r w:rsidR="0071193F" w:rsidRPr="005813AB">
        <w:rPr>
          <w:rFonts w:eastAsia="Calibri"/>
        </w:rPr>
        <w:t>c</w:t>
      </w:r>
      <w:r w:rsidRPr="005813AB">
        <w:rPr>
          <w:rFonts w:eastAsia="Calibri"/>
        </w:rPr>
        <w:t>ontrollable energy sources should be more flexible in the ramp responses.  In this case, the flexibility may come either from flexible generation technologies or from alternative sources of flexibility</w:t>
      </w:r>
      <w:r w:rsidR="3EFF6798" w:rsidRPr="005813AB">
        <w:rPr>
          <w:rFonts w:eastAsia="Calibri"/>
        </w:rPr>
        <w:t>,</w:t>
      </w:r>
      <w:r w:rsidRPr="005813AB">
        <w:rPr>
          <w:rFonts w:eastAsia="Calibri"/>
        </w:rPr>
        <w:t xml:space="preserve"> such as flexible demand and storage</w:t>
      </w:r>
      <w:r w:rsidR="4AC88ACB" w:rsidRPr="005813AB">
        <w:rPr>
          <w:rFonts w:eastAsia="Calibri"/>
        </w:rPr>
        <w:t xml:space="preserve"> systems</w:t>
      </w:r>
      <w:r w:rsidRPr="005813AB">
        <w:rPr>
          <w:rFonts w:eastAsia="Calibri"/>
        </w:rPr>
        <w:t>.</w:t>
      </w:r>
      <w:r w:rsidR="006064F8" w:rsidRPr="005813AB">
        <w:rPr>
          <w:rFonts w:eastAsia="Calibri"/>
        </w:rPr>
        <w:t xml:space="preserve"> </w:t>
      </w:r>
    </w:p>
    <w:p w14:paraId="6859BC3E" w14:textId="77777777" w:rsidR="00CE387C" w:rsidRPr="00360B72" w:rsidRDefault="00CE387C" w:rsidP="00360B72">
      <w:pPr>
        <w:spacing w:after="0" w:line="276" w:lineRule="auto"/>
        <w:rPr>
          <w:rFonts w:ascii="Calibri" w:eastAsia="Calibri" w:hAnsi="Calibri" w:cs="Arial"/>
        </w:rPr>
      </w:pPr>
    </w:p>
    <w:p w14:paraId="2A0B133C" w14:textId="4250EE33" w:rsidR="007372FB" w:rsidRDefault="00BD7DFB" w:rsidP="00027861">
      <w:pPr>
        <w:pStyle w:val="Heading2"/>
      </w:pPr>
      <w:bookmarkStart w:id="6" w:name="_Toc83674461"/>
      <w:r>
        <w:t>Energy Transition Goals</w:t>
      </w:r>
      <w:bookmarkEnd w:id="6"/>
    </w:p>
    <w:p w14:paraId="001B21B9" w14:textId="66A6243A" w:rsidR="004270B7" w:rsidRPr="00B846CF" w:rsidRDefault="004270B7" w:rsidP="004270B7">
      <w:r>
        <w:t>Figure 1 shows the frequency deviation in the Australian power grid while penetration of renewables was increasing. Based on the figure, the installed renewable capacity in the Australian grid has been increased from 3GW in 2012 to about 9GW in late 2019. In parallel, the frequency contours show more variation in the frequency as the installed capacity increases. AEMO reacted responsibly to these frequency deviations by proposing the “mandatory primary frequency response (PFR) rule change” in Sep. 2019 which primary results on reducing frequency deviations are promising. Although PRF is an obligation, not a service, this process shows that opportunities for re-defining available services, or issuing new ones, may emerge with higher penetration of renewables.</w:t>
      </w:r>
    </w:p>
    <w:p w14:paraId="2C9DC826" w14:textId="4A3CF6B3" w:rsidR="00B60CB3" w:rsidRDefault="00777F00" w:rsidP="00777F00">
      <w:pPr>
        <w:jc w:val="center"/>
      </w:pPr>
      <w:r w:rsidRPr="00777F00">
        <w:rPr>
          <w:noProof/>
        </w:rPr>
        <w:drawing>
          <wp:inline distT="0" distB="0" distL="0" distR="0" wp14:anchorId="74DC4AC9" wp14:editId="102A3AEE">
            <wp:extent cx="4666478" cy="2933480"/>
            <wp:effectExtent l="0" t="0" r="1270" b="635"/>
            <wp:docPr id="5" name="Picture 2" descr="Increasing the penetration of renewable energy resources in the Australian grid in addition to the late primary control rule adaptation resulted in large frequency deviations between 2016 and 2019.">
              <a:extLst xmlns:a="http://schemas.openxmlformats.org/drawingml/2006/main">
                <a:ext uri="{FF2B5EF4-FFF2-40B4-BE49-F238E27FC236}">
                  <a16:creationId xmlns:a16="http://schemas.microsoft.com/office/drawing/2014/main" id="{A382C286-0251-44C0-BD7C-ED7A951456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Increasing the penetration of renewable energy resources in the Australian grid in addition to the late primary control rule adaptation resulted in large frequency deviations between 2016 and 2019.">
                      <a:extLst>
                        <a:ext uri="{FF2B5EF4-FFF2-40B4-BE49-F238E27FC236}">
                          <a16:creationId xmlns:a16="http://schemas.microsoft.com/office/drawing/2014/main" id="{A382C286-0251-44C0-BD7C-ED7A9514569C}"/>
                        </a:ext>
                      </a:extLst>
                    </pic:cNvPr>
                    <pic:cNvPicPr>
                      <a:picLocks noChangeAspect="1"/>
                    </pic:cNvPicPr>
                  </pic:nvPicPr>
                  <pic:blipFill>
                    <a:blip r:embed="rId25"/>
                    <a:stretch>
                      <a:fillRect/>
                    </a:stretch>
                  </pic:blipFill>
                  <pic:spPr>
                    <a:xfrm>
                      <a:off x="0" y="0"/>
                      <a:ext cx="4690456" cy="2948553"/>
                    </a:xfrm>
                    <a:prstGeom prst="rect">
                      <a:avLst/>
                    </a:prstGeom>
                  </pic:spPr>
                </pic:pic>
              </a:graphicData>
            </a:graphic>
          </wp:inline>
        </w:drawing>
      </w:r>
    </w:p>
    <w:p w14:paraId="1FD10087" w14:textId="7D5DC969" w:rsidR="00777F00" w:rsidRPr="007C5476" w:rsidRDefault="00777F00" w:rsidP="00E74321">
      <w:pPr>
        <w:pStyle w:val="FigureCaption"/>
        <w:rPr>
          <w:sz w:val="18"/>
          <w:szCs w:val="18"/>
        </w:rPr>
      </w:pPr>
      <w:bookmarkStart w:id="7" w:name="_Toc81571319"/>
      <w:r w:rsidRPr="005813AB">
        <w:t xml:space="preserve">Figure </w:t>
      </w:r>
      <w:r w:rsidR="00B735D9" w:rsidRPr="005813AB">
        <w:t>1</w:t>
      </w:r>
      <w:r w:rsidRPr="005813AB">
        <w:t xml:space="preserve">. </w:t>
      </w:r>
      <w:r w:rsidR="00655883" w:rsidRPr="005813AB">
        <w:t xml:space="preserve">Contour profile of frequency with total installed renewable energy sources capacity (orange line) as a function of time </w:t>
      </w:r>
      <w:r w:rsidR="00A57839" w:rsidRPr="005813AB">
        <w:fldChar w:fldCharType="begin"/>
      </w:r>
      <w:r w:rsidR="004270B7">
        <w:instrText xml:space="preserve"> ADDIN EN.CITE &lt;EndNote&gt;&lt;Cite&gt;&lt;Author&gt;Bryant&lt;/Author&gt;&lt;Year&gt;2021&lt;/Year&gt;&lt;RecNum&gt;294&lt;/RecNum&gt;&lt;DisplayText&gt;[6]&lt;/DisplayText&gt;&lt;record&gt;&lt;rec-number&gt;294&lt;/rec-number&gt;&lt;foreign-keys&gt;&lt;key app="EN" db-id="dsezaaaxf5z9dte9xeovfea50xe9wdtdapd9" timestamp="1629336318"&gt;294&lt;/key&gt;&lt;/foreign-keys&gt;&lt;ref-type name="Journal Article"&gt;17&lt;/ref-type&gt;&lt;contributors&gt;&lt;authors&gt;&lt;author&gt;Bryant, Jack S&lt;/author&gt;&lt;author&gt;Sokolowski, Peter&lt;/author&gt;&lt;author&gt;Jennings, Ryan&lt;/author&gt;&lt;author&gt;Meegahapola, Lasantha&lt;/author&gt;&lt;/authors&gt;&lt;/contributors&gt;&lt;titles&gt;&lt;title&gt;Synchronous generator governor response: Performance implications under high share of inverter-based renewable energy sources&lt;/title&gt;&lt;secondary-title&gt;IEEE Transactions on Power Systems&lt;/secondary-title&gt;&lt;/titles&gt;&lt;periodical&gt;&lt;full-title&gt;IEEE Transactions on Power Systems&lt;/full-title&gt;&lt;/periodical&gt;&lt;pages&gt;2721-2724&lt;/pages&gt;&lt;volume&gt;36&lt;/volume&gt;&lt;number&gt;3&lt;/number&gt;&lt;dates&gt;&lt;year&gt;2021&lt;/year&gt;&lt;/dates&gt;&lt;isbn&gt;0885-8950&lt;/isbn&gt;&lt;urls&gt;&lt;/urls&gt;&lt;/record&gt;&lt;/Cite&gt;&lt;/EndNote&gt;</w:instrText>
      </w:r>
      <w:r w:rsidR="00A57839" w:rsidRPr="005813AB">
        <w:fldChar w:fldCharType="separate"/>
      </w:r>
      <w:r w:rsidR="004270B7">
        <w:rPr>
          <w:noProof/>
        </w:rPr>
        <w:t>[6]</w:t>
      </w:r>
      <w:r w:rsidR="00A57839" w:rsidRPr="005813AB">
        <w:fldChar w:fldCharType="end"/>
      </w:r>
      <w:r w:rsidR="007C5476" w:rsidRPr="005813AB">
        <w:t>.</w:t>
      </w:r>
      <w:bookmarkEnd w:id="7"/>
    </w:p>
    <w:p w14:paraId="360EAD43" w14:textId="67A00129" w:rsidR="005813AB" w:rsidRDefault="005813AB" w:rsidP="005813AB">
      <w:r>
        <w:t xml:space="preserve">If this strategy is translated into </w:t>
      </w:r>
      <w:r w:rsidRPr="5CC10954">
        <w:rPr>
          <w:i/>
          <w:iCs/>
        </w:rPr>
        <w:t>Services</w:t>
      </w:r>
      <w:r>
        <w:t xml:space="preserve"> in the Australian power grid, we are almost in the pain-point of lack of appropriate services.     </w:t>
      </w:r>
    </w:p>
    <w:p w14:paraId="6EE7DF9F" w14:textId="06E865D1" w:rsidR="00E010EC" w:rsidRDefault="00002CC5" w:rsidP="00DE0945">
      <w:r>
        <w:t>Revis</w:t>
      </w:r>
      <w:r w:rsidR="00B5214C">
        <w:t xml:space="preserve">ing services </w:t>
      </w:r>
      <w:r w:rsidR="00145CC4">
        <w:t>for</w:t>
      </w:r>
      <w:r w:rsidR="00B5214C">
        <w:t xml:space="preserve"> the</w:t>
      </w:r>
      <w:r w:rsidR="002371FD">
        <w:t xml:space="preserve"> IBR-rich</w:t>
      </w:r>
      <w:r w:rsidR="00B5214C">
        <w:t xml:space="preserve"> power grid has </w:t>
      </w:r>
      <w:r w:rsidR="00004974">
        <w:t xml:space="preserve">also </w:t>
      </w:r>
      <w:r w:rsidR="00B5214C">
        <w:t>been started in other countries.</w:t>
      </w:r>
      <w:r w:rsidR="006577AB">
        <w:t xml:space="preserve"> </w:t>
      </w:r>
      <w:r w:rsidR="00DE0945">
        <w:t>The N</w:t>
      </w:r>
      <w:r w:rsidR="00DE0945" w:rsidRPr="00E12959">
        <w:t xml:space="preserve">ational </w:t>
      </w:r>
      <w:r w:rsidR="00DE0945">
        <w:t>Renewable Energy L</w:t>
      </w:r>
      <w:r w:rsidR="00DE0945" w:rsidRPr="00E12959">
        <w:t>aboratory</w:t>
      </w:r>
      <w:r w:rsidR="00DE0945">
        <w:t xml:space="preserve"> (NREL)</w:t>
      </w:r>
      <w:r w:rsidR="00DE0945" w:rsidRPr="00E12959">
        <w:t xml:space="preserve"> of the U.S. Department of</w:t>
      </w:r>
      <w:r w:rsidR="00394804">
        <w:t xml:space="preserve"> </w:t>
      </w:r>
      <w:r w:rsidR="00394804" w:rsidRPr="00E12959">
        <w:t>Energy</w:t>
      </w:r>
      <w:r w:rsidR="00DE0945" w:rsidRPr="00E12959">
        <w:t xml:space="preserve"> </w:t>
      </w:r>
      <w:r w:rsidR="00DE0945">
        <w:fldChar w:fldCharType="begin"/>
      </w:r>
      <w:r w:rsidR="004270B7">
        <w:instrText xml:space="preserve"> ADDIN EN.CITE &lt;EndNote&gt;&lt;Cite&gt;&lt;Author&gt;Denholm&lt;/Author&gt;&lt;Year&gt;2019&lt;/Year&gt;&lt;RecNum&gt;59&lt;/RecNum&gt;&lt;DisplayText&gt;[7]&lt;/DisplayText&gt;&lt;record&gt;&lt;rec-number&gt;59&lt;/rec-number&gt;&lt;foreign-keys&gt;&lt;key app="EN" db-id="dsezaaaxf5z9dte9xeovfea50xe9wdtdapd9" timestamp="1623800846"&gt;59&lt;/key&gt;&lt;key app="ENWeb" db-id=""&gt;0&lt;/key&gt;&lt;/foreign-keys&gt;&lt;ref-type name="Report"&gt;27&lt;/ref-type&gt;&lt;contributors&gt;&lt;authors&gt;&lt;author&gt;Denholm, Paul,&lt;/author&gt;&lt;author&gt;Yinong Sun,&lt;/author&gt;&lt;author&gt;Trieu Ma,&lt;/author&gt;&lt;/authors&gt;&lt;/contributors&gt;&lt;titles&gt;&lt;title&gt;An Introduction to Grid Services: Concepts, Technical Requirements, and Provision from Wind&lt;/title&gt;&lt;/titles&gt;&lt;dates&gt;&lt;year&gt;2019&lt;/year&gt;&lt;/dates&gt;&lt;publisher&gt;National Renewable Energy Laboratory. NREL/TP-6A20-72578.&lt;/publisher&gt;&lt;urls&gt;&lt;/urls&gt;&lt;/record&gt;&lt;/Cite&gt;&lt;/EndNote&gt;</w:instrText>
      </w:r>
      <w:r w:rsidR="00DE0945">
        <w:fldChar w:fldCharType="separate"/>
      </w:r>
      <w:r w:rsidR="004270B7">
        <w:rPr>
          <w:noProof/>
        </w:rPr>
        <w:t>[7]</w:t>
      </w:r>
      <w:r w:rsidR="00DE0945">
        <w:fldChar w:fldCharType="end"/>
      </w:r>
      <w:r w:rsidR="00394804">
        <w:t xml:space="preserve"> and the </w:t>
      </w:r>
      <w:r w:rsidR="00394804" w:rsidRPr="00F72CDC">
        <w:t>European Network of Transmission System Operators for Electricity</w:t>
      </w:r>
      <w:r w:rsidR="00394804">
        <w:t xml:space="preserve"> (ENTSO-E) </w:t>
      </w:r>
      <w:r w:rsidR="00394804">
        <w:fldChar w:fldCharType="begin"/>
      </w:r>
      <w:r w:rsidR="004270B7">
        <w:instrText xml:space="preserve"> ADDIN EN.CITE &lt;EndNote&gt;&lt;Cite&gt;&lt;Year&gt;2016&lt;/Year&gt;&lt;RecNum&gt;295&lt;/RecNum&gt;&lt;DisplayText&gt;[8]&lt;/DisplayText&gt;&lt;record&gt;&lt;rec-number&gt;295&lt;/rec-number&gt;&lt;foreign-keys&gt;&lt;key app="EN" db-id="dsezaaaxf5z9dte9xeovfea50xe9wdtdapd9" timestamp="1629417386"&gt;295&lt;/key&gt;&lt;/foreign-keys&gt;&lt;ref-type name="Report"&gt;27&lt;/ref-type&gt;&lt;contributors&gt;&lt;/contributors&gt;&lt;titles&gt;&lt;title&gt;Commision regulation (EU) 2016/631 of 14 April 2016&lt;/title&gt;&lt;/titles&gt;&lt;dates&gt;&lt;year&gt;2016&lt;/year&gt;&lt;/dates&gt;&lt;urls&gt;&lt;related-urls&gt;&lt;url&gt;https://eur-lex.europa.eu/legal-content/EN/TXT/PDF/?uri=CELEX:32016R0631&amp;amp;from=EN&lt;/url&gt;&lt;/related-urls&gt;&lt;/urls&gt;&lt;/record&gt;&lt;/Cite&gt;&lt;/EndNote&gt;</w:instrText>
      </w:r>
      <w:r w:rsidR="00394804">
        <w:fldChar w:fldCharType="separate"/>
      </w:r>
      <w:r w:rsidR="004270B7">
        <w:rPr>
          <w:noProof/>
        </w:rPr>
        <w:t>[8]</w:t>
      </w:r>
      <w:r w:rsidR="00394804">
        <w:fldChar w:fldCharType="end"/>
      </w:r>
      <w:r w:rsidR="00394804">
        <w:t xml:space="preserve">, have categorised these services </w:t>
      </w:r>
      <w:r w:rsidR="00F63895">
        <w:t>based on</w:t>
      </w:r>
      <w:r w:rsidR="00394804">
        <w:t xml:space="preserve"> their time scales</w:t>
      </w:r>
      <w:r w:rsidR="00DE0945">
        <w:t>.</w:t>
      </w:r>
      <w:r w:rsidR="001539AB">
        <w:t xml:space="preserve"> The structure for </w:t>
      </w:r>
      <w:r w:rsidR="00823738">
        <w:t>FCAS looks almost similar in all grid codes. There are</w:t>
      </w:r>
    </w:p>
    <w:p w14:paraId="6415D2D2" w14:textId="471A5723" w:rsidR="00E010EC" w:rsidRDefault="00E010EC" w:rsidP="00237486">
      <w:pPr>
        <w:pStyle w:val="ListParagraph"/>
        <w:numPr>
          <w:ilvl w:val="0"/>
          <w:numId w:val="13"/>
        </w:numPr>
      </w:pPr>
      <w:r>
        <w:lastRenderedPageBreak/>
        <w:t>I</w:t>
      </w:r>
      <w:r w:rsidR="003B38FD">
        <w:t xml:space="preserve">nertial and </w:t>
      </w:r>
      <w:r w:rsidR="00823738">
        <w:t xml:space="preserve">very fast </w:t>
      </w:r>
      <w:r w:rsidR="003B38FD">
        <w:t xml:space="preserve">frequency </w:t>
      </w:r>
      <w:r>
        <w:t>service</w:t>
      </w:r>
      <w:r w:rsidR="003B38FD">
        <w:t xml:space="preserve"> in the </w:t>
      </w:r>
      <w:r>
        <w:t>scale of msec. to sec.</w:t>
      </w:r>
    </w:p>
    <w:p w14:paraId="6F9282FD" w14:textId="44FBE148" w:rsidR="00E010EC" w:rsidRDefault="00E010EC" w:rsidP="00237486">
      <w:pPr>
        <w:pStyle w:val="ListParagraph"/>
        <w:numPr>
          <w:ilvl w:val="0"/>
          <w:numId w:val="13"/>
        </w:numPr>
      </w:pPr>
      <w:r>
        <w:t>Fast</w:t>
      </w:r>
      <w:r w:rsidR="004D3D64">
        <w:t xml:space="preserve"> frequency service in the sec. time scale</w:t>
      </w:r>
    </w:p>
    <w:p w14:paraId="0DFE5695" w14:textId="49F1E176" w:rsidR="004D3D64" w:rsidRDefault="004D3D64" w:rsidP="00237486">
      <w:pPr>
        <w:pStyle w:val="ListParagraph"/>
        <w:numPr>
          <w:ilvl w:val="0"/>
          <w:numId w:val="13"/>
        </w:numPr>
      </w:pPr>
      <w:r>
        <w:t xml:space="preserve">Slow </w:t>
      </w:r>
      <w:r w:rsidR="00EA4A5C">
        <w:t xml:space="preserve">frequency response </w:t>
      </w:r>
      <w:r w:rsidR="00C42BC0">
        <w:t xml:space="preserve">in </w:t>
      </w:r>
      <w:r w:rsidR="00004974">
        <w:t xml:space="preserve">the </w:t>
      </w:r>
      <w:r w:rsidR="00C42BC0">
        <w:t>range of sec. to min.</w:t>
      </w:r>
    </w:p>
    <w:p w14:paraId="43495C7C" w14:textId="0CC0E4AE" w:rsidR="00C42BC0" w:rsidRDefault="00C42BC0" w:rsidP="00237486">
      <w:pPr>
        <w:pStyle w:val="ListParagraph"/>
        <w:numPr>
          <w:ilvl w:val="0"/>
          <w:numId w:val="13"/>
        </w:numPr>
      </w:pPr>
      <w:r>
        <w:t xml:space="preserve">Delayed frequency response in the scale </w:t>
      </w:r>
      <w:r w:rsidR="00DB28DE">
        <w:t xml:space="preserve">of </w:t>
      </w:r>
      <w:r>
        <w:t>more than a min.</w:t>
      </w:r>
    </w:p>
    <w:p w14:paraId="129F42C2" w14:textId="15811347" w:rsidR="00DE0945" w:rsidRDefault="00763B24" w:rsidP="00C9138D">
      <w:r>
        <w:t>Different operational requirements are also introduced for service provide</w:t>
      </w:r>
      <w:r w:rsidR="00631F77">
        <w:t>r</w:t>
      </w:r>
      <w:r>
        <w:t>s</w:t>
      </w:r>
      <w:r w:rsidR="00631F77">
        <w:t xml:space="preserve"> cons</w:t>
      </w:r>
      <w:r w:rsidR="00650282">
        <w:t>i</w:t>
      </w:r>
      <w:r w:rsidR="00631F77">
        <w:t xml:space="preserve">dering </w:t>
      </w:r>
      <w:r w:rsidR="00650282">
        <w:t>different technologies</w:t>
      </w:r>
      <w:r w:rsidR="00C9138D">
        <w:t>; for example, deployment time for the FFR service provider.</w:t>
      </w:r>
      <w:r w:rsidR="003B38FD">
        <w:t xml:space="preserve"> </w:t>
      </w:r>
      <w:r w:rsidR="00C9138D">
        <w:t>However,</w:t>
      </w:r>
      <w:r w:rsidR="00DE0945">
        <w:t xml:space="preserve"> </w:t>
      </w:r>
      <w:r w:rsidR="00582CED">
        <w:t xml:space="preserve">developing </w:t>
      </w:r>
      <w:r w:rsidR="00924A86">
        <w:t xml:space="preserve">a </w:t>
      </w:r>
      <w:r w:rsidR="00582CED">
        <w:t>voltage control ancillary services market</w:t>
      </w:r>
      <w:r w:rsidR="00B64B5F">
        <w:t xml:space="preserve"> in an IBR-rich grid is more challenging</w:t>
      </w:r>
      <w:r w:rsidR="00656C10">
        <w:t>, especially when the transmission grid is weak</w:t>
      </w:r>
      <w:r w:rsidR="001D27C3">
        <w:t xml:space="preserve"> </w:t>
      </w:r>
      <w:r w:rsidR="001D27C3">
        <w:fldChar w:fldCharType="begin"/>
      </w:r>
      <w:r w:rsidR="004270B7">
        <w:instrText xml:space="preserve"> ADDIN EN.CITE &lt;EndNote&gt;&lt;Cite&gt;&lt;Author&gt;Oureilidis&lt;/Author&gt;&lt;Year&gt;2020&lt;/Year&gt;&lt;RecNum&gt;61&lt;/RecNum&gt;&lt;DisplayText&gt;[9]&lt;/DisplayText&gt;&lt;record&gt;&lt;rec-number&gt;61&lt;/rec-number&gt;&lt;foreign-keys&gt;&lt;key app="EN" db-id="dsezaaaxf5z9dte9xeovfea50xe9wdtdapd9" timestamp="1623810551"&gt;61&lt;/key&gt;&lt;key app="ENWeb" db-id=""&gt;0&lt;/key&gt;&lt;/foreign-keys&gt;&lt;ref-type name="Journal Article"&gt;17&lt;/ref-type&gt;&lt;contributors&gt;&lt;authors&gt;&lt;author&gt;Oureilidis, Konstantinos&lt;/author&gt;&lt;author&gt;Malamaki, Kyriaki-Nefeli&lt;/author&gt;&lt;author&gt;Gallos, Konstantinos&lt;/author&gt;&lt;author&gt;Tsitsimelis, Achilleas&lt;/author&gt;&lt;author&gt;Dikaiakos, Christos&lt;/author&gt;&lt;author&gt;Gkavanoudis, Spyros&lt;/author&gt;&lt;author&gt;Cvetkovic, Milos&lt;/author&gt;&lt;author&gt;Mauricio, Juan Manuel&lt;/author&gt;&lt;author&gt;Maza Ortega, Jose Maria&lt;/author&gt;&lt;author&gt;Ramos, Jose Luis Martinez&lt;/author&gt;&lt;author&gt;Papaioannou, George&lt;/author&gt;&lt;author&gt;Demoulias, Charis&lt;/author&gt;&lt;/authors&gt;&lt;/contributors&gt;&lt;titles&gt;&lt;title&gt;Ancillary Services Market Design in Distribution Networks: Review and Identification of Barriers&lt;/title&gt;&lt;secondary-title&gt;Energies&lt;/secondary-title&gt;&lt;/titles&gt;&lt;periodical&gt;&lt;full-title&gt;Energies&lt;/full-title&gt;&lt;/periodical&gt;&lt;volume&gt;13&lt;/volume&gt;&lt;number&gt;4&lt;/number&gt;&lt;section&gt;917&lt;/section&gt;&lt;dates&gt;&lt;year&gt;2020&lt;/year&gt;&lt;/dates&gt;&lt;isbn&gt;1996-1073&lt;/isbn&gt;&lt;urls&gt;&lt;/urls&gt;&lt;electronic-resource-num&gt;10.3390/en13040917&lt;/electronic-resource-num&gt;&lt;/record&gt;&lt;/Cite&gt;&lt;/EndNote&gt;</w:instrText>
      </w:r>
      <w:r w:rsidR="001D27C3">
        <w:fldChar w:fldCharType="separate"/>
      </w:r>
      <w:r w:rsidR="004270B7">
        <w:rPr>
          <w:noProof/>
        </w:rPr>
        <w:t>[9]</w:t>
      </w:r>
      <w:r w:rsidR="001D27C3">
        <w:fldChar w:fldCharType="end"/>
      </w:r>
      <w:r w:rsidR="00B64B5F">
        <w:t xml:space="preserve">. </w:t>
      </w:r>
      <w:r w:rsidR="00414F00">
        <w:t>Limitation</w:t>
      </w:r>
      <w:r w:rsidR="009F1C56">
        <w:t>s</w:t>
      </w:r>
      <w:r w:rsidR="00414F00">
        <w:t xml:space="preserve"> of </w:t>
      </w:r>
      <w:r w:rsidR="007B4D6B">
        <w:t>RE powerplants in reactive power support, especially in the case of faults, has been in the focus of</w:t>
      </w:r>
      <w:r w:rsidR="00B70DF6">
        <w:t xml:space="preserve"> defining voltage support services in</w:t>
      </w:r>
      <w:r w:rsidR="007B4D6B">
        <w:t xml:space="preserve"> </w:t>
      </w:r>
      <w:r w:rsidR="004F1A08">
        <w:t xml:space="preserve">all grid codes. </w:t>
      </w:r>
      <w:r w:rsidR="00B70DF6">
        <w:t>In addition,</w:t>
      </w:r>
      <w:r w:rsidR="00FB7B1E">
        <w:t xml:space="preserve"> developing a voltage service market</w:t>
      </w:r>
      <w:r w:rsidR="00582CED">
        <w:t xml:space="preserve"> in the distribution grid </w:t>
      </w:r>
      <w:r w:rsidR="007765CC">
        <w:t>looks to be</w:t>
      </w:r>
      <w:r w:rsidR="00582CED">
        <w:t xml:space="preserve"> </w:t>
      </w:r>
      <w:r w:rsidR="004D4A7C">
        <w:t xml:space="preserve">a great </w:t>
      </w:r>
      <w:r w:rsidR="00136EE2">
        <w:t xml:space="preserve">opportunity </w:t>
      </w:r>
      <w:r w:rsidR="00684448">
        <w:fldChar w:fldCharType="begin"/>
      </w:r>
      <w:r w:rsidR="004270B7">
        <w:instrText xml:space="preserve"> ADDIN EN.CITE &lt;EndNote&gt;&lt;Cite&gt;&lt;Author&gt;Oureilidis&lt;/Author&gt;&lt;Year&gt;2020&lt;/Year&gt;&lt;RecNum&gt;61&lt;/RecNum&gt;&lt;DisplayText&gt;[9]&lt;/DisplayText&gt;&lt;record&gt;&lt;rec-number&gt;61&lt;/rec-number&gt;&lt;foreign-keys&gt;&lt;key app="EN" db-id="dsezaaaxf5z9dte9xeovfea50xe9wdtdapd9" timestamp="1623810551"&gt;61&lt;/key&gt;&lt;key app="ENWeb" db-id=""&gt;0&lt;/key&gt;&lt;/foreign-keys&gt;&lt;ref-type name="Journal Article"&gt;17&lt;/ref-type&gt;&lt;contributors&gt;&lt;authors&gt;&lt;author&gt;Oureilidis, Konstantinos&lt;/author&gt;&lt;author&gt;Malamaki, Kyriaki-Nefeli&lt;/author&gt;&lt;author&gt;Gallos, Konstantinos&lt;/author&gt;&lt;author&gt;Tsitsimelis, Achilleas&lt;/author&gt;&lt;author&gt;Dikaiakos, Christos&lt;/author&gt;&lt;author&gt;Gkavanoudis, Spyros&lt;/author&gt;&lt;author&gt;Cvetkovic, Milos&lt;/author&gt;&lt;author&gt;Mauricio, Juan Manuel&lt;/author&gt;&lt;author&gt;Maza Ortega, Jose Maria&lt;/author&gt;&lt;author&gt;Ramos, Jose Luis Martinez&lt;/author&gt;&lt;author&gt;Papaioannou, George&lt;/author&gt;&lt;author&gt;Demoulias, Charis&lt;/author&gt;&lt;/authors&gt;&lt;/contributors&gt;&lt;titles&gt;&lt;title&gt;Ancillary Services Market Design in Distribution Networks: Review and Identification of Barriers&lt;/title&gt;&lt;secondary-title&gt;Energies&lt;/secondary-title&gt;&lt;/titles&gt;&lt;periodical&gt;&lt;full-title&gt;Energies&lt;/full-title&gt;&lt;/periodical&gt;&lt;volume&gt;13&lt;/volume&gt;&lt;number&gt;4&lt;/number&gt;&lt;section&gt;917&lt;/section&gt;&lt;dates&gt;&lt;year&gt;2020&lt;/year&gt;&lt;/dates&gt;&lt;isbn&gt;1996-1073&lt;/isbn&gt;&lt;urls&gt;&lt;/urls&gt;&lt;electronic-resource-num&gt;10.3390/en13040917&lt;/electronic-resource-num&gt;&lt;/record&gt;&lt;/Cite&gt;&lt;/EndNote&gt;</w:instrText>
      </w:r>
      <w:r w:rsidR="00684448">
        <w:fldChar w:fldCharType="separate"/>
      </w:r>
      <w:r w:rsidR="004270B7">
        <w:rPr>
          <w:noProof/>
        </w:rPr>
        <w:t>[9]</w:t>
      </w:r>
      <w:r w:rsidR="00684448">
        <w:fldChar w:fldCharType="end"/>
      </w:r>
      <w:r w:rsidR="00136EE2">
        <w:t xml:space="preserve"> although it is not well addressed in NR</w:t>
      </w:r>
      <w:r w:rsidR="005813AB">
        <w:t>E</w:t>
      </w:r>
      <w:r w:rsidR="00136EE2">
        <w:t xml:space="preserve">L </w:t>
      </w:r>
      <w:r w:rsidR="00136EE2">
        <w:fldChar w:fldCharType="begin">
          <w:fldData xml:space="preserve">PEVuZE5vdGU+PENpdGU+PEF1dGhvcj5PdXJlaWxpZGlzPC9BdXRob3I+PFllYXI+MjAyMDwvWWVh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</w:fldData>
        </w:fldChar>
      </w:r>
      <w:r w:rsidR="004270B7">
        <w:instrText xml:space="preserve"> ADDIN EN.CITE </w:instrText>
      </w:r>
      <w:r w:rsidR="004270B7">
        <w:fldChar w:fldCharType="begin">
          <w:fldData xml:space="preserve">PEVuZE5vdGU+PENpdGU+PEF1dGhvcj5PdXJlaWxpZGlzPC9BdXRob3I+PFllYXI+MjAyMDwvWWVh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</w:fldData>
        </w:fldChar>
      </w:r>
      <w:r w:rsidR="004270B7">
        <w:instrText xml:space="preserve"> ADDIN EN.CITE.DATA </w:instrText>
      </w:r>
      <w:r w:rsidR="004270B7">
        <w:fldChar w:fldCharType="end"/>
      </w:r>
      <w:r w:rsidR="00136EE2">
        <w:fldChar w:fldCharType="separate"/>
      </w:r>
      <w:r w:rsidR="004270B7">
        <w:rPr>
          <w:noProof/>
        </w:rPr>
        <w:t>[9, 10]</w:t>
      </w:r>
      <w:r w:rsidR="00136EE2">
        <w:fldChar w:fldCharType="end"/>
      </w:r>
      <w:r w:rsidR="004D4A7C">
        <w:t>.</w:t>
      </w:r>
      <w:r w:rsidR="003A7CEC">
        <w:t xml:space="preserve"> More details about these services are provided in the related section in this report. </w:t>
      </w:r>
      <w:r w:rsidR="004D4A7C">
        <w:t xml:space="preserve"> </w:t>
      </w:r>
    </w:p>
    <w:p w14:paraId="0B3FDF38" w14:textId="2BB19BE2" w:rsidR="00FE2385" w:rsidRDefault="00FE2385" w:rsidP="00BA6E41">
      <w:r>
        <w:t xml:space="preserve">There are two main concerns </w:t>
      </w:r>
      <w:r w:rsidR="003858D1">
        <w:t>during the transition of power grids to</w:t>
      </w:r>
      <w:r w:rsidR="00FE4F8E">
        <w:t xml:space="preserve"> a</w:t>
      </w:r>
      <w:r w:rsidR="003858D1">
        <w:t xml:space="preserve"> </w:t>
      </w:r>
      <w:r w:rsidR="00FE4F8E">
        <w:t>VRE-rich environment. The first one is financial</w:t>
      </w:r>
      <w:r w:rsidR="0029376F">
        <w:t xml:space="preserve"> which includes uncertainty on ‘when’ and ‘where’ investments and incentives should be placed. </w:t>
      </w:r>
      <w:r w:rsidR="00DB042E">
        <w:t xml:space="preserve">It is worth noting </w:t>
      </w:r>
      <w:r w:rsidR="00962CE5">
        <w:t>that a large portion of investments</w:t>
      </w:r>
      <w:r w:rsidR="00464A7D">
        <w:t xml:space="preserve"> in VRE and DER</w:t>
      </w:r>
      <w:r w:rsidR="00962CE5">
        <w:t>, such as those on EVs</w:t>
      </w:r>
      <w:r w:rsidR="004E231F">
        <w:t xml:space="preserve"> or residential batteries,</w:t>
      </w:r>
      <w:r w:rsidR="00962CE5">
        <w:t xml:space="preserve"> are ou</w:t>
      </w:r>
      <w:r w:rsidR="004E231F">
        <w:t>t</w:t>
      </w:r>
      <w:r w:rsidR="00962CE5">
        <w:t xml:space="preserve"> of control of </w:t>
      </w:r>
      <w:r w:rsidR="004E231F">
        <w:t xml:space="preserve">the </w:t>
      </w:r>
      <w:r w:rsidR="00962CE5">
        <w:t>electricity market</w:t>
      </w:r>
      <w:r w:rsidR="004E231F">
        <w:t xml:space="preserve">, but </w:t>
      </w:r>
      <w:r w:rsidR="00F54977">
        <w:t xml:space="preserve">results uncertainties in electricity </w:t>
      </w:r>
      <w:r w:rsidR="00A36DC0">
        <w:t xml:space="preserve">rules. </w:t>
      </w:r>
      <w:r w:rsidR="00D717D3">
        <w:t xml:space="preserve">The second concern is </w:t>
      </w:r>
      <w:r w:rsidR="00095C3B" w:rsidRPr="00095C3B">
        <w:rPr>
          <w:i/>
          <w:iCs/>
        </w:rPr>
        <w:t>reliability</w:t>
      </w:r>
      <w:r w:rsidR="00095C3B">
        <w:t xml:space="preserve"> of the grid which </w:t>
      </w:r>
      <w:r w:rsidR="00123000">
        <w:t>ha</w:t>
      </w:r>
      <w:r w:rsidR="00095C3B">
        <w:t>s indeed a</w:t>
      </w:r>
      <w:r w:rsidR="00123000">
        <w:t xml:space="preserve"> technical root</w:t>
      </w:r>
      <w:r w:rsidR="00095C3B">
        <w:t xml:space="preserve">. </w:t>
      </w:r>
      <w:r w:rsidR="00BA6E41">
        <w:t>Indeed</w:t>
      </w:r>
      <w:r w:rsidR="00A36DC0">
        <w:t xml:space="preserve">, any rule change during the transition should be </w:t>
      </w:r>
      <w:r w:rsidR="00BA6E41">
        <w:t xml:space="preserve">efficient and </w:t>
      </w:r>
      <w:r w:rsidR="00A36DC0">
        <w:t xml:space="preserve">flexible enough </w:t>
      </w:r>
      <w:r w:rsidR="00BA6E41">
        <w:t>considering both fina</w:t>
      </w:r>
      <w:r w:rsidR="00C5714B">
        <w:t>ncial uncertainties and reliability requirements.</w:t>
      </w:r>
      <w:r w:rsidR="00962CE5">
        <w:t xml:space="preserve"> </w:t>
      </w:r>
      <w:r w:rsidR="00FE4F8E">
        <w:t xml:space="preserve"> </w:t>
      </w:r>
    </w:p>
    <w:p w14:paraId="79755904" w14:textId="77777777" w:rsidR="00B204AD" w:rsidRDefault="00B204AD" w:rsidP="00F65618"/>
    <w:p w14:paraId="29D00E94" w14:textId="77777777" w:rsidR="00B204AD" w:rsidRPr="00FC4C36" w:rsidRDefault="00B204AD" w:rsidP="00B204AD">
      <w:pPr>
        <w:pStyle w:val="Heading1"/>
      </w:pPr>
      <w:bookmarkStart w:id="8" w:name="_Toc83674462"/>
      <w:r w:rsidRPr="00FC4C36">
        <w:t>Methodology</w:t>
      </w:r>
      <w:bookmarkEnd w:id="8"/>
    </w:p>
    <w:p w14:paraId="09176650" w14:textId="2E611BAF" w:rsidR="00B204AD" w:rsidRDefault="00B204AD" w:rsidP="00E95C7A">
      <w:r>
        <w:t>The approach used to develop the plan is multi-</w:t>
      </w:r>
      <w:r w:rsidRPr="001A05D7">
        <w:t>pronged. The approach concurrently discovered the state-of-the-art through literature review as well as conversations to share knowledge through internal and external meetings. These meetings were with other academic institutions involved in the GPST</w:t>
      </w:r>
      <w:r>
        <w:t xml:space="preserve"> and key industry stakeholders required to advance Australia’s electricity services.</w:t>
      </w:r>
      <w:r w:rsidR="00E95C7A">
        <w:t xml:space="preserve"> </w:t>
      </w:r>
      <w:r>
        <w:t xml:space="preserve">Assuming there are no right technologies that achieve the technical requirements to maintain the supply-demand balance while keeping the grid under control at least cost (described in the tender document), this kicked-off the discovery of relevant and important research questions for Australia. </w:t>
      </w:r>
    </w:p>
    <w:p w14:paraId="61BCCD39" w14:textId="07F6C858" w:rsidR="00B204AD" w:rsidRDefault="00365AFA" w:rsidP="00B204AD">
      <w:r>
        <w:t>Both</w:t>
      </w:r>
      <w:r w:rsidR="00B204AD">
        <w:t xml:space="preserve"> GPST</w:t>
      </w:r>
      <w:r>
        <w:t xml:space="preserve"> and CSIRO’s posed</w:t>
      </w:r>
      <w:r w:rsidR="00B204AD">
        <w:t xml:space="preserve"> research questions </w:t>
      </w:r>
      <w:r w:rsidR="009969EC">
        <w:t>sho</w:t>
      </w:r>
      <w:r w:rsidR="00D35F36">
        <w:t>w</w:t>
      </w:r>
      <w:r w:rsidR="00490ABA">
        <w:t xml:space="preserve"> a common</w:t>
      </w:r>
      <w:r w:rsidR="009969EC">
        <w:t xml:space="preserve"> concern</w:t>
      </w:r>
      <w:r w:rsidR="00D21677">
        <w:t>:</w:t>
      </w:r>
      <w:r w:rsidR="009969EC">
        <w:t xml:space="preserve"> </w:t>
      </w:r>
      <w:r w:rsidR="00D21677">
        <w:t>W</w:t>
      </w:r>
      <w:r w:rsidR="00E54C1E">
        <w:t xml:space="preserve">ithout </w:t>
      </w:r>
      <w:r w:rsidR="00B204AD">
        <w:t>understanding</w:t>
      </w:r>
      <w:r w:rsidR="00E54C1E">
        <w:t xml:space="preserve"> ‘what to do’ and</w:t>
      </w:r>
      <w:r w:rsidR="00B204AD">
        <w:t xml:space="preserve"> why, it is difficult (if not impossible) to guarantee an at least cost approach that reliably maintains supply-demand balance while keeping the grid under control. Research questions that form any part of a plan to achieve quantifying the technical requirements require a full understanding of the physics and controls of a power system. This understanding will unlock delivery of the services required for Australia.</w:t>
      </w:r>
    </w:p>
    <w:p w14:paraId="2319EC75" w14:textId="684852B2" w:rsidR="00B204AD" w:rsidRDefault="00B204AD" w:rsidP="00433DFC">
      <w:r>
        <w:t xml:space="preserve">Given the </w:t>
      </w:r>
      <w:r w:rsidR="001A05D7">
        <w:t>timeline of the project</w:t>
      </w:r>
      <w:r>
        <w:t xml:space="preserve">, an adaptable approach of stakeholder engagement and literature review was used, with the goal of achieving what’s needed for Australia. </w:t>
      </w:r>
      <w:r w:rsidR="00745808" w:rsidRPr="001A05D7">
        <w:t>Challenges and</w:t>
      </w:r>
      <w:r w:rsidR="004C6D64" w:rsidRPr="001A05D7">
        <w:t xml:space="preserve"> </w:t>
      </w:r>
      <w:r w:rsidR="00745808" w:rsidRPr="001A05D7">
        <w:t xml:space="preserve">future </w:t>
      </w:r>
      <w:r w:rsidR="004C6D64" w:rsidRPr="001A05D7">
        <w:t>views are collected</w:t>
      </w:r>
      <w:r w:rsidR="00745808" w:rsidRPr="001A05D7">
        <w:t xml:space="preserve"> from stakeholders in</w:t>
      </w:r>
      <w:r w:rsidR="004C6D64" w:rsidRPr="001A05D7">
        <w:t xml:space="preserve"> gene</w:t>
      </w:r>
      <w:r w:rsidR="00EF7273" w:rsidRPr="001A05D7">
        <w:t xml:space="preserve">ration, transmission and distribution sections. In parallel, best international practices </w:t>
      </w:r>
      <w:r w:rsidR="00BC272C" w:rsidRPr="001A05D7">
        <w:t>about services in IBR-rich grids in both industry and academia are surveyed</w:t>
      </w:r>
      <w:r w:rsidR="007A431E" w:rsidRPr="001A05D7">
        <w:t>.</w:t>
      </w:r>
      <w:r w:rsidR="00503E0A" w:rsidRPr="001A05D7">
        <w:t xml:space="preserve"> We have always kept an eye </w:t>
      </w:r>
      <w:r w:rsidR="004251A9" w:rsidRPr="001A05D7">
        <w:t>o</w:t>
      </w:r>
      <w:r w:rsidR="00503E0A" w:rsidRPr="001A05D7">
        <w:t xml:space="preserve">n the rule changes </w:t>
      </w:r>
      <w:r w:rsidR="001B21FC" w:rsidRPr="001A05D7">
        <w:t xml:space="preserve">issued by </w:t>
      </w:r>
      <w:r w:rsidR="004251A9" w:rsidRPr="001A05D7">
        <w:t xml:space="preserve">AEMC </w:t>
      </w:r>
      <w:r w:rsidR="00F74EDE" w:rsidRPr="001A05D7">
        <w:t>and put th</w:t>
      </w:r>
      <w:r w:rsidR="00CF2D90" w:rsidRPr="001A05D7">
        <w:t>ose which are under development</w:t>
      </w:r>
      <w:r w:rsidR="00CF2D90">
        <w:t xml:space="preserve"> in section 3.8.</w:t>
      </w:r>
      <w:r w:rsidR="001B21FC">
        <w:t xml:space="preserve"> </w:t>
      </w:r>
      <w:r w:rsidR="00F804CC">
        <w:t xml:space="preserve">Services </w:t>
      </w:r>
      <w:r w:rsidR="00621489">
        <w:t>are</w:t>
      </w:r>
      <w:r w:rsidR="00F804CC">
        <w:t xml:space="preserve"> a very dynamic environment these days. For example,</w:t>
      </w:r>
      <w:r w:rsidR="001B21FC">
        <w:t xml:space="preserve"> the Fast Frequency Response rule </w:t>
      </w:r>
      <w:r w:rsidR="004251A9">
        <w:t xml:space="preserve">was </w:t>
      </w:r>
      <w:r w:rsidR="009F2049">
        <w:t xml:space="preserve">issued </w:t>
      </w:r>
      <w:r w:rsidR="00F804CC">
        <w:t xml:space="preserve">by </w:t>
      </w:r>
      <w:r w:rsidR="004251A9">
        <w:t xml:space="preserve">the AEMC </w:t>
      </w:r>
      <w:r w:rsidR="001B21FC">
        <w:t>on 15 July 2021</w:t>
      </w:r>
      <w:r w:rsidR="00F7787C">
        <w:t xml:space="preserve"> while we have been working on this project</w:t>
      </w:r>
      <w:r w:rsidR="001B21FC">
        <w:t>.</w:t>
      </w:r>
      <w:r w:rsidR="00EF7273">
        <w:t xml:space="preserve"> </w:t>
      </w:r>
      <w:r w:rsidR="00745808">
        <w:t xml:space="preserve"> </w:t>
      </w:r>
    </w:p>
    <w:p w14:paraId="7042857A" w14:textId="77777777" w:rsidR="00D16312" w:rsidRDefault="00D16312" w:rsidP="002D5DFC"/>
    <w:p w14:paraId="2F1F41A4" w14:textId="3EBDB96E" w:rsidR="00364B26" w:rsidRDefault="00364B26" w:rsidP="00FC4C36">
      <w:pPr>
        <w:pStyle w:val="Heading1"/>
      </w:pPr>
      <w:bookmarkStart w:id="9" w:name="_Toc83674463"/>
      <w:r>
        <w:t>Plan Development</w:t>
      </w:r>
      <w:r w:rsidR="00740B07">
        <w:t xml:space="preserve"> and Preliminary Recommendations</w:t>
      </w:r>
      <w:bookmarkEnd w:id="9"/>
    </w:p>
    <w:p w14:paraId="23918BFA" w14:textId="5F1F00E3" w:rsidR="00906F16" w:rsidRDefault="00906F16" w:rsidP="00C270FB">
      <w:pPr>
        <w:pStyle w:val="Heading2"/>
      </w:pPr>
      <w:bookmarkStart w:id="10" w:name="_Toc83674464"/>
      <w:r>
        <w:t>A</w:t>
      </w:r>
      <w:r w:rsidR="00032D4F">
        <w:t xml:space="preserve"> general</w:t>
      </w:r>
      <w:r>
        <w:t xml:space="preserve"> </w:t>
      </w:r>
      <w:r w:rsidR="00A57A2F">
        <w:t>techn</w:t>
      </w:r>
      <w:r w:rsidR="00F918BF">
        <w:t>ical</w:t>
      </w:r>
      <w:r>
        <w:t xml:space="preserve"> view</w:t>
      </w:r>
      <w:bookmarkEnd w:id="10"/>
    </w:p>
    <w:p w14:paraId="4E488764" w14:textId="77777777" w:rsidR="007D694F" w:rsidRDefault="007D694F" w:rsidP="007D694F">
      <w:r>
        <w:t xml:space="preserve">Today we are at a pinch point, requiring new thought into the adequacy of achieving the functions of electricity supply at least cost given the changing nature of the electricity supply, and new technologies are available that can inform supply, demand and embedded supply ends of the power system. </w:t>
      </w:r>
      <w:r>
        <w:lastRenderedPageBreak/>
        <w:t xml:space="preserve">Renewable energy resources are penetrating very fast in both generation and distribution sections, which adds a lot of uncertainties to the grid. Emergence of new disruptive technologies, such as batteries and electric vehicles, in the distribution grid has made the conventional distribution management strategies questionable causing several new problems such as voltage rise and reverse power flow. Virtual Power Plants are also new local demand-supply management in the market.    </w:t>
      </w:r>
    </w:p>
    <w:p w14:paraId="091FA2C4" w14:textId="47B99DFA" w:rsidR="00DC02FE" w:rsidRDefault="1BE8953D" w:rsidP="004D2F3A">
      <w:r>
        <w:t>The GPST</w:t>
      </w:r>
      <w:r w:rsidR="3BBA110B">
        <w:t>-</w:t>
      </w:r>
      <w:r w:rsidR="1BA3CDB8">
        <w:t xml:space="preserve">proposed </w:t>
      </w:r>
      <w:r>
        <w:t xml:space="preserve">services are </w:t>
      </w:r>
      <w:r w:rsidR="4CDB4FD4">
        <w:t>confined</w:t>
      </w:r>
      <w:r>
        <w:t xml:space="preserve"> to the definition of reliably maintaining supply-demand balance, at all points in time, at all locations, at least cost, equitably, and with minimum impact on the environment. </w:t>
      </w:r>
      <w:r w:rsidR="4C74DC5D">
        <w:t xml:space="preserve">Through sharing the needs of any future power systems with key stakeholders to date, there is an appetite to unlock </w:t>
      </w:r>
      <w:r w:rsidR="4C74DC5D" w:rsidRPr="3670D97E">
        <w:rPr>
          <w:i/>
          <w:iCs/>
        </w:rPr>
        <w:t>flexibility</w:t>
      </w:r>
      <w:r w:rsidR="4C74DC5D">
        <w:t xml:space="preserve"> </w:t>
      </w:r>
      <w:r w:rsidR="7778E599">
        <w:t>in the grid</w:t>
      </w:r>
      <w:r w:rsidR="001A32E7">
        <w:t xml:space="preserve">. Despite </w:t>
      </w:r>
      <w:r w:rsidR="00451A8E">
        <w:t>variability and uncertainty in VRE and new disruptive technologies in the grid</w:t>
      </w:r>
      <w:r w:rsidR="4C74DC5D">
        <w:t>,</w:t>
      </w:r>
      <w:r w:rsidR="0006546B">
        <w:t xml:space="preserve"> they can bring flexibility features to the</w:t>
      </w:r>
      <w:r w:rsidR="000031ED">
        <w:t xml:space="preserve"> grid</w:t>
      </w:r>
      <w:r w:rsidR="00BE26A1">
        <w:t>.</w:t>
      </w:r>
      <w:r w:rsidR="000031ED">
        <w:t xml:space="preserve"> </w:t>
      </w:r>
      <w:r w:rsidR="00486DF6">
        <w:t>For example, in the distribution grid</w:t>
      </w:r>
      <w:r w:rsidR="00B81483">
        <w:t>, an electric vehicle may be connected to the grid during the whole night</w:t>
      </w:r>
      <w:r w:rsidR="00E816FA">
        <w:t xml:space="preserve"> (let’s say 8 hours) while it needs only 3 hours</w:t>
      </w:r>
      <w:r w:rsidR="00F82F8E">
        <w:t xml:space="preserve"> of charging</w:t>
      </w:r>
      <w:r w:rsidR="00E816FA">
        <w:t xml:space="preserve"> to get fully charged.</w:t>
      </w:r>
      <w:r w:rsidR="00F82F8E">
        <w:t xml:space="preserve"> This means that </w:t>
      </w:r>
      <w:r w:rsidR="00393F5D">
        <w:t>charging time can be flexibly chosen any time during that 8</w:t>
      </w:r>
      <w:r w:rsidR="00B60CE2">
        <w:t>-</w:t>
      </w:r>
      <w:r w:rsidR="00393F5D">
        <w:t>hour</w:t>
      </w:r>
      <w:r w:rsidR="00B60CE2">
        <w:t xml:space="preserve"> period</w:t>
      </w:r>
      <w:r w:rsidR="00393F5D">
        <w:t>.</w:t>
      </w:r>
      <w:r w:rsidR="00BE26A1">
        <w:t xml:space="preserve"> </w:t>
      </w:r>
      <w:r w:rsidR="007447C3">
        <w:t xml:space="preserve">Flexibility helps </w:t>
      </w:r>
      <w:r w:rsidR="00BE26A1">
        <w:t xml:space="preserve">either </w:t>
      </w:r>
      <w:r w:rsidR="007447C3">
        <w:t>by</w:t>
      </w:r>
      <w:r w:rsidR="00BE26A1">
        <w:t xml:space="preserve"> matching customer needs with VRE, or providing a new level of system preparedness through applications such as virtual power plants (VPPs). </w:t>
      </w:r>
      <w:r w:rsidR="4C74DC5D">
        <w:t>Both approaches need to be adaptable but also robust providing resilience at all necessary locations.</w:t>
      </w:r>
      <w:r w:rsidR="0F44ED78">
        <w:t xml:space="preserve"> </w:t>
      </w:r>
      <w:r w:rsidR="05C91339">
        <w:t>T</w:t>
      </w:r>
      <w:r w:rsidR="0F44ED78">
        <w:t xml:space="preserve">here are technical and operational challenges on the way. </w:t>
      </w:r>
      <w:r w:rsidR="44E20446">
        <w:t xml:space="preserve">Considering the approach of defining new services in the distribution grid, how these new services should be coordinated with </w:t>
      </w:r>
      <w:r w:rsidR="27F19A73">
        <w:t xml:space="preserve">those of generation and distribution sections? </w:t>
      </w:r>
      <w:r w:rsidR="006B7E00">
        <w:t xml:space="preserve">What are the requirements </w:t>
      </w:r>
      <w:r w:rsidR="00BB1CA7">
        <w:t>to</w:t>
      </w:r>
      <w:r w:rsidR="7FABE51D">
        <w:t xml:space="preserve"> expand</w:t>
      </w:r>
      <w:r w:rsidR="679234B7">
        <w:t xml:space="preserve"> AEMO</w:t>
      </w:r>
      <w:r w:rsidR="607CD4BB">
        <w:t>’s monitoring and control capabilities</w:t>
      </w:r>
      <w:r w:rsidR="00BB1CA7">
        <w:t xml:space="preserve"> into</w:t>
      </w:r>
      <w:r w:rsidR="679234B7">
        <w:t xml:space="preserve"> distribution grid to make sure about security of the grid</w:t>
      </w:r>
      <w:r w:rsidR="22EA5197">
        <w:t xml:space="preserve">? </w:t>
      </w:r>
    </w:p>
    <w:p w14:paraId="49D5AC4F" w14:textId="109437AD" w:rsidR="00990156" w:rsidRDefault="1C575DE7" w:rsidP="00645B4E">
      <w:r>
        <w:t xml:space="preserve">There is also a big concern about the </w:t>
      </w:r>
      <w:r w:rsidRPr="3670D97E">
        <w:rPr>
          <w:i/>
          <w:iCs/>
        </w:rPr>
        <w:t>system strength</w:t>
      </w:r>
      <w:r>
        <w:t xml:space="preserve"> a</w:t>
      </w:r>
      <w:r w:rsidR="0844F87B">
        <w:t>n</w:t>
      </w:r>
      <w:r>
        <w:t xml:space="preserve">d </w:t>
      </w:r>
      <w:r w:rsidRPr="3670D97E">
        <w:rPr>
          <w:i/>
          <w:iCs/>
        </w:rPr>
        <w:t>inertia</w:t>
      </w:r>
      <w:r>
        <w:t xml:space="preserve"> </w:t>
      </w:r>
      <w:r w:rsidR="56AD3B41">
        <w:t>in IBR-rich power grids.</w:t>
      </w:r>
      <w:r w:rsidR="73E47DB3">
        <w:t xml:space="preserve"> </w:t>
      </w:r>
      <w:r w:rsidR="73E47DB3" w:rsidRPr="3670D97E">
        <w:rPr>
          <w:color w:val="212223"/>
          <w:szCs w:val="20"/>
        </w:rPr>
        <w:t xml:space="preserve">System </w:t>
      </w:r>
      <w:r w:rsidR="73E47DB3">
        <w:t xml:space="preserve">strength contribution and inertia are design and operational characteristics of synchronous generation technology that </w:t>
      </w:r>
      <w:r w:rsidR="72547C23">
        <w:t>have</w:t>
      </w:r>
      <w:r w:rsidR="73E47DB3">
        <w:t xml:space="preserve"> not </w:t>
      </w:r>
      <w:r w:rsidR="72547C23">
        <w:t xml:space="preserve">been </w:t>
      </w:r>
      <w:r w:rsidR="73E47DB3">
        <w:t xml:space="preserve">easily replicated in IBR, as yet. </w:t>
      </w:r>
      <w:r w:rsidR="29B072E3">
        <w:t xml:space="preserve">In </w:t>
      </w:r>
      <w:r w:rsidR="2EA0FBB2">
        <w:t>the National Electricity Rules (</w:t>
      </w:r>
      <w:r w:rsidR="29B072E3">
        <w:t>NER</w:t>
      </w:r>
      <w:r w:rsidR="2EA0FBB2">
        <w:t>)</w:t>
      </w:r>
      <w:r w:rsidR="29B072E3">
        <w:t>, the s</w:t>
      </w:r>
      <w:r w:rsidR="73E47DB3">
        <w:t xml:space="preserve">ystem strength is expressed </w:t>
      </w:r>
      <w:r w:rsidR="29B072E3">
        <w:t>using</w:t>
      </w:r>
      <w:r w:rsidR="73E47DB3">
        <w:t xml:space="preserve"> fault levels</w:t>
      </w:r>
      <w:r w:rsidR="67517005">
        <w:t xml:space="preserve"> and the Short Circuit Ratio (SCR)</w:t>
      </w:r>
      <w:r w:rsidR="73E47DB3">
        <w:t xml:space="preserve"> while inertia </w:t>
      </w:r>
      <w:r w:rsidR="2B55652F">
        <w:t>is related to</w:t>
      </w:r>
      <w:r w:rsidR="73E47DB3">
        <w:t xml:space="preserve"> </w:t>
      </w:r>
      <w:r w:rsidR="2B55652F">
        <w:t xml:space="preserve">the </w:t>
      </w:r>
      <w:r w:rsidR="73E47DB3">
        <w:t xml:space="preserve">rate of change </w:t>
      </w:r>
      <w:r w:rsidR="2B55652F">
        <w:t>of</w:t>
      </w:r>
      <w:r w:rsidR="73E47DB3">
        <w:t xml:space="preserve"> frequency (RoCoF) </w:t>
      </w:r>
      <w:r w:rsidR="00990156">
        <w:fldChar w:fldCharType="begin"/>
      </w:r>
      <w:r w:rsidR="004270B7">
        <w:instrText xml:space="preserve"> ADDIN EN.CITE &lt;EndNote&gt;&lt;Cite&gt;&lt;Year&gt;March 2020&lt;/Year&gt;&lt;RecNum&gt;283&lt;/RecNum&gt;&lt;DisplayText&gt;[11]&lt;/DisplayText&gt;&lt;record&gt;&lt;rec-number&gt;283&lt;/rec-number&gt;&lt;foreign-keys&gt;&lt;key app="EN" db-id="dsezaaaxf5z9dte9xeovfea50xe9wdtdapd9" timestamp="1629167154"&gt;283&lt;/key&gt;&lt;/foreign-keys&gt;&lt;ref-type name="Report"&gt;27&lt;/ref-type&gt;&lt;contributors&gt;&lt;/contributors&gt;&lt;titles&gt;&lt;title&gt;System Strength&lt;/title&gt;&lt;/titles&gt;&lt;dates&gt;&lt;year&gt;March 2020&lt;/year&gt;&lt;/dates&gt;&lt;publisher&gt;Australian Energy Market Operator&lt;/publisher&gt;&lt;urls&gt;&lt;/urls&gt;&lt;/record&gt;&lt;/Cite&gt;&lt;/EndNote&gt;</w:instrText>
      </w:r>
      <w:r w:rsidR="00990156">
        <w:fldChar w:fldCharType="separate"/>
      </w:r>
      <w:r w:rsidR="004270B7">
        <w:rPr>
          <w:noProof/>
        </w:rPr>
        <w:t>[11]</w:t>
      </w:r>
      <w:r w:rsidR="00990156">
        <w:fldChar w:fldCharType="end"/>
      </w:r>
      <w:r w:rsidR="73E47DB3">
        <w:t>. The larger the number and capacity of IBR connected in close proximity to each other, the greater system strength</w:t>
      </w:r>
      <w:r w:rsidR="7046E854">
        <w:t xml:space="preserve"> required</w:t>
      </w:r>
      <w:r w:rsidR="73E47DB3">
        <w:t xml:space="preserve"> at that location to maintain stability</w:t>
      </w:r>
      <w:r w:rsidR="469E3C95">
        <w:t xml:space="preserve">. This </w:t>
      </w:r>
      <w:r w:rsidR="5A8D7A6E">
        <w:t>would become</w:t>
      </w:r>
      <w:r w:rsidR="469E3C95">
        <w:t xml:space="preserve"> more serious in weak grids when voltage is very sensitive to deviation of active and reactive power values.</w:t>
      </w:r>
      <w:r w:rsidR="339EDADB">
        <w:t xml:space="preserve"> </w:t>
      </w:r>
      <w:r w:rsidR="73E47DB3">
        <w:t>Many inverter manufacturers specify a minimum SCR for</w:t>
      </w:r>
      <w:r w:rsidR="73430E48">
        <w:t xml:space="preserve"> stable operation of</w:t>
      </w:r>
      <w:r w:rsidR="73E47DB3">
        <w:t xml:space="preserve"> their inverter</w:t>
      </w:r>
      <w:r w:rsidR="387AA97C">
        <w:t xml:space="preserve"> </w:t>
      </w:r>
      <w:r w:rsidR="73E47DB3">
        <w:t>[7]. Managing stability in low system strength conditions often requires a combination of network</w:t>
      </w:r>
      <w:r w:rsidR="4CFA1D07">
        <w:t xml:space="preserve"> support</w:t>
      </w:r>
      <w:r w:rsidR="73E47DB3">
        <w:t xml:space="preserve"> in conjunction with coordinated tuning of power electronic control systems of existing and new equipment</w:t>
      </w:r>
      <w:r w:rsidR="42FFD3D0">
        <w:t xml:space="preserve"> [7]</w:t>
      </w:r>
      <w:r w:rsidR="73E47DB3">
        <w:t>.</w:t>
      </w:r>
      <w:r w:rsidR="56AD3B41">
        <w:t xml:space="preserve"> </w:t>
      </w:r>
    </w:p>
    <w:p w14:paraId="047BDAF5" w14:textId="694880F5" w:rsidR="00906168" w:rsidRDefault="00640CE2" w:rsidP="00906168">
      <w:r>
        <w:t>The above discussion sets the scene of a strategic open research question that could unlock new ways of operating Australia’s power grid while keeping the grid under control at least cost. This question mainly takes into account engineering and technical aspects of revision in services. “Services” may also include an economic aspect that need to be considered; any new service should be economically viable in order to be successfully implemented Since the economic aspects are out of the scope of this work, it is only briefly touched in section 3.6.</w:t>
      </w:r>
    </w:p>
    <w:p w14:paraId="5FF309B2" w14:textId="3BDD926A" w:rsidR="00DD2C62" w:rsidRDefault="004724DA" w:rsidP="004D2F3A">
      <w:r>
        <w:object w:dxaOrig="12950" w:dyaOrig="8440" w14:anchorId="0134E03C">
          <v:shape id="_x0000_i1027" type="#_x0000_t75" style="width:450.5pt;height:293pt" o:ole="">
            <v:imagedata r:id="rId26" o:title=""/>
          </v:shape>
          <o:OLEObject Type="Embed" ProgID="Visio.Drawing.15" ShapeID="_x0000_i1027" DrawAspect="Content" ObjectID="_1709468170" r:id="rId27"/>
        </w:object>
      </w:r>
    </w:p>
    <w:p w14:paraId="2B66B409" w14:textId="60F0A701" w:rsidR="00DD2C62" w:rsidRPr="001B3B29" w:rsidRDefault="00DD2C62" w:rsidP="008B7194">
      <w:pPr>
        <w:pStyle w:val="TableCaption"/>
      </w:pPr>
      <w:bookmarkStart w:id="11" w:name="_Toc83674481"/>
      <w:r>
        <w:t xml:space="preserve">Table </w:t>
      </w:r>
      <w:r w:rsidR="0078507D">
        <w:t>1</w:t>
      </w:r>
      <w:r>
        <w:t xml:space="preserve">. </w:t>
      </w:r>
      <w:r w:rsidR="00C069EA">
        <w:t>Recommendations for research activities in the technical domain.</w:t>
      </w:r>
      <w:bookmarkEnd w:id="11"/>
    </w:p>
    <w:p w14:paraId="3B08EA57" w14:textId="7982DED2" w:rsidR="00D5609A" w:rsidRDefault="53320197" w:rsidP="00CE261B">
      <w:pPr>
        <w:pStyle w:val="Heading2"/>
      </w:pPr>
      <w:bookmarkStart w:id="12" w:name="_Toc83674465"/>
      <w:r>
        <w:t>Flexibility of the power gird</w:t>
      </w:r>
      <w:bookmarkEnd w:id="12"/>
    </w:p>
    <w:p w14:paraId="5696B2A6" w14:textId="2BE53552" w:rsidR="004D2F3A" w:rsidRDefault="004D2F3A" w:rsidP="004D2F3A">
      <w:r>
        <w:t xml:space="preserve">Flexibility is a key attribute in defining new services for future power grids. Conventionally, </w:t>
      </w:r>
      <w:r w:rsidRPr="00D37F7D">
        <w:t xml:space="preserve">a power system was defined as </w:t>
      </w:r>
      <w:r w:rsidRPr="00D37F7D">
        <w:rPr>
          <w:i/>
          <w:iCs/>
        </w:rPr>
        <w:t>flexible</w:t>
      </w:r>
      <w:r w:rsidRPr="001A05D7">
        <w:t xml:space="preserve"> if its generation units can react successfully to unexpected load changes</w:t>
      </w:r>
      <w:r w:rsidR="00F43373">
        <w:t xml:space="preserve"> (i.e., fast ramp up/down capability)</w:t>
      </w:r>
      <w:r>
        <w:t xml:space="preserve"> </w:t>
      </w:r>
      <w:r>
        <w:fldChar w:fldCharType="begin"/>
      </w:r>
      <w:r w:rsidR="004270B7">
        <w:instrText xml:space="preserve"> ADDIN EN.CITE &lt;EndNote&gt;&lt;Cite&gt;&lt;Author&gt;Chandler&lt;/Author&gt;&lt;Year&gt;2008&lt;/Year&gt;&lt;RecNum&gt;33&lt;/RecNum&gt;&lt;DisplayText&gt;[12]&lt;/DisplayText&gt;&lt;record&gt;&lt;rec-number&gt;33&lt;/rec-number&gt;&lt;foreign-keys&gt;&lt;key app="EN" db-id="dsezaaaxf5z9dte9xeovfea50xe9wdtdapd9" timestamp="1622003393"&gt;33&lt;/key&gt;&lt;/foreign-keys&gt;&lt;ref-type name="Journal Article"&gt;17&lt;/ref-type&gt;&lt;contributors&gt;&lt;authors&gt;&lt;author&gt;Chandler, Hugo&lt;/author&gt;&lt;/authors&gt;&lt;/contributors&gt;&lt;titles&gt;&lt;title&gt;Empowering Variable Renewables-Options for Flexible Electricity Systems&lt;/title&gt;&lt;/titles&gt;&lt;dates&gt;&lt;year&gt;2008&lt;/year&gt;&lt;/dates&gt;&lt;urls&gt;&lt;/urls&gt;&lt;/record&gt;&lt;/Cite&gt;&lt;/EndNote&gt;</w:instrText>
      </w:r>
      <w:r>
        <w:fldChar w:fldCharType="separate"/>
      </w:r>
      <w:r w:rsidR="004270B7">
        <w:rPr>
          <w:noProof/>
        </w:rPr>
        <w:t>[12]</w:t>
      </w:r>
      <w:r>
        <w:fldChar w:fldCharType="end"/>
      </w:r>
      <w:r>
        <w:t>. More precisely, a flexible power system can respond quickly to any fluctuation in supply and demand, i.e. ramping down (or up) a generation unit when demand decreases (or increases), as per the IEA (International Energy Agency) definition. In other words, this definition considers uncertainties only in the demand side and applies control strategies only on the supply units of the power system.</w:t>
      </w:r>
      <w:r w:rsidR="003C32ED">
        <w:t xml:space="preserve"> There are also several operational constraints. For example,</w:t>
      </w:r>
      <w:r w:rsidR="007349D1">
        <w:t xml:space="preserve"> </w:t>
      </w:r>
      <w:r w:rsidR="003C32ED">
        <w:t>i</w:t>
      </w:r>
      <w:r w:rsidR="007349D1">
        <w:t xml:space="preserve">f the </w:t>
      </w:r>
      <w:r w:rsidR="00816CC8">
        <w:t xml:space="preserve">conventional generators </w:t>
      </w:r>
      <w:r w:rsidR="0049475D">
        <w:t xml:space="preserve">(e.g. open-cycle </w:t>
      </w:r>
      <w:r w:rsidR="00BB2E5E">
        <w:t>gas turbines)</w:t>
      </w:r>
      <w:r w:rsidR="00816CC8">
        <w:t xml:space="preserve"> are employed for </w:t>
      </w:r>
      <w:r w:rsidR="006E102D">
        <w:t xml:space="preserve">providing the generation flexibility, then </w:t>
      </w:r>
      <w:r w:rsidR="00407B23">
        <w:t xml:space="preserve">that would result in </w:t>
      </w:r>
      <w:r w:rsidR="00F75D45">
        <w:t>increased</w:t>
      </w:r>
      <w:r w:rsidR="00407B23">
        <w:t xml:space="preserve"> </w:t>
      </w:r>
      <w:r w:rsidR="00F75D45">
        <w:t>maintenance cost and down times due to the wear and tear.</w:t>
      </w:r>
      <w:r w:rsidR="0049475D">
        <w:t xml:space="preserve"> Therefore, </w:t>
      </w:r>
      <w:r w:rsidR="00FE3C33">
        <w:t xml:space="preserve">robust </w:t>
      </w:r>
      <w:r w:rsidR="008A3551">
        <w:t xml:space="preserve">generation sources </w:t>
      </w:r>
      <w:r w:rsidR="008556BB">
        <w:t xml:space="preserve">are necessary to cope up with the increasing renewable </w:t>
      </w:r>
      <w:r w:rsidR="003045C2">
        <w:t xml:space="preserve">power </w:t>
      </w:r>
      <w:r w:rsidR="008556BB">
        <w:t>penetration levels.</w:t>
      </w:r>
    </w:p>
    <w:p w14:paraId="47A93EF7" w14:textId="2BDD4D7A" w:rsidR="007D5073" w:rsidRDefault="004D2F3A" w:rsidP="007D5073">
      <w:r>
        <w:t>These days we are facing large penetration of variable</w:t>
      </w:r>
      <w:r w:rsidR="00E34928">
        <w:t>,</w:t>
      </w:r>
      <w:r>
        <w:t xml:space="preserve"> and sometimes harder to predict</w:t>
      </w:r>
      <w:r w:rsidR="00E34928">
        <w:t>,</w:t>
      </w:r>
      <w:r>
        <w:t xml:space="preserve"> renewable resources in generation sides, in the form of wind and solar power plants, as well as the demand sides in the form of DERs. This means that uncertainty is now present in both supply and demand sides. On the other hand, control actions can be performed on batteries</w:t>
      </w:r>
      <w:r w:rsidR="00492FEF">
        <w:t>, hy</w:t>
      </w:r>
      <w:r w:rsidR="000207EA">
        <w:t>drogen-electrolysers</w:t>
      </w:r>
      <w:r w:rsidR="00B56037">
        <w:t>/fuel-cells</w:t>
      </w:r>
      <w:r>
        <w:t xml:space="preserve"> or electric vehicles, all on the demand side. Similarly, some industrial loads have large ranges of flexibility, if programmed to respond accordingly to make use of the cheapest electricity (which may even take advantage of negative pricing to generate revenue). Aggregated loads through peer-to-peer trading </w:t>
      </w:r>
      <w:r>
        <w:fldChar w:fldCharType="begin"/>
      </w:r>
      <w:r w:rsidR="004270B7">
        <w:instrText xml:space="preserve"> ADDIN EN.CITE &lt;EndNote&gt;&lt;Cite&gt;&lt;Author&gt;Nguyen&lt;/Author&gt;&lt;Year&gt;2018&lt;/Year&gt;&lt;RecNum&gt;66&lt;/RecNum&gt;&lt;DisplayText&gt;[13]&lt;/DisplayText&gt;&lt;record&gt;&lt;rec-number&gt;66&lt;/rec-number&gt;&lt;foreign-keys&gt;&lt;key app="EN" db-id="dsezaaaxf5z9dte9xeovfea50xe9wdtdapd9" timestamp="1624248514"&gt;66&lt;/key&gt;&lt;/foreign-keys&gt;&lt;ref-type name="Journal Article"&gt;17&lt;/ref-type&gt;&lt;contributors&gt;&lt;authors&gt;&lt;author&gt;Nguyen, Su&lt;/author&gt;&lt;author&gt;Peng, Wei&lt;/author&gt;&lt;author&gt;Sokolowski, Peter&lt;/author&gt;&lt;author&gt;Alahakoon, Damminda&lt;/author&gt;&lt;author&gt;Yu, Xinghuo %J Applied Energy&lt;/author&gt;&lt;/authors&gt;&lt;/contributors&gt;&lt;titles&gt;&lt;title&gt;Optimizing rooftop photovoltaic distributed generation with battery storage for peer-to-peer energy trading&lt;/title&gt;&lt;/titles&gt;&lt;pages&gt;2567-2580&lt;/pages&gt;&lt;volume&gt;228&lt;/volume&gt;&lt;dates&gt;&lt;year&gt;2018&lt;/year&gt;&lt;/dates&gt;&lt;isbn&gt;0306-2619&lt;/isbn&gt;&lt;urls&gt;&lt;/urls&gt;&lt;/record&gt;&lt;/Cite&gt;&lt;/EndNote&gt;</w:instrText>
      </w:r>
      <w:r>
        <w:fldChar w:fldCharType="separate"/>
      </w:r>
      <w:r w:rsidR="004270B7">
        <w:rPr>
          <w:noProof/>
        </w:rPr>
        <w:t>[13]</w:t>
      </w:r>
      <w:r>
        <w:fldChar w:fldCharType="end"/>
      </w:r>
      <w:r>
        <w:t xml:space="preserve"> also provide new ways of flexibility considering the complex cyber-physical-social systems available </w:t>
      </w:r>
      <w:r>
        <w:fldChar w:fldCharType="begin"/>
      </w:r>
      <w:r w:rsidR="004270B7">
        <w:instrText xml:space="preserve"> ADDIN EN.CITE &lt;EndNote&gt;&lt;Cite&gt;&lt;Author&gt;Yu&lt;/Author&gt;&lt;Year&gt;2016&lt;/Year&gt;&lt;RecNum&gt;284&lt;/RecNum&gt;&lt;DisplayText&gt;[14]&lt;/DisplayText&gt;&lt;record&gt;&lt;rec-number&gt;284&lt;/rec-number&gt;&lt;foreign-keys&gt;&lt;key app="EN" db-id="e5va5sda02vx54erzxjvvffc5fssrwpxx9z2" timestamp="1478046832" guid="c5c946d4-176b-489a-8355-f199b9e10da8"&gt;284&lt;/key&gt;&lt;key app="ENWeb" db-id=""&gt;0&lt;/key&gt;&lt;/foreign-keys&gt;&lt;ref-type name="Journal Article"&gt;17&lt;/ref-type&gt;&lt;contributors&gt;&lt;authors&gt;&lt;author&gt;Yu, Xinghuo&lt;/author&gt;&lt;author&gt;Xue, YuSheng&lt;/author&gt;&lt;/authors&gt;&lt;/contributors&gt;&lt;titles&gt;&lt;title&gt;Smart grids: A cyber physical systems perspective&lt;/title&gt;&lt;secondary-title&gt;Proceedings of the IEEE&lt;/secondary-title&gt;&lt;/titles&gt;&lt;periodical&gt;&lt;full-title&gt;Proceedings of the IEEE&lt;/full-title&gt;&lt;/periodical&gt;&lt;pages&gt;1058-1070&lt;/pages&gt;&lt;volume&gt;104&lt;/volume&gt;&lt;number&gt;5&lt;/number&gt;&lt;dates&gt;&lt;year&gt;2016&lt;/year&gt;&lt;/dates&gt;&lt;urls&gt;&lt;/urls&gt;&lt;/record&gt;&lt;/Cite&gt;&lt;/EndNote&gt;</w:instrText>
      </w:r>
      <w:r>
        <w:fldChar w:fldCharType="separate"/>
      </w:r>
      <w:r w:rsidR="004270B7">
        <w:rPr>
          <w:noProof/>
        </w:rPr>
        <w:t>[14]</w:t>
      </w:r>
      <w:r>
        <w:fldChar w:fldCharType="end"/>
      </w:r>
      <w:r>
        <w:t xml:space="preserve">. This concludes that the definition of flexibility should be transformed to cover uncertainties and control actions on both supply and demand sides. In this context, the flexibility of a power system is defined as its ability to modify generation or consumption in response to expected and unexpected variability </w:t>
      </w:r>
      <w:r>
        <w:fldChar w:fldCharType="begin"/>
      </w:r>
      <w:r w:rsidR="004270B7">
        <w:instrText xml:space="preserve"> ADDIN EN.CITE &lt;EndNote&gt;&lt;Cite&gt;&lt;Author&gt;Agency&lt;/Author&gt;&lt;Year&gt;2011&lt;/Year&gt;&lt;RecNum&gt;34&lt;/RecNum&gt;&lt;DisplayText&gt;[15]&lt;/DisplayText&gt;&lt;record&gt;&lt;rec-number&gt;34&lt;/rec-number&gt;&lt;foreign-keys&gt;&lt;key app="EN" db-id="dsezaaaxf5z9dte9xeovfea50xe9wdtdapd9" timestamp="1622006097"&gt;34&lt;/key&gt;&lt;/foreign-keys&gt;&lt;ref-type name="Book"&gt;6&lt;/ref-type&gt;&lt;contributors&gt;&lt;authors&gt;&lt;author&gt;International Energy Agency&lt;/author&gt;&lt;/authors&gt;&lt;/contributors&gt;&lt;titles&gt;&lt;title&gt;Harnessing Variable Renewables&lt;/title&gt;&lt;/titles&gt;&lt;dates&gt;&lt;year&gt;2011&lt;/year&gt;&lt;/dates&gt;&lt;urls&gt;&lt;related-urls&gt;&lt;url&gt;https://www.oecd-ilibrary.org/content/publication/9789264111394-en&lt;/url&gt;&lt;/related-urls&gt;&lt;/urls&gt;&lt;electronic-resource-num&gt;doi:https://doi.org/10.1787/9789264111394-en&lt;/electronic-resource-num&gt;&lt;/record&gt;&lt;/Cite&gt;&lt;/EndNote&gt;</w:instrText>
      </w:r>
      <w:r>
        <w:fldChar w:fldCharType="separate"/>
      </w:r>
      <w:r w:rsidR="004270B7">
        <w:rPr>
          <w:noProof/>
        </w:rPr>
        <w:t>[15]</w:t>
      </w:r>
      <w:r>
        <w:fldChar w:fldCharType="end"/>
      </w:r>
      <w:r>
        <w:t>.</w:t>
      </w:r>
      <w:r w:rsidR="007D5073">
        <w:t xml:space="preserve"> The following items negatively impact flexibility of a power system,</w:t>
      </w:r>
    </w:p>
    <w:p w14:paraId="42E1716E" w14:textId="77777777" w:rsidR="007D5073" w:rsidRDefault="007D5073" w:rsidP="00237486">
      <w:pPr>
        <w:pStyle w:val="ListParagraph"/>
        <w:numPr>
          <w:ilvl w:val="0"/>
          <w:numId w:val="7"/>
        </w:numPr>
        <w:spacing w:after="0" w:line="240" w:lineRule="auto"/>
        <w:rPr>
          <w:rFonts w:eastAsiaTheme="minorEastAsia"/>
        </w:rPr>
      </w:pPr>
      <w:r>
        <w:t xml:space="preserve">Generation from variable RES, </w:t>
      </w:r>
    </w:p>
    <w:p w14:paraId="5DC971C9" w14:textId="77777777" w:rsidR="007D5073" w:rsidRDefault="007D5073" w:rsidP="00237486">
      <w:pPr>
        <w:pStyle w:val="ListParagraph"/>
        <w:numPr>
          <w:ilvl w:val="0"/>
          <w:numId w:val="7"/>
        </w:numPr>
        <w:spacing w:after="0" w:line="240" w:lineRule="auto"/>
      </w:pPr>
      <w:r>
        <w:t>Load variations,</w:t>
      </w:r>
    </w:p>
    <w:p w14:paraId="141F0A48" w14:textId="77777777" w:rsidR="007D5073" w:rsidRDefault="007D5073" w:rsidP="00237486">
      <w:pPr>
        <w:pStyle w:val="ListParagraph"/>
        <w:numPr>
          <w:ilvl w:val="0"/>
          <w:numId w:val="7"/>
        </w:numPr>
        <w:spacing w:after="0" w:line="240" w:lineRule="auto"/>
      </w:pPr>
      <w:r>
        <w:t>Weather forecast errors, and</w:t>
      </w:r>
    </w:p>
    <w:p w14:paraId="05DA32F8" w14:textId="12E40E71" w:rsidR="007D5073" w:rsidRDefault="007D5073" w:rsidP="00237486">
      <w:pPr>
        <w:pStyle w:val="ListParagraph"/>
        <w:numPr>
          <w:ilvl w:val="0"/>
          <w:numId w:val="7"/>
        </w:numPr>
        <w:spacing w:after="0" w:line="240" w:lineRule="auto"/>
      </w:pPr>
      <w:r>
        <w:t>Outages in generation units connected to the transmission system.</w:t>
      </w:r>
    </w:p>
    <w:p w14:paraId="5E46B4DC" w14:textId="77777777" w:rsidR="007D5073" w:rsidRDefault="007D5073" w:rsidP="004D2F3A"/>
    <w:p w14:paraId="6E50674A" w14:textId="1EE1FA29" w:rsidR="004D2F3A" w:rsidRDefault="004D2F3A" w:rsidP="004D2F3A">
      <w:r>
        <w:t xml:space="preserve"> Figure </w:t>
      </w:r>
      <w:r w:rsidR="003D20EA">
        <w:t>2</w:t>
      </w:r>
      <w:r>
        <w:t xml:space="preserve"> shows how different elements of a power grid can contribute to the flexibility. </w:t>
      </w:r>
    </w:p>
    <w:p w14:paraId="550ADE55" w14:textId="3C7A9FF1" w:rsidR="004D2F3A" w:rsidRDefault="0073404D" w:rsidP="004D2F3A">
      <w:pPr>
        <w:jc w:val="center"/>
      </w:pPr>
      <w:r>
        <w:object w:dxaOrig="12121" w:dyaOrig="4641" w14:anchorId="5051192F">
          <v:shape id="_x0000_i1028" type="#_x0000_t75" alt="Generation, transmission and distribution sectors of the grid have their share in making the grid more flexible to accommodate more RES." style="width:451pt;height:171.5pt" o:ole="">
            <v:imagedata r:id="rId28" o:title=""/>
          </v:shape>
          <o:OLEObject Type="Embed" ProgID="Visio.Drawing.15" ShapeID="_x0000_i1028" DrawAspect="Content" ObjectID="_1709468171" r:id="rId29"/>
        </w:object>
      </w:r>
    </w:p>
    <w:p w14:paraId="1D0040D7" w14:textId="088899ED" w:rsidR="004D2F3A" w:rsidRPr="003D20EA" w:rsidRDefault="004D2F3A" w:rsidP="005251F1">
      <w:pPr>
        <w:pStyle w:val="FigureCaption"/>
        <w:rPr>
          <w:sz w:val="18"/>
          <w:szCs w:val="18"/>
        </w:rPr>
      </w:pPr>
      <w:bookmarkStart w:id="13" w:name="_Toc81571320"/>
      <w:r w:rsidRPr="003D615D">
        <w:t>Fig</w:t>
      </w:r>
      <w:r w:rsidR="00245FF0" w:rsidRPr="003D615D">
        <w:t>ure</w:t>
      </w:r>
      <w:r w:rsidRPr="003D615D">
        <w:t xml:space="preserve"> </w:t>
      </w:r>
      <w:r w:rsidR="00245FF0" w:rsidRPr="003D615D">
        <w:t>2</w:t>
      </w:r>
      <w:r w:rsidRPr="003D615D">
        <w:t xml:space="preserve">. Share of each element of a power grid in flexibility in order to accommodate more RES </w:t>
      </w:r>
      <w:r w:rsidRPr="003D615D">
        <w:fldChar w:fldCharType="begin"/>
      </w:r>
      <w:r w:rsidR="004270B7">
        <w:instrText xml:space="preserve"> ADDIN EN.CITE &lt;EndNote&gt;&lt;Cite&gt;&lt;Author&gt;Impram&lt;/Author&gt;&lt;Year&gt;2020&lt;/Year&gt;&lt;RecNum&gt;36&lt;/RecNum&gt;&lt;DisplayText&gt;[16]&lt;/DisplayText&gt;&lt;record&gt;&lt;rec-number&gt;36&lt;/rec-number&gt;&lt;foreign-keys&gt;&lt;key app="EN" db-id="dsezaaaxf5z9dte9xeovfea50xe9wdtdapd9" timestamp="1622037226"&gt;36&lt;/key&gt;&lt;key app="ENWeb" db-id=""&gt;0&lt;/key&gt;&lt;/foreign-keys&gt;&lt;ref-type name="Journal Article"&gt;17&lt;/ref-type&gt;&lt;contributors&gt;&lt;authors&gt;&lt;author&gt;Impram, Semich&lt;/author&gt;&lt;author&gt;Varbak Nese, Secil&lt;/author&gt;&lt;author&gt;Oral, Bülent&lt;/author&gt;&lt;/authors&gt;&lt;/contributors&gt;&lt;titles&gt;&lt;title&gt;Challenges of renewable energy penetration on power system flexibility: A survey&lt;/title&gt;&lt;secondary-title&gt;Energy Strategy Reviews&lt;/secondary-title&gt;&lt;/titles&gt;&lt;periodical&gt;&lt;full-title&gt;Energy Strategy Reviews&lt;/full-title&gt;&lt;/periodical&gt;&lt;volume&gt;31&lt;/volume&gt;&lt;section&gt;100539&lt;/section&gt;&lt;dates&gt;&lt;year&gt;2020&lt;/year&gt;&lt;/dates&gt;&lt;isbn&gt;2211467X&lt;/isbn&gt;&lt;urls&gt;&lt;/urls&gt;&lt;electronic-resource-num&gt;10.1016/j.esr.2020.100539&lt;/electronic-resource-num&gt;&lt;/record&gt;&lt;/Cite&gt;&lt;/EndNote&gt;</w:instrText>
      </w:r>
      <w:r w:rsidRPr="003D615D">
        <w:fldChar w:fldCharType="separate"/>
      </w:r>
      <w:r w:rsidR="004270B7">
        <w:rPr>
          <w:noProof/>
        </w:rPr>
        <w:t>[16]</w:t>
      </w:r>
      <w:r w:rsidRPr="003D615D">
        <w:fldChar w:fldCharType="end"/>
      </w:r>
      <w:r w:rsidRPr="003D615D">
        <w:t>.</w:t>
      </w:r>
      <w:bookmarkEnd w:id="13"/>
    </w:p>
    <w:p w14:paraId="4F417E73" w14:textId="77777777" w:rsidR="004D2F3A" w:rsidRDefault="004D2F3A" w:rsidP="004D2F3A">
      <w:pPr>
        <w:pStyle w:val="ListParagraph"/>
        <w:spacing w:after="0" w:line="240" w:lineRule="auto"/>
      </w:pPr>
    </w:p>
    <w:p w14:paraId="649FCD4F" w14:textId="56D729F8" w:rsidR="00552719" w:rsidRDefault="004D2F3A" w:rsidP="004D2F3A">
      <w:r>
        <w:t>Conventional power systems could have an acceptable level of flexibility by providing enough reserves and appropriate generation planning. There were a number of high capacity thermal</w:t>
      </w:r>
      <w:r w:rsidR="005330F0">
        <w:t xml:space="preserve"> (e.g. Coal and Combined-Cycle Power Plants)</w:t>
      </w:r>
      <w:r>
        <w:t xml:space="preserve"> or nuclear power plants to provide the baseload. The fast acting (pumped-storage) hydro power plants and gas turbines were used to compensate for variations in the demand side. </w:t>
      </w:r>
      <w:r w:rsidR="00716504">
        <w:t xml:space="preserve">The pumped-storage </w:t>
      </w:r>
      <w:r w:rsidR="00965AC7">
        <w:t>hydro units</w:t>
      </w:r>
      <w:r>
        <w:t xml:space="preserve"> worked as consumers when generation exceeds the demand and worked as generation in the opposite case. However, </w:t>
      </w:r>
      <w:r w:rsidR="00152698">
        <w:t xml:space="preserve">the </w:t>
      </w:r>
      <w:r w:rsidR="001E59CD">
        <w:t xml:space="preserve">definition of base load and the </w:t>
      </w:r>
      <w:r w:rsidR="002D36B6">
        <w:t>quantity required</w:t>
      </w:r>
      <w:r w:rsidR="001E59CD">
        <w:t xml:space="preserve"> in a grid with high </w:t>
      </w:r>
      <w:r w:rsidR="00C43EE3">
        <w:t>V</w:t>
      </w:r>
      <w:r w:rsidR="001E59CD">
        <w:t xml:space="preserve">RE penetration is </w:t>
      </w:r>
      <w:r w:rsidR="005967F5">
        <w:t>challenging</w:t>
      </w:r>
      <w:r>
        <w:t xml:space="preserve">. </w:t>
      </w:r>
    </w:p>
    <w:p w14:paraId="1E9CEB34" w14:textId="48E80F31" w:rsidR="004D2F3A" w:rsidRDefault="004D2F3A" w:rsidP="004D2F3A">
      <w:r>
        <w:t>Fig</w:t>
      </w:r>
      <w:r w:rsidR="00245FF0">
        <w:t>ure</w:t>
      </w:r>
      <w:r>
        <w:t xml:space="preserve"> </w:t>
      </w:r>
      <w:r w:rsidR="00646E0F">
        <w:t>3</w:t>
      </w:r>
      <w:r>
        <w:t xml:space="preserve"> shows results of a German study on the number of hours for which the net demand, i.e. total consumption minus generation, is larger than a specific value. It shows that, in conventional power systems, i.e. without </w:t>
      </w:r>
      <w:r w:rsidR="002E2469">
        <w:t>VRE</w:t>
      </w:r>
      <w:r>
        <w:t>, the net demand is always more than 35</w:t>
      </w:r>
      <w:r w:rsidR="00707D1D">
        <w:t xml:space="preserve"> </w:t>
      </w:r>
      <w:r>
        <w:t xml:space="preserve">GW. Therefore, the base load generators should provide 35 GW of power while other generators compensate for the extra (variable) demand. </w:t>
      </w:r>
      <w:r w:rsidR="00CC012E">
        <w:t xml:space="preserve">As the penetration of RES increases, the amount of the baseload decreases as shown in </w:t>
      </w:r>
      <w:r w:rsidR="005251F1">
        <w:t>figure</w:t>
      </w:r>
      <w:r w:rsidR="00CC012E">
        <w:t xml:space="preserve"> </w:t>
      </w:r>
      <w:r w:rsidR="005251F1">
        <w:t>3</w:t>
      </w:r>
      <w:r w:rsidR="00CC012E">
        <w:t xml:space="preserve">. Therefore, the baseload value may become even negative in grids with very high RES penetration, which does not practically make any sense. Conventional power plants with the lower minimum power output can better mitigate this case without the necessity to be shut down. The variation of the baseload impacts the amount of reserve power and generation planning. </w:t>
      </w:r>
      <w:r>
        <w:t xml:space="preserve">Besides, a study in Scandinavian countries show that 10% more penetration of wind power in their grids requires the reserve power to be increased by 1.5%-4% of the installed wind power </w:t>
      </w:r>
      <w:r>
        <w:fldChar w:fldCharType="begin"/>
      </w:r>
      <w:r w:rsidR="004270B7">
        <w:instrText xml:space="preserve"> ADDIN EN.CITE &lt;EndNote&gt;&lt;Cite&gt;&lt;Author&gt;Holttinen&lt;/Author&gt;&lt;Year&gt;2005&lt;/Year&gt;&lt;RecNum&gt;53&lt;/RecNum&gt;&lt;DisplayText&gt;[17]&lt;/DisplayText&gt;&lt;record&gt;&lt;rec-number&gt;53&lt;/rec-number&gt;&lt;foreign-keys&gt;&lt;key app="EN" db-id="dsezaaaxf5z9dte9xeovfea50xe9wdtdapd9" timestamp="1622906293"&gt;53&lt;/key&gt;&lt;/foreign-keys&gt;&lt;ref-type name="Journal Article"&gt;17&lt;/ref-type&gt;&lt;contributors&gt;&lt;authors&gt;&lt;author&gt;Holttinen, Hannele&lt;/author&gt;&lt;/authors&gt;&lt;/contributors&gt;&lt;titles&gt;&lt;title&gt;Impact of hourly wind power variations on the system operation in the Nordic countries&lt;/title&gt;&lt;secondary-title&gt;Wind Energy: An International Journal for Progress Applications in Wind Power Conversion Technology&lt;/secondary-title&gt;&lt;/titles&gt;&lt;periodical&gt;&lt;full-title&gt;Wind Energy: An International Journal for Progress Applications in Wind Power Conversion Technology&lt;/full-title&gt;&lt;/periodical&gt;&lt;pages&gt;197-218&lt;/pages&gt;&lt;volume&gt;8&lt;/volume&gt;&lt;number&gt;2&lt;/number&gt;&lt;dates&gt;&lt;year&gt;2005&lt;/year&gt;&lt;/dates&gt;&lt;isbn&gt;1095-4244&lt;/isbn&gt;&lt;urls&gt;&lt;/urls&gt;&lt;/record&gt;&lt;/Cite&gt;&lt;/EndNote&gt;</w:instrText>
      </w:r>
      <w:r>
        <w:fldChar w:fldCharType="separate"/>
      </w:r>
      <w:r w:rsidR="004270B7">
        <w:rPr>
          <w:noProof/>
        </w:rPr>
        <w:t>[17]</w:t>
      </w:r>
      <w:r>
        <w:fldChar w:fldCharType="end"/>
      </w:r>
      <w:r>
        <w:t>.</w:t>
      </w:r>
    </w:p>
    <w:p w14:paraId="3738AB30" w14:textId="77777777" w:rsidR="004D2F3A" w:rsidRDefault="004D2F3A" w:rsidP="004D2F3A">
      <w:pPr>
        <w:jc w:val="center"/>
      </w:pPr>
      <w:r w:rsidRPr="001F4FB4">
        <w:rPr>
          <w:noProof/>
        </w:rPr>
        <w:drawing>
          <wp:inline distT="0" distB="0" distL="0" distR="0" wp14:anchorId="73A91492" wp14:editId="6113D357">
            <wp:extent cx="3587239" cy="2240733"/>
            <wp:effectExtent l="0" t="0" r="0" b="7620"/>
            <wp:docPr id="14" name="Picture 14" descr="Increasing the penetration of renewable energy resources has challenged the traditional definition of ‘base load’ in power gr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ncreasing the penetration of renewable energy resources has challenged the traditional definition of ‘base load’ in power grid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96750" cy="2246674"/>
                    </a:xfrm>
                    <a:prstGeom prst="rect">
                      <a:avLst/>
                    </a:prstGeom>
                    <a:noFill/>
                    <a:ln>
                      <a:noFill/>
                    </a:ln>
                  </pic:spPr>
                </pic:pic>
              </a:graphicData>
            </a:graphic>
          </wp:inline>
        </w:drawing>
      </w:r>
    </w:p>
    <w:p w14:paraId="140C1FDD" w14:textId="279C2DEA" w:rsidR="004D2F3A" w:rsidRPr="00646E0F" w:rsidRDefault="004D2F3A" w:rsidP="005251F1">
      <w:pPr>
        <w:pStyle w:val="FigureCaption"/>
      </w:pPr>
      <w:bookmarkStart w:id="14" w:name="_Toc81571321"/>
      <w:r w:rsidRPr="00646E0F">
        <w:t>Fig</w:t>
      </w:r>
      <w:r w:rsidR="00646E0F" w:rsidRPr="00646E0F">
        <w:t>ure</w:t>
      </w:r>
      <w:r w:rsidRPr="00646E0F">
        <w:t xml:space="preserve"> </w:t>
      </w:r>
      <w:r w:rsidR="00646E0F" w:rsidRPr="00646E0F">
        <w:t>3</w:t>
      </w:r>
      <w:r w:rsidRPr="00646E0F">
        <w:t xml:space="preserve">. Dynamic range of net electricity demand for different RES penetration levels </w:t>
      </w:r>
      <w:r w:rsidRPr="00646E0F">
        <w:fldChar w:fldCharType="begin"/>
      </w:r>
      <w:r w:rsidR="004270B7">
        <w:instrText xml:space="preserve"> ADDIN EN.CITE &lt;EndNote&gt;&lt;Cite&gt;&lt;Author&gt;G. Papaefthymiou&lt;/Author&gt;&lt;Year&gt;2014&lt;/Year&gt;&lt;RecNum&gt;35&lt;/RecNum&gt;&lt;DisplayText&gt;[18]&lt;/DisplayText&gt;&lt;record&gt;&lt;rec-number&gt;35&lt;/rec-number&gt;&lt;foreign-keys&gt;&lt;key app="EN" db-id="dsezaaaxf5z9dte9xeovfea50xe9wdtdapd9" timestamp="1622031323"&gt;35&lt;/key&gt;&lt;/foreign-keys&gt;&lt;ref-type name="Discussion Forum"&gt;65&lt;/ref-type&gt;&lt;contributors&gt;&lt;authors&gt;&lt;author&gt;G. Papaefthymiou,&lt;/author&gt;&lt;author&gt;K. Grave&lt;/author&gt;&lt;/authors&gt;&lt;/contributors&gt;&lt;titles&gt;&lt;title&gt;Can we achieve 100% renewables? Flexibility options in the electricity system&lt;/title&gt;&lt;/titles&gt;&lt;dates&gt;&lt;year&gt;2014&lt;/year&gt;&lt;/dates&gt;&lt;publisher&gt;ECOFYS&lt;/publisher&gt;&lt;urls&gt;&lt;/urls&gt;&lt;/record&gt;&lt;/Cite&gt;&lt;/EndNote&gt;</w:instrText>
      </w:r>
      <w:r w:rsidRPr="00646E0F">
        <w:fldChar w:fldCharType="separate"/>
      </w:r>
      <w:r w:rsidR="004270B7">
        <w:rPr>
          <w:noProof/>
        </w:rPr>
        <w:t>[18]</w:t>
      </w:r>
      <w:r w:rsidRPr="00646E0F">
        <w:fldChar w:fldCharType="end"/>
      </w:r>
      <w:r w:rsidRPr="00646E0F">
        <w:t>.</w:t>
      </w:r>
      <w:bookmarkEnd w:id="14"/>
    </w:p>
    <w:p w14:paraId="34449906" w14:textId="77777777" w:rsidR="00D01EE3" w:rsidRDefault="00D01EE3" w:rsidP="00D8687A"/>
    <w:p w14:paraId="394A239D" w14:textId="1A9D3F74" w:rsidR="009122E7" w:rsidRDefault="004D2F3A" w:rsidP="00D8687A">
      <w:r>
        <w:t xml:space="preserve">To improve operational flexibility in this case, different countries have different experiences. Although coal-fire, gas and nuclear power plants are conventionally designed as baseload plants, new research results show that they can increase the grid's flexibility the presence of </w:t>
      </w:r>
      <w:r w:rsidR="00E44785">
        <w:t>variable RES</w:t>
      </w:r>
      <w:r w:rsidR="00E40BEE">
        <w:t xml:space="preserve"> (VRES</w:t>
      </w:r>
      <w:r w:rsidR="00472732">
        <w:t>)</w:t>
      </w:r>
      <w:r>
        <w:t xml:space="preserve">. In this context, the flexibility of the generation side can be achieved by increasing the ramp rate of these power plants. A German study </w:t>
      </w:r>
      <w:r>
        <w:fldChar w:fldCharType="begin"/>
      </w:r>
      <w:r w:rsidR="004270B7">
        <w:instrText xml:space="preserve"> ADDIN EN.CITE &lt;EndNote&gt;&lt;Cite&gt;&lt;Author&gt;Henderson&lt;/Author&gt;&lt;Year&gt;2014&lt;/Year&gt;&lt;RecNum&gt;43&lt;/RecNum&gt;&lt;DisplayText&gt;[19]&lt;/DisplayText&gt;&lt;record&gt;&lt;rec-number&gt;43&lt;/rec-number&gt;&lt;foreign-keys&gt;&lt;key app="EN" db-id="dsezaaaxf5z9dte9xeovfea50xe9wdtdapd9" timestamp="1622770184"&gt;43&lt;/key&gt;&lt;/foreign-keys&gt;&lt;ref-type name="Journal Article"&gt;17&lt;/ref-type&gt;&lt;contributors&gt;&lt;authors&gt;&lt;author&gt;Henderson, Colin &lt;/author&gt;&lt;/authors&gt;&lt;/contributors&gt;&lt;titles&gt;&lt;title&gt;Increasing the flexibility of coal-fired power plants&lt;/title&gt;&lt;secondary-title&gt;IEA Clean Coal Centre&lt;/secondary-title&gt;&lt;/titles&gt;&lt;periodical&gt;&lt;full-title&gt;IEA Clean Coal Centre&lt;/full-title&gt;&lt;/periodical&gt;&lt;volume&gt;15&lt;/volume&gt;&lt;dates&gt;&lt;year&gt;2014&lt;/year&gt;&lt;/dates&gt;&lt;urls&gt;&lt;/urls&gt;&lt;/record&gt;&lt;/Cite&gt;&lt;/EndNote&gt;</w:instrText>
      </w:r>
      <w:r>
        <w:fldChar w:fldCharType="separate"/>
      </w:r>
      <w:r w:rsidR="004270B7">
        <w:rPr>
          <w:noProof/>
        </w:rPr>
        <w:t>[19]</w:t>
      </w:r>
      <w:r>
        <w:fldChar w:fldCharType="end"/>
      </w:r>
      <w:r>
        <w:t xml:space="preserve"> shows that the ramp rate of 7%/min in the 50%-90% load range is achievable in coal-fired power plants. New technologies can even ramp up or down by 500</w:t>
      </w:r>
      <w:r w:rsidR="00B72B05">
        <w:t xml:space="preserve"> </w:t>
      </w:r>
      <w:r>
        <w:t xml:space="preserve">MW in 15 min </w:t>
      </w:r>
      <w:r>
        <w:fldChar w:fldCharType="begin"/>
      </w:r>
      <w:r w:rsidR="004270B7">
        <w:instrText xml:space="preserve"> ADDIN EN.CITE &lt;EndNote&gt;&lt;Cite&gt;&lt;Author&gt;Fairley&lt;/Author&gt;&lt;Year&gt;2013&lt;/Year&gt;&lt;RecNum&gt;44&lt;/RecNum&gt;&lt;DisplayText&gt;[20]&lt;/DisplayText&gt;&lt;record&gt;&lt;rec-number&gt;44&lt;/rec-number&gt;&lt;foreign-keys&gt;&lt;key app="EN" db-id="dsezaaaxf5z9dte9xeovfea50xe9wdtdapd9" timestamp="1622770544"&gt;44&lt;/key&gt;&lt;/foreign-keys&gt;&lt;ref-type name="Journal Article"&gt;17&lt;/ref-type&gt;&lt;contributors&gt;&lt;authors&gt;&lt;author&gt;Fairley, Peter&lt;/author&gt;&lt;/authors&gt;&lt;/contributors&gt;&lt;titles&gt;&lt;title&gt;Quicker coal power&lt;/title&gt;&lt;secondary-title&gt;IEEE Spectrum&lt;/secondary-title&gt;&lt;/titles&gt;&lt;periodical&gt;&lt;full-title&gt;IEEE Spectrum&lt;/full-title&gt;&lt;/periodical&gt;&lt;pages&gt;11-11&lt;/pages&gt;&lt;volume&gt;50&lt;/volume&gt;&lt;number&gt;2&lt;/number&gt;&lt;dates&gt;&lt;year&gt;2013&lt;/year&gt;&lt;/dates&gt;&lt;isbn&gt;0018-9235&lt;/isbn&gt;&lt;urls&gt;&lt;/urls&gt;&lt;/record&gt;&lt;/Cite&gt;&lt;/EndNote&gt;</w:instrText>
      </w:r>
      <w:r>
        <w:fldChar w:fldCharType="separate"/>
      </w:r>
      <w:r w:rsidR="004270B7">
        <w:rPr>
          <w:noProof/>
        </w:rPr>
        <w:t>[20]</w:t>
      </w:r>
      <w:r>
        <w:fldChar w:fldCharType="end"/>
      </w:r>
      <w:r>
        <w:t xml:space="preserve">. Nuclear power plants are considered as the most inflexible plants. However, a report from International Atomic Energy Agency (IAEA) </w:t>
      </w:r>
      <w:r>
        <w:fldChar w:fldCharType="begin"/>
      </w:r>
      <w:r w:rsidR="004270B7">
        <w:instrText xml:space="preserve"> ADDIN EN.CITE &lt;EndNote&gt;&lt;Cite&gt;&lt;Year&gt;2018&lt;/Year&gt;&lt;RecNum&gt;45&lt;/RecNum&gt;&lt;DisplayText&gt;[21]&lt;/DisplayText&gt;&lt;record&gt;&lt;rec-number&gt;45&lt;/rec-number&gt;&lt;foreign-keys&gt;&lt;key app="EN" db-id="dsezaaaxf5z9dte9xeovfea50xe9wdtdapd9" timestamp="1622772534"&gt;45&lt;/key&gt;&lt;/foreign-keys&gt;&lt;ref-type name="Report"&gt;27&lt;/ref-type&gt;&lt;contributors&gt;&lt;/contributors&gt;&lt;titles&gt;&lt;title&gt;Non-baseload operation in nuclear power plants: load following and frequency control modes of flexible operation&lt;/title&gt;&lt;secondary-title&gt;IAEA nuclear energy series&lt;/secondary-title&gt;&lt;/titles&gt;&lt;periodical&gt;&lt;full-title&gt;IAEA nuclear energy series&lt;/full-title&gt;&lt;/periodical&gt;&lt;dates&gt;&lt;year&gt;2018&lt;/year&gt;&lt;/dates&gt;&lt;urls&gt;&lt;/urls&gt;&lt;/record&gt;&lt;/Cite&gt;&lt;/EndNote&gt;</w:instrText>
      </w:r>
      <w:r>
        <w:fldChar w:fldCharType="separate"/>
      </w:r>
      <w:r w:rsidR="004270B7">
        <w:rPr>
          <w:noProof/>
        </w:rPr>
        <w:t>[21]</w:t>
      </w:r>
      <w:r>
        <w:fldChar w:fldCharType="end"/>
      </w:r>
      <w:r>
        <w:t xml:space="preserve"> as well as experiences </w:t>
      </w:r>
      <w:r w:rsidR="00FF6C79">
        <w:t>of</w:t>
      </w:r>
      <w:r>
        <w:t xml:space="preserve"> some countries, such as France </w:t>
      </w:r>
      <w:r>
        <w:fldChar w:fldCharType="begin"/>
      </w:r>
      <w:r w:rsidR="004270B7">
        <w:instrText xml:space="preserve"> ADDIN EN.CITE &lt;EndNote&gt;&lt;Cite&gt;&lt;Author&gt;Keppler&lt;/Author&gt;&lt;Year&gt;2012&lt;/Year&gt;&lt;RecNum&gt;46&lt;/RecNum&gt;&lt;DisplayText&gt;[22]&lt;/DisplayText&gt;&lt;record&gt;&lt;rec-number&gt;46&lt;/rec-number&gt;&lt;foreign-keys&gt;&lt;key app="EN" db-id="dsezaaaxf5z9dte9xeovfea50xe9wdtdapd9" timestamp="1622772794"&gt;46&lt;/key&gt;&lt;/foreign-keys&gt;&lt;ref-type name="Journal Article"&gt;17&lt;/ref-type&gt;&lt;contributors&gt;&lt;authors&gt;&lt;author&gt;Keppler, Jan Horst&lt;/author&gt;&lt;author&gt;Cometto, Marco %J Nuclear Energy Agency, OECD, Paris, France&lt;/author&gt;&lt;/authors&gt;&lt;/contributors&gt;&lt;titles&gt;&lt;title&gt;Nuclear energy and renewables: system effects in low-carbon electricity systems&lt;/title&gt;&lt;/titles&gt;&lt;dates&gt;&lt;year&gt;2012&lt;/year&gt;&lt;/dates&gt;&lt;urls&gt;&lt;/urls&gt;&lt;/record&gt;&lt;/Cite&gt;&lt;/EndNote&gt;</w:instrText>
      </w:r>
      <w:r>
        <w:fldChar w:fldCharType="separate"/>
      </w:r>
      <w:r w:rsidR="004270B7">
        <w:rPr>
          <w:noProof/>
        </w:rPr>
        <w:t>[22]</w:t>
      </w:r>
      <w:r>
        <w:fldChar w:fldCharType="end"/>
      </w:r>
      <w:r>
        <w:t xml:space="preserve">, show that a power output ramp from 60% to 100% in 30 minutes is achievable in these plants in the presence of careful operation and maintenance scenarios. Despite this capability, some other countries, such as </w:t>
      </w:r>
      <w:r w:rsidR="00112D35">
        <w:t xml:space="preserve">the </w:t>
      </w:r>
      <w:r>
        <w:t xml:space="preserve">United States, decided to install more pumped-storage power plants instead </w:t>
      </w:r>
      <w:r w:rsidR="005107D7">
        <w:t xml:space="preserve">of </w:t>
      </w:r>
      <w:r>
        <w:t xml:space="preserve">using any flexibility </w:t>
      </w:r>
      <w:r w:rsidR="005107D7">
        <w:t>from</w:t>
      </w:r>
      <w:r>
        <w:t xml:space="preserve"> nuclear </w:t>
      </w:r>
      <w:r w:rsidR="005107D7">
        <w:t>power plants</w:t>
      </w:r>
      <w:r>
        <w:t xml:space="preserve"> </w:t>
      </w:r>
      <w:r>
        <w:fldChar w:fldCharType="begin"/>
      </w:r>
      <w:r w:rsidR="004270B7">
        <w:instrText xml:space="preserve"> ADDIN EN.CITE &lt;EndNote&gt;&lt;Cite&gt;&lt;Year&gt;2016&lt;/Year&gt;&lt;RecNum&gt;48&lt;/RecNum&gt;&lt;DisplayText&gt;[23]&lt;/DisplayText&gt;&lt;record&gt;&lt;rec-number&gt;48&lt;/rec-number&gt;&lt;foreign-keys&gt;&lt;key app="EN" db-id="dsezaaaxf5z9dte9xeovfea50xe9wdtdapd9" timestamp="1622773284"&gt;48&lt;/key&gt;&lt;/foreign-keys&gt;&lt;ref-type name="Report"&gt;27&lt;/ref-type&gt;&lt;contributors&gt;&lt;secondary-authors&gt;&lt;author&gt;IEA, Paris&lt;/author&gt;&lt;/secondary-authors&gt;&lt;/contributors&gt;&lt;titles&gt;&lt;title&gt;Large-scale electricity interconnection&lt;/title&gt;&lt;/titles&gt;&lt;dates&gt;&lt;year&gt;2016&lt;/year&gt;&lt;/dates&gt;&lt;urls&gt;&lt;/urls&gt;&lt;/record&gt;&lt;/Cite&gt;&lt;/EndNote&gt;</w:instrText>
      </w:r>
      <w:r>
        <w:fldChar w:fldCharType="separate"/>
      </w:r>
      <w:r w:rsidR="004270B7">
        <w:rPr>
          <w:noProof/>
        </w:rPr>
        <w:t>[23]</w:t>
      </w:r>
      <w:r>
        <w:fldChar w:fldCharType="end"/>
      </w:r>
      <w:r>
        <w:t xml:space="preserve">. </w:t>
      </w:r>
      <w:r w:rsidR="00D8687A">
        <w:t xml:space="preserve">This concludes that the final decision on the baseload management strategy in a VRE-rich grid requires local studies. </w:t>
      </w:r>
    </w:p>
    <w:p w14:paraId="1EC8C554" w14:textId="59F65D9B" w:rsidR="00D8687A" w:rsidRDefault="008B7273" w:rsidP="00F71ACD">
      <w:r>
        <w:t xml:space="preserve">In Australia, there is an </w:t>
      </w:r>
      <w:r w:rsidRPr="00CA2F24">
        <w:t>opportunity to use BESS in order to increase flexibility of the grid</w:t>
      </w:r>
      <w:r>
        <w:t xml:space="preserve">. </w:t>
      </w:r>
      <w:r w:rsidR="00C147E8">
        <w:t>A possible roadmap</w:t>
      </w:r>
      <w:r w:rsidR="008D4833">
        <w:t xml:space="preserve"> for BESS</w:t>
      </w:r>
      <w:r w:rsidR="00C147E8">
        <w:t xml:space="preserve"> is proposed in </w:t>
      </w:r>
      <w:r w:rsidR="00F47871">
        <w:fldChar w:fldCharType="begin"/>
      </w:r>
      <w:r w:rsidR="004270B7">
        <w:instrText xml:space="preserve"> ADDIN EN.CITE &lt;EndNote&gt;&lt;Cite&gt;&lt;Author&gt;Lal&lt;/Author&gt;&lt;Year&gt;2021&lt;/Year&gt;&lt;RecNum&gt;321&lt;/RecNum&gt;&lt;DisplayText&gt;[24]&lt;/DisplayText&gt;&lt;record&gt;&lt;rec-number&gt;321&lt;/rec-number&gt;&lt;foreign-keys&gt;&lt;key app="EN" db-id="dsezaaaxf5z9dte9xeovfea50xe9wdtdapd9" timestamp="1630651589"&gt;321&lt;/key&gt;&lt;/foreign-keys&gt;&lt;ref-type name="Journal Article"&gt;17&lt;/ref-type&gt;&lt;contributors&gt;&lt;authors&gt;&lt;author&gt;Lal, Niraj&lt;/author&gt;&lt;author&gt;Price, Toby&lt;/author&gt;&lt;author&gt;Kwek, Leon&lt;/author&gt;&lt;author&gt;Wilson, Christopher&lt;/author&gt;&lt;author&gt;Billimoria, Farhad&lt;/author&gt;&lt;author&gt;Morrow, Trent&lt;/author&gt;&lt;author&gt;Garbutt, Matt&lt;/author&gt;&lt;author&gt;Sharafi, Dean&lt;/author&gt;&lt;/authors&gt;&lt;/contributors&gt;&lt;titles&gt;&lt;title&gt;Essential System Services Reform: Australian Market Design for Renewable-Dominated Grids&lt;/title&gt;&lt;secondary-title&gt;IEEE Power Energy Magazine&lt;/secondary-title&gt;&lt;/titles&gt;&lt;periodical&gt;&lt;full-title&gt;IEEE Power Energy Magazine&lt;/full-title&gt;&lt;/periodical&gt;&lt;pages&gt;29-45&lt;/pages&gt;&lt;volume&gt;19&lt;/volume&gt;&lt;number&gt;5&lt;/number&gt;&lt;dates&gt;&lt;year&gt;2021&lt;/year&gt;&lt;/dates&gt;&lt;isbn&gt;1540-7977&lt;/isbn&gt;&lt;urls&gt;&lt;/urls&gt;&lt;/record&gt;&lt;/Cite&gt;&lt;/EndNote&gt;</w:instrText>
      </w:r>
      <w:r w:rsidR="00F47871">
        <w:fldChar w:fldCharType="separate"/>
      </w:r>
      <w:r w:rsidR="004270B7">
        <w:rPr>
          <w:noProof/>
        </w:rPr>
        <w:t>[24]</w:t>
      </w:r>
      <w:r w:rsidR="00F47871">
        <w:fldChar w:fldCharType="end"/>
      </w:r>
      <w:r w:rsidR="00F47871">
        <w:t xml:space="preserve"> </w:t>
      </w:r>
      <w:r w:rsidR="008D4833">
        <w:t xml:space="preserve">which indicates an evolution towards </w:t>
      </w:r>
      <w:r w:rsidR="00457E29">
        <w:t xml:space="preserve">spot market based services. </w:t>
      </w:r>
      <w:r w:rsidR="00522235" w:rsidRPr="00CA2F24">
        <w:t xml:space="preserve">Based on this, a new </w:t>
      </w:r>
      <w:r w:rsidR="00E82AF2" w:rsidRPr="00CA2F24">
        <w:t xml:space="preserve">operating reserve spot market </w:t>
      </w:r>
      <w:r w:rsidR="00FC75DF" w:rsidRPr="00CA2F24">
        <w:t xml:space="preserve">is proposed for a 5- to 30-minute ramping availability. </w:t>
      </w:r>
      <w:r w:rsidR="00AD29B0" w:rsidRPr="00CA2F24">
        <w:t>In</w:t>
      </w:r>
      <w:r w:rsidR="00AD29B0">
        <w:t xml:space="preserve"> addition, a fast frequency response service using BESS as well as </w:t>
      </w:r>
      <w:r w:rsidR="00F71ACD" w:rsidRPr="00F71ACD">
        <w:t>a new framework for system strength, where the system</w:t>
      </w:r>
      <w:r w:rsidR="00F71ACD">
        <w:t xml:space="preserve"> </w:t>
      </w:r>
      <w:r w:rsidR="00F71ACD" w:rsidRPr="00F71ACD">
        <w:t>operator sets minimum/efficient levels at all nodes of the network</w:t>
      </w:r>
      <w:r w:rsidR="008117E1">
        <w:t>, are proposed.</w:t>
      </w:r>
      <w:r w:rsidR="00E82AF2">
        <w:t xml:space="preserve"> </w:t>
      </w:r>
      <w:r w:rsidR="00D8687A">
        <w:t xml:space="preserve"> </w:t>
      </w:r>
    </w:p>
    <w:p w14:paraId="768DCAC7" w14:textId="5E92A91C" w:rsidR="0078172F" w:rsidRPr="00317781" w:rsidRDefault="000F4567" w:rsidP="00057FD5">
      <w:pPr>
        <w:autoSpaceDE w:val="0"/>
        <w:autoSpaceDN w:val="0"/>
        <w:adjustRightInd w:val="0"/>
        <w:spacing w:after="0" w:line="240" w:lineRule="auto"/>
        <w:rPr>
          <w:szCs w:val="20"/>
        </w:rPr>
      </w:pPr>
      <w:r w:rsidRPr="00317781">
        <w:rPr>
          <w:szCs w:val="20"/>
        </w:rPr>
        <w:t xml:space="preserve">In addition to these technologies, High-Voltage DC (HVDC) </w:t>
      </w:r>
      <w:r w:rsidR="00E879DE" w:rsidRPr="00317781">
        <w:rPr>
          <w:szCs w:val="20"/>
        </w:rPr>
        <w:t xml:space="preserve">is </w:t>
      </w:r>
      <w:r w:rsidR="001E1132">
        <w:rPr>
          <w:szCs w:val="20"/>
        </w:rPr>
        <w:t>becoming popular</w:t>
      </w:r>
      <w:r w:rsidR="001E1132" w:rsidRPr="00317781">
        <w:rPr>
          <w:szCs w:val="20"/>
        </w:rPr>
        <w:t xml:space="preserve"> </w:t>
      </w:r>
      <w:r w:rsidR="00E879DE" w:rsidRPr="00317781">
        <w:rPr>
          <w:szCs w:val="20"/>
        </w:rPr>
        <w:t xml:space="preserve">to transmit bulk electricity </w:t>
      </w:r>
      <w:r w:rsidR="009B33C4" w:rsidRPr="00317781">
        <w:rPr>
          <w:szCs w:val="20"/>
        </w:rPr>
        <w:t>using direct current.</w:t>
      </w:r>
      <w:r w:rsidR="00916282" w:rsidRPr="00317781">
        <w:rPr>
          <w:szCs w:val="20"/>
        </w:rPr>
        <w:t xml:space="preserve"> Using HVDC lines, energy can be transmitted a longer distance with less power loss. Since power-flow can be controlled in HVDC transmission systems, it could improve flexibility by increasing the controllability of the grid </w:t>
      </w:r>
      <w:r w:rsidR="00916282" w:rsidRPr="00317781">
        <w:rPr>
          <w:szCs w:val="20"/>
        </w:rPr>
        <w:fldChar w:fldCharType="begin"/>
      </w:r>
      <w:r w:rsidR="004270B7">
        <w:rPr>
          <w:szCs w:val="20"/>
        </w:rPr>
        <w:instrText xml:space="preserve"> ADDIN EN.CITE &lt;EndNote&gt;&lt;Cite&gt;&lt;Author&gt;Impram&lt;/Author&gt;&lt;Year&gt;2020&lt;/Year&gt;&lt;RecNum&gt;36&lt;/RecNum&gt;&lt;DisplayText&gt;[16]&lt;/DisplayText&gt;&lt;record&gt;&lt;rec-number&gt;36&lt;/rec-number&gt;&lt;foreign-keys&gt;&lt;key app="EN" db-id="dsezaaaxf5z9dte9xeovfea50xe9wdtdapd9" timestamp="1622037226"&gt;36&lt;/key&gt;&lt;key app="ENWeb" db-id=""&gt;0&lt;/key&gt;&lt;/foreign-keys&gt;&lt;ref-type name="Journal Article"&gt;17&lt;/ref-type&gt;&lt;contributors&gt;&lt;authors&gt;&lt;author&gt;Impram, Semich&lt;/author&gt;&lt;author&gt;Varbak Nese, Secil&lt;/author&gt;&lt;author&gt;Oral, Bülent&lt;/author&gt;&lt;/authors&gt;&lt;/contributors&gt;&lt;titles&gt;&lt;title&gt;Challenges of renewable energy penetration on power system flexibility: A survey&lt;/title&gt;&lt;secondary-title&gt;Energy Strategy Reviews&lt;/secondary-title&gt;&lt;/titles&gt;&lt;periodical&gt;&lt;full-title&gt;Energy Strategy Reviews&lt;/full-title&gt;&lt;/periodical&gt;&lt;volume&gt;31&lt;/volume&gt;&lt;section&gt;100539&lt;/section&gt;&lt;dates&gt;&lt;year&gt;2020&lt;/year&gt;&lt;/dates&gt;&lt;isbn&gt;2211467X&lt;/isbn&gt;&lt;urls&gt;&lt;/urls&gt;&lt;electronic-resource-num&gt;10.1016/j.esr.2020.100539&lt;/electronic-resource-num&gt;&lt;/record&gt;&lt;/Cite&gt;&lt;/EndNote&gt;</w:instrText>
      </w:r>
      <w:r w:rsidR="00916282" w:rsidRPr="00317781">
        <w:rPr>
          <w:szCs w:val="20"/>
        </w:rPr>
        <w:fldChar w:fldCharType="separate"/>
      </w:r>
      <w:r w:rsidR="004270B7">
        <w:rPr>
          <w:noProof/>
          <w:szCs w:val="20"/>
        </w:rPr>
        <w:t>[16]</w:t>
      </w:r>
      <w:r w:rsidR="00916282" w:rsidRPr="00317781">
        <w:rPr>
          <w:szCs w:val="20"/>
        </w:rPr>
        <w:fldChar w:fldCharType="end"/>
      </w:r>
      <w:r w:rsidR="00916282" w:rsidRPr="00317781">
        <w:rPr>
          <w:szCs w:val="20"/>
        </w:rPr>
        <w:t xml:space="preserve">. </w:t>
      </w:r>
      <w:r w:rsidR="006B7E0F" w:rsidRPr="00317781">
        <w:rPr>
          <w:szCs w:val="20"/>
        </w:rPr>
        <w:t>There are HVDC</w:t>
      </w:r>
      <w:r w:rsidR="00264D1B" w:rsidRPr="00317781">
        <w:rPr>
          <w:szCs w:val="20"/>
        </w:rPr>
        <w:t xml:space="preserve"> </w:t>
      </w:r>
      <w:r w:rsidR="005F3832" w:rsidRPr="00317781">
        <w:rPr>
          <w:szCs w:val="20"/>
        </w:rPr>
        <w:t>examples</w:t>
      </w:r>
      <w:r w:rsidR="006B7E0F" w:rsidRPr="00317781">
        <w:rPr>
          <w:szCs w:val="20"/>
        </w:rPr>
        <w:t xml:space="preserve"> in the Australian grid</w:t>
      </w:r>
      <w:r w:rsidR="00264D1B" w:rsidRPr="00317781">
        <w:rPr>
          <w:szCs w:val="20"/>
        </w:rPr>
        <w:t xml:space="preserve">, such as </w:t>
      </w:r>
    </w:p>
    <w:p w14:paraId="7C8066F2" w14:textId="77777777" w:rsidR="0078172F" w:rsidRPr="00317781" w:rsidRDefault="00795544" w:rsidP="00237486">
      <w:pPr>
        <w:pStyle w:val="ListParagraph"/>
        <w:numPr>
          <w:ilvl w:val="0"/>
          <w:numId w:val="19"/>
        </w:numPr>
        <w:autoSpaceDE w:val="0"/>
        <w:autoSpaceDN w:val="0"/>
        <w:adjustRightInd w:val="0"/>
        <w:spacing w:after="0" w:line="240" w:lineRule="auto"/>
        <w:rPr>
          <w:szCs w:val="20"/>
        </w:rPr>
      </w:pPr>
      <w:r w:rsidRPr="00317781">
        <w:rPr>
          <w:szCs w:val="20"/>
        </w:rPr>
        <w:t>Basslink</w:t>
      </w:r>
      <w:r w:rsidR="0078172F" w:rsidRPr="00317781">
        <w:rPr>
          <w:szCs w:val="20"/>
        </w:rPr>
        <w:t xml:space="preserve">: </w:t>
      </w:r>
      <w:r w:rsidR="0026687E" w:rsidRPr="00317781">
        <w:rPr>
          <w:szCs w:val="20"/>
        </w:rPr>
        <w:t>a</w:t>
      </w:r>
      <w:r w:rsidRPr="00317781">
        <w:rPr>
          <w:szCs w:val="20"/>
        </w:rPr>
        <w:t xml:space="preserve"> 400KV/500MW </w:t>
      </w:r>
      <w:r w:rsidR="00616833" w:rsidRPr="00317781">
        <w:rPr>
          <w:szCs w:val="20"/>
        </w:rPr>
        <w:t xml:space="preserve">link connecting </w:t>
      </w:r>
      <w:r w:rsidR="0026687E" w:rsidRPr="00317781">
        <w:rPr>
          <w:szCs w:val="20"/>
        </w:rPr>
        <w:t>Victorian and Tasmanian transmission grids,</w:t>
      </w:r>
    </w:p>
    <w:p w14:paraId="43CFFEE2" w14:textId="65DBCB88" w:rsidR="007B3DC4" w:rsidRPr="00317781" w:rsidRDefault="00EB500A" w:rsidP="00237486">
      <w:pPr>
        <w:pStyle w:val="ListParagraph"/>
        <w:numPr>
          <w:ilvl w:val="0"/>
          <w:numId w:val="19"/>
        </w:numPr>
        <w:autoSpaceDE w:val="0"/>
        <w:autoSpaceDN w:val="0"/>
        <w:adjustRightInd w:val="0"/>
        <w:spacing w:after="0" w:line="240" w:lineRule="auto"/>
        <w:rPr>
          <w:szCs w:val="20"/>
        </w:rPr>
      </w:pPr>
      <w:r w:rsidRPr="00317781">
        <w:rPr>
          <w:szCs w:val="20"/>
        </w:rPr>
        <w:t xml:space="preserve">Directlink </w:t>
      </w:r>
      <w:r w:rsidR="004333F2" w:rsidRPr="00317781">
        <w:rPr>
          <w:szCs w:val="20"/>
        </w:rPr>
        <w:t xml:space="preserve">(Terranora) </w:t>
      </w:r>
      <w:r w:rsidRPr="00317781">
        <w:rPr>
          <w:szCs w:val="20"/>
        </w:rPr>
        <w:t>interconnector</w:t>
      </w:r>
      <w:r w:rsidR="0078172F" w:rsidRPr="00317781">
        <w:rPr>
          <w:szCs w:val="20"/>
        </w:rPr>
        <w:t>:</w:t>
      </w:r>
      <w:r w:rsidRPr="00317781">
        <w:rPr>
          <w:szCs w:val="20"/>
        </w:rPr>
        <w:t xml:space="preserve"> connecting the </w:t>
      </w:r>
      <w:r w:rsidR="00E52B0C" w:rsidRPr="00317781">
        <w:rPr>
          <w:szCs w:val="20"/>
        </w:rPr>
        <w:t>132KV AC</w:t>
      </w:r>
      <w:r w:rsidR="000A24AF" w:rsidRPr="00317781">
        <w:rPr>
          <w:szCs w:val="20"/>
        </w:rPr>
        <w:t xml:space="preserve"> </w:t>
      </w:r>
      <w:r w:rsidR="00E52B0C" w:rsidRPr="00317781">
        <w:rPr>
          <w:szCs w:val="20"/>
        </w:rPr>
        <w:t xml:space="preserve">grid in </w:t>
      </w:r>
      <w:r w:rsidR="000A24AF" w:rsidRPr="00317781">
        <w:rPr>
          <w:szCs w:val="20"/>
        </w:rPr>
        <w:t>NSW</w:t>
      </w:r>
      <w:r w:rsidR="00E52B0C" w:rsidRPr="00317781">
        <w:rPr>
          <w:szCs w:val="20"/>
        </w:rPr>
        <w:t xml:space="preserve"> to 110KV </w:t>
      </w:r>
      <w:r w:rsidR="000A24AF" w:rsidRPr="00317781">
        <w:rPr>
          <w:szCs w:val="20"/>
        </w:rPr>
        <w:t xml:space="preserve">AC grid in Queensland over </w:t>
      </w:r>
      <w:r w:rsidR="007B3DC4" w:rsidRPr="00317781">
        <w:rPr>
          <w:szCs w:val="20"/>
        </w:rPr>
        <w:t>an</w:t>
      </w:r>
      <w:r w:rsidR="000A24AF" w:rsidRPr="00317781">
        <w:rPr>
          <w:szCs w:val="20"/>
        </w:rPr>
        <w:t xml:space="preserve"> </w:t>
      </w:r>
      <w:r w:rsidR="0001653A" w:rsidRPr="00317781">
        <w:rPr>
          <w:szCs w:val="20"/>
        </w:rPr>
        <w:t>80</w:t>
      </w:r>
      <w:r w:rsidR="004333F2" w:rsidRPr="00317781">
        <w:rPr>
          <w:szCs w:val="20"/>
        </w:rPr>
        <w:t>k</w:t>
      </w:r>
      <w:r w:rsidR="0001653A" w:rsidRPr="00317781">
        <w:rPr>
          <w:szCs w:val="20"/>
        </w:rPr>
        <w:t xml:space="preserve">V/180MW interconnector, and </w:t>
      </w:r>
    </w:p>
    <w:p w14:paraId="39FF6E86" w14:textId="1D32FCD2" w:rsidR="007B3DC4" w:rsidRPr="00317781" w:rsidRDefault="00E14104" w:rsidP="00237486">
      <w:pPr>
        <w:pStyle w:val="ListParagraph"/>
        <w:numPr>
          <w:ilvl w:val="0"/>
          <w:numId w:val="19"/>
        </w:numPr>
        <w:autoSpaceDE w:val="0"/>
        <w:autoSpaceDN w:val="0"/>
        <w:adjustRightInd w:val="0"/>
        <w:spacing w:after="0" w:line="240" w:lineRule="auto"/>
        <w:rPr>
          <w:szCs w:val="20"/>
        </w:rPr>
      </w:pPr>
      <w:r w:rsidRPr="00317781">
        <w:rPr>
          <w:rFonts w:ascii="Arial" w:hAnsi="Arial" w:cs="Arial"/>
        </w:rPr>
        <w:t>Murraylink</w:t>
      </w:r>
      <w:r w:rsidR="004E73BD" w:rsidRPr="00317781">
        <w:rPr>
          <w:rFonts w:ascii="Arial" w:hAnsi="Arial" w:cs="Arial"/>
        </w:rPr>
        <w:t>: connecting the Riverland region in South Australia and Sunraysia region in Victoria through converter stations at Red Cliffs in Victoria and Berri in South Australia</w:t>
      </w:r>
      <w:r w:rsidR="00D66B9B" w:rsidRPr="00317781">
        <w:rPr>
          <w:rFonts w:ascii="Arial" w:hAnsi="Arial" w:cs="Arial"/>
        </w:rPr>
        <w:t>, over 2 X 180 Km</w:t>
      </w:r>
      <w:r w:rsidR="004E73BD" w:rsidRPr="00317781">
        <w:rPr>
          <w:rFonts w:ascii="Arial" w:hAnsi="Arial" w:cs="Arial"/>
        </w:rPr>
        <w:t xml:space="preserve"> </w:t>
      </w:r>
      <w:r w:rsidR="00C97149" w:rsidRPr="00317781">
        <w:rPr>
          <w:rFonts w:ascii="Arial" w:hAnsi="Arial" w:cs="Arial"/>
        </w:rPr>
        <w:t>1</w:t>
      </w:r>
      <w:r w:rsidR="004E73BD" w:rsidRPr="00317781">
        <w:rPr>
          <w:rFonts w:ascii="Arial" w:hAnsi="Arial" w:cs="Arial"/>
        </w:rPr>
        <w:t xml:space="preserve">50 </w:t>
      </w:r>
      <w:r w:rsidR="004333F2" w:rsidRPr="00317781">
        <w:rPr>
          <w:rFonts w:ascii="Arial" w:hAnsi="Arial" w:cs="Arial"/>
        </w:rPr>
        <w:t>k</w:t>
      </w:r>
      <w:r w:rsidR="004E73BD" w:rsidRPr="00317781">
        <w:rPr>
          <w:rFonts w:ascii="Arial" w:hAnsi="Arial" w:cs="Arial"/>
        </w:rPr>
        <w:t>V</w:t>
      </w:r>
      <w:r w:rsidR="00C97149" w:rsidRPr="00317781">
        <w:rPr>
          <w:rFonts w:ascii="Arial" w:hAnsi="Arial" w:cs="Arial"/>
        </w:rPr>
        <w:t>/220 MW underground cables.</w:t>
      </w:r>
      <w:r w:rsidR="004E73BD" w:rsidRPr="00317781">
        <w:rPr>
          <w:rFonts w:ascii="Arial" w:hAnsi="Arial" w:cs="Arial"/>
        </w:rPr>
        <w:t xml:space="preserve"> </w:t>
      </w:r>
      <w:r w:rsidRPr="00317781">
        <w:rPr>
          <w:rFonts w:ascii="Arial" w:hAnsi="Arial" w:cs="Arial"/>
        </w:rPr>
        <w:t> </w:t>
      </w:r>
    </w:p>
    <w:p w14:paraId="209ED684" w14:textId="3DA7D0A1" w:rsidR="0086277D" w:rsidRPr="00317781" w:rsidRDefault="00393C08" w:rsidP="007B3DC4">
      <w:pPr>
        <w:autoSpaceDE w:val="0"/>
        <w:autoSpaceDN w:val="0"/>
        <w:adjustRightInd w:val="0"/>
        <w:spacing w:after="0" w:line="240" w:lineRule="auto"/>
      </w:pPr>
      <w:r w:rsidRPr="00317781">
        <w:t xml:space="preserve">Despite these examples, there </w:t>
      </w:r>
      <w:r w:rsidR="00105164" w:rsidRPr="00317781">
        <w:t>is</w:t>
      </w:r>
      <w:r w:rsidRPr="00317781">
        <w:t xml:space="preserve"> little research about services over HVDC system</w:t>
      </w:r>
      <w:r w:rsidR="00105164" w:rsidRPr="00317781">
        <w:t>s</w:t>
      </w:r>
      <w:r w:rsidRPr="00317781">
        <w:t xml:space="preserve"> in the Australian context.</w:t>
      </w:r>
      <w:r w:rsidR="009E2B04">
        <w:t xml:space="preserve"> </w:t>
      </w:r>
      <w:r w:rsidR="009B06B6">
        <w:t>Basslink provides frequency support service while the p</w:t>
      </w:r>
      <w:r w:rsidR="009E2B04">
        <w:t xml:space="preserve">ossibility of providing frequency support and system restart services over the Marinus </w:t>
      </w:r>
      <w:r w:rsidR="00450B97">
        <w:t xml:space="preserve">link </w:t>
      </w:r>
      <w:r w:rsidR="00A02914">
        <w:t xml:space="preserve">(an extra link </w:t>
      </w:r>
      <w:r w:rsidR="00450B97">
        <w:t>between Tasmania and Victoria, Australia</w:t>
      </w:r>
      <w:r w:rsidR="00A02914">
        <w:t>)</w:t>
      </w:r>
      <w:r w:rsidR="00450B97">
        <w:t xml:space="preserve"> has been studied in </w:t>
      </w:r>
      <w:r w:rsidR="00450B97">
        <w:fldChar w:fldCharType="begin"/>
      </w:r>
      <w:r w:rsidR="004270B7">
        <w:instrText xml:space="preserve"> ADDIN EN.CITE &lt;EndNote&gt;&lt;Cite&gt;&lt;Year&gt;2019&lt;/Year&gt;&lt;RecNum&gt;373&lt;/RecNum&gt;&lt;DisplayText&gt;[25]&lt;/DisplayText&gt;&lt;record&gt;&lt;rec-number&gt;373&lt;/rec-number&gt;&lt;foreign-keys&gt;&lt;key app="EN" db-id="dsezaaaxf5z9dte9xeovfea50xe9wdtdapd9" timestamp="1632713513"&gt;373&lt;/key&gt;&lt;/foreign-keys&gt;&lt;ref-type name="Report"&gt;27&lt;/ref-type&gt;&lt;contributors&gt;&lt;/contributors&gt;&lt;titles&gt;&lt;title&gt;Ancillary Service Benefits for Marinus Link&lt;/title&gt;&lt;/titles&gt;&lt;dates&gt;&lt;year&gt;2019&lt;/year&gt;&lt;/dates&gt;&lt;publisher&gt;GHD Report for TasNetworks&lt;/publisher&gt;&lt;urls&gt;&lt;/urls&gt;&lt;/record&gt;&lt;/Cite&gt;&lt;/EndNote&gt;</w:instrText>
      </w:r>
      <w:r w:rsidR="00450B97">
        <w:fldChar w:fldCharType="separate"/>
      </w:r>
      <w:r w:rsidR="004270B7">
        <w:rPr>
          <w:noProof/>
        </w:rPr>
        <w:t>[25]</w:t>
      </w:r>
      <w:r w:rsidR="00450B97">
        <w:fldChar w:fldCharType="end"/>
      </w:r>
      <w:r w:rsidR="00450B97">
        <w:t>.</w:t>
      </w:r>
      <w:r w:rsidRPr="00317781">
        <w:t xml:space="preserve"> </w:t>
      </w:r>
      <w:r w:rsidR="00450B97">
        <w:t>S</w:t>
      </w:r>
      <w:r w:rsidR="0086277D" w:rsidRPr="00317781">
        <w:t xml:space="preserve">tudies in Europe and US (see Appendix </w:t>
      </w:r>
      <w:r w:rsidR="3CFE14C2" w:rsidRPr="00317781">
        <w:t>B</w:t>
      </w:r>
      <w:r w:rsidR="001051C9" w:rsidRPr="00317781">
        <w:t xml:space="preserve"> as a European one) show the great potential of these system in providing </w:t>
      </w:r>
      <w:r w:rsidR="00093363" w:rsidRPr="00317781">
        <w:t xml:space="preserve">frequency support services if enough resources are available. </w:t>
      </w:r>
      <w:r w:rsidR="00534017" w:rsidRPr="00317781">
        <w:t xml:space="preserve">The </w:t>
      </w:r>
      <w:r w:rsidR="00534017" w:rsidRPr="001407D0">
        <w:t xml:space="preserve">voltage source </w:t>
      </w:r>
      <w:r w:rsidR="00534017" w:rsidRPr="00317781">
        <w:t>converter</w:t>
      </w:r>
      <w:r w:rsidR="00534017" w:rsidRPr="001407D0">
        <w:t xml:space="preserve"> (VSC)</w:t>
      </w:r>
      <w:r w:rsidR="00534017" w:rsidRPr="00317781">
        <w:t xml:space="preserve"> technology also </w:t>
      </w:r>
      <w:r w:rsidR="009E57BE" w:rsidRPr="00317781">
        <w:t>empower</w:t>
      </w:r>
      <w:r w:rsidR="00105164" w:rsidRPr="00317781">
        <w:t>s</w:t>
      </w:r>
      <w:r w:rsidR="009E57BE" w:rsidRPr="00317781">
        <w:t xml:space="preserve"> HVDC system</w:t>
      </w:r>
      <w:r w:rsidR="00105164" w:rsidRPr="00317781">
        <w:t>s</w:t>
      </w:r>
      <w:r w:rsidR="009E57BE" w:rsidRPr="00317781">
        <w:t xml:space="preserve"> to contribute </w:t>
      </w:r>
      <w:r w:rsidR="007221EB" w:rsidRPr="00317781">
        <w:t>to</w:t>
      </w:r>
      <w:r w:rsidR="009E57BE" w:rsidRPr="00317781">
        <w:t xml:space="preserve"> voltage support services. </w:t>
      </w:r>
      <w:r w:rsidR="001407D0" w:rsidRPr="00317781">
        <w:t xml:space="preserve">This means that </w:t>
      </w:r>
      <w:r w:rsidR="003B42DB" w:rsidRPr="00317781">
        <w:t>research on the services that HVDC system</w:t>
      </w:r>
      <w:r w:rsidR="007221EB" w:rsidRPr="00317781">
        <w:t>s</w:t>
      </w:r>
      <w:r w:rsidR="003B42DB" w:rsidRPr="00317781">
        <w:t xml:space="preserve"> can provide to the Australian grid can be a </w:t>
      </w:r>
      <w:r w:rsidR="00656771" w:rsidRPr="00317781">
        <w:t>m</w:t>
      </w:r>
      <w:r w:rsidR="003B42DB" w:rsidRPr="00317781">
        <w:t>id-term activity.</w:t>
      </w:r>
    </w:p>
    <w:p w14:paraId="4E2BCBFA" w14:textId="4A7F833B" w:rsidR="002D1340" w:rsidRPr="007B3DC4" w:rsidRDefault="002D1340" w:rsidP="007B3DC4">
      <w:pPr>
        <w:autoSpaceDE w:val="0"/>
        <w:autoSpaceDN w:val="0"/>
        <w:adjustRightInd w:val="0"/>
        <w:spacing w:after="0" w:line="240" w:lineRule="auto"/>
        <w:rPr>
          <w:szCs w:val="20"/>
        </w:rPr>
      </w:pPr>
    </w:p>
    <w:p w14:paraId="4CE35020" w14:textId="77777777" w:rsidR="0066026B" w:rsidRDefault="0066026B" w:rsidP="004D2F3A">
      <w:pPr>
        <w:rPr>
          <w:b/>
          <w:bCs/>
        </w:rPr>
      </w:pPr>
    </w:p>
    <w:p w14:paraId="1D86FACE" w14:textId="67AE4D57" w:rsidR="004D2F3A" w:rsidRDefault="004D2F3A" w:rsidP="00F51A47">
      <w:pPr>
        <w:pStyle w:val="Heading3"/>
      </w:pPr>
      <w:bookmarkStart w:id="15" w:name="_Toc83674466"/>
      <w:r>
        <w:t xml:space="preserve">Flexibility </w:t>
      </w:r>
      <w:r w:rsidRPr="00B64E9F">
        <w:t>measurements</w:t>
      </w:r>
      <w:bookmarkEnd w:id="15"/>
    </w:p>
    <w:p w14:paraId="5E50735F" w14:textId="672B7866" w:rsidR="004D2F3A" w:rsidRPr="004C651D" w:rsidRDefault="0005636C" w:rsidP="004D2F3A">
      <w:pPr>
        <w:rPr>
          <w:szCs w:val="20"/>
        </w:rPr>
      </w:pPr>
      <w:r w:rsidRPr="004C651D">
        <w:rPr>
          <w:szCs w:val="20"/>
        </w:rPr>
        <w:t>The o</w:t>
      </w:r>
      <w:r w:rsidR="003B011A" w:rsidRPr="004C651D">
        <w:rPr>
          <w:szCs w:val="20"/>
        </w:rPr>
        <w:t xml:space="preserve">ccurrence of any of the following items may </w:t>
      </w:r>
      <w:r w:rsidR="004F6225" w:rsidRPr="004C651D">
        <w:rPr>
          <w:szCs w:val="20"/>
        </w:rPr>
        <w:t xml:space="preserve">(but not necessarily) </w:t>
      </w:r>
      <w:r w:rsidR="003B011A" w:rsidRPr="004C651D">
        <w:rPr>
          <w:szCs w:val="20"/>
        </w:rPr>
        <w:t>show that flexibility of the grid needs to be assessed.</w:t>
      </w:r>
    </w:p>
    <w:p w14:paraId="4F66E8BD" w14:textId="109B1B48" w:rsidR="004D2F3A" w:rsidRPr="004C651D" w:rsidRDefault="004D2F3A" w:rsidP="00237486">
      <w:pPr>
        <w:pStyle w:val="ListParagraph"/>
        <w:numPr>
          <w:ilvl w:val="0"/>
          <w:numId w:val="8"/>
        </w:numPr>
        <w:spacing w:after="0" w:line="240" w:lineRule="auto"/>
        <w:rPr>
          <w:szCs w:val="20"/>
        </w:rPr>
      </w:pPr>
      <w:r w:rsidRPr="004C651D">
        <w:rPr>
          <w:szCs w:val="20"/>
        </w:rPr>
        <w:t>Difficulty of maintaining supply-demand balance, causing frequency excursions,</w:t>
      </w:r>
    </w:p>
    <w:p w14:paraId="39FB83B6" w14:textId="2D51DE6E" w:rsidR="004D2F3A" w:rsidRPr="004C651D" w:rsidRDefault="004D2F3A" w:rsidP="00237486">
      <w:pPr>
        <w:pStyle w:val="ListParagraph"/>
        <w:numPr>
          <w:ilvl w:val="0"/>
          <w:numId w:val="8"/>
        </w:numPr>
        <w:spacing w:after="0" w:line="240" w:lineRule="auto"/>
        <w:rPr>
          <w:szCs w:val="20"/>
        </w:rPr>
      </w:pPr>
      <w:r w:rsidRPr="004C651D">
        <w:rPr>
          <w:szCs w:val="20"/>
        </w:rPr>
        <w:t>A significant amount of curtailment</w:t>
      </w:r>
      <w:r w:rsidR="004B189D" w:rsidRPr="004C651D">
        <w:rPr>
          <w:szCs w:val="20"/>
        </w:rPr>
        <w:t xml:space="preserve"> since a higher amount of renewable energy curtailment may happen in less flexible grids </w:t>
      </w:r>
      <w:r w:rsidR="004B189D" w:rsidRPr="004C651D">
        <w:rPr>
          <w:szCs w:val="20"/>
        </w:rPr>
        <w:fldChar w:fldCharType="begin"/>
      </w:r>
      <w:r w:rsidR="004270B7">
        <w:rPr>
          <w:szCs w:val="20"/>
        </w:rPr>
        <w:instrText xml:space="preserve"> ADDIN EN.CITE &lt;EndNote&gt;&lt;Cite&gt;&lt;Author&gt;Cochran&lt;/Author&gt;&lt;Year&gt;2014&lt;/Year&gt;&lt;RecNum&gt;51&lt;/RecNum&gt;&lt;DisplayText&gt;[26]&lt;/DisplayText&gt;&lt;record&gt;&lt;rec-number&gt;51&lt;/rec-number&gt;&lt;foreign-keys&gt;&lt;key app="EN" db-id="dsezaaaxf5z9dte9xeovfea50xe9wdtdapd9" timestamp="1622904898"&gt;51&lt;/key&gt;&lt;/foreign-keys&gt;&lt;ref-type name="Report"&gt;27&lt;/ref-type&gt;&lt;contributors&gt;&lt;authors&gt;&lt;author&gt;Cochran, Jaquelin&lt;/author&gt;&lt;author&gt;Miller, Mackay&lt;/author&gt;&lt;author&gt;Zinaman, Owen&lt;/author&gt;&lt;author&gt;Milligan, Michael&lt;/author&gt;&lt;author&gt;Arent, Doug&lt;/author&gt;&lt;author&gt;Palmintier, Bryan&lt;/author&gt;&lt;author&gt;O&amp;apos;Malley, Mark&lt;/author&gt;&lt;author&gt;Mueller, Simon&lt;/author&gt;&lt;author&gt;Lannoye, Eamonn&lt;/author&gt;&lt;author&gt;Tuohy, Aidan&lt;/author&gt;&lt;/authors&gt;&lt;/contributors&gt;&lt;titles&gt;&lt;title&gt;Flexibility in 21st century power systems&lt;/title&gt;&lt;/titles&gt;&lt;dates&gt;&lt;year&gt;2014&lt;/year&gt;&lt;/dates&gt;&lt;publisher&gt;National Renewable Energy Lab.(NREL), Golden, CO (United States)&lt;/publisher&gt;&lt;urls&gt;&lt;/urls&gt;&lt;/record&gt;&lt;/Cite&gt;&lt;/EndNote&gt;</w:instrText>
      </w:r>
      <w:r w:rsidR="004B189D" w:rsidRPr="004C651D">
        <w:rPr>
          <w:szCs w:val="20"/>
        </w:rPr>
        <w:fldChar w:fldCharType="separate"/>
      </w:r>
      <w:r w:rsidR="004270B7">
        <w:rPr>
          <w:noProof/>
          <w:szCs w:val="20"/>
        </w:rPr>
        <w:t>[26]</w:t>
      </w:r>
      <w:r w:rsidR="004B189D" w:rsidRPr="004C651D">
        <w:rPr>
          <w:szCs w:val="20"/>
        </w:rPr>
        <w:fldChar w:fldCharType="end"/>
      </w:r>
      <w:r w:rsidRPr="004C651D">
        <w:rPr>
          <w:szCs w:val="20"/>
        </w:rPr>
        <w:t>,</w:t>
      </w:r>
    </w:p>
    <w:p w14:paraId="00F8A9EC" w14:textId="77777777" w:rsidR="004D2F3A" w:rsidRPr="004C651D" w:rsidRDefault="004D2F3A" w:rsidP="00237486">
      <w:pPr>
        <w:pStyle w:val="ListParagraph"/>
        <w:numPr>
          <w:ilvl w:val="0"/>
          <w:numId w:val="8"/>
        </w:numPr>
        <w:spacing w:after="0" w:line="240" w:lineRule="auto"/>
        <w:rPr>
          <w:szCs w:val="20"/>
        </w:rPr>
      </w:pPr>
      <w:r w:rsidRPr="004C651D">
        <w:rPr>
          <w:szCs w:val="20"/>
        </w:rPr>
        <w:t>Imbalance of renewable energy generation in a certain region, and</w:t>
      </w:r>
    </w:p>
    <w:p w14:paraId="5E9B7D2D" w14:textId="77777777" w:rsidR="004D2F3A" w:rsidRPr="004C651D" w:rsidRDefault="004D2F3A" w:rsidP="00237486">
      <w:pPr>
        <w:pStyle w:val="ListParagraph"/>
        <w:numPr>
          <w:ilvl w:val="0"/>
          <w:numId w:val="8"/>
        </w:numPr>
        <w:spacing w:after="0" w:line="240" w:lineRule="auto"/>
        <w:rPr>
          <w:szCs w:val="20"/>
        </w:rPr>
      </w:pPr>
      <w:r w:rsidRPr="004C651D">
        <w:rPr>
          <w:szCs w:val="20"/>
        </w:rPr>
        <w:t>Large variations in the market price.</w:t>
      </w:r>
    </w:p>
    <w:p w14:paraId="0E1E1B44" w14:textId="77777777" w:rsidR="004D2F3A" w:rsidRPr="004C651D" w:rsidRDefault="004D2F3A" w:rsidP="004D2F3A">
      <w:pPr>
        <w:rPr>
          <w:szCs w:val="20"/>
        </w:rPr>
      </w:pPr>
    </w:p>
    <w:p w14:paraId="4E83A9BA" w14:textId="4FCF6585" w:rsidR="004D2F3A" w:rsidRPr="004C651D" w:rsidRDefault="00081575" w:rsidP="00A5482A">
      <w:pPr>
        <w:rPr>
          <w:szCs w:val="20"/>
        </w:rPr>
      </w:pPr>
      <w:r w:rsidRPr="004C651D">
        <w:rPr>
          <w:szCs w:val="20"/>
        </w:rPr>
        <w:t xml:space="preserve">Inflexibility of the grid indeed means that the grid needs to be assessed from different aspects, including services. </w:t>
      </w:r>
      <w:r w:rsidR="004D2F3A" w:rsidRPr="004C651D">
        <w:rPr>
          <w:szCs w:val="20"/>
        </w:rPr>
        <w:t>There are mainly three analytic frameworks to measure</w:t>
      </w:r>
      <w:r w:rsidR="002272FA" w:rsidRPr="004C651D">
        <w:rPr>
          <w:szCs w:val="20"/>
        </w:rPr>
        <w:t xml:space="preserve"> the</w:t>
      </w:r>
      <w:r w:rsidR="004D2F3A" w:rsidRPr="004C651D">
        <w:rPr>
          <w:szCs w:val="20"/>
        </w:rPr>
        <w:t xml:space="preserve"> grid flexibility </w:t>
      </w:r>
      <w:r w:rsidR="004D2F3A" w:rsidRPr="004C651D">
        <w:rPr>
          <w:szCs w:val="20"/>
        </w:rPr>
        <w:fldChar w:fldCharType="begin"/>
      </w:r>
      <w:r w:rsidR="004270B7">
        <w:rPr>
          <w:szCs w:val="20"/>
        </w:rPr>
        <w:instrText xml:space="preserve"> ADDIN EN.CITE &lt;EndNote&gt;&lt;Cite&gt;&lt;Author&gt;Wang&lt;/Author&gt;&lt;Year&gt;2017&lt;/Year&gt;&lt;RecNum&gt;52&lt;/RecNum&gt;&lt;DisplayText&gt;[27]&lt;/DisplayText&gt;&lt;record&gt;&lt;rec-number&gt;52&lt;/rec-number&gt;&lt;foreign-keys&gt;&lt;key app="EN" db-id="dsezaaaxf5z9dte9xeovfea50xe9wdtdapd9" timestamp="1622905652"&gt;52&lt;/key&gt;&lt;key app="ENWeb" db-id=""&gt;0&lt;/key&gt;&lt;/foreign-keys&gt;&lt;ref-type name="Journal Article"&gt;17&lt;/ref-type&gt;&lt;contributors&gt;&lt;authors&gt;&lt;author&gt;Wang, Qin&lt;/author&gt;&lt;author&gt;Hodge, Bri-Mathias&lt;/author&gt;&lt;/authors&gt;&lt;/contributors&gt;&lt;titles&gt;&lt;title&gt;Enhancing Power System Operational Flexibility With Flexible Ramping Products: A Review&lt;/title&gt;&lt;secondary-title&gt;IEEE Transactions on Industrial Informatics&lt;/secondary-title&gt;&lt;/titles&gt;&lt;periodical&gt;&lt;full-title&gt;IEEE Transactions on Industrial Informatics&lt;/full-title&gt;&lt;/periodical&gt;&lt;pages&gt;1652-1664&lt;/pages&gt;&lt;volume&gt;13&lt;/volume&gt;&lt;number&gt;4&lt;/number&gt;&lt;section&gt;1652&lt;/section&gt;&lt;dates&gt;&lt;year&gt;2017&lt;/year&gt;&lt;/dates&gt;&lt;isbn&gt;1551-3203&amp;#xD;1941-0050&lt;/isbn&gt;&lt;urls&gt;&lt;/urls&gt;&lt;electronic-resource-num&gt;10.1109/tii.2016.2637879&lt;/electronic-resource-num&gt;&lt;/record&gt;&lt;/Cite&gt;&lt;/EndNote&gt;</w:instrText>
      </w:r>
      <w:r w:rsidR="004D2F3A" w:rsidRPr="004C651D">
        <w:rPr>
          <w:szCs w:val="20"/>
        </w:rPr>
        <w:fldChar w:fldCharType="separate"/>
      </w:r>
      <w:r w:rsidR="004270B7">
        <w:rPr>
          <w:noProof/>
          <w:szCs w:val="20"/>
        </w:rPr>
        <w:t>[27]</w:t>
      </w:r>
      <w:r w:rsidR="004D2F3A" w:rsidRPr="004C651D">
        <w:rPr>
          <w:szCs w:val="20"/>
        </w:rPr>
        <w:fldChar w:fldCharType="end"/>
      </w:r>
      <w:r w:rsidR="004D2F3A" w:rsidRPr="004C651D">
        <w:rPr>
          <w:szCs w:val="20"/>
        </w:rPr>
        <w:t xml:space="preserve">. </w:t>
      </w:r>
    </w:p>
    <w:p w14:paraId="79A8A035" w14:textId="089C12CA" w:rsidR="000B2360" w:rsidRPr="004C651D" w:rsidRDefault="004D2F3A" w:rsidP="00C01706">
      <w:pPr>
        <w:rPr>
          <w:szCs w:val="20"/>
        </w:rPr>
      </w:pPr>
      <w:r w:rsidRPr="004C651D">
        <w:rPr>
          <w:szCs w:val="20"/>
        </w:rPr>
        <w:lastRenderedPageBreak/>
        <w:t xml:space="preserve">a) </w:t>
      </w:r>
      <w:r w:rsidRPr="004C651D">
        <w:rPr>
          <w:i/>
          <w:szCs w:val="20"/>
        </w:rPr>
        <w:t>Visualisation framework</w:t>
      </w:r>
      <w:r w:rsidRPr="004C651D">
        <w:rPr>
          <w:szCs w:val="20"/>
        </w:rPr>
        <w:t xml:space="preserve">: </w:t>
      </w:r>
      <w:r w:rsidR="00AA426B" w:rsidRPr="004C651D">
        <w:rPr>
          <w:szCs w:val="20"/>
        </w:rPr>
        <w:t xml:space="preserve">A flexibility </w:t>
      </w:r>
      <w:r w:rsidRPr="004C651D">
        <w:rPr>
          <w:szCs w:val="20"/>
        </w:rPr>
        <w:t>chart is an assessment tool based on the visualisation of dominant factors</w:t>
      </w:r>
      <w:r w:rsidR="004B203C" w:rsidRPr="004C651D">
        <w:rPr>
          <w:szCs w:val="20"/>
        </w:rPr>
        <w:t xml:space="preserve"> on the flexibility</w:t>
      </w:r>
      <w:r w:rsidRPr="004C651D">
        <w:rPr>
          <w:szCs w:val="20"/>
        </w:rPr>
        <w:t xml:space="preserve"> and comparing various solutions in different areas </w:t>
      </w:r>
      <w:r w:rsidRPr="004C651D">
        <w:rPr>
          <w:szCs w:val="20"/>
        </w:rPr>
        <w:fldChar w:fldCharType="begin"/>
      </w:r>
      <w:r w:rsidR="004270B7">
        <w:rPr>
          <w:szCs w:val="20"/>
        </w:rPr>
        <w:instrText xml:space="preserve"> ADDIN EN.CITE &lt;EndNote&gt;&lt;Cite&gt;&lt;Author&gt;Yasuda&lt;/Author&gt;&lt;Year&gt;2013&lt;/Year&gt;&lt;RecNum&gt;39&lt;/RecNum&gt;&lt;DisplayText&gt;[26, 28]&lt;/DisplayText&gt;&lt;record&gt;&lt;rec-number&gt;39&lt;/rec-number&gt;&lt;foreign-keys&gt;&lt;key app="EN" db-id="dsezaaaxf5z9dte9xeovfea50xe9wdtdapd9" timestamp="1622160263"&gt;39&lt;/key&gt;&lt;/foreign-keys&gt;&lt;ref-type name="Conference Proceedings"&gt;10&lt;/ref-type&gt;&lt;contributors&gt;&lt;authors&gt;&lt;author&gt;Yasuda, Yoh&lt;/author&gt;&lt;author&gt;Årdal, Atle Rygg&lt;/author&gt;&lt;author&gt;Huertas-Hernando, Daniel&lt;/author&gt;&lt;author&gt;Carlini, Enrico Maria&lt;/author&gt;&lt;author&gt;Estanqueiro, Ana&lt;/author&gt;&lt;author&gt;Flynn, Damian&lt;/author&gt;&lt;author&gt;Gomez-Lazaro, Emilio&lt;/author&gt;&lt;author&gt;Holttinen, Hannele&lt;/author&gt;&lt;author&gt;Kiviluoma, Juha&lt;/author&gt;&lt;author&gt;Van Hulle, Frans&lt;/author&gt;&lt;/authors&gt;&lt;/contributors&gt;&lt;titles&gt;&lt;title&gt;Flexibility chart: Evaluation on diversity of flexibility in various areas&lt;/title&gt;&lt;secondary-title&gt;12th International Workshop on Large-Scale Integration of Wind Power into Power Systems as well as on Transmission Networks for Offshore Wind Farms, WIW13&lt;/secondary-title&gt;&lt;/titles&gt;&lt;dates&gt;&lt;year&gt;2013&lt;/year&gt;&lt;/dates&gt;&lt;publisher&gt;Energynautics GmbH&lt;/publisher&gt;&lt;urls&gt;&lt;/urls&gt;&lt;/record&gt;&lt;/Cite&gt;&lt;Cite&gt;&lt;Author&gt;Cochran&lt;/Author&gt;&lt;Year&gt;2014&lt;/Year&gt;&lt;RecNum&gt;51&lt;/RecNum&gt;&lt;record&gt;&lt;rec-number&gt;51&lt;/rec-number&gt;&lt;foreign-keys&gt;&lt;key app="EN" db-id="dsezaaaxf5z9dte9xeovfea50xe9wdtdapd9" timestamp="1622904898"&gt;51&lt;/key&gt;&lt;/foreign-keys&gt;&lt;ref-type name="Report"&gt;27&lt;/ref-type&gt;&lt;contributors&gt;&lt;authors&gt;&lt;author&gt;Cochran, Jaquelin&lt;/author&gt;&lt;author&gt;Miller, Mackay&lt;/author&gt;&lt;author&gt;Zinaman, Owen&lt;/author&gt;&lt;author&gt;Milligan, Michael&lt;/author&gt;&lt;author&gt;Arent, Doug&lt;/author&gt;&lt;author&gt;Palmintier, Bryan&lt;/author&gt;&lt;author&gt;O&amp;apos;Malley, Mark&lt;/author&gt;&lt;author&gt;Mueller, Simon&lt;/author&gt;&lt;author&gt;Lannoye, Eamonn&lt;/author&gt;&lt;author&gt;Tuohy, Aidan&lt;/author&gt;&lt;/authors&gt;&lt;/contributors&gt;&lt;titles&gt;&lt;title&gt;Flexibility in 21st century power systems&lt;/title&gt;&lt;/titles&gt;&lt;dates&gt;&lt;year&gt;2014&lt;/year&gt;&lt;/dates&gt;&lt;publisher&gt;National Renewable Energy Lab.(NREL), Golden, CO (United States)&lt;/publisher&gt;&lt;urls&gt;&lt;/urls&gt;&lt;/record&gt;&lt;/Cite&gt;&lt;/EndNote&gt;</w:instrText>
      </w:r>
      <w:r w:rsidRPr="004C651D">
        <w:rPr>
          <w:szCs w:val="20"/>
        </w:rPr>
        <w:fldChar w:fldCharType="separate"/>
      </w:r>
      <w:r w:rsidR="004270B7">
        <w:rPr>
          <w:noProof/>
          <w:szCs w:val="20"/>
        </w:rPr>
        <w:t>[26, 28]</w:t>
      </w:r>
      <w:r w:rsidRPr="004C651D">
        <w:rPr>
          <w:szCs w:val="20"/>
        </w:rPr>
        <w:fldChar w:fldCharType="end"/>
      </w:r>
      <w:r w:rsidRPr="004C651D">
        <w:rPr>
          <w:szCs w:val="20"/>
        </w:rPr>
        <w:t>.</w:t>
      </w:r>
      <w:r w:rsidR="004F136C" w:rsidRPr="004C651D">
        <w:rPr>
          <w:szCs w:val="20"/>
        </w:rPr>
        <w:t xml:space="preserve"> This chart summarises capacities of (a subset of) different types of physical sources of flexibility. </w:t>
      </w:r>
      <w:r w:rsidR="00794218" w:rsidRPr="004C651D">
        <w:rPr>
          <w:szCs w:val="20"/>
        </w:rPr>
        <w:t>For example, f</w:t>
      </w:r>
      <w:r w:rsidRPr="004C651D">
        <w:rPr>
          <w:szCs w:val="20"/>
        </w:rPr>
        <w:t xml:space="preserve">igure </w:t>
      </w:r>
      <w:r w:rsidR="004B203C" w:rsidRPr="004C651D">
        <w:rPr>
          <w:szCs w:val="20"/>
        </w:rPr>
        <w:t>4</w:t>
      </w:r>
      <w:r w:rsidRPr="004C651D">
        <w:rPr>
          <w:szCs w:val="20"/>
        </w:rPr>
        <w:t xml:space="preserve"> </w:t>
      </w:r>
      <w:r w:rsidR="00794218" w:rsidRPr="004C651D">
        <w:rPr>
          <w:szCs w:val="20"/>
        </w:rPr>
        <w:t>compares</w:t>
      </w:r>
      <w:r w:rsidRPr="004C651D">
        <w:rPr>
          <w:szCs w:val="20"/>
        </w:rPr>
        <w:t xml:space="preserve"> the flexibility </w:t>
      </w:r>
      <w:r w:rsidR="00E35D39" w:rsidRPr="004C651D">
        <w:rPr>
          <w:szCs w:val="20"/>
        </w:rPr>
        <w:t xml:space="preserve">of power grids in Portugal, Germany, Ireland and </w:t>
      </w:r>
      <w:r w:rsidRPr="004C651D">
        <w:rPr>
          <w:szCs w:val="20"/>
        </w:rPr>
        <w:t>D</w:t>
      </w:r>
      <w:r w:rsidR="00E35D39" w:rsidRPr="004C651D">
        <w:rPr>
          <w:szCs w:val="20"/>
        </w:rPr>
        <w:t>enmark</w:t>
      </w:r>
      <w:r w:rsidRPr="004C651D">
        <w:rPr>
          <w:szCs w:val="20"/>
        </w:rPr>
        <w:t xml:space="preserve"> </w:t>
      </w:r>
      <w:r w:rsidR="00E35D39" w:rsidRPr="004C651D">
        <w:rPr>
          <w:szCs w:val="20"/>
        </w:rPr>
        <w:t>considering the</w:t>
      </w:r>
      <w:r w:rsidRPr="004C651D">
        <w:rPr>
          <w:szCs w:val="20"/>
        </w:rPr>
        <w:t xml:space="preserve"> wind penetration ratio. This graph shows the share of combined cycle gas turbines (CCGTs), combined heat and power (CHP), pumped hydro storage mode (PHS), hydro power plants and interconnection between areas.</w:t>
      </w:r>
      <w:r w:rsidR="0061450F" w:rsidRPr="004C651D">
        <w:rPr>
          <w:szCs w:val="20"/>
        </w:rPr>
        <w:t xml:space="preserve"> The red line shows the maximum share of wind power</w:t>
      </w:r>
      <w:r w:rsidR="00C01706" w:rsidRPr="004C651D">
        <w:rPr>
          <w:szCs w:val="20"/>
        </w:rPr>
        <w:t xml:space="preserve"> </w:t>
      </w:r>
      <w:r w:rsidR="0061450F" w:rsidRPr="004C651D">
        <w:rPr>
          <w:szCs w:val="20"/>
        </w:rPr>
        <w:t>(red text) during one hour relative to demand</w:t>
      </w:r>
      <w:r w:rsidR="00C01706" w:rsidRPr="004C651D">
        <w:rPr>
          <w:szCs w:val="20"/>
        </w:rPr>
        <w:t>.</w:t>
      </w:r>
      <w:r w:rsidRPr="004C651D">
        <w:rPr>
          <w:szCs w:val="20"/>
        </w:rPr>
        <w:t xml:space="preserve"> </w:t>
      </w:r>
      <w:r w:rsidR="003A1E01" w:rsidRPr="004C651D">
        <w:rPr>
          <w:szCs w:val="20"/>
        </w:rPr>
        <w:t xml:space="preserve">The charts show in green the percentage of installed capacity of each potential source of flexibility relative to peak demand. </w:t>
      </w:r>
      <w:r w:rsidR="00F81A45" w:rsidRPr="004C651D">
        <w:rPr>
          <w:szCs w:val="20"/>
        </w:rPr>
        <w:t>For example, f</w:t>
      </w:r>
      <w:r w:rsidR="00883D5B" w:rsidRPr="004C651D">
        <w:rPr>
          <w:szCs w:val="20"/>
        </w:rPr>
        <w:t>igure 4 shows that both Eastern and Western Danish grids are heavily dependent to power transfer from interconnections. The Western system has a higher penetration ratio of wind and more flexibility from interconnection and CHP.</w:t>
      </w:r>
    </w:p>
    <w:p w14:paraId="728E4A51" w14:textId="2BEEC69C" w:rsidR="004D2F3A" w:rsidRPr="004C651D" w:rsidRDefault="00B51D32" w:rsidP="00BD45F6">
      <w:pPr>
        <w:rPr>
          <w:szCs w:val="20"/>
        </w:rPr>
      </w:pPr>
      <w:r w:rsidRPr="004C651D">
        <w:rPr>
          <w:szCs w:val="20"/>
        </w:rPr>
        <w:t xml:space="preserve">Although the flexibility chart can give non-technical readers a quick </w:t>
      </w:r>
      <w:r w:rsidR="006746B3" w:rsidRPr="004C651D">
        <w:rPr>
          <w:szCs w:val="20"/>
        </w:rPr>
        <w:t xml:space="preserve">comparison of countries and how much </w:t>
      </w:r>
      <w:r w:rsidR="00890439" w:rsidRPr="004C651D">
        <w:rPr>
          <w:szCs w:val="20"/>
        </w:rPr>
        <w:t>wind has been integrated in it,</w:t>
      </w:r>
      <w:r w:rsidR="00C63B9E" w:rsidRPr="004C651D">
        <w:rPr>
          <w:szCs w:val="20"/>
        </w:rPr>
        <w:t xml:space="preserve"> </w:t>
      </w:r>
      <w:r w:rsidR="006943B9" w:rsidRPr="004C651D">
        <w:rPr>
          <w:szCs w:val="20"/>
        </w:rPr>
        <w:t xml:space="preserve">it does not consider very important technical limitations regarding flexibility </w:t>
      </w:r>
      <w:r w:rsidR="00AD0464" w:rsidRPr="004C651D">
        <w:rPr>
          <w:szCs w:val="20"/>
        </w:rPr>
        <w:fldChar w:fldCharType="begin"/>
      </w:r>
      <w:r w:rsidR="004270B7">
        <w:rPr>
          <w:szCs w:val="20"/>
        </w:rPr>
        <w:instrText xml:space="preserve"> ADDIN EN.CITE &lt;EndNote&gt;&lt;Cite&gt;&lt;Author&gt;Cochran&lt;/Author&gt;&lt;Year&gt;2014&lt;/Year&gt;&lt;RecNum&gt;51&lt;/RecNum&gt;&lt;DisplayText&gt;[26]&lt;/DisplayText&gt;&lt;record&gt;&lt;rec-number&gt;51&lt;/rec-number&gt;&lt;foreign-keys&gt;&lt;key app="EN" db-id="dsezaaaxf5z9dte9xeovfea50xe9wdtdapd9" timestamp="1622904898"&gt;51&lt;/key&gt;&lt;/foreign-keys&gt;&lt;ref-type name="Report"&gt;27&lt;/ref-type&gt;&lt;contributors&gt;&lt;authors&gt;&lt;author&gt;Cochran, Jaquelin&lt;/author&gt;&lt;author&gt;Miller, Mackay&lt;/author&gt;&lt;author&gt;Zinaman, Owen&lt;/author&gt;&lt;author&gt;Milligan, Michael&lt;/author&gt;&lt;author&gt;Arent, Doug&lt;/author&gt;&lt;author&gt;Palmintier, Bryan&lt;/author&gt;&lt;author&gt;O&amp;apos;Malley, Mark&lt;/author&gt;&lt;author&gt;Mueller, Simon&lt;/author&gt;&lt;author&gt;Lannoye, Eamonn&lt;/author&gt;&lt;author&gt;Tuohy, Aidan&lt;/author&gt;&lt;/authors&gt;&lt;/contributors&gt;&lt;titles&gt;&lt;title&gt;Flexibility in 21st century power systems&lt;/title&gt;&lt;/titles&gt;&lt;dates&gt;&lt;year&gt;2014&lt;/year&gt;&lt;/dates&gt;&lt;publisher&gt;National Renewable Energy Lab.(NREL), Golden, CO (United States)&lt;/publisher&gt;&lt;urls&gt;&lt;/urls&gt;&lt;/record&gt;&lt;/Cite&gt;&lt;/EndNote&gt;</w:instrText>
      </w:r>
      <w:r w:rsidR="00AD0464" w:rsidRPr="004C651D">
        <w:rPr>
          <w:szCs w:val="20"/>
        </w:rPr>
        <w:fldChar w:fldCharType="separate"/>
      </w:r>
      <w:r w:rsidR="004270B7">
        <w:rPr>
          <w:noProof/>
          <w:szCs w:val="20"/>
        </w:rPr>
        <w:t>[26]</w:t>
      </w:r>
      <w:r w:rsidR="00AD0464" w:rsidRPr="004C651D">
        <w:rPr>
          <w:szCs w:val="20"/>
        </w:rPr>
        <w:fldChar w:fldCharType="end"/>
      </w:r>
      <w:r w:rsidR="006943B9" w:rsidRPr="004C651D">
        <w:rPr>
          <w:szCs w:val="20"/>
        </w:rPr>
        <w:t xml:space="preserve">. </w:t>
      </w:r>
      <w:r w:rsidR="00362AD6" w:rsidRPr="004C651D">
        <w:rPr>
          <w:szCs w:val="20"/>
        </w:rPr>
        <w:t xml:space="preserve">Flexibility chart shows only the installed capacity </w:t>
      </w:r>
      <w:r w:rsidR="00567F75" w:rsidRPr="004C651D">
        <w:rPr>
          <w:szCs w:val="20"/>
        </w:rPr>
        <w:t>which</w:t>
      </w:r>
      <w:r w:rsidR="00362AD6" w:rsidRPr="004C651D">
        <w:rPr>
          <w:szCs w:val="20"/>
        </w:rPr>
        <w:t xml:space="preserve"> is clearly not a proxy for </w:t>
      </w:r>
      <w:r w:rsidR="00567F75" w:rsidRPr="004C651D">
        <w:rPr>
          <w:szCs w:val="20"/>
        </w:rPr>
        <w:t>flexibility.</w:t>
      </w:r>
      <w:r w:rsidR="00AD0464" w:rsidRPr="004C651D">
        <w:rPr>
          <w:szCs w:val="20"/>
        </w:rPr>
        <w:t xml:space="preserve"> </w:t>
      </w:r>
      <w:r w:rsidR="00433354" w:rsidRPr="004C651D">
        <w:rPr>
          <w:szCs w:val="20"/>
        </w:rPr>
        <w:t xml:space="preserve">Operational limitations can restrict </w:t>
      </w:r>
      <w:r w:rsidR="00C77270" w:rsidRPr="004C651D">
        <w:rPr>
          <w:szCs w:val="20"/>
        </w:rPr>
        <w:t>access to the available flexibility</w:t>
      </w:r>
      <w:r w:rsidR="00433354" w:rsidRPr="004C651D">
        <w:rPr>
          <w:szCs w:val="20"/>
        </w:rPr>
        <w:t xml:space="preserve">. For example, </w:t>
      </w:r>
      <w:r w:rsidR="00ED6DD7" w:rsidRPr="004C651D">
        <w:rPr>
          <w:szCs w:val="20"/>
        </w:rPr>
        <w:t xml:space="preserve">what about the case that the pumped-hydro is full and cannot </w:t>
      </w:r>
      <w:r w:rsidR="00D04F56" w:rsidRPr="004C651D">
        <w:rPr>
          <w:szCs w:val="20"/>
        </w:rPr>
        <w:t>absorb electricity surplus generated by VRE</w:t>
      </w:r>
      <w:r w:rsidR="00883D5B" w:rsidRPr="004C651D">
        <w:rPr>
          <w:szCs w:val="20"/>
        </w:rPr>
        <w:t>?</w:t>
      </w:r>
      <w:r w:rsidR="00890439" w:rsidRPr="004C651D">
        <w:rPr>
          <w:szCs w:val="20"/>
        </w:rPr>
        <w:t xml:space="preserve"> </w:t>
      </w:r>
      <w:r w:rsidR="004D2F3A" w:rsidRPr="004C651D">
        <w:rPr>
          <w:szCs w:val="20"/>
        </w:rPr>
        <w:t xml:space="preserve">This flexibility graph is </w:t>
      </w:r>
      <w:r w:rsidR="00712078" w:rsidRPr="004C651D">
        <w:rPr>
          <w:szCs w:val="20"/>
        </w:rPr>
        <w:t>useful</w:t>
      </w:r>
      <w:r w:rsidR="004D2F3A" w:rsidRPr="004C651D">
        <w:rPr>
          <w:szCs w:val="20"/>
        </w:rPr>
        <w:t xml:space="preserve"> in medium to long term flexibility assessment in a grid.</w:t>
      </w:r>
      <w:r w:rsidR="00470F40" w:rsidRPr="004C651D">
        <w:rPr>
          <w:szCs w:val="20"/>
        </w:rPr>
        <w:t xml:space="preserve"> </w:t>
      </w:r>
      <w:r w:rsidR="00575F78" w:rsidRPr="004C651D">
        <w:rPr>
          <w:szCs w:val="20"/>
        </w:rPr>
        <w:t xml:space="preserve">GIVAR III is also another flexibility visualisation tool which </w:t>
      </w:r>
      <w:r w:rsidR="00334D87" w:rsidRPr="004C651D">
        <w:rPr>
          <w:szCs w:val="20"/>
        </w:rPr>
        <w:t xml:space="preserve">considers more operational features of the grid comparing to </w:t>
      </w:r>
      <w:r w:rsidR="00C31A3D" w:rsidRPr="004C651D">
        <w:rPr>
          <w:szCs w:val="20"/>
        </w:rPr>
        <w:t xml:space="preserve">the flexibility chart. </w:t>
      </w:r>
      <w:r w:rsidR="006449B0" w:rsidRPr="004C651D">
        <w:rPr>
          <w:szCs w:val="20"/>
        </w:rPr>
        <w:t>It considers</w:t>
      </w:r>
      <w:r w:rsidR="00C31A3D" w:rsidRPr="004C651D">
        <w:rPr>
          <w:szCs w:val="20"/>
        </w:rPr>
        <w:t xml:space="preserve"> power area size, grid strength, interconnection, number of power markets, and flexibility of dispatchable generation portfolio serve as proxies for flexibility</w:t>
      </w:r>
      <w:r w:rsidR="006449B0" w:rsidRPr="004C651D">
        <w:rPr>
          <w:szCs w:val="20"/>
        </w:rPr>
        <w:t xml:space="preserve"> </w:t>
      </w:r>
      <w:r w:rsidR="008E74CA" w:rsidRPr="004C651D">
        <w:rPr>
          <w:szCs w:val="20"/>
        </w:rPr>
        <w:fldChar w:fldCharType="begin"/>
      </w:r>
      <w:r w:rsidR="004270B7">
        <w:rPr>
          <w:szCs w:val="20"/>
        </w:rPr>
        <w:instrText xml:space="preserve"> ADDIN EN.CITE &lt;EndNote&gt;&lt;Cite&gt;&lt;Year&gt;2014&lt;/Year&gt;&lt;RecNum&gt;313&lt;/RecNum&gt;&lt;DisplayText&gt;[29]&lt;/DisplayText&gt;&lt;record&gt;&lt;rec-number&gt;313&lt;/rec-number&gt;&lt;foreign-keys&gt;&lt;key app="EN" db-id="dsezaaaxf5z9dte9xeovfea50xe9wdtdapd9" timestamp="1630381970"&gt;313&lt;/key&gt;&lt;/foreign-keys&gt;&lt;ref-type name="Report"&gt;27&lt;/ref-type&gt;&lt;contributors&gt;&lt;/contributors&gt;&lt;titles&gt;&lt;title&gt;The power of transformation&lt;/title&gt;&lt;/titles&gt;&lt;dates&gt;&lt;year&gt;2014&lt;/year&gt;&lt;/dates&gt;&lt;publisher&gt;International Energy Agency&lt;/publisher&gt;&lt;urls&gt;&lt;/urls&gt;&lt;/record&gt;&lt;/Cite&gt;&lt;/EndNote&gt;</w:instrText>
      </w:r>
      <w:r w:rsidR="008E74CA" w:rsidRPr="004C651D">
        <w:rPr>
          <w:szCs w:val="20"/>
        </w:rPr>
        <w:fldChar w:fldCharType="separate"/>
      </w:r>
      <w:r w:rsidR="004270B7">
        <w:rPr>
          <w:noProof/>
          <w:szCs w:val="20"/>
        </w:rPr>
        <w:t>[29]</w:t>
      </w:r>
      <w:r w:rsidR="008E74CA" w:rsidRPr="004C651D">
        <w:rPr>
          <w:szCs w:val="20"/>
        </w:rPr>
        <w:fldChar w:fldCharType="end"/>
      </w:r>
      <w:r w:rsidR="00C31A3D" w:rsidRPr="004C651D">
        <w:rPr>
          <w:szCs w:val="20"/>
        </w:rPr>
        <w:t xml:space="preserve">. </w:t>
      </w:r>
      <w:r w:rsidR="00D35D4A" w:rsidRPr="004C651D">
        <w:rPr>
          <w:szCs w:val="20"/>
        </w:rPr>
        <w:t>T</w:t>
      </w:r>
      <w:r w:rsidR="001C6CEB" w:rsidRPr="004C651D">
        <w:rPr>
          <w:szCs w:val="20"/>
        </w:rPr>
        <w:t xml:space="preserve">hese visuals </w:t>
      </w:r>
      <w:r w:rsidR="009C6E26" w:rsidRPr="004C651D">
        <w:rPr>
          <w:szCs w:val="20"/>
        </w:rPr>
        <w:t xml:space="preserve">can </w:t>
      </w:r>
      <w:r w:rsidR="001C6CEB" w:rsidRPr="004C651D">
        <w:rPr>
          <w:szCs w:val="20"/>
        </w:rPr>
        <w:t>provide enough information to talk with non-technical audiences</w:t>
      </w:r>
      <w:r w:rsidR="00D35D4A" w:rsidRPr="004C651D">
        <w:rPr>
          <w:szCs w:val="20"/>
        </w:rPr>
        <w:t xml:space="preserve"> (such as politicians and policy makers)</w:t>
      </w:r>
      <w:r w:rsidR="001C6CEB" w:rsidRPr="004C651D">
        <w:rPr>
          <w:szCs w:val="20"/>
        </w:rPr>
        <w:t xml:space="preserve">. </w:t>
      </w:r>
    </w:p>
    <w:p w14:paraId="374A33AF" w14:textId="34AD8CED" w:rsidR="00BD45F6" w:rsidRPr="004C651D" w:rsidRDefault="00BD45F6" w:rsidP="00BD45F6">
      <w:pPr>
        <w:rPr>
          <w:szCs w:val="20"/>
        </w:rPr>
      </w:pPr>
      <w:r w:rsidRPr="004C651D">
        <w:rPr>
          <w:szCs w:val="20"/>
        </w:rPr>
        <w:t>In terms of the Australian network, the flexibility chart could be augmented to accommodate the battery storage systems, open-cycle gas turbines, pump-hydro plants, hydrogen-electrolyser and demand-side technologies.</w:t>
      </w:r>
    </w:p>
    <w:p w14:paraId="57C5F957" w14:textId="5AB4ADAB" w:rsidR="004D2F3A" w:rsidRDefault="008E75CD" w:rsidP="004D2F3A">
      <w:pPr>
        <w:jc w:val="center"/>
      </w:pPr>
      <w:r>
        <w:rPr>
          <w:noProof/>
        </w:rPr>
        <w:drawing>
          <wp:inline distT="0" distB="0" distL="0" distR="0" wp14:anchorId="60776CBC" wp14:editId="5FB9B89D">
            <wp:extent cx="5731510" cy="3755390"/>
            <wp:effectExtent l="0" t="0" r="2540" b="0"/>
            <wp:docPr id="7" name="Picture 7" descr="Flexibility charts show that the power grid of Portugal with 47.3% wind penetration mainly depends on Hydro and CCGT generation units while for Denmark with 65.1% wind penetration, CHP and interconnection power exchange play more important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lexibility charts show that the power grid of Portugal with 47.3% wind penetration mainly depends on Hydro and CCGT generation units while for Denmark with 65.1% wind penetration, CHP and interconnection power exchange play more important roles."/>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3755390"/>
                    </a:xfrm>
                    <a:prstGeom prst="rect">
                      <a:avLst/>
                    </a:prstGeom>
                  </pic:spPr>
                </pic:pic>
              </a:graphicData>
            </a:graphic>
          </wp:inline>
        </w:drawing>
      </w:r>
    </w:p>
    <w:p w14:paraId="60FB5871" w14:textId="572C1869" w:rsidR="004D2F3A" w:rsidRPr="006F69E3" w:rsidRDefault="004D2F3A" w:rsidP="006F69E3">
      <w:pPr>
        <w:pStyle w:val="FigureCaption"/>
        <w:rPr>
          <w:vanish/>
          <w:specVanish/>
        </w:rPr>
      </w:pPr>
      <w:bookmarkStart w:id="16" w:name="_Toc81571322"/>
      <w:r w:rsidRPr="0053142B">
        <w:t>Fig</w:t>
      </w:r>
      <w:r w:rsidR="0053142B" w:rsidRPr="0053142B">
        <w:t>ure</w:t>
      </w:r>
      <w:r w:rsidRPr="0053142B">
        <w:t xml:space="preserve"> </w:t>
      </w:r>
      <w:r w:rsidR="0053142B" w:rsidRPr="0053142B">
        <w:t>4</w:t>
      </w:r>
      <w:r w:rsidRPr="0053142B">
        <w:t xml:space="preserve">. </w:t>
      </w:r>
      <w:r w:rsidR="00237486">
        <w:t>F</w:t>
      </w:r>
      <w:r w:rsidRPr="0053142B">
        <w:t>lexibility charts with wind penetration ratio.</w:t>
      </w:r>
      <w:bookmarkEnd w:id="16"/>
    </w:p>
    <w:p w14:paraId="6D9FA4BA" w14:textId="3F9673E1" w:rsidR="00364A9D" w:rsidRPr="0053142B" w:rsidRDefault="006F69E3" w:rsidP="006F69E3">
      <w:pPr>
        <w:pStyle w:val="FigureCapext"/>
      </w:pPr>
      <w:r>
        <w:t xml:space="preserve"> </w:t>
      </w:r>
      <w:r w:rsidRPr="0053142B">
        <w:fldChar w:fldCharType="begin"/>
      </w:r>
      <w:r w:rsidR="004270B7">
        <w:instrText xml:space="preserve"> ADDIN EN.CITE &lt;EndNote&gt;&lt;Cite&gt;&lt;Author&gt;Yasuda&lt;/Author&gt;&lt;Year&gt;2013&lt;/Year&gt;&lt;RecNum&gt;39&lt;/RecNum&gt;&lt;DisplayText&gt;[26, 28]&lt;/DisplayText&gt;&lt;record&gt;&lt;rec-number&gt;39&lt;/rec-number&gt;&lt;foreign-keys&gt;&lt;key app="EN" db-id="dsezaaaxf5z9dte9xeovfea50xe9wdtdapd9" timestamp="1622160263"&gt;39&lt;/key&gt;&lt;/foreign-keys&gt;&lt;ref-type name="Conference Proceedings"&gt;10&lt;/ref-type&gt;&lt;contributors&gt;&lt;authors&gt;&lt;author&gt;Yasuda, Yoh&lt;/author&gt;&lt;author&gt;Årdal, Atle Rygg&lt;/author&gt;&lt;author&gt;Huertas-Hernando, Daniel&lt;/author&gt;&lt;author&gt;Carlini, Enrico Maria&lt;/author&gt;&lt;author&gt;Estanqueiro, Ana&lt;/author&gt;&lt;author&gt;Flynn, Damian&lt;/author&gt;&lt;author&gt;Gomez-Lazaro, Emilio&lt;/author&gt;&lt;author&gt;Holttinen, Hannele&lt;/author&gt;&lt;author&gt;Kiviluoma, Juha&lt;/author&gt;&lt;author&gt;Van Hulle, Frans&lt;/author&gt;&lt;/authors&gt;&lt;/contributors&gt;&lt;titles&gt;&lt;title&gt;Flexibility chart: Evaluation on diversity of flexibility in various areas&lt;/title&gt;&lt;secondary-title&gt;12th International Workshop on Large-Scale Integration of Wind Power into Power Systems as well as on Transmission Networks for Offshore Wind Farms, WIW13&lt;/secondary-title&gt;&lt;/titles&gt;&lt;dates&gt;&lt;year&gt;2013&lt;/year&gt;&lt;/dates&gt;&lt;publisher&gt;Energynautics GmbH&lt;/publisher&gt;&lt;urls&gt;&lt;/urls&gt;&lt;/record&gt;&lt;/Cite&gt;&lt;Cite&gt;&lt;Author&gt;Cochran&lt;/Author&gt;&lt;Year&gt;2014&lt;/Year&gt;&lt;RecNum&gt;51&lt;/RecNum&gt;&lt;record&gt;&lt;rec-number&gt;51&lt;/rec-number&gt;&lt;foreign-keys&gt;&lt;key app="EN" db-id="dsezaaaxf5z9dte9xeovfea50xe9wdtdapd9" timestamp="1622904898"&gt;51&lt;/key&gt;&lt;/foreign-keys&gt;&lt;ref-type name="Report"&gt;27&lt;/ref-type&gt;&lt;contributors&gt;&lt;authors&gt;&lt;author&gt;Cochran, Jaquelin&lt;/author&gt;&lt;author&gt;Miller, Mackay&lt;/author&gt;&lt;author&gt;Zinaman, Owen&lt;/author&gt;&lt;author&gt;Milligan, Michael&lt;/author&gt;&lt;author&gt;Arent, Doug&lt;/author&gt;&lt;author&gt;Palmintier, Bryan&lt;/author&gt;&lt;author&gt;O&amp;apos;Malley, Mark&lt;/author&gt;&lt;author&gt;Mueller, Simon&lt;/author&gt;&lt;author&gt;Lannoye, Eamonn&lt;/author&gt;&lt;author&gt;Tuohy, Aidan&lt;/author&gt;&lt;/authors&gt;&lt;/contributors&gt;&lt;titles&gt;&lt;title&gt;Flexibility in 21st century power systems&lt;/title&gt;&lt;/titles&gt;&lt;dates&gt;&lt;year&gt;2014&lt;/year&gt;&lt;/dates&gt;&lt;publisher&gt;National Renewable Energy Lab.(NREL), Golden, CO (United States)&lt;/publisher&gt;&lt;urls&gt;&lt;/urls&gt;&lt;/record&gt;&lt;/Cite&gt;&lt;/EndNote&gt;</w:instrText>
      </w:r>
      <w:r w:rsidRPr="0053142B">
        <w:fldChar w:fldCharType="separate"/>
      </w:r>
      <w:r w:rsidR="004270B7">
        <w:t>[26, 28]</w:t>
      </w:r>
      <w:r w:rsidRPr="0053142B">
        <w:fldChar w:fldCharType="end"/>
      </w:r>
    </w:p>
    <w:p w14:paraId="644798BD" w14:textId="3BAB3FC2" w:rsidR="0044217A" w:rsidRPr="004C651D" w:rsidRDefault="004D2F3A" w:rsidP="004D2F3A">
      <w:pPr>
        <w:rPr>
          <w:szCs w:val="20"/>
        </w:rPr>
      </w:pPr>
      <w:r w:rsidRPr="004C651D">
        <w:rPr>
          <w:szCs w:val="20"/>
        </w:rPr>
        <w:t xml:space="preserve">b) </w:t>
      </w:r>
      <w:r w:rsidRPr="004C651D">
        <w:rPr>
          <w:i/>
          <w:szCs w:val="20"/>
        </w:rPr>
        <w:t>Flexibility measures</w:t>
      </w:r>
      <w:r w:rsidRPr="004C651D">
        <w:rPr>
          <w:szCs w:val="20"/>
        </w:rPr>
        <w:t xml:space="preserve">: </w:t>
      </w:r>
      <w:r w:rsidR="005A2C84" w:rsidRPr="004C651D">
        <w:rPr>
          <w:szCs w:val="20"/>
        </w:rPr>
        <w:t>flexibility</w:t>
      </w:r>
      <w:r w:rsidRPr="004C651D">
        <w:rPr>
          <w:szCs w:val="20"/>
        </w:rPr>
        <w:t xml:space="preserve"> measures </w:t>
      </w:r>
      <w:r w:rsidR="005A2C84" w:rsidRPr="004C651D">
        <w:rPr>
          <w:szCs w:val="20"/>
        </w:rPr>
        <w:t xml:space="preserve">can be categorised </w:t>
      </w:r>
      <w:r w:rsidR="008964AC">
        <w:rPr>
          <w:szCs w:val="20"/>
        </w:rPr>
        <w:t>as</w:t>
      </w:r>
      <w:r w:rsidR="008964AC" w:rsidRPr="004C651D">
        <w:rPr>
          <w:szCs w:val="20"/>
        </w:rPr>
        <w:t xml:space="preserve"> </w:t>
      </w:r>
      <w:r w:rsidRPr="004C651D">
        <w:rPr>
          <w:szCs w:val="20"/>
        </w:rPr>
        <w:t xml:space="preserve">probabilistic and deterministic. Insufficient Ramping Resource Expectation (IRRE) </w:t>
      </w:r>
      <w:r w:rsidRPr="004C651D">
        <w:rPr>
          <w:szCs w:val="20"/>
        </w:rPr>
        <w:fldChar w:fldCharType="begin"/>
      </w:r>
      <w:r w:rsidR="004270B7">
        <w:rPr>
          <w:szCs w:val="20"/>
        </w:rPr>
        <w:instrText xml:space="preserve"> ADDIN EN.CITE &lt;EndNote&gt;&lt;Cite&gt;&lt;Author&gt;Lannoye&lt;/Author&gt;&lt;Year&gt;2012&lt;/Year&gt;&lt;RecNum&gt;40&lt;/RecNum&gt;&lt;DisplayText&gt;[30]&lt;/DisplayText&gt;&lt;record&gt;&lt;rec-number&gt;40&lt;/rec-number&gt;&lt;foreign-keys&gt;&lt;key app="EN" db-id="dsezaaaxf5z9dte9xeovfea50xe9wdtdapd9" timestamp="1622165738"&gt;40&lt;/key&gt;&lt;key app="ENWeb" db-id=""&gt;0&lt;/key&gt;&lt;/foreign-keys&gt;&lt;ref-type name="Journal Article"&gt;17&lt;/ref-type&gt;&lt;contributors&gt;&lt;authors&gt;&lt;author&gt;Lannoye, Eamonn&lt;/author&gt;&lt;author&gt;Flynn, Damian&lt;/author&gt;&lt;author&gt;O&amp;apos;Malley, Mark&lt;/author&gt;&lt;/authors&gt;&lt;/contributors&gt;&lt;titles&gt;&lt;title&gt;Evaluation of Power System Flexibility&lt;/title&gt;&lt;secondary-title&gt;IEEE Transactions on Power Systems&lt;/secondary-title&gt;&lt;/titles&gt;&lt;periodical&gt;&lt;full-title&gt;IEEE Transactions on Power Systems&lt;/full-title&gt;&lt;/periodical&gt;&lt;pages&gt;922-931&lt;/pages&gt;&lt;volume&gt;27&lt;/volume&gt;&lt;number&gt;2&lt;/number&gt;&lt;section&gt;922&lt;/section&gt;&lt;dates&gt;&lt;year&gt;2012&lt;/year&gt;&lt;/dates&gt;&lt;isbn&gt;0885-8950&amp;#xD;1558-0679&lt;/isbn&gt;&lt;urls&gt;&lt;/urls&gt;&lt;electronic-resource-num&gt;10.1109/tpwrs.2011.2177280&lt;/electronic-resource-num&gt;&lt;/record&gt;&lt;/Cite&gt;&lt;/EndNote&gt;</w:instrText>
      </w:r>
      <w:r w:rsidRPr="004C651D">
        <w:rPr>
          <w:szCs w:val="20"/>
        </w:rPr>
        <w:fldChar w:fldCharType="separate"/>
      </w:r>
      <w:r w:rsidR="004270B7">
        <w:rPr>
          <w:noProof/>
          <w:szCs w:val="20"/>
        </w:rPr>
        <w:t>[30]</w:t>
      </w:r>
      <w:r w:rsidRPr="004C651D">
        <w:rPr>
          <w:szCs w:val="20"/>
        </w:rPr>
        <w:fldChar w:fldCharType="end"/>
      </w:r>
      <w:r w:rsidRPr="004C651D">
        <w:rPr>
          <w:szCs w:val="20"/>
        </w:rPr>
        <w:t xml:space="preserve"> is a probabilistic metric for long-term assessment. It considers the ramp-up rate for each generator as well as the flexibility probability distribution function during time intervals. The IRRE of the grid is finally achieved by adding the flexibility </w:t>
      </w:r>
      <w:r w:rsidRPr="004C651D">
        <w:rPr>
          <w:szCs w:val="20"/>
        </w:rPr>
        <w:lastRenderedPageBreak/>
        <w:t xml:space="preserve">calculated for each generation unit. Another flexibility metric, called Normalised Flexibility Index (NFI) </w:t>
      </w:r>
      <w:r w:rsidRPr="004C651D">
        <w:rPr>
          <w:szCs w:val="20"/>
        </w:rPr>
        <w:fldChar w:fldCharType="begin"/>
      </w:r>
      <w:r w:rsidR="004270B7">
        <w:rPr>
          <w:szCs w:val="20"/>
        </w:rPr>
        <w:instrText xml:space="preserve"> ADDIN EN.CITE &lt;EndNote&gt;&lt;Cite&gt;&lt;Author&gt;Ma&lt;/Author&gt;&lt;Year&gt;2012&lt;/Year&gt;&lt;RecNum&gt;41&lt;/RecNum&gt;&lt;DisplayText&gt;[31]&lt;/DisplayText&gt;&lt;record&gt;&lt;rec-number&gt;41&lt;/rec-number&gt;&lt;foreign-keys&gt;&lt;key app="EN" db-id="dsezaaaxf5z9dte9xeovfea50xe9wdtdapd9" timestamp="1622165843"&gt;41&lt;/key&gt;&lt;/foreign-keys&gt;&lt;ref-type name="Thesis"&gt;32&lt;/ref-type&gt;&lt;contributors&gt;&lt;authors&gt;&lt;author&gt;Ma, Juan&lt;/author&gt;&lt;/authors&gt;&lt;/contributors&gt;&lt;titles&gt;&lt;title&gt;Evaluating and planning flexibility in a sustainable power system with large wind penetration&lt;/title&gt;&lt;/titles&gt;&lt;dates&gt;&lt;year&gt;2012&lt;/year&gt;&lt;/dates&gt;&lt;publisher&gt;The University of Manchester (United Kingdom)&lt;/publisher&gt;&lt;urls&gt;&lt;/urls&gt;&lt;/record&gt;&lt;/Cite&gt;&lt;/EndNote&gt;</w:instrText>
      </w:r>
      <w:r w:rsidRPr="004C651D">
        <w:rPr>
          <w:szCs w:val="20"/>
        </w:rPr>
        <w:fldChar w:fldCharType="separate"/>
      </w:r>
      <w:r w:rsidR="004270B7">
        <w:rPr>
          <w:noProof/>
          <w:szCs w:val="20"/>
        </w:rPr>
        <w:t>[31]</w:t>
      </w:r>
      <w:r w:rsidRPr="004C651D">
        <w:rPr>
          <w:szCs w:val="20"/>
        </w:rPr>
        <w:fldChar w:fldCharType="end"/>
      </w:r>
      <w:r w:rsidRPr="004C651D">
        <w:rPr>
          <w:szCs w:val="20"/>
        </w:rPr>
        <w:t xml:space="preserve">, belongs to non-probabilistic category. It again uses the flexibility level of each generation unit to evaluate flexibility of the </w:t>
      </w:r>
      <w:r w:rsidR="00A66DCB" w:rsidRPr="004C651D">
        <w:rPr>
          <w:szCs w:val="20"/>
        </w:rPr>
        <w:t xml:space="preserve">entire power </w:t>
      </w:r>
      <w:r w:rsidRPr="004C651D">
        <w:rPr>
          <w:szCs w:val="20"/>
        </w:rPr>
        <w:t>grid. However, despite IREE, NFI focuses on ramp-up</w:t>
      </w:r>
      <w:r w:rsidR="00376AAF" w:rsidRPr="004C651D">
        <w:rPr>
          <w:szCs w:val="20"/>
        </w:rPr>
        <w:t>/</w:t>
      </w:r>
      <w:r w:rsidRPr="004C651D">
        <w:rPr>
          <w:szCs w:val="20"/>
        </w:rPr>
        <w:t>ramp-down rate</w:t>
      </w:r>
      <w:r w:rsidR="00376AAF" w:rsidRPr="004C651D">
        <w:rPr>
          <w:szCs w:val="20"/>
        </w:rPr>
        <w:t>s</w:t>
      </w:r>
      <w:r w:rsidRPr="004C651D">
        <w:rPr>
          <w:szCs w:val="20"/>
        </w:rPr>
        <w:t xml:space="preserve"> and spare capacity of each generation unit.</w:t>
      </w:r>
      <w:r w:rsidR="00483B75" w:rsidRPr="004C651D">
        <w:rPr>
          <w:szCs w:val="20"/>
        </w:rPr>
        <w:t xml:space="preserve"> </w:t>
      </w:r>
    </w:p>
    <w:p w14:paraId="15CECB61" w14:textId="05CA9D03" w:rsidR="0044217A" w:rsidRPr="004C651D" w:rsidRDefault="0044217A" w:rsidP="004D2F3A">
      <w:pPr>
        <w:rPr>
          <w:szCs w:val="20"/>
        </w:rPr>
      </w:pPr>
      <w:r w:rsidRPr="004C651D">
        <w:rPr>
          <w:szCs w:val="20"/>
        </w:rPr>
        <w:t xml:space="preserve">In addition, </w:t>
      </w:r>
      <w:r w:rsidR="00B3096D" w:rsidRPr="004C651D">
        <w:rPr>
          <w:szCs w:val="20"/>
        </w:rPr>
        <w:t>flexibility measures based on time-series data can provide a</w:t>
      </w:r>
      <w:r w:rsidR="00AA3381" w:rsidRPr="004C651D">
        <w:rPr>
          <w:szCs w:val="20"/>
        </w:rPr>
        <w:t xml:space="preserve"> </w:t>
      </w:r>
      <w:r w:rsidR="00511417" w:rsidRPr="004C651D">
        <w:rPr>
          <w:szCs w:val="20"/>
        </w:rPr>
        <w:t>p</w:t>
      </w:r>
      <w:r w:rsidR="00AA3381" w:rsidRPr="004C651D">
        <w:rPr>
          <w:szCs w:val="20"/>
        </w:rPr>
        <w:t>ractical</w:t>
      </w:r>
      <w:r w:rsidR="00511417" w:rsidRPr="004C651D">
        <w:rPr>
          <w:szCs w:val="20"/>
        </w:rPr>
        <w:t xml:space="preserve"> and precise</w:t>
      </w:r>
      <w:r w:rsidR="00B3096D" w:rsidRPr="004C651D">
        <w:rPr>
          <w:szCs w:val="20"/>
        </w:rPr>
        <w:t xml:space="preserve"> time-specific quality of flexibility</w:t>
      </w:r>
      <w:r w:rsidR="00AA3381" w:rsidRPr="004C651D">
        <w:rPr>
          <w:szCs w:val="20"/>
        </w:rPr>
        <w:t>. For example, the flexibility assessment tool proposed in</w:t>
      </w:r>
      <w:r w:rsidR="009F1679" w:rsidRPr="004C651D">
        <w:rPr>
          <w:szCs w:val="20"/>
        </w:rPr>
        <w:t xml:space="preserve"> </w:t>
      </w:r>
      <w:r w:rsidR="005677F4" w:rsidRPr="004C651D">
        <w:rPr>
          <w:szCs w:val="20"/>
        </w:rPr>
        <w:fldChar w:fldCharType="begin"/>
      </w:r>
      <w:r w:rsidR="004270B7">
        <w:rPr>
          <w:szCs w:val="20"/>
        </w:rPr>
        <w:instrText xml:space="preserve"> ADDIN EN.CITE &lt;EndNote&gt;&lt;Cite&gt;&lt;Year&gt;2014&lt;/Year&gt;&lt;RecNum&gt;313&lt;/RecNum&gt;&lt;DisplayText&gt;[29]&lt;/DisplayText&gt;&lt;record&gt;&lt;rec-number&gt;313&lt;/rec-number&gt;&lt;foreign-keys&gt;&lt;key app="EN" db-id="dsezaaaxf5z9dte9xeovfea50xe9wdtdapd9" timestamp="1630381970"&gt;313&lt;/key&gt;&lt;/foreign-keys&gt;&lt;ref-type name="Report"&gt;27&lt;/ref-type&gt;&lt;contributors&gt;&lt;/contributors&gt;&lt;titles&gt;&lt;title&gt;The power of transformation&lt;/title&gt;&lt;/titles&gt;&lt;dates&gt;&lt;year&gt;2014&lt;/year&gt;&lt;/dates&gt;&lt;publisher&gt;International Energy Agency&lt;/publisher&gt;&lt;urls&gt;&lt;/urls&gt;&lt;/record&gt;&lt;/Cite&gt;&lt;/EndNote&gt;</w:instrText>
      </w:r>
      <w:r w:rsidR="005677F4" w:rsidRPr="004C651D">
        <w:rPr>
          <w:szCs w:val="20"/>
        </w:rPr>
        <w:fldChar w:fldCharType="separate"/>
      </w:r>
      <w:r w:rsidR="004270B7">
        <w:rPr>
          <w:noProof/>
          <w:szCs w:val="20"/>
        </w:rPr>
        <w:t>[29]</w:t>
      </w:r>
      <w:r w:rsidR="005677F4" w:rsidRPr="004C651D">
        <w:rPr>
          <w:szCs w:val="20"/>
        </w:rPr>
        <w:fldChar w:fldCharType="end"/>
      </w:r>
      <w:r w:rsidR="005677F4" w:rsidRPr="004C651D">
        <w:rPr>
          <w:szCs w:val="20"/>
        </w:rPr>
        <w:t xml:space="preserve"> measures</w:t>
      </w:r>
      <w:r w:rsidR="00AA3381" w:rsidRPr="004C651D">
        <w:rPr>
          <w:szCs w:val="20"/>
        </w:rPr>
        <w:t xml:space="preserve"> </w:t>
      </w:r>
      <w:r w:rsidR="005677F4" w:rsidRPr="004C651D">
        <w:rPr>
          <w:szCs w:val="20"/>
        </w:rPr>
        <w:t>the m</w:t>
      </w:r>
      <w:r w:rsidR="009F1679" w:rsidRPr="004C651D">
        <w:rPr>
          <w:szCs w:val="20"/>
        </w:rPr>
        <w:t>aximum upward or downward change in the supply/demand balance that a power system is capable of meeting over a given time horizon and a given initial operating state (i.e., operation level of different power plants).</w:t>
      </w:r>
      <w:r w:rsidR="00BF6FDF" w:rsidRPr="004C651D">
        <w:rPr>
          <w:szCs w:val="20"/>
        </w:rPr>
        <w:t xml:space="preserve"> Th</w:t>
      </w:r>
      <w:r w:rsidR="00CC63D8" w:rsidRPr="004C651D">
        <w:rPr>
          <w:szCs w:val="20"/>
        </w:rPr>
        <w:t>e</w:t>
      </w:r>
      <w:r w:rsidR="00BF6FDF" w:rsidRPr="004C651D">
        <w:rPr>
          <w:szCs w:val="20"/>
        </w:rPr>
        <w:t>s</w:t>
      </w:r>
      <w:r w:rsidR="00CC63D8" w:rsidRPr="004C651D">
        <w:rPr>
          <w:szCs w:val="20"/>
        </w:rPr>
        <w:t>e</w:t>
      </w:r>
      <w:r w:rsidR="00BF6FDF" w:rsidRPr="004C651D">
        <w:rPr>
          <w:szCs w:val="20"/>
        </w:rPr>
        <w:t xml:space="preserve"> methods</w:t>
      </w:r>
      <w:r w:rsidR="00511417" w:rsidRPr="004C651D">
        <w:rPr>
          <w:szCs w:val="20"/>
        </w:rPr>
        <w:t xml:space="preserve"> require several data resources </w:t>
      </w:r>
      <w:r w:rsidR="00F77780" w:rsidRPr="004C651D">
        <w:rPr>
          <w:szCs w:val="20"/>
        </w:rPr>
        <w:t>such as</w:t>
      </w:r>
      <w:r w:rsidR="00511417" w:rsidRPr="004C651D">
        <w:rPr>
          <w:szCs w:val="20"/>
        </w:rPr>
        <w:t xml:space="preserve"> hourly time-scales of wind and solar over a year, </w:t>
      </w:r>
      <w:r w:rsidR="00C10B98" w:rsidRPr="004C651D">
        <w:rPr>
          <w:szCs w:val="20"/>
        </w:rPr>
        <w:t>ramp rate capability and minimum load of conventional power plants,</w:t>
      </w:r>
      <w:r w:rsidR="00F77780" w:rsidRPr="004C651D">
        <w:rPr>
          <w:szCs w:val="20"/>
        </w:rPr>
        <w:t xml:space="preserve"> and interconnection information.</w:t>
      </w:r>
      <w:r w:rsidR="00C10B98" w:rsidRPr="004C651D">
        <w:rPr>
          <w:szCs w:val="20"/>
        </w:rPr>
        <w:t xml:space="preserve"> </w:t>
      </w:r>
    </w:p>
    <w:p w14:paraId="257CDF16" w14:textId="7FB149AF" w:rsidR="004D2F3A" w:rsidRPr="004C651D" w:rsidRDefault="00F77780" w:rsidP="004D2F3A">
      <w:pPr>
        <w:rPr>
          <w:szCs w:val="20"/>
        </w:rPr>
      </w:pPr>
      <w:r w:rsidRPr="004C651D">
        <w:rPr>
          <w:szCs w:val="20"/>
        </w:rPr>
        <w:t>In general, t</w:t>
      </w:r>
      <w:r w:rsidR="00F45482" w:rsidRPr="004C651D">
        <w:rPr>
          <w:szCs w:val="20"/>
        </w:rPr>
        <w:t>he</w:t>
      </w:r>
      <w:r w:rsidR="00483B75" w:rsidRPr="004C651D">
        <w:rPr>
          <w:szCs w:val="20"/>
        </w:rPr>
        <w:t xml:space="preserve"> NEM flexibility</w:t>
      </w:r>
      <w:r w:rsidR="00F45482" w:rsidRPr="004C651D">
        <w:rPr>
          <w:szCs w:val="20"/>
        </w:rPr>
        <w:t xml:space="preserve"> study using these measures</w:t>
      </w:r>
      <w:r w:rsidR="00483B75" w:rsidRPr="004C651D">
        <w:rPr>
          <w:szCs w:val="20"/>
        </w:rPr>
        <w:t xml:space="preserve"> c</w:t>
      </w:r>
      <w:r w:rsidR="00820D2C" w:rsidRPr="004C651D">
        <w:rPr>
          <w:szCs w:val="20"/>
        </w:rPr>
        <w:t>onsidering operational information of generation units</w:t>
      </w:r>
      <w:r w:rsidR="00B821CC" w:rsidRPr="004C651D">
        <w:rPr>
          <w:szCs w:val="20"/>
        </w:rPr>
        <w:t>,</w:t>
      </w:r>
      <w:r w:rsidR="00820D2C" w:rsidRPr="004C651D">
        <w:rPr>
          <w:szCs w:val="20"/>
        </w:rPr>
        <w:t xml:space="preserve"> such as their </w:t>
      </w:r>
      <w:r w:rsidR="00B07501" w:rsidRPr="004C651D">
        <w:rPr>
          <w:szCs w:val="20"/>
        </w:rPr>
        <w:t>ramp up/down and spare capacity</w:t>
      </w:r>
      <w:r w:rsidR="00B821CC" w:rsidRPr="004C651D">
        <w:rPr>
          <w:szCs w:val="20"/>
        </w:rPr>
        <w:t>, is a matter of research</w:t>
      </w:r>
      <w:r w:rsidR="00B07501" w:rsidRPr="004C651D">
        <w:rPr>
          <w:szCs w:val="20"/>
        </w:rPr>
        <w:t>.</w:t>
      </w:r>
    </w:p>
    <w:p w14:paraId="68A5DE29" w14:textId="1505E017" w:rsidR="0096580E" w:rsidRPr="004C651D" w:rsidRDefault="004D2F3A" w:rsidP="00492505">
      <w:pPr>
        <w:rPr>
          <w:szCs w:val="20"/>
        </w:rPr>
      </w:pPr>
      <w:r w:rsidRPr="004C651D">
        <w:rPr>
          <w:szCs w:val="20"/>
        </w:rPr>
        <w:t xml:space="preserve">c) </w:t>
      </w:r>
      <w:r w:rsidRPr="004C651D">
        <w:rPr>
          <w:i/>
          <w:szCs w:val="20"/>
        </w:rPr>
        <w:t xml:space="preserve">Mathematical </w:t>
      </w:r>
      <w:r w:rsidR="00BE1370" w:rsidRPr="004C651D">
        <w:rPr>
          <w:i/>
          <w:szCs w:val="20"/>
        </w:rPr>
        <w:t xml:space="preserve">flexibility </w:t>
      </w:r>
      <w:r w:rsidRPr="004C651D">
        <w:rPr>
          <w:i/>
          <w:szCs w:val="20"/>
        </w:rPr>
        <w:t>models</w:t>
      </w:r>
      <w:r w:rsidRPr="004C651D">
        <w:rPr>
          <w:szCs w:val="20"/>
        </w:rPr>
        <w:t xml:space="preserve">: This approach can </w:t>
      </w:r>
      <w:r w:rsidR="00790D3E" w:rsidRPr="004C651D">
        <w:rPr>
          <w:szCs w:val="20"/>
        </w:rPr>
        <w:t xml:space="preserve">well </w:t>
      </w:r>
      <w:r w:rsidRPr="004C651D">
        <w:rPr>
          <w:szCs w:val="20"/>
        </w:rPr>
        <w:t>accommodate variability and uncertainty.</w:t>
      </w:r>
      <w:r w:rsidR="00790D3E" w:rsidRPr="004C651D">
        <w:rPr>
          <w:szCs w:val="20"/>
        </w:rPr>
        <w:t xml:space="preserve"> Using these models, </w:t>
      </w:r>
      <w:r w:rsidR="00492505" w:rsidRPr="004C651D">
        <w:rPr>
          <w:szCs w:val="20"/>
        </w:rPr>
        <w:t xml:space="preserve">network structure and operation can be </w:t>
      </w:r>
      <w:r w:rsidR="00790D3E" w:rsidRPr="004C651D">
        <w:rPr>
          <w:szCs w:val="20"/>
        </w:rPr>
        <w:t>optimis</w:t>
      </w:r>
      <w:r w:rsidR="00492505" w:rsidRPr="004C651D">
        <w:rPr>
          <w:szCs w:val="20"/>
        </w:rPr>
        <w:t>ed to achieve maximum flexibility.</w:t>
      </w:r>
      <w:r w:rsidR="00790D3E" w:rsidRPr="004C651D">
        <w:rPr>
          <w:szCs w:val="20"/>
        </w:rPr>
        <w:t xml:space="preserve"> </w:t>
      </w:r>
      <w:r w:rsidRPr="004C651D">
        <w:rPr>
          <w:szCs w:val="20"/>
        </w:rPr>
        <w:t>However, models are usually very complicated</w:t>
      </w:r>
      <w:r w:rsidR="0017176D" w:rsidRPr="004C651D">
        <w:rPr>
          <w:szCs w:val="20"/>
        </w:rPr>
        <w:t xml:space="preserve"> and take huge effort to </w:t>
      </w:r>
      <w:r w:rsidR="003876C9" w:rsidRPr="004C651D">
        <w:rPr>
          <w:szCs w:val="20"/>
        </w:rPr>
        <w:t xml:space="preserve">be </w:t>
      </w:r>
      <w:r w:rsidR="0017176D" w:rsidRPr="004C651D">
        <w:rPr>
          <w:szCs w:val="20"/>
        </w:rPr>
        <w:t>develop</w:t>
      </w:r>
      <w:r w:rsidR="003876C9" w:rsidRPr="004C651D">
        <w:rPr>
          <w:szCs w:val="20"/>
        </w:rPr>
        <w:t>ed and validated</w:t>
      </w:r>
      <w:r w:rsidRPr="004C651D">
        <w:rPr>
          <w:szCs w:val="20"/>
        </w:rPr>
        <w:t>.</w:t>
      </w:r>
      <w:r w:rsidR="0096580E" w:rsidRPr="004C651D">
        <w:rPr>
          <w:szCs w:val="20"/>
        </w:rPr>
        <w:t xml:space="preserve"> </w:t>
      </w:r>
      <w:r w:rsidR="00CD5464">
        <w:rPr>
          <w:szCs w:val="20"/>
        </w:rPr>
        <w:t>T</w:t>
      </w:r>
      <w:r w:rsidR="00842D36" w:rsidRPr="004C651D">
        <w:rPr>
          <w:szCs w:val="20"/>
        </w:rPr>
        <w:t>hese mathematical models</w:t>
      </w:r>
      <w:r w:rsidR="00CD5464">
        <w:rPr>
          <w:szCs w:val="20"/>
        </w:rPr>
        <w:t xml:space="preserve"> should be still developed</w:t>
      </w:r>
      <w:r w:rsidR="00842D36" w:rsidRPr="004C651D">
        <w:rPr>
          <w:szCs w:val="20"/>
        </w:rPr>
        <w:t xml:space="preserve"> </w:t>
      </w:r>
      <w:r w:rsidR="006F5703">
        <w:rPr>
          <w:szCs w:val="20"/>
        </w:rPr>
        <w:t xml:space="preserve">by academia </w:t>
      </w:r>
      <w:r w:rsidR="00842D36" w:rsidRPr="004C651D">
        <w:rPr>
          <w:szCs w:val="20"/>
        </w:rPr>
        <w:t>before they become ready for application</w:t>
      </w:r>
      <w:r w:rsidR="006F5703">
        <w:rPr>
          <w:szCs w:val="20"/>
        </w:rPr>
        <w:t>s</w:t>
      </w:r>
      <w:r w:rsidR="00842D36" w:rsidRPr="004C651D">
        <w:rPr>
          <w:szCs w:val="20"/>
        </w:rPr>
        <w:t xml:space="preserve"> in industry.</w:t>
      </w:r>
    </w:p>
    <w:p w14:paraId="562505D3" w14:textId="1805BACC" w:rsidR="004D2F3A" w:rsidRDefault="004D2F3A" w:rsidP="00492505">
      <w:pPr>
        <w:rPr>
          <w:szCs w:val="20"/>
        </w:rPr>
      </w:pPr>
      <w:r w:rsidRPr="004C651D">
        <w:rPr>
          <w:szCs w:val="20"/>
        </w:rPr>
        <w:t xml:space="preserve">Table </w:t>
      </w:r>
      <w:r w:rsidR="00AD67D5">
        <w:rPr>
          <w:szCs w:val="20"/>
        </w:rPr>
        <w:t>2</w:t>
      </w:r>
      <w:r w:rsidRPr="004C651D">
        <w:rPr>
          <w:szCs w:val="20"/>
        </w:rPr>
        <w:t xml:space="preserve"> summarises available frameworks to measure grid flexibility.</w:t>
      </w:r>
    </w:p>
    <w:p w14:paraId="655D61C4" w14:textId="0ACDD58F" w:rsidR="004D2F3A" w:rsidRPr="004C651D" w:rsidRDefault="004D2F3A" w:rsidP="00E26C21">
      <w:pPr>
        <w:pStyle w:val="TableCaption"/>
      </w:pPr>
      <w:bookmarkStart w:id="17" w:name="_Toc83674482"/>
      <w:r w:rsidRPr="004C651D">
        <w:t xml:space="preserve">Table </w:t>
      </w:r>
      <w:r w:rsidR="00AC737C">
        <w:t>2</w:t>
      </w:r>
      <w:r w:rsidRPr="004C651D">
        <w:t xml:space="preserve">: Frameworks to measure grid flexibility </w:t>
      </w:r>
      <w:r w:rsidRPr="004C651D">
        <w:fldChar w:fldCharType="begin"/>
      </w:r>
      <w:r w:rsidR="004270B7">
        <w:instrText xml:space="preserve"> ADDIN EN.CITE &lt;EndNote&gt;&lt;Cite&gt;&lt;Author&gt;Wang&lt;/Author&gt;&lt;Year&gt;2017&lt;/Year&gt;&lt;RecNum&gt;52&lt;/RecNum&gt;&lt;DisplayText&gt;[27]&lt;/DisplayText&gt;&lt;record&gt;&lt;rec-number&gt;52&lt;/rec-number&gt;&lt;foreign-keys&gt;&lt;key app="EN" db-id="dsezaaaxf5z9dte9xeovfea50xe9wdtdapd9" timestamp="1622905652"&gt;52&lt;/key&gt;&lt;key app="ENWeb" db-id=""&gt;0&lt;/key&gt;&lt;/foreign-keys&gt;&lt;ref-type name="Journal Article"&gt;17&lt;/ref-type&gt;&lt;contributors&gt;&lt;authors&gt;&lt;author&gt;Wang, Qin&lt;/author&gt;&lt;author&gt;Hodge, Bri-Mathias&lt;/author&gt;&lt;/authors&gt;&lt;/contributors&gt;&lt;titles&gt;&lt;title&gt;Enhancing Power System Operational Flexibility With Flexible Ramping Products: A Review&lt;/title&gt;&lt;secondary-title&gt;IEEE Transactions on Industrial Informatics&lt;/secondary-title&gt;&lt;/titles&gt;&lt;periodical&gt;&lt;full-title&gt;IEEE Transactions on Industrial Informatics&lt;/full-title&gt;&lt;/periodical&gt;&lt;pages&gt;1652-1664&lt;/pages&gt;&lt;volume&gt;13&lt;/volume&gt;&lt;number&gt;4&lt;/number&gt;&lt;section&gt;1652&lt;/section&gt;&lt;dates&gt;&lt;year&gt;2017&lt;/year&gt;&lt;/dates&gt;&lt;isbn&gt;1551-3203&amp;#xD;1941-0050&lt;/isbn&gt;&lt;urls&gt;&lt;/urls&gt;&lt;electronic-resource-num&gt;10.1109/tii.2016.2637879&lt;/electronic-resource-num&gt;&lt;/record&gt;&lt;/Cite&gt;&lt;/EndNote&gt;</w:instrText>
      </w:r>
      <w:r w:rsidRPr="004C651D">
        <w:fldChar w:fldCharType="separate"/>
      </w:r>
      <w:r w:rsidR="004270B7">
        <w:rPr>
          <w:noProof/>
        </w:rPr>
        <w:t>[27]</w:t>
      </w:r>
      <w:bookmarkEnd w:id="17"/>
      <w:r w:rsidRPr="004C651D">
        <w:fldChar w:fldCharType="end"/>
      </w:r>
    </w:p>
    <w:tbl>
      <w:tblPr>
        <w:tblStyle w:val="TableGrid"/>
        <w:tblW w:w="9214" w:type="dxa"/>
        <w:tblInd w:w="-5" w:type="dxa"/>
        <w:tblLayout w:type="fixed"/>
        <w:tblLook w:val="04A0" w:firstRow="1" w:lastRow="0" w:firstColumn="1" w:lastColumn="0" w:noHBand="0" w:noVBand="1"/>
      </w:tblPr>
      <w:tblGrid>
        <w:gridCol w:w="1134"/>
        <w:gridCol w:w="4962"/>
        <w:gridCol w:w="3118"/>
      </w:tblGrid>
      <w:tr w:rsidR="00B27279" w:rsidRPr="004C651D" w14:paraId="0015BC96" w14:textId="77777777" w:rsidTr="003B57A9">
        <w:tc>
          <w:tcPr>
            <w:tcW w:w="1134" w:type="dxa"/>
          </w:tcPr>
          <w:p w14:paraId="0A8FEDAC" w14:textId="1C858387" w:rsidR="00B27279" w:rsidRPr="004C651D" w:rsidRDefault="00B27279" w:rsidP="00D64AF4">
            <w:pPr>
              <w:jc w:val="left"/>
              <w:rPr>
                <w:sz w:val="18"/>
                <w:szCs w:val="18"/>
              </w:rPr>
            </w:pPr>
            <w:r w:rsidRPr="004C651D">
              <w:rPr>
                <w:sz w:val="18"/>
                <w:szCs w:val="18"/>
              </w:rPr>
              <w:t>Visualisation method</w:t>
            </w:r>
          </w:p>
        </w:tc>
        <w:tc>
          <w:tcPr>
            <w:tcW w:w="4962" w:type="dxa"/>
          </w:tcPr>
          <w:p w14:paraId="57CEE220" w14:textId="77777777" w:rsidR="00F0089C" w:rsidRPr="004C651D" w:rsidRDefault="00F0089C" w:rsidP="00237486">
            <w:pPr>
              <w:pStyle w:val="ListParagraph"/>
              <w:numPr>
                <w:ilvl w:val="0"/>
                <w:numId w:val="14"/>
              </w:numPr>
              <w:ind w:left="319" w:hanging="283"/>
              <w:jc w:val="left"/>
              <w:rPr>
                <w:sz w:val="18"/>
                <w:szCs w:val="18"/>
              </w:rPr>
            </w:pPr>
            <w:r w:rsidRPr="004C651D">
              <w:rPr>
                <w:sz w:val="18"/>
                <w:szCs w:val="18"/>
              </w:rPr>
              <w:t>Flexibility Chart.</w:t>
            </w:r>
          </w:p>
          <w:p w14:paraId="27E7D7BA" w14:textId="77777777" w:rsidR="00B27279" w:rsidRPr="004C651D" w:rsidRDefault="00F0089C" w:rsidP="00237486">
            <w:pPr>
              <w:pStyle w:val="ListParagraph"/>
              <w:numPr>
                <w:ilvl w:val="0"/>
                <w:numId w:val="14"/>
              </w:numPr>
              <w:ind w:left="319" w:hanging="283"/>
              <w:jc w:val="left"/>
              <w:rPr>
                <w:sz w:val="18"/>
                <w:szCs w:val="18"/>
              </w:rPr>
            </w:pPr>
            <w:r w:rsidRPr="004C651D">
              <w:rPr>
                <w:sz w:val="18"/>
                <w:szCs w:val="18"/>
              </w:rPr>
              <w:t>Flexibility Assessment Tool (FAST2), which uses time-series data.</w:t>
            </w:r>
          </w:p>
          <w:p w14:paraId="2747C878" w14:textId="77777777" w:rsidR="000C2318" w:rsidRPr="004C651D" w:rsidRDefault="000C2318" w:rsidP="00237486">
            <w:pPr>
              <w:pStyle w:val="ListParagraph"/>
              <w:numPr>
                <w:ilvl w:val="0"/>
                <w:numId w:val="14"/>
              </w:numPr>
              <w:ind w:left="319" w:hanging="283"/>
              <w:jc w:val="left"/>
              <w:rPr>
                <w:sz w:val="18"/>
                <w:szCs w:val="18"/>
              </w:rPr>
            </w:pPr>
            <w:r w:rsidRPr="004C651D">
              <w:rPr>
                <w:sz w:val="18"/>
                <w:szCs w:val="18"/>
              </w:rPr>
              <w:t>Grid Integration Variable Renewables, which provides a visually oriented snapshot of flexibility.</w:t>
            </w:r>
          </w:p>
          <w:p w14:paraId="4E9D8E77" w14:textId="6EDDDB83" w:rsidR="000C2318" w:rsidRPr="004C651D" w:rsidRDefault="000C2318" w:rsidP="00237486">
            <w:pPr>
              <w:pStyle w:val="ListParagraph"/>
              <w:numPr>
                <w:ilvl w:val="0"/>
                <w:numId w:val="14"/>
              </w:numPr>
              <w:ind w:left="319" w:hanging="283"/>
              <w:jc w:val="left"/>
              <w:rPr>
                <w:sz w:val="18"/>
                <w:szCs w:val="18"/>
              </w:rPr>
            </w:pPr>
            <w:r w:rsidRPr="004C651D">
              <w:rPr>
                <w:sz w:val="18"/>
                <w:szCs w:val="18"/>
              </w:rPr>
              <w:t>Dynamic upward and downward ramping capability curve</w:t>
            </w:r>
          </w:p>
        </w:tc>
        <w:tc>
          <w:tcPr>
            <w:tcW w:w="3118" w:type="dxa"/>
          </w:tcPr>
          <w:p w14:paraId="22A9C11A" w14:textId="77777777" w:rsidR="005044D9" w:rsidRPr="004C651D" w:rsidRDefault="005044D9" w:rsidP="000C2318">
            <w:pPr>
              <w:jc w:val="left"/>
              <w:rPr>
                <w:sz w:val="18"/>
                <w:szCs w:val="18"/>
              </w:rPr>
            </w:pPr>
            <w:r w:rsidRPr="004C651D">
              <w:rPr>
                <w:i/>
                <w:iCs/>
                <w:sz w:val="18"/>
                <w:szCs w:val="18"/>
              </w:rPr>
              <w:t>Strength</w:t>
            </w:r>
            <w:r w:rsidRPr="004C651D">
              <w:rPr>
                <w:sz w:val="18"/>
                <w:szCs w:val="18"/>
              </w:rPr>
              <w:t xml:space="preserve">: Easy to create; allows for comparison across different systems; easy to understand. </w:t>
            </w:r>
          </w:p>
          <w:p w14:paraId="0D6F40CD" w14:textId="028AD212" w:rsidR="00B27279" w:rsidRPr="004C651D" w:rsidRDefault="005044D9" w:rsidP="000C2318">
            <w:pPr>
              <w:jc w:val="left"/>
            </w:pPr>
            <w:r w:rsidRPr="004C651D">
              <w:rPr>
                <w:i/>
                <w:iCs/>
                <w:sz w:val="18"/>
                <w:szCs w:val="18"/>
              </w:rPr>
              <w:t>Weakness</w:t>
            </w:r>
            <w:r w:rsidRPr="004C651D">
              <w:rPr>
                <w:sz w:val="18"/>
                <w:szCs w:val="18"/>
              </w:rPr>
              <w:t>: Contains limited information; should be used prudently.</w:t>
            </w:r>
          </w:p>
        </w:tc>
      </w:tr>
      <w:tr w:rsidR="00B27279" w:rsidRPr="004C651D" w14:paraId="6B9A6176" w14:textId="77777777" w:rsidTr="003B57A9">
        <w:tc>
          <w:tcPr>
            <w:tcW w:w="1134" w:type="dxa"/>
          </w:tcPr>
          <w:p w14:paraId="5CF07E3D" w14:textId="00613934" w:rsidR="00B27279" w:rsidRPr="004C651D" w:rsidRDefault="00D64AF4" w:rsidP="00D64AF4">
            <w:pPr>
              <w:jc w:val="left"/>
              <w:rPr>
                <w:sz w:val="18"/>
                <w:szCs w:val="18"/>
              </w:rPr>
            </w:pPr>
            <w:r w:rsidRPr="004C651D">
              <w:rPr>
                <w:sz w:val="18"/>
                <w:szCs w:val="18"/>
              </w:rPr>
              <w:t>Flexibility metrics</w:t>
            </w:r>
          </w:p>
        </w:tc>
        <w:tc>
          <w:tcPr>
            <w:tcW w:w="4962" w:type="dxa"/>
          </w:tcPr>
          <w:p w14:paraId="2A5D85EE" w14:textId="14633B0C" w:rsidR="00D8282F" w:rsidRPr="004C651D" w:rsidRDefault="00D8282F" w:rsidP="00237486">
            <w:pPr>
              <w:pStyle w:val="ListParagraph"/>
              <w:numPr>
                <w:ilvl w:val="0"/>
                <w:numId w:val="14"/>
              </w:numPr>
              <w:ind w:left="319" w:hanging="283"/>
              <w:jc w:val="left"/>
              <w:rPr>
                <w:sz w:val="18"/>
                <w:szCs w:val="18"/>
              </w:rPr>
            </w:pPr>
            <w:r w:rsidRPr="004C651D">
              <w:rPr>
                <w:sz w:val="18"/>
                <w:szCs w:val="18"/>
              </w:rPr>
              <w:t>Percentage of GW installed capacity of generation type relative to peak demand; maximum upward/downward change over given time horizon; expected percentage of incidents in a time period.</w:t>
            </w:r>
          </w:p>
          <w:p w14:paraId="34CFCC1C" w14:textId="46E3D52B" w:rsidR="00D8282F" w:rsidRPr="004C651D" w:rsidRDefault="00D8282F" w:rsidP="00237486">
            <w:pPr>
              <w:pStyle w:val="ListParagraph"/>
              <w:numPr>
                <w:ilvl w:val="0"/>
                <w:numId w:val="14"/>
              </w:numPr>
              <w:ind w:left="319" w:hanging="283"/>
              <w:jc w:val="left"/>
              <w:rPr>
                <w:sz w:val="18"/>
                <w:szCs w:val="18"/>
              </w:rPr>
            </w:pPr>
            <w:r w:rsidRPr="004C651D">
              <w:rPr>
                <w:sz w:val="18"/>
                <w:szCs w:val="18"/>
              </w:rPr>
              <w:t>Power provision capacity; power ramp rate capacity; energy provision capacity, and ramp duration.</w:t>
            </w:r>
          </w:p>
          <w:p w14:paraId="22D61176" w14:textId="28EBB322" w:rsidR="00D8282F" w:rsidRPr="004C651D" w:rsidRDefault="00D8282F" w:rsidP="00237486">
            <w:pPr>
              <w:pStyle w:val="ListParagraph"/>
              <w:numPr>
                <w:ilvl w:val="0"/>
                <w:numId w:val="14"/>
              </w:numPr>
              <w:ind w:left="319" w:hanging="283"/>
              <w:jc w:val="left"/>
              <w:rPr>
                <w:sz w:val="18"/>
                <w:szCs w:val="18"/>
              </w:rPr>
            </w:pPr>
            <w:r w:rsidRPr="004C651D">
              <w:rPr>
                <w:sz w:val="18"/>
                <w:szCs w:val="18"/>
              </w:rPr>
              <w:t>System generation mix; dynamic ramp</w:t>
            </w:r>
            <w:r w:rsidR="00D238EF" w:rsidRPr="004C651D">
              <w:rPr>
                <w:sz w:val="18"/>
                <w:szCs w:val="18"/>
              </w:rPr>
              <w:t>-</w:t>
            </w:r>
            <w:r w:rsidRPr="004C651D">
              <w:rPr>
                <w:sz w:val="18"/>
                <w:szCs w:val="18"/>
              </w:rPr>
              <w:t>up/-down ranges; and minimum generation levels.</w:t>
            </w:r>
          </w:p>
          <w:p w14:paraId="4AD103BD" w14:textId="3A7E5017" w:rsidR="00AF6DEC" w:rsidRPr="004C651D" w:rsidRDefault="00D8282F" w:rsidP="00237486">
            <w:pPr>
              <w:pStyle w:val="ListParagraph"/>
              <w:numPr>
                <w:ilvl w:val="0"/>
                <w:numId w:val="14"/>
              </w:numPr>
              <w:ind w:left="319" w:hanging="283"/>
              <w:jc w:val="left"/>
              <w:rPr>
                <w:sz w:val="18"/>
                <w:szCs w:val="18"/>
              </w:rPr>
            </w:pPr>
            <w:r w:rsidRPr="004C651D">
              <w:rPr>
                <w:sz w:val="18"/>
                <w:szCs w:val="18"/>
              </w:rPr>
              <w:t>IRRE; periods of flexibility deficit.</w:t>
            </w:r>
          </w:p>
          <w:p w14:paraId="096893B1" w14:textId="0C8D9A12" w:rsidR="00D8282F" w:rsidRPr="004C651D" w:rsidRDefault="00D8282F" w:rsidP="00237486">
            <w:pPr>
              <w:pStyle w:val="ListParagraph"/>
              <w:numPr>
                <w:ilvl w:val="0"/>
                <w:numId w:val="14"/>
              </w:numPr>
              <w:ind w:left="319" w:hanging="283"/>
              <w:jc w:val="left"/>
              <w:rPr>
                <w:sz w:val="18"/>
                <w:szCs w:val="18"/>
              </w:rPr>
            </w:pPr>
            <w:r w:rsidRPr="004C651D">
              <w:rPr>
                <w:sz w:val="18"/>
                <w:szCs w:val="18"/>
              </w:rPr>
              <w:t>Expected unserved demand; operational flexibility index.</w:t>
            </w:r>
          </w:p>
          <w:p w14:paraId="1127C966" w14:textId="4EF5865D" w:rsidR="00B27279" w:rsidRPr="004C651D" w:rsidRDefault="00D8282F" w:rsidP="00237486">
            <w:pPr>
              <w:pStyle w:val="ListParagraph"/>
              <w:numPr>
                <w:ilvl w:val="0"/>
                <w:numId w:val="14"/>
              </w:numPr>
              <w:ind w:left="319" w:hanging="283"/>
              <w:jc w:val="left"/>
              <w:rPr>
                <w:sz w:val="18"/>
                <w:szCs w:val="18"/>
              </w:rPr>
            </w:pPr>
            <w:r w:rsidRPr="004C651D">
              <w:rPr>
                <w:sz w:val="18"/>
                <w:szCs w:val="18"/>
              </w:rPr>
              <w:t>Lack of ramp probability.</w:t>
            </w:r>
          </w:p>
        </w:tc>
        <w:tc>
          <w:tcPr>
            <w:tcW w:w="3118" w:type="dxa"/>
          </w:tcPr>
          <w:p w14:paraId="1CD4224B" w14:textId="77777777" w:rsidR="005854EB" w:rsidRPr="004C651D" w:rsidRDefault="005854EB" w:rsidP="00AF6DEC">
            <w:pPr>
              <w:jc w:val="left"/>
              <w:rPr>
                <w:sz w:val="18"/>
                <w:szCs w:val="18"/>
              </w:rPr>
            </w:pPr>
            <w:r w:rsidRPr="004C651D">
              <w:rPr>
                <w:i/>
                <w:iCs/>
                <w:sz w:val="18"/>
                <w:szCs w:val="18"/>
              </w:rPr>
              <w:t>Strength</w:t>
            </w:r>
            <w:r w:rsidRPr="004C651D">
              <w:rPr>
                <w:sz w:val="18"/>
                <w:szCs w:val="18"/>
              </w:rPr>
              <w:t xml:space="preserve">: Quantifies the flexibility with available indices; provides suggestions on how to improve the flexibility. </w:t>
            </w:r>
          </w:p>
          <w:p w14:paraId="3E6609FF" w14:textId="0CEA8A9B" w:rsidR="00B27279" w:rsidRPr="004C651D" w:rsidRDefault="005854EB" w:rsidP="00AF6DEC">
            <w:pPr>
              <w:jc w:val="left"/>
              <w:rPr>
                <w:sz w:val="18"/>
                <w:szCs w:val="18"/>
              </w:rPr>
            </w:pPr>
            <w:r w:rsidRPr="004C651D">
              <w:rPr>
                <w:i/>
                <w:iCs/>
                <w:sz w:val="18"/>
                <w:szCs w:val="18"/>
              </w:rPr>
              <w:t>Weakness</w:t>
            </w:r>
            <w:r w:rsidRPr="004C651D">
              <w:rPr>
                <w:sz w:val="18"/>
                <w:szCs w:val="18"/>
              </w:rPr>
              <w:t>: Only evaluates one or a few aspects of the system flexibility; lack of comprehensive analytic framework.</w:t>
            </w:r>
          </w:p>
        </w:tc>
      </w:tr>
      <w:tr w:rsidR="00B27279" w:rsidRPr="004C651D" w14:paraId="6F0B9C1E" w14:textId="77777777" w:rsidTr="003B57A9">
        <w:tc>
          <w:tcPr>
            <w:tcW w:w="1134" w:type="dxa"/>
          </w:tcPr>
          <w:p w14:paraId="1C99E64D" w14:textId="6F36F4AB" w:rsidR="00B27279" w:rsidRPr="004C651D" w:rsidRDefault="00D64AF4" w:rsidP="00D64AF4">
            <w:pPr>
              <w:jc w:val="left"/>
              <w:rPr>
                <w:sz w:val="18"/>
                <w:szCs w:val="18"/>
              </w:rPr>
            </w:pPr>
            <w:r w:rsidRPr="004C651D">
              <w:rPr>
                <w:sz w:val="18"/>
                <w:szCs w:val="18"/>
              </w:rPr>
              <w:t>Comprehensive models</w:t>
            </w:r>
          </w:p>
        </w:tc>
        <w:tc>
          <w:tcPr>
            <w:tcW w:w="4962" w:type="dxa"/>
          </w:tcPr>
          <w:p w14:paraId="33A70356" w14:textId="7E0DB6BD" w:rsidR="00B27279" w:rsidRPr="004C651D" w:rsidRDefault="00E83CE8" w:rsidP="00237486">
            <w:pPr>
              <w:pStyle w:val="ListParagraph"/>
              <w:numPr>
                <w:ilvl w:val="0"/>
                <w:numId w:val="14"/>
              </w:numPr>
              <w:ind w:left="319" w:hanging="283"/>
              <w:jc w:val="left"/>
              <w:rPr>
                <w:sz w:val="18"/>
                <w:szCs w:val="18"/>
              </w:rPr>
            </w:pPr>
            <w:r w:rsidRPr="004C651D">
              <w:rPr>
                <w:sz w:val="18"/>
                <w:szCs w:val="18"/>
              </w:rPr>
              <w:t>Heterogeneous unit clustering method.</w:t>
            </w:r>
          </w:p>
          <w:p w14:paraId="47E01AE6" w14:textId="1EFDD308" w:rsidR="00284D5A" w:rsidRPr="004C651D" w:rsidRDefault="00284D5A" w:rsidP="00237486">
            <w:pPr>
              <w:pStyle w:val="ListParagraph"/>
              <w:numPr>
                <w:ilvl w:val="0"/>
                <w:numId w:val="14"/>
              </w:numPr>
              <w:ind w:left="319" w:hanging="283"/>
              <w:jc w:val="left"/>
              <w:rPr>
                <w:sz w:val="18"/>
                <w:szCs w:val="18"/>
              </w:rPr>
            </w:pPr>
            <w:r w:rsidRPr="004C651D">
              <w:rPr>
                <w:sz w:val="18"/>
                <w:szCs w:val="18"/>
              </w:rPr>
              <w:t>A unified framework for assessing flexibility with robust optimization techniques.</w:t>
            </w:r>
          </w:p>
          <w:p w14:paraId="5724EA51" w14:textId="0329B4D0" w:rsidR="00E83CE8" w:rsidRPr="004C651D" w:rsidRDefault="00284D5A" w:rsidP="00237486">
            <w:pPr>
              <w:pStyle w:val="ListParagraph"/>
              <w:numPr>
                <w:ilvl w:val="0"/>
                <w:numId w:val="14"/>
              </w:numPr>
              <w:ind w:left="319" w:hanging="283"/>
              <w:jc w:val="left"/>
              <w:rPr>
                <w:sz w:val="18"/>
                <w:szCs w:val="18"/>
              </w:rPr>
            </w:pPr>
            <w:r w:rsidRPr="004C651D">
              <w:rPr>
                <w:sz w:val="18"/>
                <w:szCs w:val="18"/>
              </w:rPr>
              <w:t>Measuring the thermal generation flexibility under a stochastic optimization framework.</w:t>
            </w:r>
          </w:p>
        </w:tc>
        <w:tc>
          <w:tcPr>
            <w:tcW w:w="3118" w:type="dxa"/>
          </w:tcPr>
          <w:p w14:paraId="3E3E172B" w14:textId="54A76798" w:rsidR="00B27279" w:rsidRPr="004C651D" w:rsidRDefault="00886AFA" w:rsidP="00284D5A">
            <w:pPr>
              <w:jc w:val="left"/>
              <w:rPr>
                <w:sz w:val="18"/>
                <w:szCs w:val="18"/>
              </w:rPr>
            </w:pPr>
            <w:r w:rsidRPr="004C651D">
              <w:rPr>
                <w:i/>
                <w:iCs/>
                <w:sz w:val="18"/>
                <w:szCs w:val="18"/>
              </w:rPr>
              <w:t>Strength</w:t>
            </w:r>
            <w:r w:rsidRPr="004C651D">
              <w:rPr>
                <w:sz w:val="18"/>
                <w:szCs w:val="18"/>
              </w:rPr>
              <w:t xml:space="preserve">: Able to calculate the overall margins to accommodate variability and uncertainty. </w:t>
            </w:r>
            <w:r w:rsidRPr="004C651D">
              <w:rPr>
                <w:i/>
                <w:iCs/>
                <w:sz w:val="18"/>
                <w:szCs w:val="18"/>
              </w:rPr>
              <w:t>Weakness</w:t>
            </w:r>
            <w:r w:rsidRPr="004C651D">
              <w:rPr>
                <w:sz w:val="18"/>
                <w:szCs w:val="18"/>
              </w:rPr>
              <w:t>: Model is usually quite complicated and may be difficult to implement for real systems.</w:t>
            </w:r>
          </w:p>
        </w:tc>
      </w:tr>
    </w:tbl>
    <w:p w14:paraId="28DF323B" w14:textId="77777777" w:rsidR="007D1825" w:rsidRPr="003E5978" w:rsidRDefault="007D1825" w:rsidP="004D2F3A">
      <w:pPr>
        <w:jc w:val="center"/>
        <w:rPr>
          <w:b/>
          <w:bCs/>
        </w:rPr>
      </w:pPr>
    </w:p>
    <w:p w14:paraId="4420E1E0" w14:textId="1DBCB9DA" w:rsidR="00630137" w:rsidRDefault="007D1825" w:rsidP="00DB6B62">
      <w:pPr>
        <w:rPr>
          <w:b/>
          <w:bCs/>
          <w:i/>
          <w:iCs/>
          <w:color w:val="0070C0"/>
        </w:rPr>
      </w:pPr>
      <w:r>
        <w:rPr>
          <w:b/>
          <w:bCs/>
          <w:i/>
          <w:iCs/>
          <w:noProof/>
          <w:color w:val="0070C0"/>
        </w:rPr>
        <mc:AlternateContent>
          <mc:Choice Requires="wps">
            <w:drawing>
              <wp:anchor distT="0" distB="0" distL="114300" distR="114300" simplePos="0" relativeHeight="251658240" behindDoc="0" locked="0" layoutInCell="1" allowOverlap="1" wp14:anchorId="6C32AD5E" wp14:editId="37C677FD">
                <wp:simplePos x="0" y="0"/>
                <wp:positionH relativeFrom="column">
                  <wp:posOffset>9780</wp:posOffset>
                </wp:positionH>
                <wp:positionV relativeFrom="paragraph">
                  <wp:posOffset>64916</wp:posOffset>
                </wp:positionV>
                <wp:extent cx="5721112" cy="1598978"/>
                <wp:effectExtent l="0" t="0" r="13335" b="20320"/>
                <wp:wrapNone/>
                <wp:docPr id="8" name="Text Box 8"/>
                <wp:cNvGraphicFramePr/>
                <a:graphic xmlns:a="http://schemas.openxmlformats.org/drawingml/2006/main">
                  <a:graphicData uri="http://schemas.microsoft.com/office/word/2010/wordprocessingShape">
                    <wps:wsp>
                      <wps:cNvSpPr txBox="1"/>
                      <wps:spPr>
                        <a:xfrm>
                          <a:off x="0" y="0"/>
                          <a:ext cx="5721112" cy="1598978"/>
                        </a:xfrm>
                        <a:prstGeom prst="rect">
                          <a:avLst/>
                        </a:prstGeom>
                        <a:solidFill>
                          <a:srgbClr val="FFC000">
                            <a:alpha val="43000"/>
                          </a:srgbClr>
                        </a:solidFill>
                        <a:ln w="6350" cap="rnd">
                          <a:solidFill>
                            <a:prstClr val="black"/>
                          </a:solidFill>
                        </a:ln>
                      </wps:spPr>
                      <wps:txbx>
                        <w:txbxContent>
                          <w:p w14:paraId="4874975A" w14:textId="77777777" w:rsidR="007D1825" w:rsidRPr="004C651D" w:rsidRDefault="007D1825" w:rsidP="007D1825">
                            <w:pPr>
                              <w:rPr>
                                <w:i/>
                                <w:color w:val="0070C0"/>
                                <w:szCs w:val="20"/>
                              </w:rPr>
                            </w:pPr>
                            <w:r w:rsidRPr="004C651D">
                              <w:rPr>
                                <w:b/>
                                <w:i/>
                                <w:color w:val="0070C0"/>
                                <w:szCs w:val="20"/>
                              </w:rPr>
                              <w:t xml:space="preserve">Research Activity Recommendation </w:t>
                            </w:r>
                          </w:p>
                          <w:p w14:paraId="3BDF2266" w14:textId="77777777" w:rsidR="007D1825" w:rsidRPr="004C651D" w:rsidRDefault="007D1825" w:rsidP="007D1825">
                            <w:pPr>
                              <w:rPr>
                                <w:szCs w:val="20"/>
                              </w:rPr>
                            </w:pPr>
                            <w:r w:rsidRPr="004C651D">
                              <w:rPr>
                                <w:szCs w:val="20"/>
                              </w:rPr>
                              <w:t>The Australian strategy for managing the baseload of power grid during the transition should be finalised. Flexibility of the grid should be regularly assessed using a properly developed tool and appropriate measures. Results of this assessment should be used in mid- and long-term grid administration activities such as generation planning and network topology improvement. This research study would result in determining appropriate rules for settings of the system, for example for FFR, virtual inertia, SVC, STATCOM and batteries, considering flexibility of the grid.</w:t>
                            </w:r>
                          </w:p>
                          <w:p w14:paraId="0A52EB73" w14:textId="77777777" w:rsidR="007D1825" w:rsidRDefault="007D18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C32AD5E" id="_x0000_t202" coordsize="21600,21600" o:spt="202" path="m,l,21600r21600,l21600,xe">
                <v:stroke joinstyle="miter"/>
                <v:path gradientshapeok="t" o:connecttype="rect"/>
              </v:shapetype>
              <v:shape id="Text Box 8" o:spid="_x0000_s1026" type="#_x0000_t202" style="position:absolute;left:0;text-align:left;margin-left:.75pt;margin-top:5.1pt;width:450.5pt;height:125.9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" fillcolor="#ffc000" strokeweight=".5pt">
                <v:fill opacity="28270f"/>
                <v:stroke endcap="round"/>
                <v:textbox>
                  <w:txbxContent>
                    <w:p w14:paraId="4874975A" w14:textId="77777777" w:rsidR="007D1825" w:rsidRPr="004C651D" w:rsidRDefault="007D1825" w:rsidP="007D1825">
                      <w:pPr>
                        <w:rPr>
                          <w:i/>
                          <w:color w:val="0070C0"/>
                          <w:szCs w:val="20"/>
                        </w:rPr>
                      </w:pPr>
                      <w:r w:rsidRPr="004C651D">
                        <w:rPr>
                          <w:b/>
                          <w:i/>
                          <w:color w:val="0070C0"/>
                          <w:szCs w:val="20"/>
                        </w:rPr>
                        <w:t xml:space="preserve">Research Activity Recommendation </w:t>
                      </w:r>
                    </w:p>
                    <w:p w14:paraId="3BDF2266" w14:textId="77777777" w:rsidR="007D1825" w:rsidRPr="004C651D" w:rsidRDefault="007D1825" w:rsidP="007D1825">
                      <w:pPr>
                        <w:rPr>
                          <w:szCs w:val="20"/>
                        </w:rPr>
                      </w:pPr>
                      <w:r w:rsidRPr="004C651D">
                        <w:rPr>
                          <w:szCs w:val="20"/>
                        </w:rPr>
                        <w:t>The Australian strategy for managing the baseload of power grid during the transition should be finalised. Flexibility of the grid should be regularly assessed using a properly developed tool and appropriate measures. Results of this assessment should be used in mid- and long-term grid administration activities such as generation planning and network topology improvement. This research study would result in determining appropriate rules for settings of the system, for example for FFR, virtual inertia, SVC, STATCOM and batteries, considering flexibility of the grid.</w:t>
                      </w:r>
                    </w:p>
                    <w:p w14:paraId="0A52EB73" w14:textId="77777777" w:rsidR="007D1825" w:rsidRDefault="007D1825"/>
                  </w:txbxContent>
                </v:textbox>
              </v:shape>
            </w:pict>
          </mc:Fallback>
        </mc:AlternateContent>
      </w:r>
    </w:p>
    <w:p w14:paraId="1FC47006" w14:textId="77777777" w:rsidR="003C1B41" w:rsidRDefault="003C1B41" w:rsidP="00DB6B62">
      <w:pPr>
        <w:rPr>
          <w:b/>
          <w:bCs/>
          <w:i/>
          <w:iCs/>
          <w:color w:val="0070C0"/>
        </w:rPr>
      </w:pPr>
    </w:p>
    <w:p w14:paraId="44E4CB6E" w14:textId="77777777" w:rsidR="001A1BE0" w:rsidRDefault="001A1BE0" w:rsidP="00DB6B62"/>
    <w:p w14:paraId="27754B61" w14:textId="77777777" w:rsidR="004D2F3A" w:rsidRDefault="004D2F3A" w:rsidP="004D2F3A"/>
    <w:p w14:paraId="59D99CC2" w14:textId="77777777" w:rsidR="004D2F3A" w:rsidRDefault="004D2F3A" w:rsidP="004D2F3A">
      <w:pPr>
        <w:rPr>
          <w:b/>
          <w:bCs/>
        </w:rPr>
      </w:pPr>
      <w:r>
        <w:rPr>
          <w:b/>
          <w:bCs/>
        </w:rPr>
        <w:br w:type="page"/>
      </w:r>
    </w:p>
    <w:p w14:paraId="7014234B" w14:textId="6FB92AC9" w:rsidR="007F2D36" w:rsidRPr="00651FDD" w:rsidRDefault="3C37F2E9" w:rsidP="00ED319F">
      <w:pPr>
        <w:pStyle w:val="Heading2"/>
        <w:ind w:left="0" w:firstLine="0"/>
      </w:pPr>
      <w:bookmarkStart w:id="18" w:name="_Toc75183237"/>
      <w:bookmarkStart w:id="19" w:name="_Toc75183260"/>
      <w:bookmarkStart w:id="20" w:name="_Toc83674467"/>
      <w:bookmarkEnd w:id="18"/>
      <w:bookmarkEnd w:id="19"/>
      <w:r>
        <w:lastRenderedPageBreak/>
        <w:t>Frequency support services</w:t>
      </w:r>
      <w:bookmarkEnd w:id="20"/>
    </w:p>
    <w:p w14:paraId="4F9AF63F" w14:textId="6FD428F1" w:rsidR="007F2D36" w:rsidRPr="004C651D" w:rsidRDefault="007F2D36" w:rsidP="007F2D36">
      <w:pPr>
        <w:rPr>
          <w:szCs w:val="20"/>
        </w:rPr>
      </w:pPr>
      <w:r w:rsidRPr="004C651D">
        <w:rPr>
          <w:szCs w:val="20"/>
        </w:rPr>
        <w:t xml:space="preserve">The inertia in conventional power systems, caused mainly by the kinetic energy stored in synchronous generators, resists frequency fluctuations after an unexpected sudden change in generations or loads. </w:t>
      </w:r>
      <w:r w:rsidR="0020499F" w:rsidRPr="004C651D">
        <w:rPr>
          <w:szCs w:val="20"/>
        </w:rPr>
        <w:t xml:space="preserve">The penetration </w:t>
      </w:r>
      <w:r w:rsidRPr="004C651D">
        <w:rPr>
          <w:szCs w:val="20"/>
        </w:rPr>
        <w:t xml:space="preserve">of renewable energy resources and our commitment to use them as much as possible results in networks with less synchronous generators, thus less inertia. All studies show that we need more efficient </w:t>
      </w:r>
      <w:r w:rsidR="00C1523D" w:rsidRPr="004C651D">
        <w:rPr>
          <w:szCs w:val="20"/>
        </w:rPr>
        <w:t xml:space="preserve">inertial and fast </w:t>
      </w:r>
      <w:r w:rsidRPr="004C651D">
        <w:rPr>
          <w:szCs w:val="20"/>
        </w:rPr>
        <w:t>frequency response</w:t>
      </w:r>
      <w:r w:rsidR="00C1523D" w:rsidRPr="004C651D">
        <w:rPr>
          <w:szCs w:val="20"/>
        </w:rPr>
        <w:t xml:space="preserve"> services</w:t>
      </w:r>
      <w:r w:rsidRPr="004C651D">
        <w:rPr>
          <w:szCs w:val="20"/>
        </w:rPr>
        <w:t xml:space="preserve"> than what conventional governors normally provide.</w:t>
      </w:r>
    </w:p>
    <w:p w14:paraId="06E5AE6D" w14:textId="690911BF" w:rsidR="007F2D36" w:rsidRPr="004C651D" w:rsidRDefault="007F2D36" w:rsidP="007F2D36">
      <w:pPr>
        <w:rPr>
          <w:szCs w:val="20"/>
        </w:rPr>
      </w:pPr>
      <w:r w:rsidRPr="004C651D">
        <w:rPr>
          <w:szCs w:val="20"/>
        </w:rPr>
        <w:t xml:space="preserve">The existing frequency control structure in Australia includes ‘Regulation’ and ‘Contingency’ services </w:t>
      </w:r>
      <w:r w:rsidRPr="004C651D">
        <w:rPr>
          <w:szCs w:val="20"/>
        </w:rPr>
        <w:fldChar w:fldCharType="begin"/>
      </w:r>
      <w:r w:rsidR="004270B7">
        <w:rPr>
          <w:szCs w:val="20"/>
        </w:rPr>
        <w:instrText xml:space="preserve"> ADDIN EN.CITE &lt;EndNote&gt;&lt;Cite&gt;&lt;Year&gt;2015&lt;/Year&gt;&lt;RecNum&gt;60&lt;/RecNum&gt;&lt;DisplayText&gt;[32]&lt;/DisplayText&gt;&lt;record&gt;&lt;rec-number&gt;60&lt;/rec-number&gt;&lt;foreign-keys&gt;&lt;key app="EN" db-id="dsezaaaxf5z9dte9xeovfea50xe9wdtdapd9" timestamp="1623806952"&gt;60&lt;/key&gt;&lt;key app="ENWeb" db-id=""&gt;0&lt;/key&gt;&lt;/foreign-keys&gt;&lt;ref-type name="Report"&gt;27&lt;/ref-type&gt;&lt;contributors&gt;&lt;/contributors&gt;&lt;titles&gt;&lt;title&gt;Guide to Ancillary Services in the National Electricity Market&lt;/title&gt;&lt;/titles&gt;&lt;dates&gt;&lt;year&gt;2015&lt;/year&gt;&lt;/dates&gt;&lt;publisher&gt;Australian Energy Market Operator&lt;/publisher&gt;&lt;urls&gt;&lt;/urls&gt;&lt;/record&gt;&lt;/Cite&gt;&lt;/EndNote&gt;</w:instrText>
      </w:r>
      <w:r w:rsidRPr="004C651D">
        <w:rPr>
          <w:szCs w:val="20"/>
        </w:rPr>
        <w:fldChar w:fldCharType="separate"/>
      </w:r>
      <w:r w:rsidR="004270B7">
        <w:rPr>
          <w:noProof/>
          <w:szCs w:val="20"/>
        </w:rPr>
        <w:t>[32]</w:t>
      </w:r>
      <w:r w:rsidRPr="004C651D">
        <w:rPr>
          <w:szCs w:val="20"/>
        </w:rPr>
        <w:fldChar w:fldCharType="end"/>
      </w:r>
      <w:r w:rsidRPr="004C651D">
        <w:rPr>
          <w:szCs w:val="20"/>
        </w:rPr>
        <w:t xml:space="preserve">. </w:t>
      </w:r>
      <w:r w:rsidR="00AC4296">
        <w:rPr>
          <w:szCs w:val="20"/>
        </w:rPr>
        <w:t>Regulation services are</w:t>
      </w:r>
      <w:r w:rsidR="003670A9" w:rsidRPr="004C651D">
        <w:rPr>
          <w:szCs w:val="20"/>
        </w:rPr>
        <w:t xml:space="preserve"> centrally controlled by AEMO</w:t>
      </w:r>
      <w:r w:rsidRPr="004C651D">
        <w:rPr>
          <w:szCs w:val="20"/>
        </w:rPr>
        <w:t xml:space="preserve"> </w:t>
      </w:r>
      <w:r w:rsidR="007A7B43" w:rsidRPr="004C651D">
        <w:rPr>
          <w:szCs w:val="20"/>
        </w:rPr>
        <w:t xml:space="preserve">and </w:t>
      </w:r>
      <w:r w:rsidR="00AC4296">
        <w:rPr>
          <w:szCs w:val="20"/>
        </w:rPr>
        <w:t>are</w:t>
      </w:r>
      <w:r w:rsidRPr="004C651D">
        <w:rPr>
          <w:szCs w:val="20"/>
        </w:rPr>
        <w:t xml:space="preserve"> performed by generators and deals with minor changes in the demand/supply balance. Two markets related to these services in the FCAS are ‘Regulation raise/lower’. Contingency services</w:t>
      </w:r>
      <w:r w:rsidR="007A7B43" w:rsidRPr="004C651D">
        <w:rPr>
          <w:szCs w:val="20"/>
        </w:rPr>
        <w:t xml:space="preserve"> are local responses to directly measured frequency deviations</w:t>
      </w:r>
      <w:r w:rsidRPr="004C651D">
        <w:rPr>
          <w:szCs w:val="20"/>
        </w:rPr>
        <w:t xml:space="preserve"> </w:t>
      </w:r>
      <w:r w:rsidR="007A7B43" w:rsidRPr="004C651D">
        <w:rPr>
          <w:szCs w:val="20"/>
        </w:rPr>
        <w:t>caused by</w:t>
      </w:r>
      <w:r w:rsidRPr="004C651D">
        <w:rPr>
          <w:szCs w:val="20"/>
        </w:rPr>
        <w:t xml:space="preserve"> major events such as generator trip or large transmission events. These services are implemented using</w:t>
      </w:r>
      <w:r w:rsidR="004B1933" w:rsidRPr="004C651D">
        <w:rPr>
          <w:szCs w:val="20"/>
        </w:rPr>
        <w:t>,</w:t>
      </w:r>
    </w:p>
    <w:p w14:paraId="34612F6A" w14:textId="14C14F05" w:rsidR="007F2D36" w:rsidRPr="004C651D" w:rsidRDefault="007F2D36" w:rsidP="00237486">
      <w:pPr>
        <w:pStyle w:val="ListParagraph"/>
        <w:numPr>
          <w:ilvl w:val="0"/>
          <w:numId w:val="5"/>
        </w:numPr>
        <w:spacing w:after="0" w:line="240" w:lineRule="auto"/>
        <w:rPr>
          <w:szCs w:val="20"/>
        </w:rPr>
      </w:pPr>
      <w:r w:rsidRPr="004C651D">
        <w:rPr>
          <w:szCs w:val="20"/>
        </w:rPr>
        <w:t>Generator governor</w:t>
      </w:r>
      <w:r w:rsidR="004B1933" w:rsidRPr="004C651D">
        <w:rPr>
          <w:szCs w:val="20"/>
        </w:rPr>
        <w:t xml:space="preserve"> control</w:t>
      </w:r>
      <w:r w:rsidR="006A1F15" w:rsidRPr="004C651D">
        <w:rPr>
          <w:szCs w:val="20"/>
        </w:rPr>
        <w:t>,</w:t>
      </w:r>
    </w:p>
    <w:p w14:paraId="0F64C89B" w14:textId="611AC465" w:rsidR="007F2D36" w:rsidRPr="004C651D" w:rsidRDefault="007F2D36" w:rsidP="00237486">
      <w:pPr>
        <w:pStyle w:val="ListParagraph"/>
        <w:numPr>
          <w:ilvl w:val="0"/>
          <w:numId w:val="5"/>
        </w:numPr>
        <w:spacing w:after="0" w:line="240" w:lineRule="auto"/>
        <w:rPr>
          <w:szCs w:val="20"/>
        </w:rPr>
      </w:pPr>
      <w:r w:rsidRPr="004C651D">
        <w:rPr>
          <w:szCs w:val="20"/>
        </w:rPr>
        <w:t>Load shedding mechanism</w:t>
      </w:r>
      <w:r w:rsidR="004B1933" w:rsidRPr="004C651D">
        <w:rPr>
          <w:szCs w:val="20"/>
        </w:rPr>
        <w:t>s</w:t>
      </w:r>
      <w:r w:rsidRPr="004C651D">
        <w:rPr>
          <w:szCs w:val="20"/>
        </w:rPr>
        <w:t xml:space="preserve"> in under-frequency events</w:t>
      </w:r>
      <w:r w:rsidR="006A1F15" w:rsidRPr="004C651D">
        <w:rPr>
          <w:szCs w:val="20"/>
        </w:rPr>
        <w:t>, and</w:t>
      </w:r>
    </w:p>
    <w:p w14:paraId="2870A6A5" w14:textId="5AED4FD9" w:rsidR="007F2D36" w:rsidRPr="004C651D" w:rsidRDefault="007F2D36" w:rsidP="00237486">
      <w:pPr>
        <w:pStyle w:val="ListParagraph"/>
        <w:numPr>
          <w:ilvl w:val="0"/>
          <w:numId w:val="5"/>
        </w:numPr>
        <w:rPr>
          <w:szCs w:val="20"/>
        </w:rPr>
      </w:pPr>
      <w:r w:rsidRPr="004C651D">
        <w:rPr>
          <w:szCs w:val="20"/>
        </w:rPr>
        <w:t>Rapid generation/unloading</w:t>
      </w:r>
      <w:r w:rsidR="006A1F15" w:rsidRPr="004C651D">
        <w:rPr>
          <w:szCs w:val="20"/>
        </w:rPr>
        <w:t>.</w:t>
      </w:r>
    </w:p>
    <w:p w14:paraId="04B5D499" w14:textId="19F3B865" w:rsidR="007F2D36" w:rsidRPr="004C651D" w:rsidRDefault="007F2D36" w:rsidP="007F2D36">
      <w:pPr>
        <w:rPr>
          <w:szCs w:val="20"/>
        </w:rPr>
      </w:pPr>
      <w:r w:rsidRPr="004C651D">
        <w:rPr>
          <w:szCs w:val="20"/>
        </w:rPr>
        <w:t xml:space="preserve">There are </w:t>
      </w:r>
      <w:r w:rsidR="00BA29DE" w:rsidRPr="004C651D">
        <w:rPr>
          <w:szCs w:val="20"/>
        </w:rPr>
        <w:t>eight</w:t>
      </w:r>
      <w:r w:rsidR="004B1933" w:rsidRPr="004C651D">
        <w:rPr>
          <w:szCs w:val="20"/>
        </w:rPr>
        <w:t xml:space="preserve"> (</w:t>
      </w:r>
      <w:r w:rsidR="00BA29DE" w:rsidRPr="004C651D">
        <w:rPr>
          <w:szCs w:val="20"/>
        </w:rPr>
        <w:t>8</w:t>
      </w:r>
      <w:r w:rsidR="004B1933" w:rsidRPr="004C651D">
        <w:rPr>
          <w:szCs w:val="20"/>
        </w:rPr>
        <w:t>)</w:t>
      </w:r>
      <w:r w:rsidRPr="004C651D">
        <w:rPr>
          <w:szCs w:val="20"/>
        </w:rPr>
        <w:t xml:space="preserve"> markets for contingency services in FCAS, including</w:t>
      </w:r>
      <w:r w:rsidR="00BA29DE" w:rsidRPr="004C651D">
        <w:rPr>
          <w:szCs w:val="20"/>
        </w:rPr>
        <w:t xml:space="preserve"> </w:t>
      </w:r>
      <w:r w:rsidR="00BA29DE" w:rsidRPr="004C651D">
        <w:rPr>
          <w:i/>
          <w:szCs w:val="20"/>
        </w:rPr>
        <w:t>i</w:t>
      </w:r>
      <w:r w:rsidR="00BA29DE" w:rsidRPr="004C651D">
        <w:rPr>
          <w:szCs w:val="20"/>
        </w:rPr>
        <w:t>) Very fast frequency response (&lt;2 seconds)</w:t>
      </w:r>
      <w:r w:rsidRPr="004C651D">
        <w:rPr>
          <w:szCs w:val="20"/>
        </w:rPr>
        <w:t xml:space="preserve"> </w:t>
      </w:r>
      <w:r w:rsidRPr="004C651D">
        <w:rPr>
          <w:i/>
          <w:szCs w:val="20"/>
        </w:rPr>
        <w:t>i</w:t>
      </w:r>
      <w:r w:rsidR="00BA29DE" w:rsidRPr="004C651D">
        <w:rPr>
          <w:i/>
          <w:szCs w:val="20"/>
        </w:rPr>
        <w:t>i</w:t>
      </w:r>
      <w:r w:rsidRPr="004C651D">
        <w:rPr>
          <w:szCs w:val="20"/>
        </w:rPr>
        <w:t xml:space="preserve">) Fast raise/lower (6 seconds), </w:t>
      </w:r>
      <w:r w:rsidRPr="004C651D">
        <w:rPr>
          <w:i/>
          <w:szCs w:val="20"/>
        </w:rPr>
        <w:t>i</w:t>
      </w:r>
      <w:r w:rsidR="00BA29DE" w:rsidRPr="004C651D">
        <w:rPr>
          <w:i/>
          <w:szCs w:val="20"/>
        </w:rPr>
        <w:t>i</w:t>
      </w:r>
      <w:r w:rsidRPr="004C651D">
        <w:rPr>
          <w:i/>
          <w:szCs w:val="20"/>
        </w:rPr>
        <w:t>i</w:t>
      </w:r>
      <w:r w:rsidRPr="004C651D">
        <w:rPr>
          <w:szCs w:val="20"/>
        </w:rPr>
        <w:t xml:space="preserve">) Slow raise/lower (60 seconds) and </w:t>
      </w:r>
      <w:r w:rsidRPr="004C651D">
        <w:rPr>
          <w:i/>
          <w:szCs w:val="20"/>
        </w:rPr>
        <w:t>i</w:t>
      </w:r>
      <w:r w:rsidR="00BA29DE" w:rsidRPr="004C651D">
        <w:rPr>
          <w:i/>
          <w:szCs w:val="20"/>
        </w:rPr>
        <w:t>v</w:t>
      </w:r>
      <w:r w:rsidRPr="004C651D">
        <w:rPr>
          <w:szCs w:val="20"/>
        </w:rPr>
        <w:t xml:space="preserve">) Delayed raise/lower (5 minutes). </w:t>
      </w:r>
    </w:p>
    <w:p w14:paraId="4EA99E17" w14:textId="32DC94DA" w:rsidR="007F2D36" w:rsidRPr="004C651D" w:rsidRDefault="0040289E" w:rsidP="007F2D36">
      <w:pPr>
        <w:rPr>
          <w:szCs w:val="20"/>
        </w:rPr>
      </w:pPr>
      <w:r w:rsidRPr="004C651D">
        <w:rPr>
          <w:szCs w:val="20"/>
        </w:rPr>
        <w:t>The “very fast frequency response”</w:t>
      </w:r>
      <w:r w:rsidR="009A4F56">
        <w:rPr>
          <w:szCs w:val="20"/>
        </w:rPr>
        <w:t xml:space="preserve"> rule change</w:t>
      </w:r>
      <w:r w:rsidRPr="004C651D">
        <w:rPr>
          <w:szCs w:val="20"/>
        </w:rPr>
        <w:t xml:space="preserve"> </w:t>
      </w:r>
      <w:r w:rsidR="00144BE8">
        <w:rPr>
          <w:szCs w:val="20"/>
        </w:rPr>
        <w:t xml:space="preserve">was recently </w:t>
      </w:r>
      <w:r w:rsidR="009A4F56">
        <w:rPr>
          <w:szCs w:val="20"/>
        </w:rPr>
        <w:t>determined by the AEMC</w:t>
      </w:r>
      <w:r w:rsidRPr="004C651D">
        <w:rPr>
          <w:szCs w:val="20"/>
        </w:rPr>
        <w:t xml:space="preserve"> </w:t>
      </w:r>
      <w:r w:rsidR="00C07D9B" w:rsidRPr="004C651D">
        <w:rPr>
          <w:szCs w:val="20"/>
        </w:rPr>
        <w:t xml:space="preserve">to react the emerging battery technology in the generation and transmission side. However, there is still </w:t>
      </w:r>
      <w:r w:rsidR="000A7DE0" w:rsidRPr="004C651D">
        <w:rPr>
          <w:szCs w:val="20"/>
        </w:rPr>
        <w:t xml:space="preserve">a question </w:t>
      </w:r>
      <w:r w:rsidR="000A7DE0" w:rsidRPr="0007366B">
        <w:rPr>
          <w:szCs w:val="20"/>
        </w:rPr>
        <w:t>on</w:t>
      </w:r>
      <w:r w:rsidR="007F2D36" w:rsidRPr="0007366B">
        <w:rPr>
          <w:szCs w:val="20"/>
        </w:rPr>
        <w:t xml:space="preserve"> “</w:t>
      </w:r>
      <w:r w:rsidR="004B1933" w:rsidRPr="0007366B">
        <w:rPr>
          <w:szCs w:val="20"/>
        </w:rPr>
        <w:t>ho</w:t>
      </w:r>
      <w:r w:rsidR="007F2D36" w:rsidRPr="0007366B">
        <w:rPr>
          <w:szCs w:val="20"/>
        </w:rPr>
        <w:t>w should these services be re-tuned for a VRE-dominant grid?”.</w:t>
      </w:r>
      <w:r w:rsidR="004D0681">
        <w:rPr>
          <w:szCs w:val="20"/>
        </w:rPr>
        <w:t xml:space="preserve"> This is the question that a research </w:t>
      </w:r>
      <w:r w:rsidR="00422431">
        <w:rPr>
          <w:szCs w:val="20"/>
        </w:rPr>
        <w:t>on</w:t>
      </w:r>
      <w:r w:rsidR="00977EA0">
        <w:rPr>
          <w:szCs w:val="20"/>
        </w:rPr>
        <w:t xml:space="preserve"> future</w:t>
      </w:r>
      <w:r w:rsidR="00422431">
        <w:rPr>
          <w:szCs w:val="20"/>
        </w:rPr>
        <w:t xml:space="preserve"> frequency support services in the Australian grid needs to address. There</w:t>
      </w:r>
      <w:r w:rsidR="00977EA0">
        <w:rPr>
          <w:szCs w:val="20"/>
        </w:rPr>
        <w:t xml:space="preserve"> are results from other countries that may help us better understanding the context. For example,</w:t>
      </w:r>
      <w:r w:rsidR="007F2D36" w:rsidRPr="004C651D">
        <w:rPr>
          <w:szCs w:val="20"/>
        </w:rPr>
        <w:t xml:space="preserve"> the Electric Reliability Council of Texas (ERCOT), US, has proposed a new ancillary service market shown in </w:t>
      </w:r>
      <w:r w:rsidR="000A7DE0" w:rsidRPr="004C651D">
        <w:rPr>
          <w:szCs w:val="20"/>
        </w:rPr>
        <w:t>f</w:t>
      </w:r>
      <w:r w:rsidR="007F2D36" w:rsidRPr="004C651D">
        <w:rPr>
          <w:szCs w:val="20"/>
        </w:rPr>
        <w:t>ig</w:t>
      </w:r>
      <w:r w:rsidR="000A7DE0" w:rsidRPr="004C651D">
        <w:rPr>
          <w:szCs w:val="20"/>
        </w:rPr>
        <w:t>ure</w:t>
      </w:r>
      <w:r w:rsidR="007F2D36" w:rsidRPr="004C651D">
        <w:rPr>
          <w:szCs w:val="20"/>
        </w:rPr>
        <w:t xml:space="preserve"> </w:t>
      </w:r>
      <w:r w:rsidR="000A7DE0" w:rsidRPr="004C651D">
        <w:rPr>
          <w:szCs w:val="20"/>
        </w:rPr>
        <w:t>5</w:t>
      </w:r>
      <w:r w:rsidR="007F2D36" w:rsidRPr="004C651D">
        <w:rPr>
          <w:szCs w:val="20"/>
        </w:rPr>
        <w:t xml:space="preserve">. In this framework, Regulation services remains unchanged. It calculates load frequency control (LFC) commands based on </w:t>
      </w:r>
      <w:r w:rsidR="00B35AE5" w:rsidRPr="004C651D">
        <w:rPr>
          <w:szCs w:val="20"/>
        </w:rPr>
        <w:t xml:space="preserve">a cumulative frequency error </w:t>
      </w:r>
      <w:r w:rsidR="007F2D36" w:rsidRPr="004C651D">
        <w:rPr>
          <w:szCs w:val="20"/>
        </w:rPr>
        <w:t xml:space="preserve">and 5-minute net-load changes and sends it to generator governors every four seconds. </w:t>
      </w:r>
    </w:p>
    <w:p w14:paraId="3CC63034" w14:textId="77777777" w:rsidR="00FB6C13" w:rsidRDefault="00FB6C13" w:rsidP="00FB6C13">
      <w:pPr>
        <w:jc w:val="center"/>
      </w:pPr>
      <w:r>
        <w:rPr>
          <w:noProof/>
        </w:rPr>
        <w:drawing>
          <wp:inline distT="0" distB="0" distL="0" distR="0" wp14:anchorId="584EBB29" wp14:editId="6044242E">
            <wp:extent cx="5727700" cy="2806700"/>
            <wp:effectExtent l="0" t="0" r="6350" b="0"/>
            <wp:docPr id="10" name="Picture 10" descr="In order to accommodate more RES in the grid, ERCOT has introduced new contingency reserve services and also reduced the non-spin reserve from 2,361 to 1,180 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n order to accommodate more RES in the grid, ERCOT has introduced new contingency reserve services and also reduced the non-spin reserve from 2,361 to 1,180 MW."/>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27700" cy="2806700"/>
                    </a:xfrm>
                    <a:prstGeom prst="rect">
                      <a:avLst/>
                    </a:prstGeom>
                    <a:noFill/>
                    <a:ln>
                      <a:noFill/>
                    </a:ln>
                  </pic:spPr>
                </pic:pic>
              </a:graphicData>
            </a:graphic>
          </wp:inline>
        </w:drawing>
      </w:r>
    </w:p>
    <w:p w14:paraId="2AC495CC" w14:textId="2620CC80" w:rsidR="00FB6C13" w:rsidRPr="00620A1C" w:rsidRDefault="00FB6C13" w:rsidP="00E26C21">
      <w:pPr>
        <w:pStyle w:val="FigureCaption"/>
        <w:rPr>
          <w:sz w:val="18"/>
          <w:szCs w:val="18"/>
        </w:rPr>
      </w:pPr>
      <w:bookmarkStart w:id="21" w:name="_Toc81571323"/>
      <w:r w:rsidRPr="00620A1C">
        <w:t xml:space="preserve">Figure 5. ERCOT ancillary services framework </w:t>
      </w:r>
      <w:r w:rsidRPr="00620A1C">
        <w:fldChar w:fldCharType="begin"/>
      </w:r>
      <w:r w:rsidR="004270B7">
        <w:instrText xml:space="preserve"> ADDIN EN.CITE &lt;EndNote&gt;&lt;Cite&gt;&lt;Author&gt;Du&lt;/Author&gt;&lt;Year&gt;2020&lt;/Year&gt;&lt;RecNum&gt;58&lt;/RecNum&gt;&lt;DisplayText&gt;[33]&lt;/DisplayText&gt;&lt;record&gt;&lt;rec-number&gt;58&lt;/rec-number&gt;&lt;foreign-keys&gt;&lt;key app="EN" db-id="dsezaaaxf5z9dte9xeovfea50xe9wdtdapd9" timestamp="1623742514"&gt;58&lt;/key&gt;&lt;key app="ENWeb" db-id=""&gt;0&lt;/key&gt;&lt;/foreign-keys&gt;&lt;ref-type name="Journal Article"&gt;17&lt;/ref-type&gt;&lt;contributors&gt;&lt;authors&gt;&lt;author&gt;Du, Pengwei&lt;/author&gt;&lt;author&gt;Mago, Nitika V.&lt;/author&gt;&lt;author&gt;Li, Weifeng&lt;/author&gt;&lt;author&gt;Sharma, Sandip&lt;/author&gt;&lt;author&gt;Hu, Qinran&lt;/author&gt;&lt;author&gt;Ding, Tao&lt;/author&gt;&lt;/authors&gt;&lt;/contributors&gt;&lt;titles&gt;&lt;title&gt;New Ancillary Service Market for ERCOT&lt;/title&gt;&lt;secondary-title&gt;IEEE Access&lt;/secondary-title&gt;&lt;/titles&gt;&lt;periodical&gt;&lt;full-title&gt;IEEE Access&lt;/full-title&gt;&lt;/periodical&gt;&lt;pages&gt;178391-178401&lt;/pages&gt;&lt;volume&gt;8&lt;/volume&gt;&lt;section&gt;178391&lt;/section&gt;&lt;dates&gt;&lt;year&gt;2020&lt;/year&gt;&lt;/dates&gt;&lt;isbn&gt;2169-3536&lt;/isbn&gt;&lt;urls&gt;&lt;/urls&gt;&lt;electronic-resource-num&gt;10.1109/access.2020.3027722&lt;/electronic-resource-num&gt;&lt;/record&gt;&lt;/Cite&gt;&lt;/EndNote&gt;</w:instrText>
      </w:r>
      <w:r w:rsidRPr="00620A1C">
        <w:fldChar w:fldCharType="separate"/>
      </w:r>
      <w:r w:rsidR="004270B7">
        <w:rPr>
          <w:noProof/>
        </w:rPr>
        <w:t>[33]</w:t>
      </w:r>
      <w:r w:rsidRPr="00620A1C">
        <w:fldChar w:fldCharType="end"/>
      </w:r>
      <w:r w:rsidRPr="00620A1C">
        <w:t>.</w:t>
      </w:r>
      <w:bookmarkEnd w:id="21"/>
    </w:p>
    <w:p w14:paraId="24C33255" w14:textId="77777777" w:rsidR="00FB6C13" w:rsidRDefault="00FB6C13" w:rsidP="00FB6C13"/>
    <w:p w14:paraId="5C22AE26" w14:textId="7E411ADF" w:rsidR="007F2D36" w:rsidRPr="00620A1C" w:rsidRDefault="007F2D36" w:rsidP="007F2D36">
      <w:r w:rsidRPr="00620A1C">
        <w:rPr>
          <w:szCs w:val="20"/>
        </w:rPr>
        <w:t xml:space="preserve">Fast Frequency Response (FFR) includes resources which can provide their full capacity as fast as 15 cycles from the request deployment. It should work very fast to prevent them from being triggered at an earlier frequency than load shedding under-frequency relays. Once FFR is deployed, it should sustain </w:t>
      </w:r>
      <w:r w:rsidRPr="00620A1C">
        <w:rPr>
          <w:szCs w:val="20"/>
        </w:rPr>
        <w:lastRenderedPageBreak/>
        <w:t xml:space="preserve">for a specific time, 15 minutes for the ERCOT, and contribute in the system recovery. In other words, </w:t>
      </w:r>
      <w:r w:rsidRPr="00E84B45">
        <w:rPr>
          <w:szCs w:val="20"/>
        </w:rPr>
        <w:t>an FFR resource should answer three how’s: How much, how fast and how long</w:t>
      </w:r>
      <w:r w:rsidRPr="00620A1C">
        <w:rPr>
          <w:szCs w:val="20"/>
        </w:rPr>
        <w:t xml:space="preserve"> </w:t>
      </w:r>
      <w:r w:rsidRPr="00620A1C">
        <w:rPr>
          <w:szCs w:val="20"/>
        </w:rPr>
        <w:fldChar w:fldCharType="begin"/>
      </w:r>
      <w:r w:rsidR="004270B7">
        <w:rPr>
          <w:szCs w:val="20"/>
        </w:rPr>
        <w:instrText xml:space="preserve"> ADDIN EN.CITE &lt;EndNote&gt;&lt;Cite&gt;&lt;Author&gt;Denholm&lt;/Author&gt;&lt;Year&gt;2019&lt;/Year&gt;&lt;RecNum&gt;59&lt;/RecNum&gt;&lt;DisplayText&gt;[7]&lt;/DisplayText&gt;&lt;record&gt;&lt;rec-number&gt;59&lt;/rec-number&gt;&lt;foreign-keys&gt;&lt;key app="EN" db-id="dsezaaaxf5z9dte9xeovfea50xe9wdtdapd9" timestamp="1623800846"&gt;59&lt;/key&gt;&lt;key app="ENWeb" db-id=""&gt;0&lt;/key&gt;&lt;/foreign-keys&gt;&lt;ref-type name="Report"&gt;27&lt;/ref-type&gt;&lt;contributors&gt;&lt;authors&gt;&lt;author&gt;Denholm, Paul,&lt;/author&gt;&lt;author&gt;Yinong Sun,&lt;/author&gt;&lt;author&gt;Trieu Ma,&lt;/author&gt;&lt;/authors&gt;&lt;/contributors&gt;&lt;titles&gt;&lt;title&gt;An Introduction to Grid Services: Concepts, Technical Requirements, and Provision from Wind&lt;/title&gt;&lt;/titles&gt;&lt;dates&gt;&lt;year&gt;2019&lt;/year&gt;&lt;/dates&gt;&lt;publisher&gt;National Renewable Energy Laboratory. NREL/TP-6A20-72578.&lt;/publisher&gt;&lt;urls&gt;&lt;/urls&gt;&lt;/record&gt;&lt;/Cite&gt;&lt;/EndNote&gt;</w:instrText>
      </w:r>
      <w:r w:rsidRPr="00620A1C">
        <w:rPr>
          <w:szCs w:val="20"/>
        </w:rPr>
        <w:fldChar w:fldCharType="separate"/>
      </w:r>
      <w:r w:rsidR="004270B7">
        <w:rPr>
          <w:noProof/>
          <w:szCs w:val="20"/>
        </w:rPr>
        <w:t>[7]</w:t>
      </w:r>
      <w:r w:rsidRPr="00620A1C">
        <w:rPr>
          <w:szCs w:val="20"/>
        </w:rPr>
        <w:fldChar w:fldCharType="end"/>
      </w:r>
      <w:r w:rsidRPr="00620A1C">
        <w:rPr>
          <w:szCs w:val="20"/>
        </w:rPr>
        <w:t>. NREL also suggest</w:t>
      </w:r>
      <w:r w:rsidR="00F01048" w:rsidRPr="00620A1C">
        <w:rPr>
          <w:szCs w:val="20"/>
        </w:rPr>
        <w:t>s</w:t>
      </w:r>
      <w:r w:rsidRPr="00620A1C">
        <w:rPr>
          <w:szCs w:val="20"/>
        </w:rPr>
        <w:t xml:space="preserve"> modern wind turbines as a candidate for the provision of an FFR product. They can perform a pre-curtailment, i.e. reducing the output of the wind turbine below what it could provide, whenever energy price is less than the reserve price. In this case, they are in stand-by mode for any increase in the demand.</w:t>
      </w:r>
    </w:p>
    <w:p w14:paraId="24B2CCFD" w14:textId="70CF8454" w:rsidR="00267CB5" w:rsidRDefault="00267CB5" w:rsidP="00267CB5">
      <w:pPr>
        <w:jc w:val="center"/>
      </w:pPr>
      <w:r>
        <w:rPr>
          <w:noProof/>
        </w:rPr>
        <w:drawing>
          <wp:inline distT="0" distB="0" distL="0" distR="0" wp14:anchorId="10AE7F01" wp14:editId="05D1B965">
            <wp:extent cx="4922188" cy="4535001"/>
            <wp:effectExtent l="0" t="0" r="0" b="0"/>
            <wp:docPr id="4" name="Picture 4" descr="Wind power plants can contribute to the inertia of the grid if a derivative action is added to their normal droop frequency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ind power plants can contribute to the inertia of the grid if a derivative action is added to their normal droop frequency control."/>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930148" cy="4542335"/>
                    </a:xfrm>
                    <a:prstGeom prst="rect">
                      <a:avLst/>
                    </a:prstGeom>
                  </pic:spPr>
                </pic:pic>
              </a:graphicData>
            </a:graphic>
          </wp:inline>
        </w:drawing>
      </w:r>
    </w:p>
    <w:p w14:paraId="641490DC" w14:textId="3B466824" w:rsidR="00267CB5" w:rsidRPr="00620A1C" w:rsidRDefault="00267CB5" w:rsidP="00E26C21">
      <w:pPr>
        <w:pStyle w:val="FigureCaption"/>
      </w:pPr>
      <w:bookmarkStart w:id="22" w:name="_Toc81571324"/>
      <w:r w:rsidRPr="00620A1C">
        <w:t xml:space="preserve">Figure 6. a) Implementation of virtual inertia in wind power plants, and b) Impact of virtual inertia on frequency oscillations </w:t>
      </w:r>
      <w:r w:rsidRPr="00620A1C">
        <w:fldChar w:fldCharType="begin"/>
      </w:r>
      <w:r w:rsidR="004270B7">
        <w:instrText xml:space="preserve"> ADDIN EN.CITE &lt;EndNote&gt;&lt;Cite&gt;&lt;Author&gt;Dominguez López&lt;/Author&gt;&lt;Year&gt;2017&lt;/Year&gt;&lt;RecNum&gt;42&lt;/RecNum&gt;&lt;DisplayText&gt;[34]&lt;/DisplayText&gt;&lt;record&gt;&lt;rec-number&gt;42&lt;/rec-number&gt;&lt;foreign-keys&gt;&lt;key app="EN" db-id="dsezaaaxf5z9dte9xeovfea50xe9wdtdapd9" timestamp="1622614381"&gt;42&lt;/key&gt;&lt;/foreign-keys&gt;&lt;ref-type name="Thesis"&gt;32&lt;/ref-type&gt;&lt;contributors&gt;&lt;authors&gt;&lt;author&gt;Dominguez López, Guillermo&lt;/author&gt;&lt;/authors&gt;&lt;/contributors&gt;&lt;titles&gt;&lt;title&gt;Frequency control in power systems without must-run units&lt;/title&gt;&lt;/titles&gt;&lt;dates&gt;&lt;year&gt;2017&lt;/year&gt;&lt;/dates&gt;&lt;publisher&gt;Universitat Politècnica de Catalunya&lt;/publisher&gt;&lt;urls&gt;&lt;/urls&gt;&lt;/record&gt;&lt;/Cite&gt;&lt;/EndNote&gt;</w:instrText>
      </w:r>
      <w:r w:rsidRPr="00620A1C">
        <w:fldChar w:fldCharType="separate"/>
      </w:r>
      <w:r w:rsidR="004270B7">
        <w:rPr>
          <w:noProof/>
        </w:rPr>
        <w:t>[34]</w:t>
      </w:r>
      <w:r w:rsidRPr="00620A1C">
        <w:fldChar w:fldCharType="end"/>
      </w:r>
      <w:r w:rsidRPr="00620A1C">
        <w:t>.</w:t>
      </w:r>
      <w:bookmarkEnd w:id="22"/>
    </w:p>
    <w:p w14:paraId="43F5C8D0" w14:textId="77777777" w:rsidR="00620A1C" w:rsidRDefault="00620A1C" w:rsidP="007F2D36">
      <w:pPr>
        <w:rPr>
          <w:szCs w:val="20"/>
        </w:rPr>
      </w:pPr>
    </w:p>
    <w:p w14:paraId="75150A08" w14:textId="53C5EF83" w:rsidR="007F2D36" w:rsidRPr="00620A1C" w:rsidRDefault="007F2D36" w:rsidP="007F2D36">
      <w:pPr>
        <w:rPr>
          <w:szCs w:val="20"/>
        </w:rPr>
      </w:pPr>
      <w:r w:rsidRPr="00620A1C">
        <w:rPr>
          <w:szCs w:val="20"/>
        </w:rPr>
        <w:t xml:space="preserve">Performance of an FFR resource can be evaluated using the following metric </w:t>
      </w:r>
      <w:r w:rsidRPr="00620A1C">
        <w:rPr>
          <w:szCs w:val="20"/>
        </w:rPr>
        <w:fldChar w:fldCharType="begin"/>
      </w:r>
      <w:r w:rsidR="004270B7">
        <w:rPr>
          <w:szCs w:val="20"/>
        </w:rPr>
        <w:instrText xml:space="preserve"> ADDIN EN.CITE &lt;EndNote&gt;&lt;Cite&gt;&lt;Author&gt;Du&lt;/Author&gt;&lt;Year&gt;2020&lt;/Year&gt;&lt;RecNum&gt;58&lt;/RecNum&gt;&lt;DisplayText&gt;[33]&lt;/DisplayText&gt;&lt;record&gt;&lt;rec-number&gt;58&lt;/rec-number&gt;&lt;foreign-keys&gt;&lt;key app="EN" db-id="dsezaaaxf5z9dte9xeovfea50xe9wdtdapd9" timestamp="1623742514"&gt;58&lt;/key&gt;&lt;key app="ENWeb" db-id=""&gt;0&lt;/key&gt;&lt;/foreign-keys&gt;&lt;ref-type name="Journal Article"&gt;17&lt;/ref-type&gt;&lt;contributors&gt;&lt;authors&gt;&lt;author&gt;Du, Pengwei&lt;/author&gt;&lt;author&gt;Mago, Nitika V.&lt;/author&gt;&lt;author&gt;Li, Weifeng&lt;/author&gt;&lt;author&gt;Sharma, Sandip&lt;/author&gt;&lt;author&gt;Hu, Qinran&lt;/author&gt;&lt;author&gt;Ding, Tao&lt;/author&gt;&lt;/authors&gt;&lt;/contributors&gt;&lt;titles&gt;&lt;title&gt;New Ancillary Service Market for ERCOT&lt;/title&gt;&lt;secondary-title&gt;IEEE Access&lt;/secondary-title&gt;&lt;/titles&gt;&lt;periodical&gt;&lt;full-title&gt;IEEE Access&lt;/full-title&gt;&lt;/periodical&gt;&lt;pages&gt;178391-178401&lt;/pages&gt;&lt;volume&gt;8&lt;/volume&gt;&lt;section&gt;178391&lt;/section&gt;&lt;dates&gt;&lt;year&gt;2020&lt;/year&gt;&lt;/dates&gt;&lt;isbn&gt;2169-3536&lt;/isbn&gt;&lt;urls&gt;&lt;/urls&gt;&lt;electronic-resource-num&gt;10.1109/access.2020.3027722&lt;/electronic-resource-num&gt;&lt;/record&gt;&lt;/Cite&gt;&lt;/EndNote&gt;</w:instrText>
      </w:r>
      <w:r w:rsidRPr="00620A1C">
        <w:rPr>
          <w:szCs w:val="20"/>
        </w:rPr>
        <w:fldChar w:fldCharType="separate"/>
      </w:r>
      <w:r w:rsidR="004270B7">
        <w:rPr>
          <w:noProof/>
          <w:szCs w:val="20"/>
        </w:rPr>
        <w:t>[33]</w:t>
      </w:r>
      <w:r w:rsidRPr="00620A1C">
        <w:rPr>
          <w:szCs w:val="20"/>
        </w:rPr>
        <w:fldChar w:fldCharType="end"/>
      </w:r>
      <w:r w:rsidR="004B1933" w:rsidRPr="00620A1C">
        <w:rPr>
          <w:szCs w:val="20"/>
        </w:rPr>
        <w:t>,</w:t>
      </w:r>
    </w:p>
    <w:p w14:paraId="432EDBA1" w14:textId="6129BA45" w:rsidR="007F2D36" w:rsidRPr="00620A1C" w:rsidRDefault="007F2D36" w:rsidP="00237486">
      <w:pPr>
        <w:pStyle w:val="ListParagraph"/>
        <w:numPr>
          <w:ilvl w:val="0"/>
          <w:numId w:val="6"/>
        </w:numPr>
        <w:spacing w:after="0" w:line="240" w:lineRule="auto"/>
        <w:rPr>
          <w:szCs w:val="20"/>
        </w:rPr>
      </w:pPr>
      <w:r w:rsidRPr="00620A1C">
        <w:rPr>
          <w:szCs w:val="20"/>
        </w:rPr>
        <w:t xml:space="preserve">How much time </w:t>
      </w:r>
      <w:r w:rsidR="00EB55EF" w:rsidRPr="00620A1C">
        <w:rPr>
          <w:szCs w:val="20"/>
        </w:rPr>
        <w:t xml:space="preserve">does </w:t>
      </w:r>
      <w:r w:rsidRPr="00620A1C">
        <w:rPr>
          <w:szCs w:val="20"/>
        </w:rPr>
        <w:t>it take for the FFR resource to be deployed once the frequency reaches the threshold?</w:t>
      </w:r>
    </w:p>
    <w:p w14:paraId="77AC79BD" w14:textId="77777777" w:rsidR="007F2D36" w:rsidRPr="00620A1C" w:rsidRDefault="007F2D36" w:rsidP="00237486">
      <w:pPr>
        <w:pStyle w:val="ListParagraph"/>
        <w:numPr>
          <w:ilvl w:val="0"/>
          <w:numId w:val="6"/>
        </w:numPr>
        <w:spacing w:after="0" w:line="240" w:lineRule="auto"/>
        <w:rPr>
          <w:szCs w:val="20"/>
        </w:rPr>
      </w:pPr>
      <w:r w:rsidRPr="00620A1C">
        <w:rPr>
          <w:szCs w:val="20"/>
        </w:rPr>
        <w:t>For how much time shall the FFR resource sustain after deployment?</w:t>
      </w:r>
    </w:p>
    <w:p w14:paraId="2EC74817" w14:textId="77777777" w:rsidR="007F2D36" w:rsidRPr="00620A1C" w:rsidRDefault="007F2D36" w:rsidP="00237486">
      <w:pPr>
        <w:pStyle w:val="ListParagraph"/>
        <w:numPr>
          <w:ilvl w:val="0"/>
          <w:numId w:val="6"/>
        </w:numPr>
        <w:spacing w:after="0" w:line="240" w:lineRule="auto"/>
        <w:rPr>
          <w:szCs w:val="20"/>
        </w:rPr>
      </w:pPr>
      <w:r w:rsidRPr="00620A1C">
        <w:rPr>
          <w:szCs w:val="20"/>
        </w:rPr>
        <w:t>How much does the reset process of the FFR resource take? That means, after a deployment ended, how long does it take for it to get ready for the next deployment?</w:t>
      </w:r>
    </w:p>
    <w:p w14:paraId="6DCF0F4E" w14:textId="50E188E7" w:rsidR="007F2D36" w:rsidRPr="00620A1C" w:rsidRDefault="007F2D36" w:rsidP="007F2D36">
      <w:pPr>
        <w:jc w:val="center"/>
        <w:rPr>
          <w:b/>
          <w:szCs w:val="20"/>
        </w:rPr>
      </w:pPr>
    </w:p>
    <w:p w14:paraId="62079C01" w14:textId="02BD6CE6" w:rsidR="002B32BA" w:rsidRDefault="002B32BA" w:rsidP="002B32BA">
      <w:r w:rsidRPr="00620A1C">
        <w:rPr>
          <w:szCs w:val="20"/>
        </w:rPr>
        <w:t>Fast Frequency Response (FFR), including batteries and appropriate electronic interfaces, can rapidly compensate for the imbalance between generation and consumption. Therefore, it can provide very good flexibility of power for a short time scale</w:t>
      </w:r>
      <w:r w:rsidR="00EE67AE" w:rsidRPr="00620A1C">
        <w:rPr>
          <w:szCs w:val="20"/>
        </w:rPr>
        <w:t xml:space="preserve"> </w:t>
      </w:r>
      <w:r w:rsidR="00EE67AE" w:rsidRPr="00620A1C">
        <w:rPr>
          <w:szCs w:val="20"/>
        </w:rPr>
        <w:fldChar w:fldCharType="begin"/>
      </w:r>
      <w:r w:rsidR="004270B7">
        <w:rPr>
          <w:szCs w:val="20"/>
        </w:rPr>
        <w:instrText xml:space="preserve"> ADDIN EN.CITE &lt;EndNote&gt;&lt;Cite&gt;&lt;Author&gt;Nguyen&lt;/Author&gt;&lt;Year&gt;2018&lt;/Year&gt;&lt;RecNum&gt;66&lt;/RecNum&gt;&lt;DisplayText&gt;[13]&lt;/DisplayText&gt;&lt;record&gt;&lt;rec-number&gt;66&lt;/rec-number&gt;&lt;foreign-keys&gt;&lt;key app="EN" db-id="dsezaaaxf5z9dte9xeovfea50xe9wdtdapd9" timestamp="1624248514"&gt;66&lt;/key&gt;&lt;/foreign-keys&gt;&lt;ref-type name="Journal Article"&gt;17&lt;/ref-type&gt;&lt;contributors&gt;&lt;authors&gt;&lt;author&gt;Nguyen, Su&lt;/author&gt;&lt;author&gt;Peng, Wei&lt;/author&gt;&lt;author&gt;Sokolowski, Peter&lt;/author&gt;&lt;author&gt;Alahakoon, Damminda&lt;/author&gt;&lt;author&gt;Yu, Xinghuo %J Applied Energy&lt;/author&gt;&lt;/authors&gt;&lt;/contributors&gt;&lt;titles&gt;&lt;title&gt;Optimizing rooftop photovoltaic distributed generation with battery storage for peer-to-peer energy trading&lt;/title&gt;&lt;/titles&gt;&lt;pages&gt;2567-2580&lt;/pages&gt;&lt;volume&gt;228&lt;/volume&gt;&lt;dates&gt;&lt;year&gt;2018&lt;/year&gt;&lt;/dates&gt;&lt;isbn&gt;0306-2619&lt;/isbn&gt;&lt;urls&gt;&lt;/urls&gt;&lt;/record&gt;&lt;/Cite&gt;&lt;/EndNote&gt;</w:instrText>
      </w:r>
      <w:r w:rsidR="00EE67AE" w:rsidRPr="00620A1C">
        <w:rPr>
          <w:szCs w:val="20"/>
        </w:rPr>
        <w:fldChar w:fldCharType="separate"/>
      </w:r>
      <w:r w:rsidR="004270B7">
        <w:rPr>
          <w:noProof/>
          <w:szCs w:val="20"/>
        </w:rPr>
        <w:t>[13]</w:t>
      </w:r>
      <w:r w:rsidR="00EE67AE" w:rsidRPr="00620A1C">
        <w:rPr>
          <w:szCs w:val="20"/>
        </w:rPr>
        <w:fldChar w:fldCharType="end"/>
      </w:r>
      <w:r w:rsidRPr="00620A1C">
        <w:rPr>
          <w:szCs w:val="20"/>
        </w:rPr>
        <w:t>.</w:t>
      </w:r>
      <w:r w:rsidR="00D42E31" w:rsidRPr="00620A1C">
        <w:rPr>
          <w:szCs w:val="20"/>
        </w:rPr>
        <w:t xml:space="preserve"> </w:t>
      </w:r>
      <w:r w:rsidRPr="00620A1C">
        <w:rPr>
          <w:szCs w:val="20"/>
        </w:rPr>
        <w:t>Virtual inertia</w:t>
      </w:r>
      <w:r w:rsidR="00D1713C" w:rsidRPr="00620A1C">
        <w:rPr>
          <w:szCs w:val="20"/>
        </w:rPr>
        <w:t xml:space="preserve"> control (i.e. df/dt based controllers</w:t>
      </w:r>
      <w:r w:rsidR="00430F8C" w:rsidRPr="00620A1C">
        <w:rPr>
          <w:szCs w:val="20"/>
        </w:rPr>
        <w:t>)</w:t>
      </w:r>
      <w:r w:rsidRPr="00620A1C">
        <w:rPr>
          <w:szCs w:val="20"/>
        </w:rPr>
        <w:t xml:space="preserve"> can also damp oscillations in networks with VRE</w:t>
      </w:r>
      <w:r w:rsidR="00C9307D" w:rsidRPr="00620A1C">
        <w:rPr>
          <w:szCs w:val="20"/>
        </w:rPr>
        <w:t xml:space="preserve"> </w:t>
      </w:r>
      <w:r w:rsidR="00CE7EFB" w:rsidRPr="00620A1C">
        <w:rPr>
          <w:szCs w:val="20"/>
        </w:rPr>
        <w:fldChar w:fldCharType="begin"/>
      </w:r>
      <w:r w:rsidR="004270B7">
        <w:rPr>
          <w:szCs w:val="20"/>
        </w:rPr>
        <w:instrText xml:space="preserve"> ADDIN EN.CITE &lt;EndNote&gt;&lt;Cite&gt;&lt;Author&gt;Tan&lt;/Author&gt;&lt;Year&gt;2015&lt;/Year&gt;&lt;RecNum&gt;314&lt;/RecNum&gt;&lt;DisplayText&gt;[35]&lt;/DisplayText&gt;&lt;record&gt;&lt;rec-number&gt;314&lt;/rec-number&gt;&lt;foreign-keys&gt;&lt;key app="EN" db-id="dsezaaaxf5z9dte9xeovfea50xe9wdtdapd9" timestamp="1630387792"&gt;314&lt;/key&gt;&lt;/foreign-keys&gt;&lt;ref-type name="Journal Article"&gt;17&lt;/ref-type&gt;&lt;contributors&gt;&lt;authors&gt;&lt;author&gt;Tan, Yingjie&lt;/author&gt;&lt;author&gt;Meegahapola, Lasantha&lt;/author&gt;&lt;author&gt;Muttaqi, Kashem M&lt;/author&gt;&lt;/authors&gt;&lt;/contributors&gt;&lt;titles&gt;&lt;title&gt;A suboptimal power-point-tracking-based primary frequency response strategy for DFIGs in hybrid remote area power supply systems&lt;/title&gt;&lt;secondary-title&gt;IEEE Transactions on Energy Conversion&lt;/secondary-title&gt;&lt;/titles&gt;&lt;periodical&gt;&lt;full-title&gt;IEEE Transactions on Energy Conversion&lt;/full-title&gt;&lt;/periodical&gt;&lt;pages&gt;93-105&lt;/pages&gt;&lt;volume&gt;31&lt;/volume&gt;&lt;number&gt;1&lt;/number&gt;&lt;dates&gt;&lt;year&gt;2015&lt;/year&gt;&lt;/dates&gt;&lt;isbn&gt;0885-8969&lt;/isbn&gt;&lt;urls&gt;&lt;/urls&gt;&lt;/record&gt;&lt;/Cite&gt;&lt;/EndNote&gt;</w:instrText>
      </w:r>
      <w:r w:rsidR="00CE7EFB" w:rsidRPr="00620A1C">
        <w:rPr>
          <w:szCs w:val="20"/>
        </w:rPr>
        <w:fldChar w:fldCharType="separate"/>
      </w:r>
      <w:r w:rsidR="004270B7">
        <w:rPr>
          <w:noProof/>
          <w:szCs w:val="20"/>
        </w:rPr>
        <w:t>[35]</w:t>
      </w:r>
      <w:r w:rsidR="00CE7EFB" w:rsidRPr="00620A1C">
        <w:rPr>
          <w:szCs w:val="20"/>
        </w:rPr>
        <w:fldChar w:fldCharType="end"/>
      </w:r>
      <w:r w:rsidRPr="00620A1C">
        <w:rPr>
          <w:szCs w:val="20"/>
        </w:rPr>
        <w:t xml:space="preserve">. It </w:t>
      </w:r>
      <w:r w:rsidR="00320F65" w:rsidRPr="00620A1C">
        <w:rPr>
          <w:szCs w:val="20"/>
        </w:rPr>
        <w:t>could be</w:t>
      </w:r>
      <w:r w:rsidRPr="00620A1C">
        <w:rPr>
          <w:szCs w:val="20"/>
        </w:rPr>
        <w:t xml:space="preserve"> implemented as a complementary component to the traditional droop controller of wind power plants </w:t>
      </w:r>
      <w:r w:rsidR="00320F65" w:rsidRPr="00620A1C">
        <w:rPr>
          <w:szCs w:val="20"/>
        </w:rPr>
        <w:t>or as a separate controlle</w:t>
      </w:r>
      <w:r w:rsidR="001D69F5" w:rsidRPr="00620A1C">
        <w:rPr>
          <w:szCs w:val="20"/>
        </w:rPr>
        <w:t>r</w:t>
      </w:r>
      <w:r w:rsidR="00A45F76" w:rsidRPr="00620A1C">
        <w:rPr>
          <w:szCs w:val="20"/>
        </w:rPr>
        <w:t xml:space="preserve"> </w:t>
      </w:r>
      <w:r w:rsidRPr="00620A1C">
        <w:rPr>
          <w:szCs w:val="20"/>
        </w:rPr>
        <w:t xml:space="preserve">(see </w:t>
      </w:r>
      <w:r w:rsidR="00F7155D" w:rsidRPr="00620A1C">
        <w:rPr>
          <w:szCs w:val="20"/>
        </w:rPr>
        <w:t>f</w:t>
      </w:r>
      <w:r w:rsidRPr="00620A1C">
        <w:rPr>
          <w:szCs w:val="20"/>
        </w:rPr>
        <w:t>ig</w:t>
      </w:r>
      <w:r w:rsidR="00F7155D" w:rsidRPr="00620A1C">
        <w:rPr>
          <w:szCs w:val="20"/>
        </w:rPr>
        <w:t>ure</w:t>
      </w:r>
      <w:r w:rsidRPr="00620A1C">
        <w:rPr>
          <w:szCs w:val="20"/>
        </w:rPr>
        <w:t xml:space="preserve"> 6a) </w:t>
      </w:r>
      <w:r w:rsidR="00FE6DD4" w:rsidRPr="00620A1C">
        <w:rPr>
          <w:szCs w:val="20"/>
        </w:rPr>
        <w:fldChar w:fldCharType="begin"/>
      </w:r>
      <w:r w:rsidR="004270B7">
        <w:rPr>
          <w:szCs w:val="20"/>
        </w:rPr>
        <w:instrText xml:space="preserve"> ADDIN EN.CITE &lt;EndNote&gt;&lt;Cite&gt;&lt;Author&gt;Tan&lt;/Author&gt;&lt;Year&gt;2015&lt;/Year&gt;&lt;RecNum&gt;314&lt;/RecNum&gt;&lt;DisplayText&gt;[34, 35]&lt;/DisplayText&gt;&lt;record&gt;&lt;rec-number&gt;314&lt;/rec-number&gt;&lt;foreign-keys&gt;&lt;key app="EN" db-id="dsezaaaxf5z9dte9xeovfea50xe9wdtdapd9" timestamp="1630387792"&gt;314&lt;/key&gt;&lt;/foreign-keys&gt;&lt;ref-type name="Journal Article"&gt;17&lt;/ref-type&gt;&lt;contributors&gt;&lt;authors&gt;&lt;author&gt;Tan, Yingjie&lt;/author&gt;&lt;author&gt;Meegahapola, Lasantha&lt;/author&gt;&lt;author&gt;Muttaqi, Kashem M&lt;/author&gt;&lt;/authors&gt;&lt;/contributors&gt;&lt;titles&gt;&lt;title&gt;A suboptimal power-point-tracking-based primary frequency response strategy for DFIGs in hybrid remote area power supply systems&lt;/title&gt;&lt;secondary-title&gt;IEEE Transactions on Energy Conversion&lt;/secondary-title&gt;&lt;/titles&gt;&lt;periodical&gt;&lt;full-title&gt;IEEE Transactions on Energy Conversion&lt;/full-title&gt;&lt;/periodical&gt;&lt;pages&gt;93-105&lt;/pages&gt;&lt;volume&gt;31&lt;/volume&gt;&lt;number&gt;1&lt;/number&gt;&lt;dates&gt;&lt;year&gt;2015&lt;/year&gt;&lt;/dates&gt;&lt;isbn&gt;0885-8969&lt;/isbn&gt;&lt;urls&gt;&lt;/urls&gt;&lt;/record&gt;&lt;/Cite&gt;&lt;Cite&gt;&lt;Author&gt;Dominguez López&lt;/Author&gt;&lt;Year&gt;2017&lt;/Year&gt;&lt;RecNum&gt;42&lt;/RecNum&gt;&lt;record&gt;&lt;rec-number&gt;42&lt;/rec-number&gt;&lt;foreign-keys&gt;&lt;key app="EN" db-id="dsezaaaxf5z9dte9xeovfea50xe9wdtdapd9" timestamp="1622614381"&gt;42&lt;/key&gt;&lt;/foreign-keys&gt;&lt;ref-type name="Thesis"&gt;32&lt;/ref-type&gt;&lt;contributors&gt;&lt;authors&gt;&lt;author&gt;Dominguez López, Guillermo&lt;/author&gt;&lt;/authors&gt;&lt;/contributors&gt;&lt;titles&gt;&lt;title&gt;Frequency control in power systems without must-run units&lt;/title&gt;&lt;/titles&gt;&lt;dates&gt;&lt;year&gt;2017&lt;/year&gt;&lt;/dates&gt;&lt;publisher&gt;Universitat Politècnica de Catalunya&lt;/publisher&gt;&lt;urls&gt;&lt;/urls&gt;&lt;/record&gt;&lt;/Cite&gt;&lt;/EndNote&gt;</w:instrText>
      </w:r>
      <w:r w:rsidR="00FE6DD4" w:rsidRPr="00620A1C">
        <w:rPr>
          <w:szCs w:val="20"/>
        </w:rPr>
        <w:fldChar w:fldCharType="separate"/>
      </w:r>
      <w:r w:rsidR="004270B7">
        <w:rPr>
          <w:noProof/>
          <w:szCs w:val="20"/>
        </w:rPr>
        <w:t>[34, 35]</w:t>
      </w:r>
      <w:r w:rsidR="00FE6DD4" w:rsidRPr="00620A1C">
        <w:rPr>
          <w:szCs w:val="20"/>
        </w:rPr>
        <w:fldChar w:fldCharType="end"/>
      </w:r>
      <w:r w:rsidRPr="00620A1C">
        <w:rPr>
          <w:szCs w:val="20"/>
        </w:rPr>
        <w:t>. Figure 6b shows how the virtual inertia suppresses frequency oscillations cause</w:t>
      </w:r>
      <w:r w:rsidR="009451D4" w:rsidRPr="00620A1C">
        <w:rPr>
          <w:szCs w:val="20"/>
        </w:rPr>
        <w:t>d</w:t>
      </w:r>
      <w:r w:rsidRPr="00620A1C">
        <w:rPr>
          <w:szCs w:val="20"/>
        </w:rPr>
        <w:t xml:space="preserve"> by possible sudden variation in supply or demand. </w:t>
      </w:r>
    </w:p>
    <w:p w14:paraId="458DFD0D" w14:textId="77777777" w:rsidR="001422E3" w:rsidRDefault="001422E3" w:rsidP="001422E3">
      <w:pPr>
        <w:jc w:val="center"/>
      </w:pPr>
      <w:r w:rsidRPr="00C1022E">
        <w:rPr>
          <w:noProof/>
        </w:rPr>
        <w:lastRenderedPageBreak/>
        <w:drawing>
          <wp:inline distT="0" distB="0" distL="0" distR="0" wp14:anchorId="560EFB79" wp14:editId="76BC0F17">
            <wp:extent cx="4458295" cy="2609481"/>
            <wp:effectExtent l="0" t="0" r="0" b="635"/>
            <wp:docPr id="6" name="Picture 6" descr="Batteries can provide services for a large time scale from milliseconds to hours. Faster ones focus on power-based services while slower ones are more energy-based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atteries can provide services for a large time scale from milliseconds to hours. Faster ones focus on power-based services while slower ones are more energy-based service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70889" cy="2616852"/>
                    </a:xfrm>
                    <a:prstGeom prst="rect">
                      <a:avLst/>
                    </a:prstGeom>
                    <a:noFill/>
                    <a:ln>
                      <a:noFill/>
                    </a:ln>
                  </pic:spPr>
                </pic:pic>
              </a:graphicData>
            </a:graphic>
          </wp:inline>
        </w:drawing>
      </w:r>
    </w:p>
    <w:p w14:paraId="32D4511B" w14:textId="6FEA94C7" w:rsidR="00AF64C7" w:rsidRPr="00620A1C" w:rsidRDefault="001422E3" w:rsidP="00E26C21">
      <w:pPr>
        <w:pStyle w:val="FigureCaption"/>
        <w:rPr>
          <w:sz w:val="18"/>
          <w:szCs w:val="18"/>
        </w:rPr>
      </w:pPr>
      <w:bookmarkStart w:id="23" w:name="_Toc81571325"/>
      <w:r w:rsidRPr="00620A1C">
        <w:t>Fig</w:t>
      </w:r>
      <w:r w:rsidR="002103CE" w:rsidRPr="00620A1C">
        <w:t>ure 7</w:t>
      </w:r>
      <w:r w:rsidRPr="00620A1C">
        <w:t xml:space="preserve">. Ancillary services provided by BESS </w:t>
      </w:r>
      <w:r w:rsidR="002103CE" w:rsidRPr="00620A1C">
        <w:fldChar w:fldCharType="begin"/>
      </w:r>
      <w:r w:rsidR="004270B7">
        <w:instrText xml:space="preserve"> ADDIN EN.CITE &lt;EndNote&gt;&lt;Cite&gt;&lt;Author&gt;Izadkhast&lt;/Author&gt;&lt;Year&gt;2017&lt;/Year&gt;&lt;RecNum&gt;296&lt;/RecNum&gt;&lt;DisplayText&gt;[36]&lt;/DisplayText&gt;&lt;record&gt;&lt;rec-number&gt;296&lt;/rec-number&gt;&lt;foreign-keys&gt;&lt;key app="EN" db-id="dsezaaaxf5z9dte9xeovfea50xe9wdtdapd9" timestamp="1629765458"&gt;296&lt;/key&gt;&lt;/foreign-keys&gt;&lt;ref-type name="Journal Article"&gt;17&lt;/ref-type&gt;&lt;contributors&gt;&lt;authors&gt;&lt;author&gt;Izadkhast, Seyedmahdi&lt;/author&gt;&lt;/authors&gt;&lt;/contributors&gt;&lt;titles&gt;&lt;title&gt;Aggregation of plug-in electric vehicles in power systems for primary frequency control&lt;/title&gt;&lt;/titles&gt;&lt;dates&gt;&lt;year&gt;2017&lt;/year&gt;&lt;/dates&gt;&lt;urls&gt;&lt;/urls&gt;&lt;/record&gt;&lt;/Cite&gt;&lt;/EndNote&gt;</w:instrText>
      </w:r>
      <w:r w:rsidR="002103CE" w:rsidRPr="00620A1C">
        <w:fldChar w:fldCharType="separate"/>
      </w:r>
      <w:r w:rsidR="004270B7">
        <w:rPr>
          <w:noProof/>
        </w:rPr>
        <w:t>[36]</w:t>
      </w:r>
      <w:r w:rsidR="002103CE" w:rsidRPr="00620A1C">
        <w:fldChar w:fldCharType="end"/>
      </w:r>
      <w:r w:rsidR="002103CE" w:rsidRPr="00620A1C">
        <w:t>.</w:t>
      </w:r>
      <w:bookmarkEnd w:id="23"/>
    </w:p>
    <w:p w14:paraId="02F1AB11" w14:textId="7D74EC9D" w:rsidR="00975DEE" w:rsidRPr="00620A1C" w:rsidRDefault="00975DEE" w:rsidP="00975DEE">
      <w:r w:rsidRPr="00620A1C">
        <w:rPr>
          <w:szCs w:val="20"/>
        </w:rPr>
        <w:t xml:space="preserve">Battery Energy Storage Systems (BESSs) can also compensate for the effect of prediction errors and optimise the operation of the distribution grid using smart charge/discharge algorithms. Generally, BESSs can provide services in different time-scales (see figure 7) </w:t>
      </w:r>
      <w:r w:rsidRPr="00620A1C">
        <w:rPr>
          <w:szCs w:val="20"/>
        </w:rPr>
        <w:fldChar w:fldCharType="begin"/>
      </w:r>
      <w:r w:rsidR="004270B7">
        <w:rPr>
          <w:szCs w:val="20"/>
        </w:rPr>
        <w:instrText xml:space="preserve"> ADDIN EN.CITE &lt;EndNote&gt;&lt;Cite&gt;&lt;Author&gt;Izadkhast&lt;/Author&gt;&lt;Year&gt;2017&lt;/Year&gt;&lt;RecNum&gt;296&lt;/RecNum&gt;&lt;DisplayText&gt;[36]&lt;/DisplayText&gt;&lt;record&gt;&lt;rec-number&gt;296&lt;/rec-number&gt;&lt;foreign-keys&gt;&lt;key app="EN" db-id="dsezaaaxf5z9dte9xeovfea50xe9wdtdapd9" timestamp="1629765458"&gt;296&lt;/key&gt;&lt;/foreign-keys&gt;&lt;ref-type name="Journal Article"&gt;17&lt;/ref-type&gt;&lt;contributors&gt;&lt;authors&gt;&lt;author&gt;Izadkhast, Seyedmahdi&lt;/author&gt;&lt;/authors&gt;&lt;/contributors&gt;&lt;titles&gt;&lt;title&gt;Aggregation of plug-in electric vehicles in power systems for primary frequency control&lt;/title&gt;&lt;/titles&gt;&lt;dates&gt;&lt;year&gt;2017&lt;/year&gt;&lt;/dates&gt;&lt;urls&gt;&lt;/urls&gt;&lt;/record&gt;&lt;/Cite&gt;&lt;/EndNote&gt;</w:instrText>
      </w:r>
      <w:r w:rsidRPr="00620A1C">
        <w:rPr>
          <w:szCs w:val="20"/>
        </w:rPr>
        <w:fldChar w:fldCharType="separate"/>
      </w:r>
      <w:r w:rsidR="004270B7">
        <w:rPr>
          <w:noProof/>
          <w:szCs w:val="20"/>
        </w:rPr>
        <w:t>[36]</w:t>
      </w:r>
      <w:r w:rsidRPr="00620A1C">
        <w:rPr>
          <w:szCs w:val="20"/>
        </w:rPr>
        <w:fldChar w:fldCharType="end"/>
      </w:r>
      <w:r w:rsidRPr="00620A1C">
        <w:rPr>
          <w:szCs w:val="20"/>
        </w:rPr>
        <w:t xml:space="preserve">. They can support voltage stability and harmonic mitigations thanks to their very fast response times. They can also provide slow services for secondary frequency control or load smoothing. This shows that augmenting BESS into the power grid services needs a comprehensive framework which considers them as a service provide, not only a generation unit like conventional power plants. </w:t>
      </w:r>
    </w:p>
    <w:p w14:paraId="4E564CBD" w14:textId="4CAF9AC3" w:rsidR="00BF5A09" w:rsidRDefault="00824C52" w:rsidP="007F2D36">
      <w:pPr>
        <w:rPr>
          <w:b/>
          <w:bCs/>
        </w:rPr>
      </w:pPr>
      <w:r w:rsidRPr="00824C52">
        <w:t xml:space="preserve"> </w:t>
      </w:r>
      <w:r w:rsidR="00AE44C4">
        <w:object w:dxaOrig="12950" w:dyaOrig="8211" w14:anchorId="5621EF41">
          <v:shape id="_x0000_i1029" type="#_x0000_t75" style="width:450.5pt;height:285.5pt" o:ole="">
            <v:imagedata r:id="rId35" o:title=""/>
          </v:shape>
          <o:OLEObject Type="Embed" ProgID="Visio.Drawing.15" ShapeID="_x0000_i1029" DrawAspect="Content" ObjectID="_1709468172" r:id="rId36"/>
        </w:object>
      </w:r>
    </w:p>
    <w:p w14:paraId="4272B540" w14:textId="421EB79B" w:rsidR="0007158E" w:rsidRPr="00620A1C" w:rsidRDefault="0007158E" w:rsidP="00A02D16">
      <w:pPr>
        <w:pStyle w:val="TableCaption"/>
      </w:pPr>
      <w:bookmarkStart w:id="24" w:name="_Toc83674483"/>
      <w:r>
        <w:t xml:space="preserve">Table </w:t>
      </w:r>
      <w:r w:rsidR="003B57A9">
        <w:t>3</w:t>
      </w:r>
      <w:r>
        <w:t xml:space="preserve">. </w:t>
      </w:r>
      <w:r w:rsidR="00D05262">
        <w:t>Recommendations for the f</w:t>
      </w:r>
      <w:r w:rsidR="00732135">
        <w:t xml:space="preserve">requency support </w:t>
      </w:r>
      <w:r w:rsidR="00634547">
        <w:t>services</w:t>
      </w:r>
      <w:r>
        <w:t>.</w:t>
      </w:r>
      <w:bookmarkEnd w:id="24"/>
    </w:p>
    <w:p w14:paraId="13A2D89F" w14:textId="77777777" w:rsidR="00433DFC" w:rsidRPr="00BB5963" w:rsidRDefault="00433DFC" w:rsidP="00D23182">
      <w:pPr>
        <w:jc w:val="center"/>
      </w:pPr>
    </w:p>
    <w:p w14:paraId="394FF863" w14:textId="6A218624" w:rsidR="007F2D36" w:rsidRPr="003A50DE" w:rsidRDefault="3C37F2E9" w:rsidP="003A50DE">
      <w:pPr>
        <w:pStyle w:val="Heading2"/>
        <w:ind w:left="0" w:firstLine="0"/>
      </w:pPr>
      <w:bookmarkStart w:id="25" w:name="_Toc83674468"/>
      <w:r>
        <w:lastRenderedPageBreak/>
        <w:t>Voltage support services</w:t>
      </w:r>
      <w:bookmarkEnd w:id="25"/>
    </w:p>
    <w:p w14:paraId="4BF8B06D" w14:textId="166A54C3" w:rsidR="007F2D36" w:rsidRPr="00620A1C" w:rsidRDefault="0057483E" w:rsidP="007F2D36">
      <w:pPr>
        <w:rPr>
          <w:szCs w:val="20"/>
        </w:rPr>
      </w:pPr>
      <w:r w:rsidRPr="00620A1C">
        <w:rPr>
          <w:szCs w:val="20"/>
        </w:rPr>
        <w:t>S</w:t>
      </w:r>
      <w:r w:rsidR="007F2D36" w:rsidRPr="00620A1C">
        <w:rPr>
          <w:szCs w:val="20"/>
        </w:rPr>
        <w:t xml:space="preserve">ynchronous generators </w:t>
      </w:r>
      <w:r w:rsidR="00127FB9" w:rsidRPr="00620A1C">
        <w:rPr>
          <w:szCs w:val="20"/>
        </w:rPr>
        <w:t>have been</w:t>
      </w:r>
      <w:r w:rsidR="007F2D36" w:rsidRPr="00620A1C">
        <w:rPr>
          <w:szCs w:val="20"/>
        </w:rPr>
        <w:t xml:space="preserve"> the main device used for </w:t>
      </w:r>
      <w:r w:rsidR="00541FED">
        <w:rPr>
          <w:szCs w:val="20"/>
        </w:rPr>
        <w:t xml:space="preserve">dynamic </w:t>
      </w:r>
      <w:r w:rsidR="007F2D36" w:rsidRPr="00620A1C">
        <w:rPr>
          <w:szCs w:val="20"/>
        </w:rPr>
        <w:t>voltage control</w:t>
      </w:r>
      <w:r w:rsidR="00127FB9" w:rsidRPr="00620A1C">
        <w:rPr>
          <w:szCs w:val="20"/>
        </w:rPr>
        <w:t xml:space="preserve"> in conventional power grids</w:t>
      </w:r>
      <w:r w:rsidR="00541FED">
        <w:rPr>
          <w:szCs w:val="20"/>
        </w:rPr>
        <w:t xml:space="preserve">, in addition to SVCs, STATCOMS and synchronous condensers, </w:t>
      </w:r>
      <w:r w:rsidR="007F2D36" w:rsidRPr="00620A1C">
        <w:rPr>
          <w:szCs w:val="20"/>
        </w:rPr>
        <w:t xml:space="preserve">by injecting/absorbing reactive power as well as contributing in the fault level by injecting high short-circuit currents. </w:t>
      </w:r>
      <w:r w:rsidR="00D05D98" w:rsidRPr="00620A1C">
        <w:rPr>
          <w:szCs w:val="20"/>
        </w:rPr>
        <w:t>Although VRE are weak in voltage support via Volt/Var compensation regime, i</w:t>
      </w:r>
      <w:r w:rsidR="007F2D36" w:rsidRPr="00620A1C">
        <w:rPr>
          <w:szCs w:val="20"/>
        </w:rPr>
        <w:t xml:space="preserve">t </w:t>
      </w:r>
      <w:r w:rsidR="00C0398B" w:rsidRPr="00620A1C">
        <w:rPr>
          <w:szCs w:val="20"/>
        </w:rPr>
        <w:t>ha</w:t>
      </w:r>
      <w:r w:rsidR="007F2D36" w:rsidRPr="00620A1C">
        <w:rPr>
          <w:szCs w:val="20"/>
        </w:rPr>
        <w:t xml:space="preserve">s </w:t>
      </w:r>
      <w:r w:rsidR="00C0398B" w:rsidRPr="00620A1C">
        <w:rPr>
          <w:szCs w:val="20"/>
        </w:rPr>
        <w:t xml:space="preserve">been </w:t>
      </w:r>
      <w:r w:rsidR="007F2D36" w:rsidRPr="00620A1C">
        <w:rPr>
          <w:szCs w:val="20"/>
        </w:rPr>
        <w:t xml:space="preserve">shown that solar-PV systems can compensate for volt-var control scheme, although an appropriate protection scheme is required </w:t>
      </w:r>
      <w:r w:rsidR="007F2D36" w:rsidRPr="00620A1C">
        <w:rPr>
          <w:szCs w:val="20"/>
        </w:rPr>
        <w:fldChar w:fldCharType="begin"/>
      </w:r>
      <w:r w:rsidR="004270B7">
        <w:rPr>
          <w:szCs w:val="20"/>
        </w:rPr>
        <w:instrText xml:space="preserve"> ADDIN EN.CITE &lt;EndNote&gt;&lt;Cite&gt;&lt;Author&gt;Meegahapola&lt;/Author&gt;&lt;Year&gt;2021&lt;/Year&gt;&lt;RecNum&gt;62&lt;/RecNum&gt;&lt;DisplayText&gt;[10]&lt;/DisplayText&gt;&lt;record&gt;&lt;rec-number&gt;62&lt;/rec-number&gt;&lt;foreign-keys&gt;&lt;key app="EN" db-id="dsezaaaxf5z9dte9xeovfea50xe9wdtdapd9" timestamp="1623811225"&gt;62&lt;/key&gt;&lt;key app="ENWeb" db-id=""&gt;0&lt;/key&gt;&lt;/foreign-keys&gt;&lt;ref-type name="Journal Article"&gt;17&lt;/ref-type&gt;&lt;contributors&gt;&lt;authors&gt;&lt;author&gt;Meegahapola, Lasantha&lt;/author&gt;&lt;author&gt;Mancarella, Pierluigi&lt;/author&gt;&lt;author&gt;Flynn, Damian&lt;/author&gt;&lt;author&gt;Moreno, Rodrigo&lt;/author&gt;&lt;/authors&gt;&lt;/contributors&gt;&lt;titles&gt;&lt;title&gt;Power system stability in the transition to a low carbon grid: A techno</w:instrText>
      </w:r>
      <w:r w:rsidR="004270B7">
        <w:rPr>
          <w:rFonts w:ascii="Cambria Math" w:hAnsi="Cambria Math" w:cs="Cambria Math"/>
          <w:szCs w:val="20"/>
        </w:rPr>
        <w:instrText>‐</w:instrText>
      </w:r>
      <w:r w:rsidR="004270B7">
        <w:rPr>
          <w:szCs w:val="20"/>
        </w:rPr>
        <w:instrText>economic perspective on challenges and opportunities&lt;/title&gt;&lt;secondary-title&gt;WIREs Energy and Environment&lt;/secondary-title&gt;&lt;/titles&gt;&lt;periodical&gt;&lt;full-title&gt;WIREs Energy and Environment&lt;/full-title&gt;&lt;/periodical&gt;&lt;dates&gt;&lt;year&gt;2021&lt;/year&gt;&lt;/dates&gt;&lt;isbn&gt;2041-8396&amp;#xD;2041-840X&lt;/isbn&gt;&lt;urls&gt;&lt;/urls&gt;&lt;electronic-resource-num&gt;10.1002/wene.399&lt;/electronic-resource-num&gt;&lt;/record&gt;&lt;/Cite&gt;&lt;/EndNote&gt;</w:instrText>
      </w:r>
      <w:r w:rsidR="007F2D36" w:rsidRPr="00620A1C">
        <w:rPr>
          <w:szCs w:val="20"/>
        </w:rPr>
        <w:fldChar w:fldCharType="separate"/>
      </w:r>
      <w:r w:rsidR="004270B7">
        <w:rPr>
          <w:noProof/>
          <w:szCs w:val="20"/>
        </w:rPr>
        <w:t>[10]</w:t>
      </w:r>
      <w:r w:rsidR="007F2D36" w:rsidRPr="00620A1C">
        <w:rPr>
          <w:szCs w:val="20"/>
        </w:rPr>
        <w:fldChar w:fldCharType="end"/>
      </w:r>
      <w:r w:rsidR="007F2D36" w:rsidRPr="00620A1C">
        <w:rPr>
          <w:szCs w:val="20"/>
        </w:rPr>
        <w:t xml:space="preserve">. However, IBR-based generation units, and even </w:t>
      </w:r>
      <w:r w:rsidR="001C757D">
        <w:rPr>
          <w:szCs w:val="20"/>
        </w:rPr>
        <w:t>DERs</w:t>
      </w:r>
      <w:r w:rsidR="007F2D36" w:rsidRPr="00620A1C">
        <w:rPr>
          <w:szCs w:val="20"/>
        </w:rPr>
        <w:t xml:space="preserve">, are unable to contribute much in the fault level. This results in a low system short-circuit strength which indicates the stiffness of the system voltage to changes in local demand. Dynamic reactive power compensation devices, such as static-var compensators (SVCs) and static-synchronous compensators (STATCOMs), are employed in power grids to improve voltage stability in network regions with low short-circuit strength </w:t>
      </w:r>
      <w:r w:rsidR="007F2D36" w:rsidRPr="00620A1C">
        <w:rPr>
          <w:szCs w:val="20"/>
        </w:rPr>
        <w:fldChar w:fldCharType="begin"/>
      </w:r>
      <w:r w:rsidR="004270B7">
        <w:rPr>
          <w:szCs w:val="20"/>
        </w:rPr>
        <w:instrText xml:space="preserve"> ADDIN EN.CITE &lt;EndNote&gt;&lt;Cite&gt;&lt;Author&gt;Dozein&lt;/Author&gt;&lt;Year&gt;2018&lt;/Year&gt;&lt;RecNum&gt;63&lt;/RecNum&gt;&lt;DisplayText&gt;[37]&lt;/DisplayText&gt;&lt;record&gt;&lt;rec-number&gt;63&lt;/rec-number&gt;&lt;foreign-keys&gt;&lt;key app="EN" db-id="dsezaaaxf5z9dte9xeovfea50xe9wdtdapd9" timestamp="1623813659"&gt;63&lt;/key&gt;&lt;/foreign-keys&gt;&lt;ref-type name="Conference Proceedings"&gt;10&lt;/ref-type&gt;&lt;contributors&gt;&lt;authors&gt;&lt;author&gt;Dozein, Mehdi Ghazavi&lt;/author&gt;&lt;author&gt;Mancarella, Pierluigi&lt;/author&gt;&lt;author&gt;Saha, Tapan Kumar&lt;/author&gt;&lt;author&gt;Yan, Ruifeng&lt;/author&gt;&lt;/authors&gt;&lt;/contributors&gt;&lt;titles&gt;&lt;title&gt;System strength and weak grids: Fundamentals, challenges, and mitigation strategies&lt;/title&gt;&lt;secondary-title&gt;2018 Australasian Universities Power Engineering Conference (AUPEC)&lt;/secondary-title&gt;&lt;/titles&gt;&lt;pages&gt;1-7&lt;/pages&gt;&lt;dates&gt;&lt;year&gt;2018&lt;/year&gt;&lt;/dates&gt;&lt;publisher&gt;IEEE&lt;/publisher&gt;&lt;isbn&gt;1538684748&lt;/isbn&gt;&lt;urls&gt;&lt;/urls&gt;&lt;/record&gt;&lt;/Cite&gt;&lt;/EndNote&gt;</w:instrText>
      </w:r>
      <w:r w:rsidR="007F2D36" w:rsidRPr="00620A1C">
        <w:rPr>
          <w:szCs w:val="20"/>
        </w:rPr>
        <w:fldChar w:fldCharType="separate"/>
      </w:r>
      <w:r w:rsidR="004270B7">
        <w:rPr>
          <w:noProof/>
          <w:szCs w:val="20"/>
        </w:rPr>
        <w:t>[37]</w:t>
      </w:r>
      <w:r w:rsidR="007F2D36" w:rsidRPr="00620A1C">
        <w:rPr>
          <w:szCs w:val="20"/>
        </w:rPr>
        <w:fldChar w:fldCharType="end"/>
      </w:r>
      <w:r w:rsidR="007F2D36" w:rsidRPr="00620A1C">
        <w:rPr>
          <w:szCs w:val="20"/>
        </w:rPr>
        <w:t xml:space="preserve">. </w:t>
      </w:r>
    </w:p>
    <w:p w14:paraId="54A4D584" w14:textId="5106F475" w:rsidR="003E5DD9" w:rsidRPr="00620A1C" w:rsidRDefault="00C344F4" w:rsidP="003E5DD9">
      <w:pPr>
        <w:rPr>
          <w:szCs w:val="20"/>
        </w:rPr>
      </w:pPr>
      <w:r>
        <w:rPr>
          <w:szCs w:val="20"/>
        </w:rPr>
        <w:t xml:space="preserve">System strength is another important parameter in revisiting voltage support services. </w:t>
      </w:r>
      <w:r w:rsidR="00672949" w:rsidRPr="00620A1C">
        <w:rPr>
          <w:szCs w:val="20"/>
        </w:rPr>
        <w:t xml:space="preserve">Based on the </w:t>
      </w:r>
      <w:r w:rsidR="003B5B45" w:rsidRPr="00620A1C">
        <w:rPr>
          <w:szCs w:val="20"/>
        </w:rPr>
        <w:t xml:space="preserve">Australian Energy Market Operator (AEMO)’s </w:t>
      </w:r>
      <w:r w:rsidR="00672949" w:rsidRPr="00620A1C">
        <w:rPr>
          <w:szCs w:val="20"/>
        </w:rPr>
        <w:t>definition</w:t>
      </w:r>
      <w:r w:rsidR="003B5B45" w:rsidRPr="00620A1C">
        <w:rPr>
          <w:szCs w:val="20"/>
        </w:rPr>
        <w:t xml:space="preserve">, </w:t>
      </w:r>
      <w:r w:rsidR="00672949" w:rsidRPr="00620A1C">
        <w:rPr>
          <w:szCs w:val="20"/>
        </w:rPr>
        <w:t xml:space="preserve">the </w:t>
      </w:r>
      <w:r w:rsidR="003B5B45" w:rsidRPr="00620A1C">
        <w:rPr>
          <w:i/>
          <w:szCs w:val="20"/>
        </w:rPr>
        <w:t xml:space="preserve">system strength </w:t>
      </w:r>
      <w:r w:rsidR="003B5B45" w:rsidRPr="00620A1C">
        <w:rPr>
          <w:szCs w:val="20"/>
        </w:rPr>
        <w:t xml:space="preserve">is a “measure of the power system stability under all reasonably possible operating conditions” </w:t>
      </w:r>
      <w:r w:rsidR="002C25F1" w:rsidRPr="00620A1C">
        <w:rPr>
          <w:szCs w:val="20"/>
        </w:rPr>
        <w:fldChar w:fldCharType="begin"/>
      </w:r>
      <w:r w:rsidR="004270B7">
        <w:rPr>
          <w:szCs w:val="20"/>
        </w:rPr>
        <w:instrText xml:space="preserve"> ADDIN EN.CITE &lt;EndNote&gt;&lt;Cite&gt;&lt;Year&gt;March 2020&lt;/Year&gt;&lt;RecNum&gt;283&lt;/RecNum&gt;&lt;DisplayText&gt;[11]&lt;/DisplayText&gt;&lt;record&gt;&lt;rec-number&gt;283&lt;/rec-number&gt;&lt;foreign-keys&gt;&lt;key app="EN" db-id="dsezaaaxf5z9dte9xeovfea50xe9wdtdapd9" timestamp="1629167154"&gt;283&lt;/key&gt;&lt;/foreign-keys&gt;&lt;ref-type name="Report"&gt;27&lt;/ref-type&gt;&lt;contributors&gt;&lt;/contributors&gt;&lt;titles&gt;&lt;title&gt;System Strength&lt;/title&gt;&lt;/titles&gt;&lt;dates&gt;&lt;year&gt;March 2020&lt;/year&gt;&lt;/dates&gt;&lt;publisher&gt;Australian Energy Market Operator&lt;/publisher&gt;&lt;urls&gt;&lt;/urls&gt;&lt;/record&gt;&lt;/Cite&gt;&lt;/EndNote&gt;</w:instrText>
      </w:r>
      <w:r w:rsidR="002C25F1" w:rsidRPr="00620A1C">
        <w:rPr>
          <w:szCs w:val="20"/>
        </w:rPr>
        <w:fldChar w:fldCharType="separate"/>
      </w:r>
      <w:r w:rsidR="004270B7">
        <w:rPr>
          <w:noProof/>
          <w:szCs w:val="20"/>
        </w:rPr>
        <w:t>[11]</w:t>
      </w:r>
      <w:r w:rsidR="002C25F1" w:rsidRPr="00620A1C">
        <w:rPr>
          <w:szCs w:val="20"/>
        </w:rPr>
        <w:fldChar w:fldCharType="end"/>
      </w:r>
      <w:r w:rsidR="003B5B45" w:rsidRPr="00620A1C">
        <w:rPr>
          <w:szCs w:val="20"/>
        </w:rPr>
        <w:t xml:space="preserve">. </w:t>
      </w:r>
      <w:r w:rsidR="00CA5D90" w:rsidRPr="00620A1C">
        <w:rPr>
          <w:szCs w:val="20"/>
        </w:rPr>
        <w:t>This definition categorises p</w:t>
      </w:r>
      <w:r w:rsidR="003B5B45" w:rsidRPr="00620A1C">
        <w:rPr>
          <w:szCs w:val="20"/>
        </w:rPr>
        <w:t xml:space="preserve">ower systems </w:t>
      </w:r>
      <w:r w:rsidR="00CA5D90" w:rsidRPr="00620A1C">
        <w:rPr>
          <w:szCs w:val="20"/>
        </w:rPr>
        <w:t>to</w:t>
      </w:r>
      <w:r w:rsidR="003B5B45" w:rsidRPr="00620A1C">
        <w:rPr>
          <w:szCs w:val="20"/>
        </w:rPr>
        <w:t xml:space="preserve"> </w:t>
      </w:r>
      <w:r w:rsidR="003B5B45" w:rsidRPr="00620A1C">
        <w:rPr>
          <w:i/>
          <w:szCs w:val="20"/>
        </w:rPr>
        <w:t xml:space="preserve">strong </w:t>
      </w:r>
      <w:r w:rsidR="00CA5D90" w:rsidRPr="00620A1C">
        <w:rPr>
          <w:szCs w:val="20"/>
        </w:rPr>
        <w:t>and</w:t>
      </w:r>
      <w:r w:rsidR="003B5B45" w:rsidRPr="00620A1C">
        <w:rPr>
          <w:szCs w:val="20"/>
        </w:rPr>
        <w:t xml:space="preserve"> </w:t>
      </w:r>
      <w:r w:rsidR="003B5B45" w:rsidRPr="00620A1C">
        <w:rPr>
          <w:i/>
          <w:szCs w:val="20"/>
        </w:rPr>
        <w:t xml:space="preserve">weak </w:t>
      </w:r>
      <w:r w:rsidR="003B5B45" w:rsidRPr="00620A1C">
        <w:rPr>
          <w:szCs w:val="20"/>
        </w:rPr>
        <w:t xml:space="preserve">or </w:t>
      </w:r>
      <w:r w:rsidR="003B5B45" w:rsidRPr="00620A1C">
        <w:rPr>
          <w:i/>
          <w:szCs w:val="20"/>
        </w:rPr>
        <w:t xml:space="preserve">non-stiff </w:t>
      </w:r>
      <w:r w:rsidR="003B5B45" w:rsidRPr="00620A1C">
        <w:rPr>
          <w:szCs w:val="20"/>
        </w:rPr>
        <w:t xml:space="preserve">grid. </w:t>
      </w:r>
      <w:r w:rsidR="00CB1E14" w:rsidRPr="00620A1C">
        <w:rPr>
          <w:szCs w:val="20"/>
        </w:rPr>
        <w:t>I</w:t>
      </w:r>
      <w:r w:rsidR="003B5B45" w:rsidRPr="00620A1C">
        <w:rPr>
          <w:szCs w:val="20"/>
        </w:rPr>
        <w:t xml:space="preserve">n a </w:t>
      </w:r>
      <w:r w:rsidR="003B5B45" w:rsidRPr="00620A1C">
        <w:rPr>
          <w:i/>
          <w:szCs w:val="20"/>
        </w:rPr>
        <w:t>strong grid</w:t>
      </w:r>
      <w:r w:rsidR="003B5B45" w:rsidRPr="00620A1C">
        <w:rPr>
          <w:szCs w:val="20"/>
        </w:rPr>
        <w:t xml:space="preserve">, voltage </w:t>
      </w:r>
      <w:r w:rsidR="00AE14CA" w:rsidRPr="00620A1C">
        <w:rPr>
          <w:szCs w:val="20"/>
        </w:rPr>
        <w:t>is not sensitive</w:t>
      </w:r>
      <w:r w:rsidR="003B5B45" w:rsidRPr="00620A1C">
        <w:rPr>
          <w:szCs w:val="20"/>
        </w:rPr>
        <w:t xml:space="preserve"> to the active or reactive power variation (i.e. </w:t>
      </w:r>
      <w:r w:rsidR="003B5B45" w:rsidRPr="00620A1C">
        <w:rPr>
          <w:i/>
          <w:szCs w:val="20"/>
        </w:rPr>
        <w:t xml:space="preserve">dV/dP </w:t>
      </w:r>
      <w:r w:rsidR="003B5B45" w:rsidRPr="00620A1C">
        <w:rPr>
          <w:szCs w:val="20"/>
        </w:rPr>
        <w:t xml:space="preserve">and </w:t>
      </w:r>
      <w:r w:rsidR="003B5B45" w:rsidRPr="00620A1C">
        <w:rPr>
          <w:i/>
          <w:szCs w:val="20"/>
        </w:rPr>
        <w:t xml:space="preserve">dV/dQ </w:t>
      </w:r>
      <w:r w:rsidR="003B5B45" w:rsidRPr="00620A1C">
        <w:rPr>
          <w:szCs w:val="20"/>
        </w:rPr>
        <w:t xml:space="preserve">are </w:t>
      </w:r>
      <w:r w:rsidR="00EB771D">
        <w:rPr>
          <w:szCs w:val="20"/>
        </w:rPr>
        <w:t>too small</w:t>
      </w:r>
      <w:r w:rsidR="003B5B45" w:rsidRPr="00620A1C">
        <w:rPr>
          <w:szCs w:val="20"/>
        </w:rPr>
        <w:t>)</w:t>
      </w:r>
      <w:r w:rsidR="00AE14CA" w:rsidRPr="00620A1C">
        <w:rPr>
          <w:szCs w:val="20"/>
        </w:rPr>
        <w:t xml:space="preserve"> while in </w:t>
      </w:r>
      <w:r w:rsidR="003B5B45" w:rsidRPr="00620A1C">
        <w:rPr>
          <w:szCs w:val="20"/>
        </w:rPr>
        <w:t xml:space="preserve">a </w:t>
      </w:r>
      <w:r w:rsidR="003B5B45" w:rsidRPr="00620A1C">
        <w:rPr>
          <w:i/>
          <w:szCs w:val="20"/>
        </w:rPr>
        <w:t>weak grid</w:t>
      </w:r>
      <w:r w:rsidR="00AE14CA" w:rsidRPr="00620A1C">
        <w:rPr>
          <w:i/>
          <w:szCs w:val="20"/>
        </w:rPr>
        <w:t>,</w:t>
      </w:r>
      <w:r w:rsidR="003B5B45" w:rsidRPr="00620A1C">
        <w:rPr>
          <w:i/>
          <w:szCs w:val="20"/>
        </w:rPr>
        <w:t xml:space="preserve"> </w:t>
      </w:r>
      <w:r w:rsidR="00AE14CA" w:rsidRPr="00620A1C">
        <w:rPr>
          <w:szCs w:val="20"/>
        </w:rPr>
        <w:t>it</w:t>
      </w:r>
      <w:r w:rsidR="00AE14CA" w:rsidRPr="00620A1C">
        <w:rPr>
          <w:i/>
          <w:szCs w:val="20"/>
        </w:rPr>
        <w:t xml:space="preserve"> </w:t>
      </w:r>
      <w:r w:rsidR="003B5B45" w:rsidRPr="00620A1C">
        <w:rPr>
          <w:szCs w:val="20"/>
        </w:rPr>
        <w:t xml:space="preserve">is. </w:t>
      </w:r>
      <w:r w:rsidR="00A70E38" w:rsidRPr="00620A1C">
        <w:rPr>
          <w:szCs w:val="20"/>
        </w:rPr>
        <w:t>A</w:t>
      </w:r>
      <w:r w:rsidR="003B5B45" w:rsidRPr="00620A1C">
        <w:rPr>
          <w:szCs w:val="20"/>
        </w:rPr>
        <w:t xml:space="preserve"> low short-circuit current increases the voltage sensitivity following a fault, therefore it can be said that a part of the system with less short-circuit level can be considered as a weak are</w:t>
      </w:r>
      <w:r w:rsidR="00FC7C17" w:rsidRPr="00620A1C">
        <w:rPr>
          <w:szCs w:val="20"/>
        </w:rPr>
        <w:t>a</w:t>
      </w:r>
      <w:r w:rsidR="003B5B45" w:rsidRPr="00620A1C">
        <w:rPr>
          <w:szCs w:val="20"/>
        </w:rPr>
        <w:t>.</w:t>
      </w:r>
      <w:r w:rsidR="00AB7678" w:rsidRPr="00620A1C">
        <w:rPr>
          <w:szCs w:val="20"/>
        </w:rPr>
        <w:t xml:space="preserve"> </w:t>
      </w:r>
      <w:r w:rsidR="003E5DD9" w:rsidRPr="00620A1C">
        <w:rPr>
          <w:szCs w:val="20"/>
        </w:rPr>
        <w:t>System strength is normally measured by the Short-Circuit Ratio (SCR)</w:t>
      </w:r>
      <w:r w:rsidR="003E5DD9" w:rsidRPr="00620A1C">
        <w:rPr>
          <w:rStyle w:val="FootnoteReference"/>
          <w:szCs w:val="20"/>
        </w:rPr>
        <w:footnoteReference w:id="4"/>
      </w:r>
      <w:r w:rsidR="003E5DD9" w:rsidRPr="00620A1C">
        <w:rPr>
          <w:szCs w:val="20"/>
        </w:rPr>
        <w:t xml:space="preserve"> which is locally defined based on the point of connection of a generation unit to the grid. There are a lot of studies showing that SCR needs to be improved when a lot of VREs are sited at remote regions in the network </w:t>
      </w:r>
      <w:r w:rsidR="003E5DD9" w:rsidRPr="00620A1C">
        <w:rPr>
          <w:szCs w:val="20"/>
        </w:rPr>
        <w:fldChar w:fldCharType="begin"/>
      </w:r>
      <w:r w:rsidR="004270B7">
        <w:rPr>
          <w:szCs w:val="20"/>
        </w:rPr>
        <w:instrText xml:space="preserve"> ADDIN EN.CITE &lt;EndNote&gt;&lt;Cite&gt;&lt;Author&gt;Meegahapola&lt;/Author&gt;&lt;Year&gt;2021&lt;/Year&gt;&lt;RecNum&gt;62&lt;/RecNum&gt;&lt;DisplayText&gt;[10]&lt;/DisplayText&gt;&lt;record&gt;&lt;rec-number&gt;62&lt;/rec-number&gt;&lt;foreign-keys&gt;&lt;key app="EN" db-id="dsezaaaxf5z9dte9xeovfea50xe9wdtdapd9" timestamp="1623811225"&gt;62&lt;/key&gt;&lt;key app="ENWeb" db-id=""&gt;0&lt;/key&gt;&lt;/foreign-keys&gt;&lt;ref-type name="Journal Article"&gt;17&lt;/ref-type&gt;&lt;contributors&gt;&lt;authors&gt;&lt;author&gt;Meegahapola, Lasantha&lt;/author&gt;&lt;author&gt;Mancarella, Pierluigi&lt;/author&gt;&lt;author&gt;Flynn, Damian&lt;/author&gt;&lt;author&gt;Moreno, Rodrigo&lt;/author&gt;&lt;/authors&gt;&lt;/contributors&gt;&lt;titles&gt;&lt;title&gt;Power system stability in the transition to a low carbon grid: A techno</w:instrText>
      </w:r>
      <w:r w:rsidR="004270B7">
        <w:rPr>
          <w:rFonts w:ascii="Cambria Math" w:hAnsi="Cambria Math" w:cs="Cambria Math"/>
          <w:szCs w:val="20"/>
        </w:rPr>
        <w:instrText>‐</w:instrText>
      </w:r>
      <w:r w:rsidR="004270B7">
        <w:rPr>
          <w:szCs w:val="20"/>
        </w:rPr>
        <w:instrText>economic perspective on challenges and opportunities&lt;/title&gt;&lt;secondary-title&gt;WIREs Energy and Environment&lt;/secondary-title&gt;&lt;/titles&gt;&lt;periodical&gt;&lt;full-title&gt;WIREs Energy and Environment&lt;/full-title&gt;&lt;/periodical&gt;&lt;dates&gt;&lt;year&gt;2021&lt;/year&gt;&lt;/dates&gt;&lt;isbn&gt;2041-8396&amp;#xD;2041-840X&lt;/isbn&gt;&lt;urls&gt;&lt;/urls&gt;&lt;electronic-resource-num&gt;10.1002/wene.399&lt;/electronic-resource-num&gt;&lt;/record&gt;&lt;/Cite&gt;&lt;/EndNote&gt;</w:instrText>
      </w:r>
      <w:r w:rsidR="003E5DD9" w:rsidRPr="00620A1C">
        <w:rPr>
          <w:szCs w:val="20"/>
        </w:rPr>
        <w:fldChar w:fldCharType="separate"/>
      </w:r>
      <w:r w:rsidR="004270B7">
        <w:rPr>
          <w:noProof/>
          <w:szCs w:val="20"/>
        </w:rPr>
        <w:t>[10]</w:t>
      </w:r>
      <w:r w:rsidR="003E5DD9" w:rsidRPr="00620A1C">
        <w:rPr>
          <w:szCs w:val="20"/>
        </w:rPr>
        <w:fldChar w:fldCharType="end"/>
      </w:r>
      <w:r w:rsidR="003E5DD9" w:rsidRPr="00620A1C">
        <w:rPr>
          <w:szCs w:val="20"/>
        </w:rPr>
        <w:t>. Furthermore, new indices are also defined to measure the system strength (e.g. Composite SCR (CSCR), weighted short-circuit ratio (WSCR)) considering the characteristics of IBRs.</w:t>
      </w:r>
    </w:p>
    <w:p w14:paraId="0DF98439" w14:textId="6238DF9D" w:rsidR="00025C21" w:rsidRPr="00620A1C" w:rsidRDefault="00025C21" w:rsidP="00025C21">
      <w:pPr>
        <w:rPr>
          <w:szCs w:val="20"/>
        </w:rPr>
      </w:pPr>
      <w:r w:rsidRPr="00620A1C">
        <w:rPr>
          <w:szCs w:val="20"/>
        </w:rPr>
        <w:t>There are several approaches in dealing with voltage control in power grids</w:t>
      </w:r>
      <w:r w:rsidR="005943BF" w:rsidRPr="00620A1C">
        <w:rPr>
          <w:szCs w:val="20"/>
        </w:rPr>
        <w:t xml:space="preserve"> such as</w:t>
      </w:r>
      <w:r w:rsidRPr="00620A1C">
        <w:rPr>
          <w:szCs w:val="20"/>
        </w:rPr>
        <w:t xml:space="preserve"> On-Load Tap Changers (OLTC) and Flexible AC Transmission System (FACTS) controllers. Static Var Compensators (SVC) are FACTS voltage controllers using reactive power compensation. Voltage source converter, such as Static Synchronous Compensator (STATCOM), is another type of FACTS controller working based on injecting current to the system. Both SVC and STATCOM are designed for generation and transmission levels. However, voltage flexibility in the distribution level still depends on OLTC and possible household and community batteries. </w:t>
      </w:r>
    </w:p>
    <w:p w14:paraId="30F14CF5" w14:textId="4ACEAE57" w:rsidR="00FD3E12" w:rsidRPr="00620A1C" w:rsidRDefault="00025C21" w:rsidP="00025C21">
      <w:pPr>
        <w:rPr>
          <w:szCs w:val="20"/>
        </w:rPr>
      </w:pPr>
      <w:r w:rsidRPr="00620A1C">
        <w:rPr>
          <w:szCs w:val="20"/>
        </w:rPr>
        <w:t xml:space="preserve">Demand-side management, using different techniques such as demand-response, is a source of </w:t>
      </w:r>
      <w:r w:rsidR="005B4379" w:rsidRPr="00620A1C">
        <w:rPr>
          <w:szCs w:val="20"/>
        </w:rPr>
        <w:t>voltage support</w:t>
      </w:r>
      <w:r w:rsidRPr="00620A1C">
        <w:rPr>
          <w:szCs w:val="20"/>
        </w:rPr>
        <w:t xml:space="preserve"> which has not been available in conventional power grids </w:t>
      </w:r>
      <w:r w:rsidRPr="00620A1C">
        <w:rPr>
          <w:szCs w:val="20"/>
        </w:rPr>
        <w:fldChar w:fldCharType="begin"/>
      </w:r>
      <w:r w:rsidR="004270B7">
        <w:rPr>
          <w:szCs w:val="20"/>
        </w:rPr>
        <w:instrText xml:space="preserve"> ADDIN EN.CITE &lt;EndNote&gt;&lt;Cite&gt;&lt;Author&gt;Sokolowski&lt;/Author&gt;&lt;Year&gt;2017&lt;/Year&gt;&lt;RecNum&gt;68&lt;/RecNum&gt;&lt;DisplayText&gt;[38]&lt;/DisplayText&gt;&lt;record&gt;&lt;rec-number&gt;68&lt;/rec-number&gt;&lt;foreign-keys&gt;&lt;key app="EN" db-id="dsezaaaxf5z9dte9xeovfea50xe9wdtdapd9" timestamp="1624248865"&gt;68&lt;/key&gt;&lt;/foreign-keys&gt;&lt;ref-type name="Conference Proceedings"&gt;10&lt;/ref-type&gt;&lt;contributors&gt;&lt;authors&gt;&lt;author&gt;Sokolowski, Peter&lt;/author&gt;&lt;author&gt;Peng, Wei&lt;/author&gt;&lt;author&gt;Patel, Ragini&lt;/author&gt;&lt;author&gt;Yu, Xinghuo&lt;/author&gt;&lt;/authors&gt;&lt;/contributors&gt;&lt;titles&gt;&lt;title&gt;Roles of policy settings in distributed generation with battery storage&lt;/title&gt;&lt;secondary-title&gt;IECON 2017-43rd Annual Conference of the IEEE Industrial Electronics Society&lt;/secondary-title&gt;&lt;/titles&gt;&lt;pages&gt;4802-4807&lt;/pages&gt;&lt;dates&gt;&lt;year&gt;2017&lt;/year&gt;&lt;/dates&gt;&lt;publisher&gt;IEEE&lt;/publisher&gt;&lt;isbn&gt;1538611279&lt;/isbn&gt;&lt;urls&gt;&lt;/urls&gt;&lt;/record&gt;&lt;/Cite&gt;&lt;/EndNote&gt;</w:instrText>
      </w:r>
      <w:r w:rsidRPr="00620A1C">
        <w:rPr>
          <w:szCs w:val="20"/>
        </w:rPr>
        <w:fldChar w:fldCharType="separate"/>
      </w:r>
      <w:r w:rsidR="004270B7">
        <w:rPr>
          <w:noProof/>
          <w:szCs w:val="20"/>
        </w:rPr>
        <w:t>[38]</w:t>
      </w:r>
      <w:r w:rsidRPr="00620A1C">
        <w:rPr>
          <w:szCs w:val="20"/>
        </w:rPr>
        <w:fldChar w:fldCharType="end"/>
      </w:r>
      <w:r w:rsidRPr="00620A1C">
        <w:rPr>
          <w:szCs w:val="20"/>
        </w:rPr>
        <w:t>. The main approach is to match high demand periods with local storage and renewable generation such that demand does not significantly change from generation/transmission point of view. This</w:t>
      </w:r>
      <w:r w:rsidR="003F79A2" w:rsidRPr="00620A1C">
        <w:rPr>
          <w:szCs w:val="20"/>
        </w:rPr>
        <w:t xml:space="preserve"> is an</w:t>
      </w:r>
      <w:r w:rsidRPr="00620A1C">
        <w:rPr>
          <w:szCs w:val="20"/>
        </w:rPr>
        <w:t xml:space="preserve"> important tool to increase flexibility </w:t>
      </w:r>
      <w:r w:rsidR="003F79A2" w:rsidRPr="00620A1C">
        <w:rPr>
          <w:szCs w:val="20"/>
        </w:rPr>
        <w:t>and needs to be</w:t>
      </w:r>
      <w:r w:rsidRPr="00620A1C">
        <w:rPr>
          <w:szCs w:val="20"/>
        </w:rPr>
        <w:t xml:space="preserve"> well integrated into the global grid flexibility framework.</w:t>
      </w:r>
      <w:r w:rsidR="00866A41" w:rsidRPr="00620A1C">
        <w:rPr>
          <w:szCs w:val="20"/>
        </w:rPr>
        <w:t xml:space="preserve"> </w:t>
      </w:r>
      <w:r w:rsidR="00EB4992" w:rsidRPr="00620A1C">
        <w:rPr>
          <w:szCs w:val="20"/>
        </w:rPr>
        <w:t>Demand-side management technique can reduce voltage variability in VPPs,</w:t>
      </w:r>
      <w:r w:rsidR="003F2A8C" w:rsidRPr="00620A1C">
        <w:rPr>
          <w:szCs w:val="20"/>
        </w:rPr>
        <w:t xml:space="preserve"> putting less uncertainty on the demand. </w:t>
      </w:r>
      <w:r w:rsidR="000C59CF" w:rsidRPr="00620A1C">
        <w:rPr>
          <w:szCs w:val="20"/>
        </w:rPr>
        <w:t>To this end</w:t>
      </w:r>
      <w:r w:rsidR="003525B0" w:rsidRPr="00620A1C">
        <w:rPr>
          <w:szCs w:val="20"/>
        </w:rPr>
        <w:t xml:space="preserve">, smart algorithms </w:t>
      </w:r>
      <w:r w:rsidR="000C59CF" w:rsidRPr="00620A1C">
        <w:rPr>
          <w:szCs w:val="20"/>
        </w:rPr>
        <w:t>for control and scheduling of DERs</w:t>
      </w:r>
      <w:r w:rsidR="00676AB8" w:rsidRPr="00620A1C">
        <w:rPr>
          <w:szCs w:val="20"/>
        </w:rPr>
        <w:t xml:space="preserve"> and loads in the distribution grid is required. In addition, customer</w:t>
      </w:r>
      <w:r w:rsidR="00DC3A85" w:rsidRPr="00620A1C">
        <w:rPr>
          <w:szCs w:val="20"/>
        </w:rPr>
        <w:t xml:space="preserve">-engagement services should be provided to </w:t>
      </w:r>
      <w:r w:rsidR="00F34B33" w:rsidRPr="00620A1C">
        <w:rPr>
          <w:szCs w:val="20"/>
        </w:rPr>
        <w:t>facilitate the smooth operation of VPPs and smart grids.</w:t>
      </w:r>
    </w:p>
    <w:p w14:paraId="360F8F4E" w14:textId="52A520E7" w:rsidR="00025C21" w:rsidRPr="007A3EFE" w:rsidRDefault="00FD3E12" w:rsidP="00025C21">
      <w:pPr>
        <w:rPr>
          <w:szCs w:val="20"/>
        </w:rPr>
      </w:pPr>
      <w:r w:rsidRPr="00620A1C">
        <w:rPr>
          <w:szCs w:val="20"/>
        </w:rPr>
        <w:t>The above discussions show</w:t>
      </w:r>
      <w:r w:rsidR="00676AB8" w:rsidRPr="00620A1C">
        <w:rPr>
          <w:szCs w:val="20"/>
        </w:rPr>
        <w:t xml:space="preserve"> </w:t>
      </w:r>
      <w:r w:rsidRPr="00620A1C">
        <w:rPr>
          <w:szCs w:val="20"/>
        </w:rPr>
        <w:t>that</w:t>
      </w:r>
      <w:r w:rsidR="004E153F">
        <w:rPr>
          <w:szCs w:val="20"/>
        </w:rPr>
        <w:t xml:space="preserve"> VRE and </w:t>
      </w:r>
      <w:r w:rsidR="005D0696">
        <w:rPr>
          <w:szCs w:val="20"/>
        </w:rPr>
        <w:t>DER are both impacting the voltage stability which, indeed, means that</w:t>
      </w:r>
      <w:r w:rsidRPr="00620A1C">
        <w:rPr>
          <w:szCs w:val="20"/>
        </w:rPr>
        <w:t xml:space="preserve"> voltage support services need </w:t>
      </w:r>
      <w:r w:rsidR="00EE6667" w:rsidRPr="00620A1C">
        <w:rPr>
          <w:szCs w:val="20"/>
        </w:rPr>
        <w:t>to be revised both on the generation</w:t>
      </w:r>
      <w:r w:rsidR="00EB4992" w:rsidRPr="00620A1C">
        <w:rPr>
          <w:szCs w:val="20"/>
        </w:rPr>
        <w:t xml:space="preserve"> </w:t>
      </w:r>
      <w:r w:rsidR="00EE6667" w:rsidRPr="00620A1C">
        <w:rPr>
          <w:szCs w:val="20"/>
        </w:rPr>
        <w:t>and demand sided. The following open question can be unpacked to investigate the technical service requirements for Australia.</w:t>
      </w:r>
    </w:p>
    <w:p w14:paraId="5CA45F40" w14:textId="6A1404DB" w:rsidR="00963886" w:rsidRDefault="00954C74" w:rsidP="007F2D36">
      <w:r>
        <w:object w:dxaOrig="12950" w:dyaOrig="7451" w14:anchorId="5D43200D">
          <v:shape id="_x0000_i1030" type="#_x0000_t75" style="width:450.5pt;height:259.5pt" o:ole="">
            <v:imagedata r:id="rId37" o:title=""/>
          </v:shape>
          <o:OLEObject Type="Embed" ProgID="Visio.Drawing.15" ShapeID="_x0000_i1030" DrawAspect="Content" ObjectID="_1709468173" r:id="rId38"/>
        </w:object>
      </w:r>
    </w:p>
    <w:p w14:paraId="05412695" w14:textId="7D0482EA" w:rsidR="00FE737D" w:rsidRPr="003E5978" w:rsidRDefault="00FE737D" w:rsidP="006207AF">
      <w:pPr>
        <w:pStyle w:val="TableCaption"/>
      </w:pPr>
      <w:bookmarkStart w:id="26" w:name="_Toc83674484"/>
      <w:r w:rsidRPr="00B61625">
        <w:t xml:space="preserve">Table </w:t>
      </w:r>
      <w:r w:rsidR="00B7375C">
        <w:t>4</w:t>
      </w:r>
      <w:r w:rsidRPr="00B61625">
        <w:t xml:space="preserve">. Recommendations for </w:t>
      </w:r>
      <w:r>
        <w:t>voltage</w:t>
      </w:r>
      <w:r w:rsidRPr="00B61625">
        <w:t xml:space="preserve"> support</w:t>
      </w:r>
      <w:r w:rsidR="00B459AD">
        <w:t xml:space="preserve"> services</w:t>
      </w:r>
      <w:r w:rsidRPr="00B61625">
        <w:t>.</w:t>
      </w:r>
      <w:bookmarkEnd w:id="26"/>
    </w:p>
    <w:p w14:paraId="208B38B8" w14:textId="338181FC" w:rsidR="00EC4250" w:rsidRDefault="00173391" w:rsidP="00D80A13">
      <w:pPr>
        <w:pStyle w:val="Heading2"/>
        <w:ind w:left="0" w:firstLine="0"/>
      </w:pPr>
      <w:bookmarkStart w:id="27" w:name="_Toc83674469"/>
      <w:r>
        <w:t>Measures</w:t>
      </w:r>
      <w:bookmarkEnd w:id="27"/>
    </w:p>
    <w:p w14:paraId="5FC39C4F" w14:textId="066AF229" w:rsidR="00232952" w:rsidRPr="00D6495C" w:rsidRDefault="007F2D36" w:rsidP="003972A5">
      <w:bookmarkStart w:id="28" w:name="_Hlk75107731"/>
      <w:r w:rsidRPr="441F34F3">
        <w:rPr>
          <w:b/>
          <w:bCs/>
        </w:rPr>
        <w:t xml:space="preserve"> </w:t>
      </w:r>
      <w:r w:rsidR="003B0324">
        <w:t xml:space="preserve">There are considerable opportunities to define the necessary metrics to facilitate service markets and operational frameworks for a broad range of performance indicators. </w:t>
      </w:r>
      <w:r w:rsidR="000D330B">
        <w:t>For example,</w:t>
      </w:r>
      <w:r w:rsidR="00232952">
        <w:t xml:space="preserve"> ESS can provide</w:t>
      </w:r>
      <w:r w:rsidR="005810BD">
        <w:t xml:space="preserve"> different services in</w:t>
      </w:r>
      <w:r w:rsidR="0012452B">
        <w:t xml:space="preserve"> different sections of power </w:t>
      </w:r>
      <w:r w:rsidR="00057409">
        <w:t xml:space="preserve">grids. It includes </w:t>
      </w:r>
      <w:r w:rsidR="00761CA0">
        <w:t>frequency regulation and black-start in</w:t>
      </w:r>
      <w:r w:rsidR="005810BD">
        <w:t xml:space="preserve"> generation</w:t>
      </w:r>
      <w:r w:rsidR="00761CA0">
        <w:t xml:space="preserve">, </w:t>
      </w:r>
      <w:r w:rsidR="00533C25">
        <w:t xml:space="preserve">voltage support and oscillation </w:t>
      </w:r>
      <w:r w:rsidR="00A64E1E">
        <w:t>damping in the transmission and distribution</w:t>
      </w:r>
      <w:r w:rsidR="00617233">
        <w:t xml:space="preserve"> sections as well as service reliability and </w:t>
      </w:r>
      <w:r w:rsidR="002C5129">
        <w:t>peak limiting in the distribution grid</w:t>
      </w:r>
      <w:r w:rsidR="00F4750D">
        <w:t xml:space="preserve"> (see </w:t>
      </w:r>
      <w:r w:rsidR="0056271D">
        <w:t>Figure 8</w:t>
      </w:r>
      <w:r w:rsidR="00F4750D">
        <w:t xml:space="preserve"> for a list of</w:t>
      </w:r>
      <w:r w:rsidR="00E51A0F">
        <w:t xml:space="preserve"> possible</w:t>
      </w:r>
      <w:r w:rsidR="00F4750D">
        <w:t xml:space="preserve"> ESS services)</w:t>
      </w:r>
      <w:r w:rsidR="003D6CAE">
        <w:t xml:space="preserve"> </w:t>
      </w:r>
      <w:r>
        <w:fldChar w:fldCharType="begin"/>
      </w:r>
      <w:r w:rsidR="004270B7">
        <w:instrText xml:space="preserve"> ADDIN EN.CITE &lt;EndNote&gt;&lt;Cite&gt;&lt;Author&gt;Günter&lt;/Author&gt;&lt;Year&gt;2016&lt;/Year&gt;&lt;RecNum&gt;276&lt;/RecNum&gt;&lt;DisplayText&gt;[39]&lt;/DisplayText&gt;&lt;record&gt;&lt;rec-number&gt;276&lt;/rec-number&gt;&lt;foreign-keys&gt;&lt;key app="EN" db-id="dsezaaaxf5z9dte9xeovfea50xe9wdtdapd9" timestamp="1628662179"&gt;276&lt;/key&gt;&lt;/foreign-keys&gt;&lt;ref-type name="Journal Article"&gt;17&lt;/ref-type&gt;&lt;contributors&gt;&lt;authors&gt;&lt;author&gt;Günter, Niklas&lt;/author&gt;&lt;author&gt;Marinopoulos, Antonios&lt;/author&gt;&lt;/authors&gt;&lt;/contributors&gt;&lt;titles&gt;&lt;title&gt;Energy storage for grid services and applications: Classification, market review, metrics, and methodology for evaluation of deployment cases&lt;/title&gt;&lt;secondary-title&gt;Journal of Energy Storage&lt;/secondary-title&gt;&lt;/titles&gt;&lt;periodical&gt;&lt;full-title&gt;Journal of Energy Storage&lt;/full-title&gt;&lt;/periodical&gt;&lt;pages&gt;226-234&lt;/pages&gt;&lt;volume&gt;8&lt;/volume&gt;&lt;dates&gt;&lt;year&gt;2016&lt;/year&gt;&lt;/dates&gt;&lt;isbn&gt;2352-152X&lt;/isbn&gt;&lt;urls&gt;&lt;/urls&gt;&lt;/record&gt;&lt;/Cite&gt;&lt;/EndNote&gt;</w:instrText>
      </w:r>
      <w:r>
        <w:fldChar w:fldCharType="separate"/>
      </w:r>
      <w:r w:rsidR="004270B7">
        <w:rPr>
          <w:noProof/>
        </w:rPr>
        <w:t>[39]</w:t>
      </w:r>
      <w:r>
        <w:fldChar w:fldCharType="end"/>
      </w:r>
      <w:r w:rsidR="002C5129">
        <w:t xml:space="preserve">. </w:t>
      </w:r>
      <w:r w:rsidR="00196A0A">
        <w:t>In order to assess the ESS</w:t>
      </w:r>
      <w:r w:rsidR="0078301B">
        <w:t xml:space="preserve"> benefits</w:t>
      </w:r>
      <w:r w:rsidR="00196A0A">
        <w:t xml:space="preserve"> for </w:t>
      </w:r>
      <w:r w:rsidR="0076011D">
        <w:t xml:space="preserve">frequency and voltage control, and system restoration as well as </w:t>
      </w:r>
      <w:r w:rsidR="0078301B">
        <w:t xml:space="preserve">its economic value and market features, appropriate </w:t>
      </w:r>
      <w:r w:rsidR="003D0A20">
        <w:t xml:space="preserve">metrics are necessary. </w:t>
      </w:r>
    </w:p>
    <w:p w14:paraId="516D69A9" w14:textId="6C692A41" w:rsidR="007C2B76" w:rsidRPr="00D6495C" w:rsidRDefault="00ED6A9C" w:rsidP="003972A5">
      <w:pPr>
        <w:rPr>
          <w:szCs w:val="20"/>
        </w:rPr>
      </w:pPr>
      <w:r w:rsidRPr="00D6495C">
        <w:rPr>
          <w:szCs w:val="20"/>
        </w:rPr>
        <w:t xml:space="preserve">There are also </w:t>
      </w:r>
      <w:r w:rsidRPr="009E7C76">
        <w:rPr>
          <w:szCs w:val="20"/>
        </w:rPr>
        <w:t xml:space="preserve">several metrics </w:t>
      </w:r>
      <w:r w:rsidR="00016C25" w:rsidRPr="009E7C76">
        <w:rPr>
          <w:szCs w:val="20"/>
        </w:rPr>
        <w:t>to quantify flexibility of power grids, some</w:t>
      </w:r>
      <w:r w:rsidR="00016C25" w:rsidRPr="00D6495C">
        <w:rPr>
          <w:szCs w:val="20"/>
        </w:rPr>
        <w:t xml:space="preserve"> of them are reviewed in section 3.2.1. For example,</w:t>
      </w:r>
      <w:r w:rsidR="00267ADB" w:rsidRPr="00D6495C">
        <w:rPr>
          <w:szCs w:val="20"/>
        </w:rPr>
        <w:t xml:space="preserve"> </w:t>
      </w:r>
      <w:r w:rsidR="008A374A" w:rsidRPr="00D6495C">
        <w:rPr>
          <w:szCs w:val="20"/>
        </w:rPr>
        <w:t>system operators consider the “reserve margin” as a common metric to show the percentage of capacity above the anticipated peak demand</w:t>
      </w:r>
      <w:r w:rsidR="00016C25" w:rsidRPr="00D6495C">
        <w:rPr>
          <w:szCs w:val="20"/>
        </w:rPr>
        <w:t xml:space="preserve"> </w:t>
      </w:r>
      <w:r w:rsidR="004373DD" w:rsidRPr="00D6495C">
        <w:rPr>
          <w:szCs w:val="20"/>
        </w:rPr>
        <w:t xml:space="preserve">in </w:t>
      </w:r>
      <w:r w:rsidR="00626A3A" w:rsidRPr="00D6495C">
        <w:rPr>
          <w:szCs w:val="20"/>
        </w:rPr>
        <w:t>each region of a power grid</w:t>
      </w:r>
      <w:r w:rsidR="004373DD" w:rsidRPr="00D6495C">
        <w:rPr>
          <w:szCs w:val="20"/>
        </w:rPr>
        <w:t xml:space="preserve">. This metric needs to be improved considering the </w:t>
      </w:r>
      <w:r w:rsidR="000D3B1A" w:rsidRPr="00D6495C">
        <w:rPr>
          <w:szCs w:val="20"/>
        </w:rPr>
        <w:t xml:space="preserve">change in the concept of base load in the presence of VRE sources. </w:t>
      </w:r>
      <w:r w:rsidR="006C37D1" w:rsidRPr="00D6495C">
        <w:rPr>
          <w:szCs w:val="20"/>
        </w:rPr>
        <w:t>AEMO</w:t>
      </w:r>
      <w:r w:rsidR="003027FE" w:rsidRPr="00D6495C">
        <w:rPr>
          <w:szCs w:val="20"/>
        </w:rPr>
        <w:t xml:space="preserve"> can also consider precise and </w:t>
      </w:r>
      <w:r w:rsidR="00EE0EA8" w:rsidRPr="00D6495C">
        <w:rPr>
          <w:szCs w:val="20"/>
        </w:rPr>
        <w:t>customised</w:t>
      </w:r>
      <w:r w:rsidR="003027FE" w:rsidRPr="00D6495C">
        <w:rPr>
          <w:szCs w:val="20"/>
        </w:rPr>
        <w:t xml:space="preserve"> </w:t>
      </w:r>
      <w:r w:rsidR="00EE0EA8" w:rsidRPr="00D6495C">
        <w:rPr>
          <w:szCs w:val="20"/>
        </w:rPr>
        <w:t>metrics for FFR service providers</w:t>
      </w:r>
      <w:r w:rsidR="006C37D1" w:rsidRPr="00D6495C">
        <w:rPr>
          <w:szCs w:val="20"/>
        </w:rPr>
        <w:t xml:space="preserve"> </w:t>
      </w:r>
      <w:r w:rsidR="00EE0EA8" w:rsidRPr="00D6495C">
        <w:rPr>
          <w:szCs w:val="20"/>
        </w:rPr>
        <w:t xml:space="preserve">in the new revision of </w:t>
      </w:r>
      <w:r w:rsidR="00781468" w:rsidRPr="00D6495C">
        <w:rPr>
          <w:szCs w:val="20"/>
        </w:rPr>
        <w:t>the recently issued fast frequency response rule change</w:t>
      </w:r>
      <w:r w:rsidR="00EE0EA8" w:rsidRPr="00D6495C">
        <w:rPr>
          <w:szCs w:val="20"/>
        </w:rPr>
        <w:t xml:space="preserve">. </w:t>
      </w:r>
      <w:r w:rsidR="007C2B76" w:rsidRPr="00D6495C">
        <w:rPr>
          <w:szCs w:val="20"/>
        </w:rPr>
        <w:t xml:space="preserve">The metric proposed by ERCOT can give us a clue </w:t>
      </w:r>
      <w:r w:rsidR="007C2B76" w:rsidRPr="00D6495C">
        <w:rPr>
          <w:szCs w:val="20"/>
        </w:rPr>
        <w:fldChar w:fldCharType="begin"/>
      </w:r>
      <w:r w:rsidR="004270B7">
        <w:rPr>
          <w:szCs w:val="20"/>
        </w:rPr>
        <w:instrText xml:space="preserve"> ADDIN EN.CITE &lt;EndNote&gt;&lt;Cite&gt;&lt;Author&gt;Du&lt;/Author&gt;&lt;Year&gt;2020&lt;/Year&gt;&lt;RecNum&gt;58&lt;/RecNum&gt;&lt;DisplayText&gt;[33]&lt;/DisplayText&gt;&lt;record&gt;&lt;rec-number&gt;58&lt;/rec-number&gt;&lt;foreign-keys&gt;&lt;key app="EN" db-id="dsezaaaxf5z9dte9xeovfea50xe9wdtdapd9" timestamp="1623742514"&gt;58&lt;/key&gt;&lt;key app="ENWeb" db-id=""&gt;0&lt;/key&gt;&lt;/foreign-keys&gt;&lt;ref-type name="Journal Article"&gt;17&lt;/ref-type&gt;&lt;contributors&gt;&lt;authors&gt;&lt;author&gt;Du, Pengwei&lt;/author&gt;&lt;author&gt;Mago, Nitika V.&lt;/author&gt;&lt;author&gt;Li, Weifeng&lt;/author&gt;&lt;author&gt;Sharma, Sandip&lt;/author&gt;&lt;author&gt;Hu, Qinran&lt;/author&gt;&lt;author&gt;Ding, Tao&lt;/author&gt;&lt;/authors&gt;&lt;/contributors&gt;&lt;titles&gt;&lt;title&gt;New Ancillary Service Market for ERCOT&lt;/title&gt;&lt;secondary-title&gt;IEEE Access&lt;/secondary-title&gt;&lt;/titles&gt;&lt;periodical&gt;&lt;full-title&gt;IEEE Access&lt;/full-title&gt;&lt;/periodical&gt;&lt;pages&gt;178391-178401&lt;/pages&gt;&lt;volume&gt;8&lt;/volume&gt;&lt;section&gt;178391&lt;/section&gt;&lt;dates&gt;&lt;year&gt;2020&lt;/year&gt;&lt;/dates&gt;&lt;isbn&gt;2169-3536&lt;/isbn&gt;&lt;urls&gt;&lt;/urls&gt;&lt;electronic-resource-num&gt;10.1109/access.2020.3027722&lt;/electronic-resource-num&gt;&lt;/record&gt;&lt;/Cite&gt;&lt;/EndNote&gt;</w:instrText>
      </w:r>
      <w:r w:rsidR="007C2B76" w:rsidRPr="00D6495C">
        <w:rPr>
          <w:szCs w:val="20"/>
        </w:rPr>
        <w:fldChar w:fldCharType="separate"/>
      </w:r>
      <w:r w:rsidR="004270B7">
        <w:rPr>
          <w:noProof/>
          <w:szCs w:val="20"/>
        </w:rPr>
        <w:t>[33]</w:t>
      </w:r>
      <w:r w:rsidR="007C2B76" w:rsidRPr="00D6495C">
        <w:rPr>
          <w:szCs w:val="20"/>
        </w:rPr>
        <w:fldChar w:fldCharType="end"/>
      </w:r>
      <w:r w:rsidR="00AD43E4">
        <w:rPr>
          <w:szCs w:val="20"/>
        </w:rPr>
        <w:t>, but need to be customised for the Australian grid</w:t>
      </w:r>
      <w:r w:rsidR="007C2B76" w:rsidRPr="00D6495C">
        <w:rPr>
          <w:szCs w:val="20"/>
        </w:rPr>
        <w:t>:</w:t>
      </w:r>
    </w:p>
    <w:p w14:paraId="32490682" w14:textId="3FD09DC0" w:rsidR="00B12798" w:rsidRPr="00D6495C" w:rsidRDefault="00B12798" w:rsidP="00237486">
      <w:pPr>
        <w:pStyle w:val="ListParagraph"/>
        <w:numPr>
          <w:ilvl w:val="0"/>
          <w:numId w:val="16"/>
        </w:numPr>
        <w:rPr>
          <w:szCs w:val="20"/>
        </w:rPr>
      </w:pPr>
      <w:r w:rsidRPr="00D6495C">
        <w:rPr>
          <w:szCs w:val="20"/>
        </w:rPr>
        <w:t>An FFR resource must be deployed in 15 cycles (or 10 minutes for verbal deployment) after the frequency reaches the trip threshold;</w:t>
      </w:r>
    </w:p>
    <w:p w14:paraId="26AF3DF4" w14:textId="77777777" w:rsidR="00B12798" w:rsidRPr="00D6495C" w:rsidRDefault="00B12798" w:rsidP="00237486">
      <w:pPr>
        <w:pStyle w:val="ListParagraph"/>
        <w:numPr>
          <w:ilvl w:val="0"/>
          <w:numId w:val="16"/>
        </w:numPr>
        <w:rPr>
          <w:szCs w:val="20"/>
        </w:rPr>
      </w:pPr>
      <w:r w:rsidRPr="00D6495C">
        <w:rPr>
          <w:szCs w:val="20"/>
        </w:rPr>
        <w:t>A resource must sustain the response for at least 15 minutes or till ERCOT recalls deployment, whichever occurs first;</w:t>
      </w:r>
    </w:p>
    <w:p w14:paraId="417FBE26" w14:textId="56904F1A" w:rsidR="00ED6A9C" w:rsidRPr="00D6495C" w:rsidRDefault="00B12798" w:rsidP="00237486">
      <w:pPr>
        <w:pStyle w:val="ListParagraph"/>
        <w:numPr>
          <w:ilvl w:val="0"/>
          <w:numId w:val="16"/>
        </w:numPr>
        <w:rPr>
          <w:szCs w:val="20"/>
        </w:rPr>
      </w:pPr>
      <w:r w:rsidRPr="00D6495C">
        <w:rPr>
          <w:szCs w:val="20"/>
        </w:rPr>
        <w:t>A resource must be reset and made available for next event within 15 minutes after the deployment is ended.</w:t>
      </w:r>
      <w:r w:rsidR="000D3B1A" w:rsidRPr="00D6495C">
        <w:rPr>
          <w:szCs w:val="20"/>
        </w:rPr>
        <w:t xml:space="preserve"> </w:t>
      </w:r>
    </w:p>
    <w:p w14:paraId="793781DE" w14:textId="338E643D" w:rsidR="00D944DB" w:rsidRDefault="0064749D" w:rsidP="00D944DB">
      <w:r>
        <w:t xml:space="preserve">If it is concluded to run </w:t>
      </w:r>
      <w:r w:rsidR="00885003">
        <w:t>an inertia trading scheme in Australia, which is indeed a matter of research itself</w:t>
      </w:r>
      <w:r w:rsidR="00E40272">
        <w:t xml:space="preserve"> </w:t>
      </w:r>
      <w:r>
        <w:fldChar w:fldCharType="begin"/>
      </w:r>
      <w:r w:rsidR="004270B7">
        <w:instrText xml:space="preserve"> ADDIN EN.CITE &lt;EndNote&gt;&lt;Cite&gt;&lt;Author&gt;Agranat&lt;/Author&gt;&lt;Year&gt;2015&lt;/Year&gt;&lt;RecNum&gt;317&lt;/RecNum&gt;&lt;DisplayText&gt;[40]&lt;/DisplayText&gt;&lt;record&gt;&lt;rec-number&gt;317&lt;/rec-number&gt;&lt;foreign-keys&gt;&lt;key app="EN" db-id="dsezaaaxf5z9dte9xeovfea50xe9wdtdapd9" timestamp="1630461955"&gt;317&lt;/key&gt;&lt;/foreign-keys&gt;&lt;ref-type name="Conference Proceedings"&gt;10&lt;/ref-type&gt;&lt;contributors&gt;&lt;authors&gt;&lt;author&gt;Agranat, Ori&lt;/author&gt;&lt;author&gt;MacGill, Iain&lt;/author&gt;&lt;author&gt;Bruce, Anna&lt;/author&gt;&lt;/authors&gt;&lt;/contributors&gt;&lt;titles&gt;&lt;title&gt;Fast frequency markets under high penetrations of renewable energy in the Australian national electricity market&lt;/title&gt;&lt;secondary-title&gt;Proceedings of the Asia-Pacific Solar Research Conference, Queensland, Australia&lt;/secondary-title&gt;&lt;/titles&gt;&lt;pages&gt;8-10&lt;/pages&gt;&lt;dates&gt;&lt;year&gt;2015&lt;/year&gt;&lt;/dates&gt;&lt;urls&gt;&lt;/urls&gt;&lt;/record&gt;&lt;/Cite&gt;&lt;/EndNote&gt;</w:instrText>
      </w:r>
      <w:r>
        <w:fldChar w:fldCharType="separate"/>
      </w:r>
      <w:r w:rsidR="004270B7">
        <w:rPr>
          <w:noProof/>
        </w:rPr>
        <w:t>[40]</w:t>
      </w:r>
      <w:r>
        <w:fldChar w:fldCharType="end"/>
      </w:r>
      <w:r w:rsidR="00CE2C30">
        <w:t>, an appropriate</w:t>
      </w:r>
      <w:r w:rsidR="00F67C9F">
        <w:t xml:space="preserve"> metric for</w:t>
      </w:r>
      <w:r w:rsidR="00CE2C30">
        <w:t xml:space="preserve"> inertia</w:t>
      </w:r>
      <w:r w:rsidR="00F67C9F">
        <w:t>-as-a-service</w:t>
      </w:r>
      <w:r w:rsidR="00CE2C30">
        <w:t xml:space="preserve"> is also required.</w:t>
      </w:r>
      <w:r w:rsidR="008106B6">
        <w:t xml:space="preserve"> There are also several observations on SCR that needs improvement</w:t>
      </w:r>
      <w:r w:rsidR="0019731B">
        <w:t>s</w:t>
      </w:r>
      <w:r w:rsidR="008106B6">
        <w:t xml:space="preserve"> </w:t>
      </w:r>
      <w:r w:rsidR="0019731B">
        <w:t xml:space="preserve">to </w:t>
      </w:r>
      <w:r w:rsidR="008106B6">
        <w:t xml:space="preserve">a precise metric once there is a high penetration of VRE in a specific region. </w:t>
      </w:r>
      <w:r w:rsidR="00755594">
        <w:t xml:space="preserve">These discussions </w:t>
      </w:r>
      <w:r w:rsidR="008106B6">
        <w:t>support</w:t>
      </w:r>
      <w:r w:rsidR="00755594">
        <w:t xml:space="preserve"> </w:t>
      </w:r>
      <w:r w:rsidR="0019731B">
        <w:t>a general</w:t>
      </w:r>
      <w:r w:rsidR="00755594">
        <w:t xml:space="preserve"> </w:t>
      </w:r>
      <w:r w:rsidR="00BC1396">
        <w:t>question of what metrics should be used to define their associated services (of some value to a system operator) in IBR dominated grids, specifically in Australia,</w:t>
      </w:r>
      <w:r w:rsidR="00755594">
        <w:t xml:space="preserve"> considering voltage support (or flexibility)? </w:t>
      </w:r>
      <w:r w:rsidR="002C63A0">
        <w:t xml:space="preserve">This question is further broken to details in </w:t>
      </w:r>
      <w:r w:rsidR="00A12123">
        <w:t>Table 6</w:t>
      </w:r>
      <w:r w:rsidR="002C63A0">
        <w:t>.</w:t>
      </w:r>
      <w:r w:rsidR="00755594">
        <w:t xml:space="preserve"> </w:t>
      </w:r>
    </w:p>
    <w:p w14:paraId="47D3ED6B" w14:textId="10AACF3B" w:rsidR="00F4750D" w:rsidRDefault="008062C2" w:rsidP="007F2D36">
      <w:r>
        <w:object w:dxaOrig="21771" w:dyaOrig="5711" w14:anchorId="14EB37F1">
          <v:shape id="_x0000_i1031" type="#_x0000_t75" alt="Energy storage systems can provide services to power generation, transmission, and distribution sectors, as well as end-users. These services facilitate renewable energy integration into the grid." style="width:450.5pt;height:117.5pt" o:ole="">
            <v:imagedata r:id="rId39" o:title=""/>
          </v:shape>
          <o:OLEObject Type="Embed" ProgID="Visio.Drawing.15" ShapeID="_x0000_i1031" DrawAspect="Content" ObjectID="_1709468174" r:id="rId40"/>
        </w:object>
      </w:r>
    </w:p>
    <w:p w14:paraId="58DEFAB8" w14:textId="189EC83A" w:rsidR="00944D0F" w:rsidRPr="008158E2" w:rsidRDefault="00E26C21" w:rsidP="00E26C21">
      <w:pPr>
        <w:pStyle w:val="FigureCaption"/>
      </w:pPr>
      <w:bookmarkStart w:id="29" w:name="_Toc81571326"/>
      <w:r>
        <w:t>Figure 8</w:t>
      </w:r>
      <w:r w:rsidR="00944D0F" w:rsidRPr="008158E2">
        <w:t>. Possible services from ESS</w:t>
      </w:r>
      <w:r w:rsidR="00D86DFF" w:rsidRPr="008158E2">
        <w:t xml:space="preserve"> </w:t>
      </w:r>
      <w:r w:rsidR="00D86DFF" w:rsidRPr="008158E2">
        <w:fldChar w:fldCharType="begin"/>
      </w:r>
      <w:r w:rsidR="004270B7">
        <w:instrText xml:space="preserve"> ADDIN EN.CITE &lt;EndNote&gt;&lt;Cite&gt;&lt;Author&gt;Günter&lt;/Author&gt;&lt;Year&gt;2016&lt;/Year&gt;&lt;RecNum&gt;276&lt;/RecNum&gt;&lt;DisplayText&gt;[39]&lt;/DisplayText&gt;&lt;record&gt;&lt;rec-number&gt;276&lt;/rec-number&gt;&lt;foreign-keys&gt;&lt;key app="EN" db-id="dsezaaaxf5z9dte9xeovfea50xe9wdtdapd9" timestamp="1628662179"&gt;276&lt;/key&gt;&lt;/foreign-keys&gt;&lt;ref-type name="Journal Article"&gt;17&lt;/ref-type&gt;&lt;contributors&gt;&lt;authors&gt;&lt;author&gt;Günter, Niklas&lt;/author&gt;&lt;author&gt;Marinopoulos, Antonios&lt;/author&gt;&lt;/authors&gt;&lt;/contributors&gt;&lt;titles&gt;&lt;title&gt;Energy storage for grid services and applications: Classification, market review, metrics, and methodology for evaluation of deployment cases&lt;/title&gt;&lt;secondary-title&gt;Journal of Energy Storage&lt;/secondary-title&gt;&lt;/titles&gt;&lt;periodical&gt;&lt;full-title&gt;Journal of Energy Storage&lt;/full-title&gt;&lt;/periodical&gt;&lt;pages&gt;226-234&lt;/pages&gt;&lt;volume&gt;8&lt;/volume&gt;&lt;dates&gt;&lt;year&gt;2016&lt;/year&gt;&lt;/dates&gt;&lt;isbn&gt;2352-152X&lt;/isbn&gt;&lt;urls&gt;&lt;/urls&gt;&lt;/record&gt;&lt;/Cite&gt;&lt;/EndNote&gt;</w:instrText>
      </w:r>
      <w:r w:rsidR="00D86DFF" w:rsidRPr="008158E2">
        <w:fldChar w:fldCharType="separate"/>
      </w:r>
      <w:r w:rsidR="004270B7">
        <w:rPr>
          <w:noProof/>
        </w:rPr>
        <w:t>[39]</w:t>
      </w:r>
      <w:r w:rsidR="00D86DFF" w:rsidRPr="008158E2">
        <w:fldChar w:fldCharType="end"/>
      </w:r>
      <w:r w:rsidR="00944D0F" w:rsidRPr="008158E2">
        <w:t>.</w:t>
      </w:r>
      <w:bookmarkEnd w:id="29"/>
    </w:p>
    <w:p w14:paraId="60140DA2" w14:textId="2459D9D9" w:rsidR="003972A5" w:rsidRDefault="006D4890" w:rsidP="002A39B4">
      <w:pPr>
        <w:jc w:val="center"/>
      </w:pPr>
      <w:r>
        <w:object w:dxaOrig="12950" w:dyaOrig="8071" w14:anchorId="048375FD">
          <v:shape id="_x0000_i1032" type="#_x0000_t75" style="width:450.5pt;height:281.5pt" o:ole="">
            <v:imagedata r:id="rId41" o:title=""/>
          </v:shape>
          <o:OLEObject Type="Embed" ProgID="Visio.Drawing.15" ShapeID="_x0000_i1032" DrawAspect="Content" ObjectID="_1709468175" r:id="rId42"/>
        </w:object>
      </w:r>
    </w:p>
    <w:p w14:paraId="07074BF7" w14:textId="4B2A261F" w:rsidR="002C63A0" w:rsidRPr="003E5978" w:rsidRDefault="002C63A0" w:rsidP="00E26C21">
      <w:pPr>
        <w:pStyle w:val="TableCaption"/>
      </w:pPr>
      <w:bookmarkStart w:id="30" w:name="_Toc83674485"/>
      <w:r w:rsidRPr="00B61625">
        <w:t xml:space="preserve">Table </w:t>
      </w:r>
      <w:r w:rsidR="005F57CA">
        <w:t>5</w:t>
      </w:r>
      <w:r w:rsidRPr="00B61625">
        <w:t>. Recommendations for review</w:t>
      </w:r>
      <w:r>
        <w:t xml:space="preserve"> </w:t>
      </w:r>
      <w:r w:rsidR="00E063EA">
        <w:t>or define new metrics</w:t>
      </w:r>
      <w:r w:rsidRPr="00B61625">
        <w:t>.</w:t>
      </w:r>
      <w:bookmarkEnd w:id="30"/>
    </w:p>
    <w:bookmarkEnd w:id="28"/>
    <w:p w14:paraId="6A7685C2" w14:textId="45AC584E" w:rsidR="007F2D36" w:rsidRDefault="007F2D36" w:rsidP="00772EB7">
      <w:pPr>
        <w:pStyle w:val="Heading1"/>
        <w:numPr>
          <w:ilvl w:val="0"/>
          <w:numId w:val="0"/>
        </w:numPr>
        <w:spacing w:before="120" w:after="120" w:line="276" w:lineRule="auto"/>
      </w:pPr>
      <w:r>
        <w:t xml:space="preserve">   </w:t>
      </w:r>
    </w:p>
    <w:p w14:paraId="0D23A88A" w14:textId="00632EC5" w:rsidR="00C13D18" w:rsidRPr="00EE1C99" w:rsidRDefault="004F54C2" w:rsidP="00027861">
      <w:pPr>
        <w:pStyle w:val="Heading2"/>
      </w:pPr>
      <w:bookmarkStart w:id="31" w:name="_Toc75183244"/>
      <w:bookmarkStart w:id="32" w:name="_Toc75183267"/>
      <w:bookmarkStart w:id="33" w:name="_Toc83674470"/>
      <w:bookmarkEnd w:id="31"/>
      <w:bookmarkEnd w:id="32"/>
      <w:r w:rsidRPr="00EE1C99">
        <w:t>Financial domain</w:t>
      </w:r>
      <w:bookmarkEnd w:id="33"/>
    </w:p>
    <w:p w14:paraId="16B57B11" w14:textId="77777777" w:rsidR="004270B7" w:rsidRPr="00EE1C99" w:rsidRDefault="004270B7" w:rsidP="004270B7"/>
    <w:p w14:paraId="4BFFB63C" w14:textId="33F69B6D" w:rsidR="004270B7" w:rsidRPr="00EE1C99" w:rsidRDefault="004270B7" w:rsidP="004270B7">
      <w:r w:rsidRPr="00EE1C99">
        <w:t xml:space="preserve">A recent </w:t>
      </w:r>
      <w:r w:rsidRPr="00EE1C99">
        <w:rPr>
          <w:i/>
          <w:iCs/>
        </w:rPr>
        <w:t>History of Political Economy</w:t>
      </w:r>
      <w:r w:rsidRPr="00EE1C99">
        <w:t xml:space="preserve"> article by Daniel Breslau of Virginia Polytechnic Institute </w:t>
      </w:r>
      <w:r w:rsidRPr="00EE1C99">
        <w:fldChar w:fldCharType="begin"/>
      </w:r>
      <w:r w:rsidRPr="00EE1C99">
        <w:instrText xml:space="preserve"> ADDIN EN.CITE &lt;EndNote&gt;&lt;Cite&gt;&lt;Author&gt;Breslau&lt;/Author&gt;&lt;Year&gt;2020&lt;/Year&gt;&lt;RecNum&gt;65&lt;/RecNum&gt;&lt;DisplayText&gt;[41]&lt;/DisplayText&gt;&lt;record&gt;&lt;rec-number&gt;65&lt;/rec-number&gt;&lt;foreign-keys&gt;&lt;key app="EN" db-id="dsezaaaxf5z9dte9xeovfea50xe9wdtdapd9" timestamp="1624248392"&gt;65&lt;/key&gt;&lt;/foreign-keys&gt;&lt;ref-type name="Journal Article"&gt;17&lt;/ref-type&gt;&lt;contributors&gt;&lt;authors&gt;&lt;author&gt;Breslau, Daniel&lt;/author&gt;&lt;/authors&gt;&lt;/contributors&gt;&lt;titles&gt;&lt;title&gt;Redistributing Agency: The Control Roots of Spot Pricing of Electricity&lt;/title&gt;&lt;secondary-title&gt;History of Political Economy&lt;/secondary-title&gt;&lt;/titles&gt;&lt;periodical&gt;&lt;full-title&gt;History of Political Economy&lt;/full-title&gt;&lt;/periodical&gt;&lt;pages&gt;221-244&lt;/pages&gt;&lt;volume&gt;52&lt;/volume&gt;&lt;number&gt;S1&lt;/number&gt;&lt;dates&gt;&lt;year&gt;2020&lt;/year&gt;&lt;/dates&gt;&lt;isbn&gt;0018-2702&lt;/isbn&gt;&lt;urls&gt;&lt;/urls&gt;&lt;/record&gt;&lt;/Cite&gt;&lt;/EndNote&gt;</w:instrText>
      </w:r>
      <w:r w:rsidRPr="00EE1C99">
        <w:fldChar w:fldCharType="separate"/>
      </w:r>
      <w:r w:rsidRPr="00EE1C99">
        <w:rPr>
          <w:noProof/>
        </w:rPr>
        <w:t>[41]</w:t>
      </w:r>
      <w:r w:rsidRPr="00EE1C99">
        <w:fldChar w:fldCharType="end"/>
      </w:r>
      <w:r w:rsidRPr="00EE1C99">
        <w:t xml:space="preserve"> describes the control roots of spot pricing of electricity and how it was intended to achieve an economically efficient outcome (i.e. at least cost)</w:t>
      </w:r>
      <w:r w:rsidRPr="00EE1C99">
        <w:rPr>
          <w:rStyle w:val="FootnoteReference"/>
        </w:rPr>
        <w:footnoteReference w:id="5"/>
      </w:r>
      <w:r w:rsidRPr="00EE1C99">
        <w:t>. Put simply,</w:t>
      </w:r>
    </w:p>
    <w:p w14:paraId="2BFF07B2" w14:textId="77777777" w:rsidR="004270B7" w:rsidRPr="00EE1C99" w:rsidRDefault="004270B7" w:rsidP="004270B7">
      <w:pPr>
        <w:pStyle w:val="ListParagraph"/>
        <w:numPr>
          <w:ilvl w:val="0"/>
          <w:numId w:val="3"/>
        </w:numPr>
      </w:pPr>
      <w:r w:rsidRPr="00EE1C99">
        <w:t>Establish an energy marketplace (with efficient and economical services),</w:t>
      </w:r>
    </w:p>
    <w:p w14:paraId="71D700B7" w14:textId="77777777" w:rsidR="004270B7" w:rsidRPr="00EE1C99" w:rsidRDefault="004270B7" w:rsidP="004270B7">
      <w:pPr>
        <w:pStyle w:val="ListParagraph"/>
        <w:numPr>
          <w:ilvl w:val="0"/>
          <w:numId w:val="3"/>
        </w:numPr>
      </w:pPr>
      <w:r w:rsidRPr="00EE1C99">
        <w:t>The existence of the marketplace ensures an at least cost electricity supply,</w:t>
      </w:r>
    </w:p>
    <w:p w14:paraId="60437081" w14:textId="77777777" w:rsidR="004270B7" w:rsidRPr="00EE1C99" w:rsidRDefault="004270B7" w:rsidP="004270B7">
      <w:pPr>
        <w:pStyle w:val="ListParagraph"/>
        <w:numPr>
          <w:ilvl w:val="0"/>
          <w:numId w:val="3"/>
        </w:numPr>
      </w:pPr>
      <w:r w:rsidRPr="00EE1C99">
        <w:t>When there is a shortage of electricity supply, the price in the marketplace goes up during the periods of shortage,</w:t>
      </w:r>
    </w:p>
    <w:p w14:paraId="163FE0CE" w14:textId="77777777" w:rsidR="004270B7" w:rsidRPr="00EE1C99" w:rsidRDefault="004270B7" w:rsidP="004270B7">
      <w:pPr>
        <w:pStyle w:val="ListParagraph"/>
        <w:numPr>
          <w:ilvl w:val="0"/>
          <w:numId w:val="3"/>
        </w:numPr>
      </w:pPr>
      <w:r w:rsidRPr="00EE1C99">
        <w:t>A pain-point creates a demand to build a power plant that fills the shortage,</w:t>
      </w:r>
    </w:p>
    <w:p w14:paraId="2B9FED71" w14:textId="77777777" w:rsidR="004270B7" w:rsidRPr="00EE1C99" w:rsidRDefault="004270B7" w:rsidP="004270B7">
      <w:pPr>
        <w:pStyle w:val="ListParagraph"/>
        <w:numPr>
          <w:ilvl w:val="0"/>
          <w:numId w:val="3"/>
        </w:numPr>
      </w:pPr>
      <w:r w:rsidRPr="00EE1C99">
        <w:t>The most economically efficient power plant gets built (achieving at least cost),</w:t>
      </w:r>
    </w:p>
    <w:p w14:paraId="3164E124" w14:textId="77777777" w:rsidR="004270B7" w:rsidRPr="00EE1C99" w:rsidRDefault="004270B7" w:rsidP="004270B7">
      <w:pPr>
        <w:pStyle w:val="ListParagraph"/>
        <w:numPr>
          <w:ilvl w:val="0"/>
          <w:numId w:val="3"/>
        </w:numPr>
      </w:pPr>
      <w:r w:rsidRPr="00EE1C99">
        <w:t>Return to having a least cost electricity supply.</w:t>
      </w:r>
    </w:p>
    <w:p w14:paraId="1465E50E" w14:textId="294408D3" w:rsidR="004F54C2" w:rsidRPr="00EE1C99" w:rsidRDefault="004F54C2" w:rsidP="004F54C2">
      <w:pPr>
        <w:rPr>
          <w:color w:val="212223"/>
        </w:rPr>
      </w:pPr>
      <w:r w:rsidRPr="00EE1C99">
        <w:lastRenderedPageBreak/>
        <w:t>Recognising and responding to the challenge, the AEM</w:t>
      </w:r>
      <w:r w:rsidR="00BE03F0" w:rsidRPr="00EE1C99">
        <w:t>O</w:t>
      </w:r>
      <w:r w:rsidRPr="00EE1C99">
        <w:t xml:space="preserve"> has in place several activities and proposed rule changes among them, “Integrated System Plan (ISP)”</w:t>
      </w:r>
      <w:r w:rsidRPr="00EE1C99">
        <w:rPr>
          <w:color w:val="212223"/>
        </w:rPr>
        <w:t xml:space="preserve"> </w:t>
      </w:r>
      <w:r w:rsidRPr="00EE1C99">
        <w:rPr>
          <w:color w:val="212223"/>
        </w:rPr>
        <w:fldChar w:fldCharType="begin"/>
      </w:r>
      <w:r w:rsidR="004270B7" w:rsidRPr="00EE1C99">
        <w:rPr>
          <w:color w:val="212223"/>
        </w:rPr>
        <w:instrText xml:space="preserve"> ADDIN EN.CITE &lt;EndNote&gt;&lt;Cite&gt;&lt;Year&gt;July 2020&lt;/Year&gt;&lt;RecNum&gt;287&lt;/RecNum&gt;&lt;DisplayText&gt;[42]&lt;/DisplayText&gt;&lt;record&gt;&lt;rec-number&gt;287&lt;/rec-number&gt;&lt;foreign-keys&gt;&lt;key app="EN" db-id="dsezaaaxf5z9dte9xeovfea50xe9wdtdapd9" timestamp="1629185182"&gt;287&lt;/key&gt;&lt;/foreign-keys&gt;&lt;ref-type name="Report"&gt;27&lt;/ref-type&gt;&lt;contributors&gt;&lt;/contributors&gt;&lt;titles&gt;&lt;title&gt;Integrated System Plan&lt;/title&gt;&lt;/titles&gt;&lt;dates&gt;&lt;year&gt;July 2020&lt;/year&gt;&lt;/dates&gt;&lt;publisher&gt;Australian Energy Market Operator&lt;/publisher&gt;&lt;urls&gt;&lt;/urls&gt;&lt;/record&gt;&lt;/Cite&gt;&lt;/EndNote&gt;</w:instrText>
      </w:r>
      <w:r w:rsidRPr="00EE1C99">
        <w:rPr>
          <w:color w:val="212223"/>
        </w:rPr>
        <w:fldChar w:fldCharType="separate"/>
      </w:r>
      <w:r w:rsidR="004270B7" w:rsidRPr="00EE1C99">
        <w:rPr>
          <w:noProof/>
          <w:color w:val="212223"/>
        </w:rPr>
        <w:t>[42]</w:t>
      </w:r>
      <w:r w:rsidRPr="00EE1C99">
        <w:rPr>
          <w:color w:val="212223"/>
        </w:rPr>
        <w:fldChar w:fldCharType="end"/>
      </w:r>
      <w:r w:rsidRPr="00EE1C99">
        <w:rPr>
          <w:color w:val="212223"/>
        </w:rPr>
        <w:t>. This plan</w:t>
      </w:r>
      <w:r w:rsidRPr="00EE1C99">
        <w:rPr>
          <w:noProof/>
          <w:color w:val="212223"/>
        </w:rPr>
        <w:t xml:space="preserve"> </w:t>
      </w:r>
      <w:r w:rsidRPr="00EE1C99">
        <w:rPr>
          <w:color w:val="212223"/>
        </w:rPr>
        <w:t xml:space="preserve">identifies investment choices and recommends essential actions to maximise consumer benefits at the time Australia is experiencing the so-called world’s fastest energy transition. The aim is to minimise costs and the risk of events that can adversely impact future power costs and consumer prices, while maintaining the reliability and security of the power system </w:t>
      </w:r>
      <w:r w:rsidRPr="00EE1C99">
        <w:rPr>
          <w:color w:val="212223"/>
        </w:rPr>
        <w:fldChar w:fldCharType="begin"/>
      </w:r>
      <w:r w:rsidR="004270B7" w:rsidRPr="00EE1C99">
        <w:rPr>
          <w:color w:val="212223"/>
        </w:rPr>
        <w:instrText xml:space="preserve"> ADDIN EN.CITE &lt;EndNote&gt;&lt;Cite&gt;&lt;Year&gt;July 2020&lt;/Year&gt;&lt;RecNum&gt;287&lt;/RecNum&gt;&lt;DisplayText&gt;[42]&lt;/DisplayText&gt;&lt;record&gt;&lt;rec-number&gt;287&lt;/rec-number&gt;&lt;foreign-keys&gt;&lt;key app="EN" db-id="dsezaaaxf5z9dte9xeovfea50xe9wdtdapd9" timestamp="1629185182"&gt;287&lt;/key&gt;&lt;/foreign-keys&gt;&lt;ref-type name="Report"&gt;27&lt;/ref-type&gt;&lt;contributors&gt;&lt;/contributors&gt;&lt;titles&gt;&lt;title&gt;Integrated System Plan&lt;/title&gt;&lt;/titles&gt;&lt;dates&gt;&lt;year&gt;July 2020&lt;/year&gt;&lt;/dates&gt;&lt;publisher&gt;Australian Energy Market Operator&lt;/publisher&gt;&lt;urls&gt;&lt;/urls&gt;&lt;/record&gt;&lt;/Cite&gt;&lt;/EndNote&gt;</w:instrText>
      </w:r>
      <w:r w:rsidRPr="00EE1C99">
        <w:rPr>
          <w:color w:val="212223"/>
        </w:rPr>
        <w:fldChar w:fldCharType="separate"/>
      </w:r>
      <w:r w:rsidR="004270B7" w:rsidRPr="00EE1C99">
        <w:rPr>
          <w:noProof/>
          <w:color w:val="212223"/>
        </w:rPr>
        <w:t>[42]</w:t>
      </w:r>
      <w:r w:rsidRPr="00EE1C99">
        <w:rPr>
          <w:color w:val="212223"/>
        </w:rPr>
        <w:fldChar w:fldCharType="end"/>
      </w:r>
      <w:r w:rsidRPr="00EE1C99">
        <w:rPr>
          <w:color w:val="212223"/>
        </w:rPr>
        <w:t xml:space="preserve">. From the power system services perspective, ISP </w:t>
      </w:r>
      <w:r w:rsidRPr="00EE1C99">
        <w:t>proposes an investment pathway at least cost for the NEM based on the transmission framework, which is helpful if economic aspects of services are considered</w:t>
      </w:r>
      <w:r w:rsidRPr="00EE1C99">
        <w:rPr>
          <w:color w:val="212223"/>
        </w:rPr>
        <w:t xml:space="preserve">. </w:t>
      </w:r>
    </w:p>
    <w:p w14:paraId="24110834" w14:textId="547876D7" w:rsidR="004F54C2" w:rsidRDefault="0078371A" w:rsidP="004F54C2">
      <w:pPr>
        <w:rPr>
          <w:color w:val="212223"/>
          <w:szCs w:val="20"/>
        </w:rPr>
      </w:pPr>
      <w:r w:rsidRPr="00EE1C99">
        <w:rPr>
          <w:color w:val="212223"/>
        </w:rPr>
        <w:t>In addition, g</w:t>
      </w:r>
      <w:r w:rsidR="004F54C2" w:rsidRPr="00EE1C99">
        <w:rPr>
          <w:color w:val="212223"/>
        </w:rPr>
        <w:t xml:space="preserve">iven the forthcoming declining minimum demand due to increasing adoption of renewable energy sources </w:t>
      </w:r>
      <w:r w:rsidR="004F54C2" w:rsidRPr="00EE1C99">
        <w:rPr>
          <w:color w:val="212223"/>
        </w:rPr>
        <w:fldChar w:fldCharType="begin"/>
      </w:r>
      <w:r w:rsidR="004270B7" w:rsidRPr="00EE1C99">
        <w:rPr>
          <w:color w:val="212223"/>
        </w:rPr>
        <w:instrText xml:space="preserve"> ADDIN EN.CITE &lt;EndNote&gt;&lt;Cite&gt;&lt;Year&gt;2021&lt;/Year&gt;&lt;RecNum&gt;316&lt;/RecNum&gt;&lt;DisplayText&gt;[43]&lt;/DisplayText&gt;&lt;record&gt;&lt;rec-number&gt;316&lt;/rec-number&gt;&lt;foreign-keys&gt;&lt;key app="EN" db-id="dsezaaaxf5z9dte9xeovfea50xe9wdtdapd9" timestamp="1630393196"&gt;316&lt;/key&gt;&lt;/foreign-keys&gt;&lt;ref-type name="Report"&gt;27&lt;/ref-type&gt;&lt;contributors&gt;&lt;/contributors&gt;&lt;titles&gt;&lt;title&gt;AEMO&amp;apos;s reliability outlook&lt;/title&gt;&lt;/titles&gt;&lt;dates&gt;&lt;year&gt;2021&lt;/year&gt;&lt;/dates&gt;&lt;publisher&gt;Australian Energy Market Operator&lt;/publisher&gt;&lt;urls&gt;&lt;/urls&gt;&lt;/record&gt;&lt;/Cite&gt;&lt;/EndNote&gt;</w:instrText>
      </w:r>
      <w:r w:rsidR="004F54C2" w:rsidRPr="00EE1C99">
        <w:rPr>
          <w:color w:val="212223"/>
        </w:rPr>
        <w:fldChar w:fldCharType="separate"/>
      </w:r>
      <w:r w:rsidR="004270B7" w:rsidRPr="00EE1C99">
        <w:rPr>
          <w:noProof/>
          <w:color w:val="212223"/>
        </w:rPr>
        <w:t>[43]</w:t>
      </w:r>
      <w:r w:rsidR="004F54C2" w:rsidRPr="00EE1C99">
        <w:rPr>
          <w:color w:val="212223"/>
        </w:rPr>
        <w:fldChar w:fldCharType="end"/>
      </w:r>
      <w:r w:rsidR="004F54C2" w:rsidRPr="00EE1C99">
        <w:rPr>
          <w:color w:val="212223"/>
        </w:rPr>
        <w:t xml:space="preserve">, </w:t>
      </w:r>
      <w:r w:rsidR="009B6C0C" w:rsidRPr="00EE1C99">
        <w:rPr>
          <w:color w:val="212223"/>
        </w:rPr>
        <w:t>current</w:t>
      </w:r>
      <w:r w:rsidR="004F54C2" w:rsidRPr="00EE1C99">
        <w:rPr>
          <w:color w:val="212223"/>
        </w:rPr>
        <w:t xml:space="preserve"> planning assumptions may no longer be fit, and need to change to maintain reliability and security while managing operational risks </w:t>
      </w:r>
      <w:r w:rsidR="004F54C2" w:rsidRPr="00EE1C99">
        <w:rPr>
          <w:color w:val="212223"/>
        </w:rPr>
        <w:fldChar w:fldCharType="begin"/>
      </w:r>
      <w:r w:rsidR="004270B7" w:rsidRPr="00EE1C99">
        <w:rPr>
          <w:color w:val="212223"/>
        </w:rPr>
        <w:instrText xml:space="preserve"> ADDIN EN.CITE &lt;EndNote&gt;&lt;Cite&gt;&lt;Year&gt;Dec 2020&lt;/Year&gt;&lt;RecNum&gt;310&lt;/RecNum&gt;&lt;DisplayText&gt;[44]&lt;/DisplayText&gt;&lt;record&gt;&lt;rec-number&gt;310&lt;/rec-number&gt;&lt;foreign-keys&gt;&lt;key app="EN" db-id="dsezaaaxf5z9dte9xeovfea50xe9wdtdapd9" timestamp="1630368069"&gt;310&lt;/key&gt;&lt;/foreign-keys&gt;&lt;ref-type name="Report"&gt;27&lt;/ref-type&gt;&lt;contributors&gt;&lt;/contributors&gt;&lt;titles&gt;&lt;title&gt;Network Support and Control Ancillary Services (NSCAS) &lt;/title&gt;&lt;/titles&gt;&lt;dates&gt;&lt;year&gt;Dec 2020&lt;/year&gt;&lt;/dates&gt;&lt;publisher&gt;Australian Energy Market Operator&lt;/publisher&gt;&lt;urls&gt;&lt;/urls&gt;&lt;/record&gt;&lt;/Cite&gt;&lt;/EndNote&gt;</w:instrText>
      </w:r>
      <w:r w:rsidR="004F54C2" w:rsidRPr="00EE1C99">
        <w:rPr>
          <w:color w:val="212223"/>
        </w:rPr>
        <w:fldChar w:fldCharType="separate"/>
      </w:r>
      <w:r w:rsidR="004270B7" w:rsidRPr="00EE1C99">
        <w:rPr>
          <w:noProof/>
          <w:color w:val="212223"/>
        </w:rPr>
        <w:t>[44]</w:t>
      </w:r>
      <w:r w:rsidR="004F54C2" w:rsidRPr="00EE1C99">
        <w:rPr>
          <w:color w:val="212223"/>
        </w:rPr>
        <w:fldChar w:fldCharType="end"/>
      </w:r>
      <w:r w:rsidR="004F54C2" w:rsidRPr="00EE1C99">
        <w:rPr>
          <w:color w:val="212223"/>
        </w:rPr>
        <w:t xml:space="preserve">. Since electricity trading leads to a schedule-based system operation, its impact on service quality cannot be underestimated due to the dependency between schedule-based operations and energy market activities as well as on local active power reserves and frequency control processes </w:t>
      </w:r>
      <w:r w:rsidR="004F54C2" w:rsidRPr="00EE1C99">
        <w:rPr>
          <w:color w:val="212223"/>
        </w:rPr>
        <w:fldChar w:fldCharType="begin"/>
      </w:r>
      <w:r w:rsidR="004270B7" w:rsidRPr="00EE1C99">
        <w:rPr>
          <w:color w:val="212223"/>
        </w:rPr>
        <w:instrText xml:space="preserve"> ADDIN EN.CITE &lt;EndNote&gt;&lt;Cite&gt;&lt;Author&gt;Scherer&lt;/Author&gt;&lt;Year&gt;2016&lt;/Year&gt;&lt;RecNum&gt;311&lt;/RecNum&gt;&lt;DisplayText&gt;[45]&lt;/DisplayText&gt;&lt;record&gt;&lt;rec-number&gt;311&lt;/rec-number&gt;&lt;foreign-keys&gt;&lt;key app="EN" db-id="dsezaaaxf5z9dte9xeovfea50xe9wdtdapd9" timestamp="1630368221"&gt;311&lt;/key&gt;&lt;/foreign-keys&gt;&lt;ref-type name="Thesis"&gt;32&lt;/ref-type&gt;&lt;contributors&gt;&lt;authors&gt;&lt;author&gt;Scherer, Marc&lt;/author&gt;&lt;/authors&gt;&lt;/contributors&gt;&lt;titles&gt;&lt;title&gt;Frequency control in the European power system considering the organisational structure and division of responsibilities&lt;/title&gt;&lt;/titles&gt;&lt;dates&gt;&lt;year&gt;2016&lt;/year&gt;&lt;/dates&gt;&lt;publisher&gt;ETH Zurich&lt;/publisher&gt;&lt;urls&gt;&lt;/urls&gt;&lt;/record&gt;&lt;/Cite&gt;&lt;/EndNote&gt;</w:instrText>
      </w:r>
      <w:r w:rsidR="004F54C2" w:rsidRPr="00EE1C99">
        <w:rPr>
          <w:color w:val="212223"/>
        </w:rPr>
        <w:fldChar w:fldCharType="separate"/>
      </w:r>
      <w:r w:rsidR="004270B7" w:rsidRPr="00EE1C99">
        <w:rPr>
          <w:noProof/>
          <w:color w:val="212223"/>
        </w:rPr>
        <w:t>[45]</w:t>
      </w:r>
      <w:r w:rsidR="004F54C2" w:rsidRPr="00EE1C99">
        <w:rPr>
          <w:color w:val="212223"/>
        </w:rPr>
        <w:fldChar w:fldCharType="end"/>
      </w:r>
      <w:r w:rsidR="004F54C2" w:rsidRPr="00EE1C99">
        <w:rPr>
          <w:color w:val="212223"/>
        </w:rPr>
        <w:t>. From an economic perspective, further consideration of additional investment options is required for providing quality services in increasingly distributed supply-demand environments. This demands additional technological supports as enablers.</w:t>
      </w:r>
      <w:r w:rsidR="004F54C2" w:rsidRPr="367CA370">
        <w:rPr>
          <w:color w:val="212223"/>
        </w:rPr>
        <w:t xml:space="preserve"> </w:t>
      </w:r>
    </w:p>
    <w:p w14:paraId="5183DA17" w14:textId="29810B01" w:rsidR="0078507D" w:rsidRDefault="0005411F" w:rsidP="0078507D">
      <w:pPr>
        <w:jc w:val="center"/>
        <w:rPr>
          <w:b/>
          <w:bCs/>
        </w:rPr>
      </w:pPr>
      <w:r>
        <w:object w:dxaOrig="12950" w:dyaOrig="6341" w14:anchorId="11529659">
          <v:shape id="_x0000_i1033" type="#_x0000_t75" style="width:450.5pt;height:220.5pt" o:ole="">
            <v:imagedata r:id="rId43" o:title=""/>
          </v:shape>
          <o:OLEObject Type="Embed" ProgID="Visio.Drawing.15" ShapeID="_x0000_i1033" DrawAspect="Content" ObjectID="_1709468176" r:id="rId44"/>
        </w:object>
      </w:r>
    </w:p>
    <w:p w14:paraId="4A528DA1" w14:textId="42FFEF1B" w:rsidR="0078507D" w:rsidRPr="001B3B29" w:rsidRDefault="0078507D" w:rsidP="0078507D">
      <w:pPr>
        <w:pStyle w:val="TableCaption"/>
      </w:pPr>
      <w:bookmarkStart w:id="34" w:name="_Toc83674486"/>
      <w:r>
        <w:t xml:space="preserve">Table </w:t>
      </w:r>
      <w:r w:rsidR="009B6C0C">
        <w:t>6</w:t>
      </w:r>
      <w:r>
        <w:t>. Recommendations for research activities in the financial domain.</w:t>
      </w:r>
      <w:bookmarkEnd w:id="34"/>
    </w:p>
    <w:p w14:paraId="7805DFC1" w14:textId="77777777" w:rsidR="004F54C2" w:rsidRPr="004F54C2" w:rsidRDefault="004F54C2" w:rsidP="00002C98"/>
    <w:p w14:paraId="4F5490BA" w14:textId="329B5BF6" w:rsidR="00027861" w:rsidRDefault="08FF6694" w:rsidP="00027861">
      <w:pPr>
        <w:pStyle w:val="Heading2"/>
      </w:pPr>
      <w:bookmarkStart w:id="35" w:name="_Toc83674471"/>
      <w:r>
        <w:t>Industry Activities</w:t>
      </w:r>
      <w:bookmarkEnd w:id="35"/>
    </w:p>
    <w:p w14:paraId="596AA8F6" w14:textId="32B9C495" w:rsidR="002D7B14" w:rsidRDefault="002D7B14" w:rsidP="00BF4A92">
      <w:r>
        <w:t>There is a suite of activities occurring in market institutions including the AEMC, the ESB and AEMO prompted by rule change requests, periodic reviews, or in response to the recommendations of the Finkel Review. These activities broadly cover the open research questions formed above through discovery and review. However, they use a piecemeal approach to solve issues identified by market participants, and rarely consider holistic approach</w:t>
      </w:r>
      <w:r w:rsidR="00FD4A59">
        <w:t xml:space="preserve"> and adaptable but robust approach</w:t>
      </w:r>
      <w:r>
        <w:t xml:space="preserve"> that includes </w:t>
      </w:r>
      <w:r w:rsidR="00FD4A59">
        <w:t xml:space="preserve">services supplied by </w:t>
      </w:r>
      <w:r>
        <w:t xml:space="preserve">aggregated peer-to-peer </w:t>
      </w:r>
      <w:r w:rsidR="00FD4A59">
        <w:t>trading</w:t>
      </w:r>
      <w:r>
        <w:t xml:space="preserve"> or </w:t>
      </w:r>
      <w:r w:rsidR="00FD4A59">
        <w:t xml:space="preserve">services provided by </w:t>
      </w:r>
      <w:r>
        <w:t>flexible industrial load</w:t>
      </w:r>
      <w:r w:rsidR="00FD4A59">
        <w:t>s</w:t>
      </w:r>
      <w:r>
        <w:t xml:space="preserve"> that may nicely complement VRE supplies.</w:t>
      </w:r>
    </w:p>
    <w:p w14:paraId="37B56AC6" w14:textId="4F7A164F" w:rsidR="00FD4A59" w:rsidRDefault="00FD4A59" w:rsidP="00BF4A92">
      <w:r>
        <w:t>In summary, this</w:t>
      </w:r>
      <w:r w:rsidR="002D7B14">
        <w:t xml:space="preserve"> suite of activities </w:t>
      </w:r>
      <w:r>
        <w:t xml:space="preserve">includes AEMC ‘systems services rule changes’ that </w:t>
      </w:r>
      <w:r w:rsidR="002D7B14">
        <w:t>cover the following,</w:t>
      </w:r>
    </w:p>
    <w:p w14:paraId="18EBC051" w14:textId="38BE5197" w:rsidR="00FD4A59" w:rsidRPr="003E5978" w:rsidRDefault="007F0442" w:rsidP="00237486">
      <w:pPr>
        <w:numPr>
          <w:ilvl w:val="0"/>
          <w:numId w:val="9"/>
        </w:numPr>
        <w:spacing w:before="100" w:beforeAutospacing="1" w:after="100" w:afterAutospacing="1" w:line="360" w:lineRule="atLeast"/>
      </w:pPr>
      <w:hyperlink r:id="rId45" w:history="1">
        <w:r w:rsidR="00FD4A59" w:rsidRPr="003E5978">
          <w:t>Fast frequency response market ancillary service</w:t>
        </w:r>
      </w:hyperlink>
      <w:r w:rsidR="00FD4A59" w:rsidRPr="003E5978">
        <w:t> (</w:t>
      </w:r>
      <w:r w:rsidR="0077112B">
        <w:t xml:space="preserve">proposed by </w:t>
      </w:r>
      <w:hyperlink r:id="rId46" w:history="1">
        <w:r w:rsidR="00FD4A59" w:rsidRPr="003E5978">
          <w:rPr>
            <w:rStyle w:val="Hyperlink"/>
          </w:rPr>
          <w:t>Infigen Energy</w:t>
        </w:r>
      </w:hyperlink>
      <w:r w:rsidR="0070715F">
        <w:rPr>
          <w:rStyle w:val="FootnoteReference"/>
          <w:color w:val="5F5F5F" w:themeColor="hyperlink"/>
          <w:u w:val="single"/>
        </w:rPr>
        <w:footnoteReference w:id="6"/>
      </w:r>
      <w:r w:rsidR="00FD4A59" w:rsidRPr="003E5978">
        <w:t>) </w:t>
      </w:r>
      <w:r w:rsidR="00A70125">
        <w:t>– issued 15 July 2021</w:t>
      </w:r>
    </w:p>
    <w:p w14:paraId="273D92C8" w14:textId="02D29569" w:rsidR="00FD4A59" w:rsidRPr="003E5978" w:rsidRDefault="007F0442" w:rsidP="00237486">
      <w:pPr>
        <w:numPr>
          <w:ilvl w:val="0"/>
          <w:numId w:val="9"/>
        </w:numPr>
        <w:spacing w:before="100" w:beforeAutospacing="1" w:after="100" w:afterAutospacing="1" w:line="360" w:lineRule="atLeast"/>
      </w:pPr>
      <w:hyperlink r:id="rId47" w:history="1">
        <w:r w:rsidR="00FD4A59" w:rsidRPr="003E5978">
          <w:t>Primary frequency response incentive arrangements</w:t>
        </w:r>
      </w:hyperlink>
      <w:r w:rsidR="00FD4A59" w:rsidRPr="003E5978">
        <w:t> (</w:t>
      </w:r>
      <w:r w:rsidR="00A12123">
        <w:t xml:space="preserve">proposed by </w:t>
      </w:r>
      <w:hyperlink r:id="rId48" w:history="1">
        <w:r w:rsidR="00FD4A59" w:rsidRPr="003E5978">
          <w:rPr>
            <w:rStyle w:val="Hyperlink"/>
          </w:rPr>
          <w:t>AEMO</w:t>
        </w:r>
      </w:hyperlink>
      <w:r w:rsidR="0070715F">
        <w:rPr>
          <w:rStyle w:val="FootnoteReference"/>
          <w:color w:val="5F5F5F" w:themeColor="hyperlink"/>
          <w:u w:val="single"/>
        </w:rPr>
        <w:footnoteReference w:id="7"/>
      </w:r>
      <w:r w:rsidR="00FD4A59" w:rsidRPr="003E5978">
        <w:t>) </w:t>
      </w:r>
    </w:p>
    <w:p w14:paraId="0034D4B5" w14:textId="6D69A613" w:rsidR="00FD4A59" w:rsidRPr="003E5978" w:rsidRDefault="007F0442" w:rsidP="00237486">
      <w:pPr>
        <w:numPr>
          <w:ilvl w:val="0"/>
          <w:numId w:val="9"/>
        </w:numPr>
        <w:spacing w:before="100" w:beforeAutospacing="1" w:after="100" w:afterAutospacing="1" w:line="360" w:lineRule="atLeast"/>
      </w:pPr>
      <w:hyperlink r:id="rId49" w:history="1">
        <w:r w:rsidR="00FD4A59" w:rsidRPr="003E5978">
          <w:t>Operating reserve market</w:t>
        </w:r>
      </w:hyperlink>
      <w:r w:rsidR="00FD4A59" w:rsidRPr="003E5978">
        <w:t> (</w:t>
      </w:r>
      <w:r w:rsidR="00093D22">
        <w:t xml:space="preserve">proposed by </w:t>
      </w:r>
      <w:hyperlink r:id="rId50" w:history="1">
        <w:r w:rsidR="00FD4A59" w:rsidRPr="003E5978">
          <w:rPr>
            <w:rStyle w:val="Hyperlink"/>
          </w:rPr>
          <w:t>Infigen Energy</w:t>
        </w:r>
      </w:hyperlink>
      <w:r w:rsidR="0070715F">
        <w:rPr>
          <w:rStyle w:val="FootnoteReference"/>
          <w:color w:val="5F5F5F" w:themeColor="hyperlink"/>
          <w:u w:val="single"/>
        </w:rPr>
        <w:footnoteReference w:id="8"/>
      </w:r>
      <w:r w:rsidR="00FD4A59" w:rsidRPr="003E5978">
        <w:t>)</w:t>
      </w:r>
    </w:p>
    <w:p w14:paraId="05D0D343" w14:textId="75407B0E" w:rsidR="00FD4A59" w:rsidRPr="003E5978" w:rsidRDefault="007F0442" w:rsidP="00237486">
      <w:pPr>
        <w:numPr>
          <w:ilvl w:val="0"/>
          <w:numId w:val="9"/>
        </w:numPr>
        <w:spacing w:before="100" w:beforeAutospacing="1" w:after="100" w:afterAutospacing="1" w:line="360" w:lineRule="atLeast"/>
      </w:pPr>
      <w:hyperlink r:id="rId51" w:history="1">
        <w:r w:rsidR="00FD4A59" w:rsidRPr="003E5978">
          <w:t>Capacity commitment mechanism for system security and reliability services</w:t>
        </w:r>
      </w:hyperlink>
      <w:r w:rsidR="00FD4A59" w:rsidRPr="003E5978">
        <w:t> (</w:t>
      </w:r>
      <w:r w:rsidR="00093D22">
        <w:t xml:space="preserve">proposed by </w:t>
      </w:r>
      <w:hyperlink r:id="rId52" w:history="1">
        <w:r w:rsidR="00FD4A59" w:rsidRPr="003E5978">
          <w:rPr>
            <w:rStyle w:val="Hyperlink"/>
          </w:rPr>
          <w:t>Delta Electricity</w:t>
        </w:r>
      </w:hyperlink>
      <w:r w:rsidR="0070715F">
        <w:rPr>
          <w:rStyle w:val="FootnoteReference"/>
          <w:color w:val="5F5F5F" w:themeColor="hyperlink"/>
          <w:u w:val="single"/>
        </w:rPr>
        <w:footnoteReference w:id="9"/>
      </w:r>
      <w:r w:rsidR="00FD4A59" w:rsidRPr="003E5978">
        <w:t>)</w:t>
      </w:r>
    </w:p>
    <w:p w14:paraId="37456AF6" w14:textId="45BDCEBB" w:rsidR="00FD4A59" w:rsidRPr="003E5978" w:rsidRDefault="007F0442" w:rsidP="00237486">
      <w:pPr>
        <w:numPr>
          <w:ilvl w:val="0"/>
          <w:numId w:val="9"/>
        </w:numPr>
        <w:spacing w:before="100" w:beforeAutospacing="1" w:after="100" w:afterAutospacing="1" w:line="360" w:lineRule="atLeast"/>
      </w:pPr>
      <w:hyperlink r:id="rId53" w:history="1">
        <w:r w:rsidR="00FD4A59" w:rsidRPr="003E5978">
          <w:t>Introduction of ramping services</w:t>
        </w:r>
      </w:hyperlink>
      <w:r w:rsidR="00FD4A59" w:rsidRPr="003E5978">
        <w:t> (</w:t>
      </w:r>
      <w:r w:rsidR="00093D22">
        <w:t xml:space="preserve">proposed by </w:t>
      </w:r>
      <w:hyperlink r:id="rId54" w:history="1">
        <w:r w:rsidR="00FD4A59" w:rsidRPr="003E5978">
          <w:rPr>
            <w:rStyle w:val="Hyperlink"/>
          </w:rPr>
          <w:t>Delta Electricity</w:t>
        </w:r>
      </w:hyperlink>
      <w:r w:rsidR="00132BFB">
        <w:rPr>
          <w:rStyle w:val="FootnoteReference"/>
          <w:color w:val="5F5F5F" w:themeColor="hyperlink"/>
          <w:u w:val="single"/>
        </w:rPr>
        <w:footnoteReference w:id="10"/>
      </w:r>
      <w:r w:rsidR="00FD4A59" w:rsidRPr="003E5978">
        <w:t>) </w:t>
      </w:r>
    </w:p>
    <w:p w14:paraId="7D253B5D" w14:textId="1DB0C583" w:rsidR="00FD4A59" w:rsidRPr="003E5978" w:rsidRDefault="007F0442" w:rsidP="00237486">
      <w:pPr>
        <w:numPr>
          <w:ilvl w:val="0"/>
          <w:numId w:val="9"/>
        </w:numPr>
        <w:spacing w:before="100" w:beforeAutospacing="1" w:after="100" w:afterAutospacing="1" w:line="360" w:lineRule="atLeast"/>
      </w:pPr>
      <w:hyperlink r:id="rId55" w:history="1">
        <w:r w:rsidR="00FD4A59" w:rsidRPr="003E5978">
          <w:t>Efficient management of system strength on the power system</w:t>
        </w:r>
      </w:hyperlink>
      <w:r w:rsidR="00FD4A59" w:rsidRPr="003E5978">
        <w:t> (</w:t>
      </w:r>
      <w:r w:rsidR="00093D22">
        <w:t xml:space="preserve">proposed by </w:t>
      </w:r>
      <w:hyperlink r:id="rId56" w:history="1">
        <w:r w:rsidR="00FD4A59" w:rsidRPr="003E5978">
          <w:rPr>
            <w:rStyle w:val="Hyperlink"/>
          </w:rPr>
          <w:t>TransGrid</w:t>
        </w:r>
      </w:hyperlink>
      <w:r w:rsidR="00132BFB">
        <w:rPr>
          <w:rStyle w:val="FootnoteReference"/>
          <w:color w:val="5F5F5F" w:themeColor="hyperlink"/>
          <w:u w:val="single"/>
        </w:rPr>
        <w:footnoteReference w:id="11"/>
      </w:r>
      <w:r w:rsidR="00FD4A59" w:rsidRPr="003E5978">
        <w:t>)</w:t>
      </w:r>
    </w:p>
    <w:p w14:paraId="18634A3C" w14:textId="2195E372" w:rsidR="00FD4A59" w:rsidRPr="003E5978" w:rsidRDefault="007F0442" w:rsidP="00237486">
      <w:pPr>
        <w:numPr>
          <w:ilvl w:val="0"/>
          <w:numId w:val="9"/>
        </w:numPr>
        <w:spacing w:before="100" w:beforeAutospacing="1" w:after="100" w:afterAutospacing="1" w:line="360" w:lineRule="atLeast"/>
      </w:pPr>
      <w:hyperlink r:id="rId57" w:history="1">
        <w:r w:rsidR="00FD4A59" w:rsidRPr="003E5978">
          <w:t>Synchronous services markets</w:t>
        </w:r>
      </w:hyperlink>
      <w:r w:rsidR="00FD4A59" w:rsidRPr="003E5978">
        <w:t> (</w:t>
      </w:r>
      <w:r w:rsidR="00093D22">
        <w:t xml:space="preserve">proposed by </w:t>
      </w:r>
      <w:hyperlink r:id="rId58" w:history="1">
        <w:r w:rsidR="00FD4A59" w:rsidRPr="003E5978">
          <w:rPr>
            <w:rStyle w:val="Hyperlink"/>
          </w:rPr>
          <w:t>Hydro Tasmania</w:t>
        </w:r>
      </w:hyperlink>
      <w:r w:rsidR="00126DC5">
        <w:rPr>
          <w:rStyle w:val="FootnoteReference"/>
        </w:rPr>
        <w:footnoteReference w:id="12"/>
      </w:r>
      <w:r w:rsidR="00FD4A59" w:rsidRPr="003E5978">
        <w:t>) </w:t>
      </w:r>
    </w:p>
    <w:p w14:paraId="71E37541" w14:textId="3EAF88CD" w:rsidR="00CA173B" w:rsidRDefault="00CA173B" w:rsidP="00FD4A59">
      <w:r>
        <w:t xml:space="preserve">The AEMC has also recently completed an </w:t>
      </w:r>
      <w:r w:rsidRPr="00D3726E">
        <w:t>investigation</w:t>
      </w:r>
      <w:r>
        <w:t xml:space="preserve"> into system strength frameworks in the NEM</w:t>
      </w:r>
      <w:r w:rsidR="00D3726E">
        <w:rPr>
          <w:rStyle w:val="FootnoteReference"/>
        </w:rPr>
        <w:footnoteReference w:id="13"/>
      </w:r>
      <w:r>
        <w:t xml:space="preserve">. The commission </w:t>
      </w:r>
      <w:r w:rsidR="00AC7F03">
        <w:t xml:space="preserve">has proposed a framework that has three main components, reflecting how effective coordination between the supply and demand sides </w:t>
      </w:r>
      <w:r w:rsidR="006A0085">
        <w:t>is</w:t>
      </w:r>
      <w:r w:rsidR="00AC7F03">
        <w:t xml:space="preserve">. Through conversations, there was clearly some confusion on defining grid forming capability and the abilities that could be programmed or designed into inverters to provide inertial-type responses for existing protection schema. This is of course not unexpected, as the AEMC seeks technical advice from AEMO </w:t>
      </w:r>
      <w:r w:rsidR="00937482">
        <w:t xml:space="preserve">and other independent sources </w:t>
      </w:r>
      <w:r w:rsidR="00AC7F03">
        <w:t>owing to technical advice being outside of the AEMC’s capacity.</w:t>
      </w:r>
    </w:p>
    <w:p w14:paraId="19D3DAE3" w14:textId="1AB91353" w:rsidR="00FD4A59" w:rsidRDefault="00C7632A" w:rsidP="00FD4A59">
      <w:r>
        <w:t xml:space="preserve">AEMO’s </w:t>
      </w:r>
      <w:r w:rsidR="000E6DF1">
        <w:t xml:space="preserve">Engineering Framework aims to </w:t>
      </w:r>
      <w:r w:rsidR="00883ADE">
        <w:t>provide</w:t>
      </w:r>
      <w:r w:rsidR="00883ADE" w:rsidRPr="00883ADE">
        <w:t xml:space="preserve"> a secure and efficient energy transition</w:t>
      </w:r>
      <w:r w:rsidR="00991A44">
        <w:t xml:space="preserve"> </w:t>
      </w:r>
      <w:r w:rsidR="00991A44">
        <w:fldChar w:fldCharType="begin"/>
      </w:r>
      <w:r w:rsidR="004270B7">
        <w:instrText xml:space="preserve"> ADDIN EN.CITE &lt;EndNote&gt;&lt;Cite&gt;&lt;Year&gt;2020&lt;/Year&gt;&lt;RecNum&gt;318&lt;/RecNum&gt;&lt;DisplayText&gt;[46]&lt;/DisplayText&gt;&lt;record&gt;&lt;rec-number&gt;318&lt;/rec-number&gt;&lt;foreign-keys&gt;&lt;key app="EN" db-id="dsezaaaxf5z9dte9xeovfea50xe9wdtdapd9" timestamp="1630469173"&gt;318&lt;/key&gt;&lt;/foreign-keys&gt;&lt;ref-type name="Report"&gt;27&lt;/ref-type&gt;&lt;contributors&gt;&lt;/contributors&gt;&lt;titles&gt;&lt;title&gt;NEM power system design and engineering framework&lt;/title&gt;&lt;/titles&gt;&lt;dates&gt;&lt;year&gt;2020&lt;/year&gt;&lt;/dates&gt;&lt;publisher&gt;Australian Energy Market Operator (AEMO)&lt;/publisher&gt;&lt;urls&gt;&lt;/urls&gt;&lt;/record&gt;&lt;/Cite&gt;&lt;/EndNote&gt;</w:instrText>
      </w:r>
      <w:r w:rsidR="00991A44">
        <w:fldChar w:fldCharType="separate"/>
      </w:r>
      <w:r w:rsidR="004270B7">
        <w:rPr>
          <w:noProof/>
        </w:rPr>
        <w:t>[46]</w:t>
      </w:r>
      <w:r w:rsidR="00991A44">
        <w:fldChar w:fldCharType="end"/>
      </w:r>
      <w:r w:rsidR="000E6DF1">
        <w:t xml:space="preserve">. The attributes being examined </w:t>
      </w:r>
      <w:r w:rsidR="007345DF">
        <w:t xml:space="preserve">in this roadmap </w:t>
      </w:r>
      <w:r w:rsidR="000E6DF1">
        <w:t>include</w:t>
      </w:r>
      <w:r>
        <w:t xml:space="preserve"> amongst others</w:t>
      </w:r>
      <w:r w:rsidR="000E6DF1">
        <w:t>,</w:t>
      </w:r>
    </w:p>
    <w:p w14:paraId="5B2A94E4" w14:textId="1A4075A8" w:rsidR="000E6DF1" w:rsidRDefault="000E6DF1" w:rsidP="00237486">
      <w:pPr>
        <w:pStyle w:val="ListParagraph"/>
        <w:numPr>
          <w:ilvl w:val="0"/>
          <w:numId w:val="10"/>
        </w:numPr>
      </w:pPr>
      <w:r>
        <w:t>Resource adequacy,</w:t>
      </w:r>
    </w:p>
    <w:p w14:paraId="35EE61CF" w14:textId="430C8862" w:rsidR="000E6DF1" w:rsidRDefault="000E6DF1" w:rsidP="00237486">
      <w:pPr>
        <w:pStyle w:val="ListParagraph"/>
        <w:numPr>
          <w:ilvl w:val="0"/>
          <w:numId w:val="10"/>
        </w:numPr>
      </w:pPr>
      <w:r>
        <w:t>Frequency management,</w:t>
      </w:r>
    </w:p>
    <w:p w14:paraId="52D8F303" w14:textId="7E088A0F" w:rsidR="000E6DF1" w:rsidRDefault="000E6DF1" w:rsidP="00237486">
      <w:pPr>
        <w:pStyle w:val="ListParagraph"/>
        <w:numPr>
          <w:ilvl w:val="0"/>
          <w:numId w:val="10"/>
        </w:numPr>
      </w:pPr>
      <w:r>
        <w:t>System strength,</w:t>
      </w:r>
    </w:p>
    <w:p w14:paraId="28A5548A" w14:textId="492D8505" w:rsidR="000E6DF1" w:rsidRDefault="000E6DF1" w:rsidP="00237486">
      <w:pPr>
        <w:pStyle w:val="ListParagraph"/>
        <w:numPr>
          <w:ilvl w:val="0"/>
          <w:numId w:val="10"/>
        </w:numPr>
      </w:pPr>
      <w:r>
        <w:t>Voltage Control, and</w:t>
      </w:r>
    </w:p>
    <w:p w14:paraId="4904CE46" w14:textId="404D6E99" w:rsidR="000E6DF1" w:rsidRDefault="000E6DF1" w:rsidP="00237486">
      <w:pPr>
        <w:pStyle w:val="ListParagraph"/>
        <w:numPr>
          <w:ilvl w:val="0"/>
          <w:numId w:val="10"/>
        </w:numPr>
      </w:pPr>
      <w:r>
        <w:t>System Restoration.</w:t>
      </w:r>
    </w:p>
    <w:p w14:paraId="70257407" w14:textId="7C82A56D" w:rsidR="000E6DF1" w:rsidRPr="008F4FBA" w:rsidRDefault="006E0B12" w:rsidP="006E091E">
      <w:r>
        <w:t xml:space="preserve">Although aforementioned </w:t>
      </w:r>
      <w:r w:rsidR="000E409A">
        <w:t>attributes include flexibility requirements implicitly, new observation</w:t>
      </w:r>
      <w:r w:rsidR="00843399">
        <w:t>s about importance of flexibility in IBR-rich grids show that it</w:t>
      </w:r>
      <w:r w:rsidR="002A39C8">
        <w:t xml:space="preserve"> </w:t>
      </w:r>
      <w:r w:rsidR="00686BE3">
        <w:t>needs</w:t>
      </w:r>
      <w:r w:rsidR="002A39C8">
        <w:t xml:space="preserve"> to be considered as </w:t>
      </w:r>
      <w:r w:rsidR="002E51C3">
        <w:t>a</w:t>
      </w:r>
      <w:r w:rsidR="002A39C8">
        <w:t xml:space="preserve"> standalone attribute. </w:t>
      </w:r>
    </w:p>
    <w:p w14:paraId="0D0F38EE" w14:textId="46FF494A" w:rsidR="004F4044" w:rsidRPr="0060401B" w:rsidRDefault="004F4044" w:rsidP="008F4FBA">
      <w:r>
        <w:t>Last</w:t>
      </w:r>
      <w:r w:rsidR="00F2725B">
        <w:t>ly</w:t>
      </w:r>
      <w:r>
        <w:t>, the ESB is examining Access Reform to create incentives for generators to locate in sensible places, to counteract limitations that may be caused through undesirable constraints. This is a spatial (topological) services approach</w:t>
      </w:r>
      <w:r w:rsidR="004217F8">
        <w:t xml:space="preserve"> </w:t>
      </w:r>
      <w:r>
        <w:fldChar w:fldCharType="begin"/>
      </w:r>
      <w:r w:rsidR="004270B7">
        <w:instrText xml:space="preserve"> ADDIN EN.CITE &lt;EndNote&gt;&lt;Cite&gt;&lt;Year&gt;2019&lt;/Year&gt;&lt;RecNum&gt;69&lt;/RecNum&gt;&lt;DisplayText&gt;[47]&lt;/DisplayText&gt;&lt;record&gt;&lt;rec-number&gt;69&lt;/rec-number&gt;&lt;foreign-keys&gt;&lt;key app="EN" db-id="dsezaaaxf5z9dte9xeovfea50xe9wdtdapd9" timestamp="1624249150"&gt;69&lt;/key&gt;&lt;/foreign-keys&gt;&lt;ref-type name="Report"&gt;27&lt;/ref-type&gt;&lt;contributors&gt;&lt;/contributors&gt;&lt;titles&gt;&lt;title&gt;Innovation landscape for a renewable-powered future: Solutions to integrate variable renewables.&lt;/title&gt;&lt;/titles&gt;&lt;dates&gt;&lt;year&gt;2019&lt;/year&gt;&lt;/dates&gt;&lt;pub-location&gt;Abu Dhabi&lt;/pub-location&gt;&lt;publisher&gt;International Renewable Energy Agency&lt;/publisher&gt;&lt;urls&gt;&lt;/urls&gt;&lt;/record&gt;&lt;/Cite&gt;&lt;/EndNote&gt;</w:instrText>
      </w:r>
      <w:r>
        <w:fldChar w:fldCharType="separate"/>
      </w:r>
      <w:r w:rsidR="004270B7">
        <w:rPr>
          <w:noProof/>
        </w:rPr>
        <w:t>[47]</w:t>
      </w:r>
      <w:r>
        <w:fldChar w:fldCharType="end"/>
      </w:r>
      <w:r>
        <w:t>. This further unlocks new ways of best placing VPPs with more localised structure that may provide least cost services through intra-area pricing signalling while providing capacity protection. This access reform may be an outcome of ESB’s post-2025 market design.</w:t>
      </w:r>
    </w:p>
    <w:p w14:paraId="11858ABE" w14:textId="298FAAB5" w:rsidR="00654F5A" w:rsidRDefault="08FF6694" w:rsidP="0060401B">
      <w:pPr>
        <w:pStyle w:val="Heading2"/>
      </w:pPr>
      <w:bookmarkStart w:id="36" w:name="_Toc83674472"/>
      <w:r>
        <w:t>Key Research Questions</w:t>
      </w:r>
      <w:bookmarkEnd w:id="36"/>
    </w:p>
    <w:p w14:paraId="2C798913" w14:textId="4BD38476" w:rsidR="00E3601A" w:rsidRDefault="00730A30" w:rsidP="00E3601A">
      <w:r>
        <w:t>With the research questions</w:t>
      </w:r>
      <w:r w:rsidR="0048342E">
        <w:t xml:space="preserve"> of the contact</w:t>
      </w:r>
      <w:r>
        <w:t xml:space="preserve"> </w:t>
      </w:r>
      <w:r w:rsidR="008F4FBA">
        <w:t xml:space="preserve">initially </w:t>
      </w:r>
      <w:r>
        <w:t>provided (Appendix A), t</w:t>
      </w:r>
      <w:r w:rsidR="00126AD4">
        <w:t xml:space="preserve">he research plan’s discovery and review phase’s </w:t>
      </w:r>
      <w:r w:rsidR="00A455BE">
        <w:t xml:space="preserve">outcome to-date has uncovered open </w:t>
      </w:r>
      <w:r w:rsidR="008F4FBA">
        <w:t xml:space="preserve">research </w:t>
      </w:r>
      <w:r w:rsidR="00A455BE">
        <w:t>questions</w:t>
      </w:r>
      <w:r>
        <w:t>.</w:t>
      </w:r>
      <w:r w:rsidR="00A455BE">
        <w:t xml:space="preserve"> </w:t>
      </w:r>
      <w:r>
        <w:t>These questions</w:t>
      </w:r>
      <w:r w:rsidR="00A455BE">
        <w:t xml:space="preserve"> can be unpacked </w:t>
      </w:r>
      <w:r>
        <w:t xml:space="preserve">further </w:t>
      </w:r>
      <w:r w:rsidR="00A455BE">
        <w:t>with more specific investigation of the technical requirements to establish these services through either algorithmic, technology, or governance changes</w:t>
      </w:r>
      <w:r>
        <w:t xml:space="preserve">, and are </w:t>
      </w:r>
      <w:r w:rsidR="00604C3C">
        <w:t>reviewed in Table 7. Priority should be given to unlocking any immediate value that is constraining utilisation of VRE assets as well as establishing services described in Open Question</w:t>
      </w:r>
      <w:r w:rsidR="00E3601A">
        <w:t>s</w:t>
      </w:r>
      <w:r w:rsidR="00604C3C">
        <w:t xml:space="preserve"> 1</w:t>
      </w:r>
      <w:r w:rsidR="00E3601A">
        <w:t xml:space="preserve"> and 2</w:t>
      </w:r>
      <w:r w:rsidR="00604C3C">
        <w:t>.</w:t>
      </w:r>
      <w:r w:rsidR="00E3601A">
        <w:t xml:space="preserve"> </w:t>
      </w:r>
    </w:p>
    <w:p w14:paraId="6F9A530F" w14:textId="0E715293" w:rsidR="00E3601A" w:rsidRDefault="00E3601A" w:rsidP="00E3601A">
      <w:r>
        <w:t xml:space="preserve">To re-focus the future operation of Australia’s power systems through new services and pair the nature of VRE with VPPs, flexible DER and flexible industrial consumers, the next priority should work to achieve an understanding of the physics and controls required (i.e. the technical requirements) that </w:t>
      </w:r>
      <w:r>
        <w:lastRenderedPageBreak/>
        <w:t>maintain the supply-demand balance from a demand-side perspective while keeping the grid under control.</w:t>
      </w:r>
    </w:p>
    <w:p w14:paraId="5F0F30D7" w14:textId="62D259F5" w:rsidR="006B56A9" w:rsidRDefault="00C869DA" w:rsidP="00A455BE">
      <w:r>
        <w:object w:dxaOrig="11631" w:dyaOrig="15600" w14:anchorId="7A53D108">
          <v:shape id="_x0000_i1034" type="#_x0000_t75" style="width:451.5pt;height:605.5pt" o:ole="">
            <v:imagedata r:id="rId59" o:title=""/>
          </v:shape>
          <o:OLEObject Type="Embed" ProgID="Visio.Drawing.15" ShapeID="_x0000_i1034" DrawAspect="Content" ObjectID="_1709468177" r:id="rId60"/>
        </w:object>
      </w:r>
    </w:p>
    <w:p w14:paraId="4F3EF6CF" w14:textId="121F5417" w:rsidR="000818CA" w:rsidRDefault="000818CA" w:rsidP="00186A5F">
      <w:pPr>
        <w:pStyle w:val="TableCaption"/>
      </w:pPr>
      <w:bookmarkStart w:id="37" w:name="_Toc83674487"/>
      <w:r w:rsidRPr="00B61625">
        <w:t xml:space="preserve">Table </w:t>
      </w:r>
      <w:r w:rsidR="00931F15">
        <w:t>7</w:t>
      </w:r>
      <w:r w:rsidRPr="00B61625">
        <w:t xml:space="preserve">. </w:t>
      </w:r>
      <w:r w:rsidR="00CE6C23">
        <w:t>Review of key research questions</w:t>
      </w:r>
      <w:r w:rsidRPr="00B61625">
        <w:t>.</w:t>
      </w:r>
      <w:bookmarkEnd w:id="37"/>
    </w:p>
    <w:p w14:paraId="79769706" w14:textId="66BA69FD" w:rsidR="0060401B" w:rsidRDefault="00AD0BFD" w:rsidP="00FC4C36">
      <w:pPr>
        <w:pStyle w:val="Heading1"/>
      </w:pPr>
      <w:bookmarkStart w:id="38" w:name="_Toc83674473"/>
      <w:r>
        <w:lastRenderedPageBreak/>
        <w:t>The Research Plan</w:t>
      </w:r>
      <w:bookmarkEnd w:id="38"/>
    </w:p>
    <w:p w14:paraId="15FD28FB" w14:textId="56D48ADB" w:rsidR="003D4F7B" w:rsidRDefault="5A8C8A04">
      <w:r>
        <w:t>We identified five class</w:t>
      </w:r>
      <w:r w:rsidR="00B839EF">
        <w:t>es</w:t>
      </w:r>
      <w:r>
        <w:t xml:space="preserve"> of </w:t>
      </w:r>
      <w:r w:rsidR="00B91880">
        <w:t>open</w:t>
      </w:r>
      <w:r>
        <w:t xml:space="preserve"> questions (each composed of </w:t>
      </w:r>
      <w:r w:rsidR="7232B4E2">
        <w:t>several</w:t>
      </w:r>
      <w:r w:rsidR="00B91880">
        <w:t xml:space="preserve"> research </w:t>
      </w:r>
      <w:r>
        <w:t xml:space="preserve">questions) that should be </w:t>
      </w:r>
      <w:r w:rsidR="250BA132">
        <w:t xml:space="preserve">carried out to guarantee appropriate service level in the </w:t>
      </w:r>
      <w:r w:rsidR="0CCCB580">
        <w:t>NEM.</w:t>
      </w:r>
      <w:r w:rsidR="250BA132">
        <w:t xml:space="preserve"> </w:t>
      </w:r>
      <w:r w:rsidR="52A31684">
        <w:t xml:space="preserve">Here we </w:t>
      </w:r>
      <w:r w:rsidR="7F1406EB">
        <w:t xml:space="preserve">prioritise the research questions </w:t>
      </w:r>
      <w:r w:rsidR="3717A5B1">
        <w:t xml:space="preserve">and suggest a timeline for their implementation. </w:t>
      </w:r>
    </w:p>
    <w:p w14:paraId="47BE618A" w14:textId="7BFF0645" w:rsidR="00146C67" w:rsidRPr="00B07993" w:rsidRDefault="00146C67" w:rsidP="00146C67">
      <w:pPr>
        <w:pStyle w:val="Heading2"/>
      </w:pPr>
      <w:bookmarkStart w:id="39" w:name="_Toc83674474"/>
      <w:r>
        <w:t>Short-term plan (&lt; 2 years)</w:t>
      </w:r>
      <w:bookmarkEnd w:id="39"/>
    </w:p>
    <w:p w14:paraId="0C795C4D" w14:textId="146029C6" w:rsidR="003D4F7B" w:rsidRPr="00B07993" w:rsidRDefault="22556B95" w:rsidP="07CC6CA1">
      <w:r>
        <w:t xml:space="preserve">Open questions </w:t>
      </w:r>
      <w:r w:rsidR="00203D08">
        <w:t>2</w:t>
      </w:r>
      <w:r>
        <w:t xml:space="preserve"> </w:t>
      </w:r>
      <w:r w:rsidR="188E3B75">
        <w:t xml:space="preserve">and </w:t>
      </w:r>
      <w:r w:rsidR="00203D08">
        <w:t>5</w:t>
      </w:r>
      <w:r w:rsidR="188E3B75">
        <w:t xml:space="preserve"> are deemed to be urgent actions and our recommendation is to prioritise them for action</w:t>
      </w:r>
      <w:r w:rsidR="00E12465">
        <w:t xml:space="preserve"> in a short-term</w:t>
      </w:r>
      <w:r w:rsidR="188E3B75">
        <w:t xml:space="preserve">. </w:t>
      </w:r>
      <w:r w:rsidR="002A310C">
        <w:t xml:space="preserve">In particular, </w:t>
      </w:r>
      <w:r w:rsidR="001367CC">
        <w:t>w</w:t>
      </w:r>
      <w:r w:rsidR="002A310C">
        <w:t>e suggest prioritising the frequency support services</w:t>
      </w:r>
      <w:r w:rsidR="001367CC">
        <w:t xml:space="preserve"> through FFR as </w:t>
      </w:r>
      <w:r w:rsidR="002A310C">
        <w:t xml:space="preserve">AEMC </w:t>
      </w:r>
      <w:r w:rsidR="001367CC">
        <w:t>is planning to revise its rule change by the end of 2022</w:t>
      </w:r>
      <w:r w:rsidR="002A310C">
        <w:t>.</w:t>
      </w:r>
    </w:p>
    <w:p w14:paraId="7505A37D" w14:textId="3AACF0E2" w:rsidR="003D4F7B" w:rsidRPr="00B07993" w:rsidRDefault="0001328E">
      <w:r>
        <w:t xml:space="preserve">The </w:t>
      </w:r>
      <w:r w:rsidR="6A766E75">
        <w:t xml:space="preserve">Australian energy grid is transforming from an old paradigm to a new system with increased </w:t>
      </w:r>
      <w:r w:rsidR="4C864709">
        <w:t xml:space="preserve">emerging </w:t>
      </w:r>
      <w:r w:rsidR="6A766E75">
        <w:t>dynamic entities, such as DERs and electric vehicles. To maintain the required reliability</w:t>
      </w:r>
      <w:r w:rsidR="00E46C3D">
        <w:t xml:space="preserve"> and</w:t>
      </w:r>
      <w:r w:rsidR="6A766E75">
        <w:t xml:space="preserve"> securing and affor</w:t>
      </w:r>
      <w:r w:rsidR="772E31C5">
        <w:t>dability of the power grid, the S</w:t>
      </w:r>
      <w:r w:rsidR="4A7B5D56">
        <w:t>ervices need to be redefined</w:t>
      </w:r>
      <w:r w:rsidR="797CCF16">
        <w:t xml:space="preserve"> to plan for (and achieve) the transition at minimum cost (and </w:t>
      </w:r>
      <w:r w:rsidR="7966B906">
        <w:t>disruption</w:t>
      </w:r>
      <w:r w:rsidR="797CCF16">
        <w:t>)</w:t>
      </w:r>
      <w:r w:rsidR="276651F0">
        <w:t>. This call for an urgent action from AEMC and AEMO some of which have already started happening.</w:t>
      </w:r>
      <w:r w:rsidR="00A95343">
        <w:t xml:space="preserve"> We recommend </w:t>
      </w:r>
      <w:r w:rsidR="00D850E2">
        <w:t>putting</w:t>
      </w:r>
      <w:r w:rsidR="005B5B84">
        <w:t xml:space="preserve"> </w:t>
      </w:r>
      <w:r w:rsidR="00A35BB4">
        <w:t xml:space="preserve">some important items regarding financial and </w:t>
      </w:r>
      <w:r w:rsidR="00324AC9">
        <w:t xml:space="preserve">a </w:t>
      </w:r>
      <w:r w:rsidR="00A35BB4">
        <w:t xml:space="preserve">technical framework of services </w:t>
      </w:r>
      <w:r w:rsidR="00324AC9">
        <w:t xml:space="preserve">at the </w:t>
      </w:r>
      <w:r w:rsidR="00D850E2">
        <w:t>highest priority. This includes</w:t>
      </w:r>
      <w:r w:rsidR="00094F20">
        <w:t xml:space="preserve"> </w:t>
      </w:r>
      <w:r w:rsidR="00094F20" w:rsidRPr="00094F20">
        <w:rPr>
          <w:i/>
          <w:iCs/>
        </w:rPr>
        <w:t>i</w:t>
      </w:r>
      <w:r w:rsidR="00094F20">
        <w:t xml:space="preserve">) revising tariff policies </w:t>
      </w:r>
      <w:r w:rsidR="008277A5">
        <w:t>and make it</w:t>
      </w:r>
      <w:r w:rsidR="00094F20">
        <w:t xml:space="preserve"> unified</w:t>
      </w:r>
      <w:r w:rsidR="008277A5">
        <w:t xml:space="preserve"> over transmission and distribution</w:t>
      </w:r>
      <w:r w:rsidR="00310087">
        <w:t xml:space="preserve"> in the presence of disruptive technologies</w:t>
      </w:r>
      <w:r w:rsidR="008277A5">
        <w:t>,</w:t>
      </w:r>
      <w:r w:rsidR="00492EA1">
        <w:t xml:space="preserve"> and</w:t>
      </w:r>
      <w:r w:rsidR="008277A5">
        <w:t xml:space="preserve"> </w:t>
      </w:r>
      <w:r w:rsidR="008277A5" w:rsidRPr="008277A5">
        <w:rPr>
          <w:i/>
          <w:iCs/>
        </w:rPr>
        <w:t>ii</w:t>
      </w:r>
      <w:r w:rsidR="008277A5">
        <w:t>) finalis</w:t>
      </w:r>
      <w:r w:rsidR="006067EE">
        <w:t>ing</w:t>
      </w:r>
      <w:r w:rsidR="008277A5">
        <w:t xml:space="preserve"> </w:t>
      </w:r>
      <w:r w:rsidR="009B5F83">
        <w:t>the Australian strategy in improving flexibility of the grid</w:t>
      </w:r>
      <w:r w:rsidR="00CA78CE">
        <w:t xml:space="preserve"> (</w:t>
      </w:r>
      <w:r w:rsidR="00AA17B8">
        <w:t>will</w:t>
      </w:r>
      <w:r w:rsidR="00CA78CE">
        <w:t xml:space="preserve"> it </w:t>
      </w:r>
      <w:r w:rsidR="00AA17B8">
        <w:t xml:space="preserve">be </w:t>
      </w:r>
      <w:r w:rsidR="00CA78CE">
        <w:t>through inertia market,</w:t>
      </w:r>
      <w:r w:rsidR="00B02337">
        <w:t xml:space="preserve"> services in distribution grid,</w:t>
      </w:r>
      <w:r w:rsidR="00CA78CE">
        <w:t xml:space="preserve"> </w:t>
      </w:r>
      <w:r w:rsidR="009905FF" w:rsidRPr="00BD45F6">
        <w:t>hydrogen-electrolyser</w:t>
      </w:r>
      <w:r w:rsidR="006067EE">
        <w:t xml:space="preserve">, </w:t>
      </w:r>
      <w:r w:rsidR="007F4CD0">
        <w:t xml:space="preserve">Tasmanian </w:t>
      </w:r>
      <w:r w:rsidR="00B02337">
        <w:t>hydro</w:t>
      </w:r>
      <w:r w:rsidR="007F4CD0">
        <w:t xml:space="preserve"> power plants, etc.)</w:t>
      </w:r>
      <w:r w:rsidR="00492EA1">
        <w:t xml:space="preserve">. </w:t>
      </w:r>
    </w:p>
    <w:p w14:paraId="0F621991" w14:textId="2AF704A5" w:rsidR="00AE335C" w:rsidRDefault="00AE335C" w:rsidP="00AE335C">
      <w:pPr>
        <w:pStyle w:val="Heading2"/>
      </w:pPr>
      <w:bookmarkStart w:id="40" w:name="_Toc83674475"/>
      <w:r>
        <w:t>Mid-term (3-5 years) and long-term (&gt; 5 years) plan</w:t>
      </w:r>
      <w:r w:rsidR="00FD26AE">
        <w:t>s</w:t>
      </w:r>
      <w:bookmarkEnd w:id="40"/>
      <w:r>
        <w:t xml:space="preserve"> </w:t>
      </w:r>
    </w:p>
    <w:p w14:paraId="5C6E456F" w14:textId="0DAC5D3C" w:rsidR="003D4F7B" w:rsidRPr="00B07993" w:rsidRDefault="00C917F3" w:rsidP="00A11C5E">
      <w:r>
        <w:t xml:space="preserve">Parts of </w:t>
      </w:r>
      <w:r w:rsidR="00203D08">
        <w:t>the open</w:t>
      </w:r>
      <w:r>
        <w:t xml:space="preserve"> questions </w:t>
      </w:r>
      <w:r w:rsidR="00203D08">
        <w:t>1</w:t>
      </w:r>
      <w:r w:rsidR="00F657C7">
        <w:t xml:space="preserve">, </w:t>
      </w:r>
      <w:r w:rsidR="00203D08">
        <w:t>2</w:t>
      </w:r>
      <w:r w:rsidR="00F657C7">
        <w:t xml:space="preserve"> and </w:t>
      </w:r>
      <w:r w:rsidR="00203D08">
        <w:t>3</w:t>
      </w:r>
      <w:r w:rsidR="00F657C7">
        <w:t>, which are related to new and disruptive technologies, might be considered for</w:t>
      </w:r>
      <w:r w:rsidR="009917EE">
        <w:t xml:space="preserve"> the</w:t>
      </w:r>
      <w:r w:rsidR="00F657C7">
        <w:t xml:space="preserve"> next 3-5 years</w:t>
      </w:r>
      <w:r w:rsidR="009917EE">
        <w:t xml:space="preserve"> (mid-term)</w:t>
      </w:r>
      <w:r w:rsidR="00F657C7">
        <w:t xml:space="preserve">. </w:t>
      </w:r>
      <w:r w:rsidR="009917EE">
        <w:t xml:space="preserve">This includes new </w:t>
      </w:r>
      <w:r w:rsidR="002825CB">
        <w:t>technologies</w:t>
      </w:r>
      <w:r w:rsidR="7E8A3113">
        <w:t xml:space="preserve"> such as electric vehicles</w:t>
      </w:r>
      <w:r w:rsidR="002825CB">
        <w:t xml:space="preserve"> and</w:t>
      </w:r>
      <w:r w:rsidR="7E8A3113">
        <w:t xml:space="preserve"> residential and community batteries, </w:t>
      </w:r>
      <w:r w:rsidR="002825CB">
        <w:t>as well as VPP and HVDC</w:t>
      </w:r>
      <w:r w:rsidR="7397EF10">
        <w:t xml:space="preserve">. </w:t>
      </w:r>
      <w:r w:rsidR="0647801B">
        <w:t xml:space="preserve">While an urgent action might not be necessary for these questions, thinking should be done in </w:t>
      </w:r>
      <w:r w:rsidR="00324AC9">
        <w:t xml:space="preserve">the </w:t>
      </w:r>
      <w:r w:rsidR="0647801B">
        <w:t xml:space="preserve">mid-term. With </w:t>
      </w:r>
      <w:r w:rsidR="00360264">
        <w:t xml:space="preserve">the </w:t>
      </w:r>
      <w:r w:rsidR="0647801B">
        <w:t xml:space="preserve">uptake of new technologies, flexibility of the grid </w:t>
      </w:r>
      <w:r w:rsidR="3EF49792">
        <w:t>should be accurately assessed and adopted.</w:t>
      </w:r>
      <w:r w:rsidR="001B6506">
        <w:t xml:space="preserve"> That’s </w:t>
      </w:r>
      <w:r w:rsidR="004F534E">
        <w:t>why</w:t>
      </w:r>
      <w:r w:rsidR="001B6506">
        <w:t xml:space="preserve"> we put the flexibility framework in the </w:t>
      </w:r>
      <w:r w:rsidR="004F534E">
        <w:t>short-term</w:t>
      </w:r>
      <w:r w:rsidR="001B6506">
        <w:t xml:space="preserve"> </w:t>
      </w:r>
      <w:r w:rsidR="004F534E">
        <w:t>requirements</w:t>
      </w:r>
      <w:r w:rsidR="001B6506">
        <w:t>.</w:t>
      </w:r>
      <w:r w:rsidR="3EF49792">
        <w:t xml:space="preserve"> Electric vehicles are possibly the major disruption that the grid will</w:t>
      </w:r>
      <w:r w:rsidR="5C7D26B2">
        <w:t xml:space="preserve"> experience in the next 3-10 years. Th</w:t>
      </w:r>
      <w:r w:rsidR="004F534E">
        <w:t>e</w:t>
      </w:r>
      <w:r w:rsidR="5C7D26B2">
        <w:t xml:space="preserve">ir uptake will further push IBR to high levels. </w:t>
      </w:r>
    </w:p>
    <w:p w14:paraId="75D31358" w14:textId="079BA7C1" w:rsidR="00F00700" w:rsidRDefault="7B5CC48C">
      <w:r>
        <w:t xml:space="preserve">Finally, the long-term research plan could be defining metrics to quantify flexibility (and service quality) of IBR-rich </w:t>
      </w:r>
      <w:r w:rsidR="00453776">
        <w:t>grids and</w:t>
      </w:r>
      <w:r w:rsidR="723FF88B">
        <w:t xml:space="preserve"> assess whether flexibility services are properly configured. </w:t>
      </w:r>
      <w:r w:rsidR="000A1DDB">
        <w:t xml:space="preserve">Parts of open questions </w:t>
      </w:r>
      <w:r w:rsidR="008F6271">
        <w:t>3</w:t>
      </w:r>
      <w:r w:rsidR="000A1DDB">
        <w:t xml:space="preserve"> and </w:t>
      </w:r>
      <w:r w:rsidR="008F6271">
        <w:t>4</w:t>
      </w:r>
      <w:r w:rsidR="000A1DDB">
        <w:t xml:space="preserve"> show</w:t>
      </w:r>
      <w:r w:rsidR="723FF88B">
        <w:t xml:space="preserve"> </w:t>
      </w:r>
      <w:r w:rsidR="00795195">
        <w:t xml:space="preserve">mid- and </w:t>
      </w:r>
      <w:r w:rsidR="723FF88B">
        <w:t xml:space="preserve">long-term goals </w:t>
      </w:r>
      <w:r w:rsidR="00724F11">
        <w:t xml:space="preserve">about services. Table </w:t>
      </w:r>
      <w:r w:rsidR="00931F15">
        <w:t>8</w:t>
      </w:r>
      <w:r w:rsidR="00724F11">
        <w:t xml:space="preserve"> gives an overview of our research plan for the Australian grid services.</w:t>
      </w:r>
    </w:p>
    <w:p w14:paraId="7487CFEA" w14:textId="77777777" w:rsidR="00FE3F68" w:rsidRDefault="00FE3F68" w:rsidP="00FE3F68">
      <w:r>
        <w:t xml:space="preserve">Our review shows that jurisdictions often use different strategies in re-defining services in IBR-dominate power grids, based on the topology and specifications of their grids. One needs to develop a local version for services in Australia. The main skillset required for the Services part is expertise in system-level aspects of power grids. Australian universities and research centres have enough research capabilities with may world-class researchers active in system-level studies. However, this transformation has other technical requirements, from system, hardware and software perspective, to develop the future workforce. For example, further work is required to train digital-ready workforce, which is required for data-driven actions (required to optimise services). Significant targeted investment is required in research and training to make graduates, engineers and PhDs ready to contribute in the services. Our recommendation is to create a CSIRO-led partnership between government (e.g. AEMC, Department of Energy and State departments), AEMO, industry and universities similar to CRC settings.   </w:t>
      </w:r>
    </w:p>
    <w:p w14:paraId="67BD6CDE" w14:textId="6C8CF745" w:rsidR="00E33DE7" w:rsidRDefault="00E33DE7">
      <w:pPr>
        <w:sectPr w:rsidR="00E33DE7" w:rsidSect="00E50F31">
          <w:footerReference w:type="default" r:id="rId61"/>
          <w:footerReference w:type="first" r:id="rId62"/>
          <w:pgSz w:w="11906" w:h="16838" w:code="9"/>
          <w:pgMar w:top="1440" w:right="1440" w:bottom="1440" w:left="1440" w:header="720" w:footer="720" w:gutter="0"/>
          <w:pgNumType w:start="1"/>
          <w:cols w:space="720"/>
          <w:docGrid w:linePitch="360"/>
        </w:sectPr>
      </w:pPr>
    </w:p>
    <w:p w14:paraId="47C23FF0" w14:textId="12B0CCA8" w:rsidR="00B42E8B" w:rsidRDefault="00257BC8" w:rsidP="00257BC8">
      <w:pPr>
        <w:jc w:val="center"/>
      </w:pPr>
      <w:r>
        <w:object w:dxaOrig="15351" w:dyaOrig="11191" w14:anchorId="5D19F1C4">
          <v:shape id="_x0000_i1035" type="#_x0000_t75" style="width:603.5pt;height:428pt" o:ole="">
            <v:imagedata r:id="rId63" o:title="" cropbottom="1816f"/>
          </v:shape>
          <o:OLEObject Type="Embed" ProgID="Visio.Drawing.15" ShapeID="_x0000_i1035" DrawAspect="Content" ObjectID="_1709468178" r:id="rId64"/>
        </w:object>
      </w:r>
    </w:p>
    <w:p w14:paraId="426702E0" w14:textId="324E4761" w:rsidR="00810D87" w:rsidRDefault="00F94823" w:rsidP="00020DCC">
      <w:pPr>
        <w:pStyle w:val="TableCaption"/>
      </w:pPr>
      <w:bookmarkStart w:id="41" w:name="_Toc83674488"/>
      <w:r w:rsidRPr="00B61625">
        <w:t xml:space="preserve">Table </w:t>
      </w:r>
      <w:r w:rsidR="00931F15">
        <w:t>8</w:t>
      </w:r>
      <w:r w:rsidRPr="00B61625">
        <w:t xml:space="preserve">. </w:t>
      </w:r>
      <w:r>
        <w:t>Research plan</w:t>
      </w:r>
      <w:r w:rsidRPr="00B61625">
        <w:t>.</w:t>
      </w:r>
      <w:bookmarkEnd w:id="41"/>
    </w:p>
    <w:p w14:paraId="0744F2BB" w14:textId="35A6285B" w:rsidR="00810D87" w:rsidRDefault="00810D87" w:rsidP="00F83D67">
      <w:pPr>
        <w:sectPr w:rsidR="00810D87" w:rsidSect="00C84164">
          <w:footerReference w:type="first" r:id="rId65"/>
          <w:pgSz w:w="16838" w:h="11906" w:orient="landscape" w:code="9"/>
          <w:pgMar w:top="1440" w:right="1440" w:bottom="1440" w:left="1440" w:header="720" w:footer="720" w:gutter="0"/>
          <w:pgNumType w:start="23"/>
          <w:cols w:space="720"/>
          <w:docGrid w:linePitch="360"/>
        </w:sectPr>
      </w:pPr>
    </w:p>
    <w:p w14:paraId="18810E84" w14:textId="11516725" w:rsidR="00934735" w:rsidRDefault="0010737E" w:rsidP="0010737E">
      <w:pPr>
        <w:pStyle w:val="Heading1"/>
        <w:numPr>
          <w:ilvl w:val="0"/>
          <w:numId w:val="0"/>
        </w:numPr>
      </w:pPr>
      <w:bookmarkStart w:id="42" w:name="_Toc83674476"/>
      <w:r>
        <w:lastRenderedPageBreak/>
        <w:t>Appendices</w:t>
      </w:r>
      <w:bookmarkEnd w:id="42"/>
    </w:p>
    <w:p w14:paraId="7AEEB9CC" w14:textId="1251E2B1" w:rsidR="0010737E" w:rsidRDefault="0010737E" w:rsidP="0010737E">
      <w:pPr>
        <w:pStyle w:val="Heading2"/>
        <w:numPr>
          <w:ilvl w:val="0"/>
          <w:numId w:val="0"/>
        </w:numPr>
      </w:pPr>
      <w:bookmarkStart w:id="43" w:name="_Toc83674477"/>
      <w:r>
        <w:t xml:space="preserve">Appendix A – </w:t>
      </w:r>
      <w:r w:rsidR="007D4471">
        <w:t xml:space="preserve">Thought-starter Services </w:t>
      </w:r>
      <w:r>
        <w:t xml:space="preserve">Research </w:t>
      </w:r>
      <w:r w:rsidR="007D4471">
        <w:t xml:space="preserve">Topic </w:t>
      </w:r>
      <w:r>
        <w:t>Question</w:t>
      </w:r>
      <w:r w:rsidR="007D4471">
        <w:t>s</w:t>
      </w:r>
      <w:bookmarkEnd w:id="43"/>
    </w:p>
    <w:p w14:paraId="1CFCBB14" w14:textId="14578BA1" w:rsidR="007D4471" w:rsidRDefault="007D4471" w:rsidP="007D4471">
      <w:pPr>
        <w:spacing w:after="0"/>
      </w:pPr>
      <w:r>
        <w:t>a. How should the definitions of services for IBR dominated grids be structured? Can standard</w:t>
      </w:r>
      <w:r w:rsidR="00601F2C">
        <w:t xml:space="preserve"> </w:t>
      </w:r>
      <w:r>
        <w:t>services and standard characteristics be defined that are reasonable for large and small IBR and</w:t>
      </w:r>
      <w:r w:rsidR="00601F2C">
        <w:t xml:space="preserve"> </w:t>
      </w:r>
      <w:r>
        <w:t>across VRE, storage and demand response interfaces?</w:t>
      </w:r>
    </w:p>
    <w:p w14:paraId="1F6E5B03" w14:textId="77777777" w:rsidR="007D4471" w:rsidRDefault="007D4471" w:rsidP="007D4471">
      <w:pPr>
        <w:spacing w:after="0"/>
      </w:pPr>
    </w:p>
    <w:p w14:paraId="0AA77B0E" w14:textId="0D0BDE2E" w:rsidR="007D4471" w:rsidRDefault="007D4471" w:rsidP="007D4471">
      <w:pPr>
        <w:spacing w:after="0"/>
      </w:pPr>
      <w:r>
        <w:t>b. What methodologies can be employed to determine if strong/stiff voltage control services</w:t>
      </w:r>
      <w:r w:rsidR="00601F2C">
        <w:t xml:space="preserve"> </w:t>
      </w:r>
      <w:r>
        <w:t>can be reliably provided through reactive power droop or active regulation?</w:t>
      </w:r>
    </w:p>
    <w:p w14:paraId="70E8903F" w14:textId="77777777" w:rsidR="007D4471" w:rsidRDefault="007D4471" w:rsidP="007D4471">
      <w:pPr>
        <w:spacing w:after="0"/>
      </w:pPr>
    </w:p>
    <w:p w14:paraId="6B5B067F" w14:textId="6EEBBCEC" w:rsidR="007D4471" w:rsidRDefault="007D4471" w:rsidP="007D4471">
      <w:pPr>
        <w:spacing w:after="0"/>
      </w:pPr>
      <w:r>
        <w:t>c. What models and methods are necessary to quantify the ability of VRE to provide essential</w:t>
      </w:r>
      <w:r w:rsidR="00601F2C">
        <w:t xml:space="preserve"> </w:t>
      </w:r>
      <w:r>
        <w:t>reliability services to the grid, and how do system operators quantify the value of these reliability</w:t>
      </w:r>
    </w:p>
    <w:p w14:paraId="1E1534B1" w14:textId="77777777" w:rsidR="007D4471" w:rsidRDefault="007D4471" w:rsidP="007D4471">
      <w:pPr>
        <w:spacing w:after="0"/>
      </w:pPr>
      <w:r>
        <w:t>services (for example, as an input to system-specific market/incentive design questions)?</w:t>
      </w:r>
    </w:p>
    <w:p w14:paraId="0EDB0D35" w14:textId="77777777" w:rsidR="007D4471" w:rsidRDefault="007D4471" w:rsidP="007D4471">
      <w:pPr>
        <w:spacing w:after="0"/>
      </w:pPr>
    </w:p>
    <w:p w14:paraId="61793875" w14:textId="67A8D69D" w:rsidR="007D4471" w:rsidRDefault="007D4471" w:rsidP="007D4471">
      <w:pPr>
        <w:spacing w:after="0"/>
      </w:pPr>
      <w:r>
        <w:t>d. What roles can offshore wind and HVDC connections play in providing energy system</w:t>
      </w:r>
      <w:r w:rsidR="00601F2C">
        <w:t xml:space="preserve"> </w:t>
      </w:r>
      <w:r>
        <w:t>flexibility?</w:t>
      </w:r>
    </w:p>
    <w:p w14:paraId="198DA9FA" w14:textId="77777777" w:rsidR="007D4471" w:rsidRDefault="007D4471" w:rsidP="007D4471">
      <w:pPr>
        <w:spacing w:after="0"/>
      </w:pPr>
    </w:p>
    <w:p w14:paraId="0277C8BC" w14:textId="04966AD9" w:rsidR="007D4471" w:rsidRDefault="007D4471" w:rsidP="007D4471">
      <w:pPr>
        <w:spacing w:after="0"/>
      </w:pPr>
      <w:r>
        <w:t>e. What roles can synchronous condensers play in providing energy system flexibility?</w:t>
      </w:r>
    </w:p>
    <w:p w14:paraId="2CA2FBBD" w14:textId="77777777" w:rsidR="007D4471" w:rsidRDefault="007D4471" w:rsidP="007D4471">
      <w:pPr>
        <w:spacing w:after="0"/>
      </w:pPr>
    </w:p>
    <w:p w14:paraId="1EE03EFB" w14:textId="3E483F04" w:rsidR="007D4471" w:rsidRDefault="007D4471" w:rsidP="007D4471">
      <w:pPr>
        <w:spacing w:after="0"/>
      </w:pPr>
      <w:r>
        <w:t>f. How can system performance requirements be translated into reliable new technology</w:t>
      </w:r>
      <w:r w:rsidR="00601F2C">
        <w:t xml:space="preserve"> </w:t>
      </w:r>
      <w:r>
        <w:t>solutions?</w:t>
      </w:r>
    </w:p>
    <w:p w14:paraId="3767CBC1" w14:textId="77777777" w:rsidR="007D4471" w:rsidRDefault="007D4471" w:rsidP="007D4471">
      <w:pPr>
        <w:spacing w:after="0"/>
      </w:pPr>
    </w:p>
    <w:p w14:paraId="1BDCDD41" w14:textId="03A04AF2" w:rsidR="007D4471" w:rsidRDefault="007D4471" w:rsidP="007D4471">
      <w:pPr>
        <w:spacing w:after="0"/>
      </w:pPr>
      <w:r>
        <w:t xml:space="preserve">g. </w:t>
      </w:r>
      <w:bookmarkStart w:id="44" w:name="_Hlk75183387"/>
      <w:r>
        <w:t>What metrics should be used to define services in IBR dominated grids?</w:t>
      </w:r>
      <w:bookmarkEnd w:id="44"/>
    </w:p>
    <w:p w14:paraId="4169C84A" w14:textId="77777777" w:rsidR="007D4471" w:rsidRDefault="007D4471" w:rsidP="007D4471">
      <w:pPr>
        <w:spacing w:after="0"/>
      </w:pPr>
    </w:p>
    <w:p w14:paraId="1DFF42F2" w14:textId="2A60A2E8" w:rsidR="007D4471" w:rsidRDefault="007D4471" w:rsidP="007D4471">
      <w:pPr>
        <w:spacing w:after="0"/>
      </w:pPr>
      <w:r>
        <w:t>h. How can system operators quantify the transmission level service opportunities from DER?</w:t>
      </w:r>
      <w:r w:rsidR="00601F2C">
        <w:t xml:space="preserve"> </w:t>
      </w:r>
      <w:r>
        <w:t>What are the practical and technical limitations to the reliable provision of various DER services?</w:t>
      </w:r>
    </w:p>
    <w:p w14:paraId="2CBAE82F" w14:textId="77777777" w:rsidR="007D4471" w:rsidRDefault="007D4471" w:rsidP="007D4471">
      <w:pPr>
        <w:spacing w:after="0"/>
      </w:pPr>
    </w:p>
    <w:p w14:paraId="0CEA4387" w14:textId="135DCB51" w:rsidR="007D4471" w:rsidRDefault="007D4471" w:rsidP="007D4471">
      <w:pPr>
        <w:spacing w:after="0"/>
      </w:pPr>
      <w:r>
        <w:t>i. How can transmission-level services provided by DER be valued? What DER transmission</w:t>
      </w:r>
      <w:r w:rsidR="00601F2C">
        <w:t xml:space="preserve"> </w:t>
      </w:r>
      <w:r>
        <w:t>level</w:t>
      </w:r>
      <w:r w:rsidR="00601F2C">
        <w:t xml:space="preserve"> </w:t>
      </w:r>
      <w:r>
        <w:t>service valuation methodologies are best suited as a compromise between simplicity and</w:t>
      </w:r>
      <w:r w:rsidR="00601F2C">
        <w:t xml:space="preserve"> </w:t>
      </w:r>
      <w:r>
        <w:t>full cost-reflectiveness?</w:t>
      </w:r>
    </w:p>
    <w:p w14:paraId="15CBE6E7" w14:textId="77777777" w:rsidR="007D4471" w:rsidRDefault="007D4471" w:rsidP="007D4471">
      <w:pPr>
        <w:spacing w:after="0"/>
      </w:pPr>
    </w:p>
    <w:p w14:paraId="20CBBFE5" w14:textId="0AD8B7F7" w:rsidR="007D4471" w:rsidRPr="007D4471" w:rsidRDefault="007D4471" w:rsidP="007D4471">
      <w:pPr>
        <w:spacing w:after="0"/>
      </w:pPr>
      <w:r>
        <w:t>j. To what level of detail can power market clearing approaches and algorithms take into</w:t>
      </w:r>
      <w:r w:rsidR="00601F2C">
        <w:t xml:space="preserve"> </w:t>
      </w:r>
      <w:r>
        <w:t>account the physics?</w:t>
      </w:r>
    </w:p>
    <w:p w14:paraId="437F7D1C" w14:textId="77777777" w:rsidR="007D4471" w:rsidRDefault="007D4471" w:rsidP="007D4471">
      <w:pPr>
        <w:spacing w:after="0"/>
      </w:pPr>
    </w:p>
    <w:p w14:paraId="18438E88" w14:textId="1CE1D447" w:rsidR="007D4471" w:rsidRDefault="007D4471" w:rsidP="007D4471">
      <w:pPr>
        <w:spacing w:after="0"/>
        <w:rPr>
          <w:i/>
          <w:iCs/>
        </w:rPr>
      </w:pPr>
      <w:r w:rsidRPr="007D4471">
        <w:rPr>
          <w:i/>
          <w:iCs/>
        </w:rPr>
        <w:t>Note: research questions e, g and j are not part of the GPST consortium research plan.</w:t>
      </w:r>
    </w:p>
    <w:p w14:paraId="1E995833" w14:textId="7BD95D0A" w:rsidR="00C90CB8" w:rsidRDefault="00C90CB8" w:rsidP="007D4471">
      <w:pPr>
        <w:spacing w:after="0"/>
        <w:rPr>
          <w:i/>
          <w:iCs/>
        </w:rPr>
      </w:pPr>
    </w:p>
    <w:p w14:paraId="5CD33188" w14:textId="77777777" w:rsidR="00C90CB8" w:rsidRPr="007D4471" w:rsidRDefault="00C90CB8" w:rsidP="007D4471">
      <w:pPr>
        <w:spacing w:after="0"/>
        <w:rPr>
          <w:i/>
          <w:iCs/>
        </w:rPr>
      </w:pPr>
    </w:p>
    <w:p w14:paraId="46C65421" w14:textId="77777777" w:rsidR="00002621" w:rsidRDefault="00002621">
      <w:pPr>
        <w:jc w:val="left"/>
        <w:rPr>
          <w:rFonts w:asciiTheme="majorHAnsi" w:eastAsiaTheme="majorEastAsia" w:hAnsiTheme="majorHAnsi" w:cstheme="majorBidi"/>
          <w:color w:val="A5A5A5" w:themeColor="accent1" w:themeShade="BF"/>
          <w:sz w:val="26"/>
          <w:szCs w:val="26"/>
        </w:rPr>
      </w:pPr>
      <w:r>
        <w:rPr>
          <w:rFonts w:asciiTheme="majorHAnsi" w:eastAsiaTheme="majorEastAsia" w:hAnsiTheme="majorHAnsi" w:cstheme="majorBidi"/>
          <w:color w:val="A5A5A5" w:themeColor="accent1" w:themeShade="BF"/>
          <w:sz w:val="26"/>
          <w:szCs w:val="26"/>
        </w:rPr>
        <w:br w:type="page"/>
      </w:r>
    </w:p>
    <w:p w14:paraId="18B11426" w14:textId="3D36B88F" w:rsidR="0036645A" w:rsidRDefault="0020414C" w:rsidP="0030388E">
      <w:pPr>
        <w:pStyle w:val="Heading2"/>
        <w:numPr>
          <w:ilvl w:val="0"/>
          <w:numId w:val="0"/>
        </w:numPr>
      </w:pPr>
      <w:bookmarkStart w:id="45" w:name="_Toc83674478"/>
      <w:r>
        <w:lastRenderedPageBreak/>
        <w:t xml:space="preserve">Appendix </w:t>
      </w:r>
      <w:r w:rsidR="00002621">
        <w:t>B</w:t>
      </w:r>
      <w:r>
        <w:t xml:space="preserve"> – Services </w:t>
      </w:r>
      <w:r w:rsidR="00057EDF">
        <w:t>in HVDC systems in a European context</w:t>
      </w:r>
      <w:bookmarkEnd w:id="45"/>
    </w:p>
    <w:p w14:paraId="0246FEAA" w14:textId="02BE5DE9" w:rsidR="00057EDF" w:rsidRPr="00057EDF" w:rsidRDefault="00CF6188" w:rsidP="00A42719">
      <w:r w:rsidRPr="007B3DC4">
        <w:t xml:space="preserve">There are two </w:t>
      </w:r>
      <w:r w:rsidR="00C70B0A">
        <w:t xml:space="preserve">classes of </w:t>
      </w:r>
      <w:r w:rsidRPr="007B3DC4">
        <w:t xml:space="preserve">HVDC converter </w:t>
      </w:r>
      <w:r>
        <w:t>technolog</w:t>
      </w:r>
      <w:r w:rsidR="00C70B0A">
        <w:t>y,</w:t>
      </w:r>
      <w:r w:rsidRPr="007B3DC4">
        <w:t xml:space="preserve"> namely Line commutated </w:t>
      </w:r>
      <w:r>
        <w:t>converter</w:t>
      </w:r>
      <w:r w:rsidR="00C70B0A">
        <w:t>s</w:t>
      </w:r>
      <w:r>
        <w:t xml:space="preserve"> (LCC</w:t>
      </w:r>
      <w:r w:rsidR="00C70B0A">
        <w:t>s</w:t>
      </w:r>
      <w:r w:rsidRPr="007B3DC4">
        <w:t xml:space="preserve">) which </w:t>
      </w:r>
      <w:r>
        <w:t>use</w:t>
      </w:r>
      <w:r w:rsidRPr="007B3DC4">
        <w:t xml:space="preserve"> thyristors in current source </w:t>
      </w:r>
      <w:r>
        <w:t>converter</w:t>
      </w:r>
      <w:r w:rsidR="00C70B0A">
        <w:t xml:space="preserve"> </w:t>
      </w:r>
      <w:r>
        <w:t>(</w:t>
      </w:r>
      <w:r w:rsidRPr="007B3DC4">
        <w:t xml:space="preserve">CSC) </w:t>
      </w:r>
      <w:r>
        <w:t>topolog</w:t>
      </w:r>
      <w:r w:rsidR="00C70B0A">
        <w:t>ies</w:t>
      </w:r>
      <w:r w:rsidRPr="007B3DC4">
        <w:t xml:space="preserve">, and voltage source converters (VSC) that </w:t>
      </w:r>
      <w:r>
        <w:t>use</w:t>
      </w:r>
      <w:r w:rsidRPr="007B3DC4">
        <w:t xml:space="preserve"> gate turn-off thyristors (GTOs) or insulated gate bipolar transistors (IGBTs) </w:t>
      </w:r>
      <w:r w:rsidRPr="007B3DC4">
        <w:fldChar w:fldCharType="begin"/>
      </w:r>
      <w:r w:rsidR="004270B7">
        <w:instrText xml:space="preserve"> ADDIN EN.CITE &lt;EndNote&gt;&lt;Cite&gt;&lt;Author&gt;Flourentzou&lt;/Author&gt;&lt;Year&gt;2009&lt;/Year&gt;&lt;RecNum&gt;319&lt;/RecNum&gt;&lt;DisplayText&gt;[48]&lt;/DisplayText&gt;&lt;record&gt;&lt;rec-number&gt;319&lt;/rec-number&gt;&lt;foreign-keys&gt;&lt;key app="EN" db-id="dsezaaaxf5z9dte9xeovfea50xe9wdtdapd9" timestamp="1630633449"&gt;319&lt;/key&gt;&lt;/foreign-keys&gt;&lt;ref-type name="Journal Article"&gt;17&lt;/ref-type&gt;&lt;contributors&gt;&lt;authors&gt;&lt;author&gt;Flourentzou, Nikolas&lt;/author&gt;&lt;author&gt;Agelidis, Vassilios G&lt;/author&gt;&lt;author&gt;Demetriades, Georgios D&lt;/author&gt;&lt;/authors&gt;&lt;/contributors&gt;&lt;titles&gt;&lt;title&gt;VSC-based HVDC power transmission systems: An overview&lt;/title&gt;&lt;secondary-title&gt;IEEE Transactions on power electronics&lt;/secondary-title&gt;&lt;/titles&gt;&lt;periodical&gt;&lt;full-title&gt;IEEE Transactions on power electronics&lt;/full-title&gt;&lt;/periodical&gt;&lt;pages&gt;592-602&lt;/pages&gt;&lt;volume&gt;24&lt;/volume&gt;&lt;number&gt;3&lt;/number&gt;&lt;dates&gt;&lt;year&gt;2009&lt;/year&gt;&lt;/dates&gt;&lt;isbn&gt;0885-8993&lt;/isbn&gt;&lt;urls&gt;&lt;/urls&gt;&lt;/record&gt;&lt;/Cite&gt;&lt;/EndNote&gt;</w:instrText>
      </w:r>
      <w:r w:rsidRPr="007B3DC4">
        <w:fldChar w:fldCharType="separate"/>
      </w:r>
      <w:r w:rsidR="004270B7">
        <w:rPr>
          <w:noProof/>
        </w:rPr>
        <w:t>[48]</w:t>
      </w:r>
      <w:r w:rsidRPr="007B3DC4">
        <w:fldChar w:fldCharType="end"/>
      </w:r>
      <w:r w:rsidRPr="007B3DC4">
        <w:t>. HVDC transmission system can be ‘Asynchronous’ to connect two AC systems with different frequencies or phases, ‘Synchronous’ connecting two synchronised AC systems, or ‘Offshore’ which is mainly used to connect offshore wind farms to the grid. If sufficient resources are available in the system, services mentioned in</w:t>
      </w:r>
      <w:r w:rsidR="003E490C">
        <w:t xml:space="preserve"> the following</w:t>
      </w:r>
      <w:r w:rsidRPr="007B3DC4">
        <w:t xml:space="preserve"> </w:t>
      </w:r>
      <w:r w:rsidR="003E490C">
        <w:t>t</w:t>
      </w:r>
      <w:r w:rsidRPr="007B3DC4">
        <w:t>able can be provided over HVDC transmission systems</w:t>
      </w:r>
      <w:r w:rsidR="00A42719">
        <w:t xml:space="preserve"> </w:t>
      </w:r>
      <w:r w:rsidR="00A42719" w:rsidRPr="00CF6188">
        <w:fldChar w:fldCharType="begin"/>
      </w:r>
      <w:r w:rsidR="004270B7">
        <w:instrText xml:space="preserve"> ADDIN EN.CITE &lt;EndNote&gt;&lt;Cite&gt;&lt;Author&gt;Kaushal&lt;/Author&gt;&lt;Year&gt;2019&lt;/Year&gt;&lt;RecNum&gt;320&lt;/RecNum&gt;&lt;DisplayText&gt;[49]&lt;/DisplayText&gt;&lt;record&gt;&lt;rec-number&gt;320&lt;/rec-number&gt;&lt;foreign-keys&gt;&lt;key app="EN" db-id="dsezaaaxf5z9dte9xeovfea50xe9wdtdapd9" timestamp="1630634138"&gt;320&lt;/key&gt;&lt;/foreign-keys&gt;&lt;ref-type name="Journal Article"&gt;17&lt;/ref-type&gt;&lt;contributors&gt;&lt;authors&gt;&lt;author&gt;Kaushal, Abhimanyu&lt;/author&gt;&lt;author&gt;Van Hertem, Dirk&lt;/author&gt;&lt;/authors&gt;&lt;/contributors&gt;&lt;titles&gt;&lt;title&gt;An overview of ancillary services and HVDC systems in European context&lt;/title&gt;&lt;secondary-title&gt;Energies&lt;/secondary-title&gt;&lt;/titles&gt;&lt;periodical&gt;&lt;full-title&gt;Energies&lt;/full-title&gt;&lt;/periodical&gt;&lt;pages&gt;3481&lt;/pages&gt;&lt;volume&gt;12&lt;/volume&gt;&lt;number&gt;18&lt;/number&gt;&lt;dates&gt;&lt;year&gt;2019&lt;/year&gt;&lt;/dates&gt;&lt;urls&gt;&lt;/urls&gt;&lt;/record&gt;&lt;/Cite&gt;&lt;/EndNote&gt;</w:instrText>
      </w:r>
      <w:r w:rsidR="00A42719" w:rsidRPr="00CF6188">
        <w:fldChar w:fldCharType="separate"/>
      </w:r>
      <w:r w:rsidR="004270B7">
        <w:rPr>
          <w:noProof/>
        </w:rPr>
        <w:t>[49]</w:t>
      </w:r>
      <w:r w:rsidR="00A42719" w:rsidRPr="00CF6188">
        <w:fldChar w:fldCharType="end"/>
      </w:r>
      <w:r w:rsidRPr="007B3DC4">
        <w:t>.</w:t>
      </w:r>
      <w:r w:rsidR="00A42719">
        <w:t xml:space="preserve"> </w:t>
      </w:r>
      <w:r w:rsidR="00971442" w:rsidRPr="00CF6188">
        <w:t xml:space="preserve">The terms </w:t>
      </w:r>
      <w:r w:rsidR="00B654B5" w:rsidRPr="00CF6188">
        <w:t>FCR</w:t>
      </w:r>
      <w:r w:rsidR="00D871ED" w:rsidRPr="00CF6188">
        <w:t>, FRR and RR refer to</w:t>
      </w:r>
      <w:r w:rsidR="00B654B5" w:rsidRPr="00CF6188">
        <w:t xml:space="preserve"> primary frequency support, Frequency restoration reserves</w:t>
      </w:r>
      <w:r w:rsidR="00B654B5" w:rsidRPr="00971442">
        <w:t xml:space="preserve"> or secondary control,</w:t>
      </w:r>
      <w:r w:rsidR="00D871ED">
        <w:t xml:space="preserve"> and</w:t>
      </w:r>
      <w:r w:rsidR="00B654B5" w:rsidRPr="00971442">
        <w:t xml:space="preserve"> Replacement Reserve or Tertiary Control</w:t>
      </w:r>
      <w:r w:rsidR="00D871ED">
        <w:t>, respectively.</w:t>
      </w:r>
    </w:p>
    <w:p w14:paraId="62E499B6" w14:textId="77777777" w:rsidR="0020414C" w:rsidRDefault="0020414C" w:rsidP="0020414C">
      <w:r>
        <w:rPr>
          <w:noProof/>
        </w:rPr>
        <w:drawing>
          <wp:inline distT="0" distB="0" distL="0" distR="0" wp14:anchorId="00A197BB" wp14:editId="18906D30">
            <wp:extent cx="5729603" cy="2658745"/>
            <wp:effectExtent l="0" t="0" r="444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729603" cy="2658745"/>
                    </a:xfrm>
                    <a:prstGeom prst="rect">
                      <a:avLst/>
                    </a:prstGeom>
                  </pic:spPr>
                </pic:pic>
              </a:graphicData>
            </a:graphic>
          </wp:inline>
        </w:drawing>
      </w:r>
    </w:p>
    <w:p w14:paraId="502B5E42" w14:textId="0C5D7106" w:rsidR="00B654B5" w:rsidRDefault="00B654B5">
      <w:pPr>
        <w:jc w:val="left"/>
        <w:rPr>
          <w:rFonts w:asciiTheme="majorHAnsi" w:eastAsiaTheme="majorEastAsia" w:hAnsiTheme="majorHAnsi" w:cstheme="majorBidi"/>
          <w:color w:val="A5A5A5" w:themeColor="accent1" w:themeShade="BF"/>
          <w:sz w:val="26"/>
          <w:szCs w:val="26"/>
        </w:rPr>
      </w:pPr>
      <w:r>
        <w:rPr>
          <w:rFonts w:asciiTheme="majorHAnsi" w:eastAsiaTheme="majorEastAsia" w:hAnsiTheme="majorHAnsi" w:cstheme="majorBidi"/>
          <w:color w:val="A5A5A5" w:themeColor="accent1" w:themeShade="BF"/>
          <w:sz w:val="26"/>
          <w:szCs w:val="26"/>
        </w:rPr>
        <w:br w:type="page"/>
      </w:r>
    </w:p>
    <w:p w14:paraId="7712AD48" w14:textId="73F3280E" w:rsidR="00BD227E" w:rsidRDefault="00BD227E" w:rsidP="00F05812">
      <w:pPr>
        <w:pStyle w:val="Heading1"/>
        <w:numPr>
          <w:ilvl w:val="0"/>
          <w:numId w:val="0"/>
        </w:numPr>
      </w:pPr>
      <w:bookmarkStart w:id="46" w:name="_Toc83674479"/>
      <w:r>
        <w:lastRenderedPageBreak/>
        <w:t>Acknowledgements</w:t>
      </w:r>
      <w:bookmarkEnd w:id="46"/>
    </w:p>
    <w:p w14:paraId="3661FCAA" w14:textId="524263F9" w:rsidR="00BD227E" w:rsidRPr="00BD227E" w:rsidRDefault="00BD227E" w:rsidP="003E5978">
      <w:r>
        <w:t xml:space="preserve">The Services </w:t>
      </w:r>
      <w:r w:rsidR="00C049EF">
        <w:t xml:space="preserve">research plan development team thanks and express our gratitude to all those who have contributed to providing their insights from across the industry </w:t>
      </w:r>
      <w:r w:rsidR="0011640E">
        <w:t xml:space="preserve">and other research topics of the GPST, </w:t>
      </w:r>
      <w:r w:rsidR="00C049EF">
        <w:t xml:space="preserve">enabling us to glean the activities currently in train. </w:t>
      </w:r>
    </w:p>
    <w:p w14:paraId="2116E61E" w14:textId="4A126420" w:rsidR="00C049EF" w:rsidRDefault="00C049EF" w:rsidP="00C049EF">
      <w:r>
        <w:t xml:space="preserve">The team thanks the following individuals for their </w:t>
      </w:r>
      <w:r w:rsidR="00017D4F">
        <w:t>significant</w:t>
      </w:r>
      <w:r>
        <w:t xml:space="preserve"> contributions,</w:t>
      </w:r>
    </w:p>
    <w:p w14:paraId="0A917CA7" w14:textId="3930AB34" w:rsidR="00C049EF" w:rsidRDefault="0011640E" w:rsidP="00237486">
      <w:pPr>
        <w:pStyle w:val="ListParagraph"/>
        <w:numPr>
          <w:ilvl w:val="0"/>
          <w:numId w:val="11"/>
        </w:numPr>
      </w:pPr>
      <w:r>
        <w:t>Christian Schaefer, GHD,</w:t>
      </w:r>
    </w:p>
    <w:p w14:paraId="1B24C83A" w14:textId="5DD395E5" w:rsidR="0011640E" w:rsidRDefault="0011640E" w:rsidP="00237486">
      <w:pPr>
        <w:pStyle w:val="ListParagraph"/>
        <w:numPr>
          <w:ilvl w:val="0"/>
          <w:numId w:val="11"/>
        </w:numPr>
      </w:pPr>
      <w:r>
        <w:t>Mark O’Malley, GPST</w:t>
      </w:r>
      <w:r w:rsidR="00603A9C">
        <w:t xml:space="preserve"> Consortium</w:t>
      </w:r>
      <w:r>
        <w:t>,</w:t>
      </w:r>
    </w:p>
    <w:p w14:paraId="57940396" w14:textId="265461B6" w:rsidR="0011640E" w:rsidRDefault="0011640E" w:rsidP="00237486">
      <w:pPr>
        <w:pStyle w:val="ListParagraph"/>
        <w:numPr>
          <w:ilvl w:val="0"/>
          <w:numId w:val="11"/>
        </w:numPr>
      </w:pPr>
      <w:r>
        <w:t>Behrooz Bahrani, Monash University,</w:t>
      </w:r>
    </w:p>
    <w:p w14:paraId="1FC6C17C" w14:textId="77777777" w:rsidR="0011640E" w:rsidRDefault="0011640E" w:rsidP="00237486">
      <w:pPr>
        <w:pStyle w:val="ListParagraph"/>
        <w:numPr>
          <w:ilvl w:val="0"/>
          <w:numId w:val="11"/>
        </w:numPr>
      </w:pPr>
      <w:r>
        <w:t>Ben Hiron, AEMC,</w:t>
      </w:r>
    </w:p>
    <w:p w14:paraId="7CB37CA4" w14:textId="6A3B3E20" w:rsidR="0011640E" w:rsidRDefault="0011640E" w:rsidP="00237486">
      <w:pPr>
        <w:pStyle w:val="ListParagraph"/>
        <w:numPr>
          <w:ilvl w:val="0"/>
          <w:numId w:val="11"/>
        </w:numPr>
      </w:pPr>
      <w:r>
        <w:t>Jess Hunt, ESB,</w:t>
      </w:r>
    </w:p>
    <w:p w14:paraId="47C543A2" w14:textId="77777777" w:rsidR="0011640E" w:rsidRDefault="0011640E" w:rsidP="00237486">
      <w:pPr>
        <w:pStyle w:val="ListParagraph"/>
        <w:numPr>
          <w:ilvl w:val="0"/>
          <w:numId w:val="11"/>
        </w:numPr>
      </w:pPr>
      <w:r>
        <w:t>Frank Montiel, AEMO,</w:t>
      </w:r>
    </w:p>
    <w:p w14:paraId="01513395" w14:textId="7EF5637D" w:rsidR="0011640E" w:rsidRDefault="0011640E" w:rsidP="00237486">
      <w:pPr>
        <w:pStyle w:val="ListParagraph"/>
        <w:numPr>
          <w:ilvl w:val="0"/>
          <w:numId w:val="11"/>
        </w:numPr>
      </w:pPr>
      <w:r>
        <w:t>Chris Davies, AEMO,</w:t>
      </w:r>
    </w:p>
    <w:p w14:paraId="26F6B9BC" w14:textId="398D836B" w:rsidR="0011640E" w:rsidRDefault="0011640E" w:rsidP="00237486">
      <w:pPr>
        <w:pStyle w:val="ListParagraph"/>
        <w:numPr>
          <w:ilvl w:val="0"/>
          <w:numId w:val="11"/>
        </w:numPr>
      </w:pPr>
      <w:r>
        <w:t>Christiaan Zuur, AEMC,</w:t>
      </w:r>
    </w:p>
    <w:p w14:paraId="04F7791D" w14:textId="3EFE6FC4" w:rsidR="0011640E" w:rsidRDefault="0011640E" w:rsidP="00237486">
      <w:pPr>
        <w:pStyle w:val="ListParagraph"/>
        <w:numPr>
          <w:ilvl w:val="0"/>
          <w:numId w:val="11"/>
        </w:numPr>
      </w:pPr>
      <w:r>
        <w:t>Victoria Mollard, AEMC,</w:t>
      </w:r>
    </w:p>
    <w:p w14:paraId="42129436" w14:textId="05FCA37A" w:rsidR="0011640E" w:rsidRDefault="0011640E" w:rsidP="00237486">
      <w:pPr>
        <w:pStyle w:val="ListParagraph"/>
        <w:numPr>
          <w:ilvl w:val="0"/>
          <w:numId w:val="11"/>
        </w:numPr>
      </w:pPr>
      <w:r>
        <w:t>Julian Eggleston, AEMC,</w:t>
      </w:r>
    </w:p>
    <w:p w14:paraId="48183F16" w14:textId="3910CCE9" w:rsidR="0011640E" w:rsidRDefault="0011640E" w:rsidP="00237486">
      <w:pPr>
        <w:pStyle w:val="ListParagraph"/>
        <w:numPr>
          <w:ilvl w:val="0"/>
          <w:numId w:val="11"/>
        </w:numPr>
      </w:pPr>
      <w:r>
        <w:t>Sebastien Hen</w:t>
      </w:r>
      <w:r w:rsidR="00017D4F">
        <w:t>r</w:t>
      </w:r>
      <w:r>
        <w:t>y, AEMC,</w:t>
      </w:r>
    </w:p>
    <w:p w14:paraId="5491E79A" w14:textId="0CF52DAA" w:rsidR="00017D4F" w:rsidRDefault="00017D4F" w:rsidP="00237486">
      <w:pPr>
        <w:pStyle w:val="ListParagraph"/>
        <w:numPr>
          <w:ilvl w:val="0"/>
          <w:numId w:val="11"/>
        </w:numPr>
      </w:pPr>
      <w:r>
        <w:t>Craig Phasey, EnergyFlex,</w:t>
      </w:r>
    </w:p>
    <w:p w14:paraId="1E15C670" w14:textId="75C6E255" w:rsidR="0011640E" w:rsidRDefault="0011640E" w:rsidP="00237486">
      <w:pPr>
        <w:pStyle w:val="ListParagraph"/>
        <w:numPr>
          <w:ilvl w:val="0"/>
          <w:numId w:val="11"/>
        </w:numPr>
      </w:pPr>
      <w:r>
        <w:t>Luke Robinson, AEMO,</w:t>
      </w:r>
      <w:r w:rsidR="00017D4F">
        <w:t xml:space="preserve"> and</w:t>
      </w:r>
    </w:p>
    <w:p w14:paraId="19794F1A" w14:textId="0293E644" w:rsidR="0011640E" w:rsidRDefault="0011640E" w:rsidP="00237486">
      <w:pPr>
        <w:pStyle w:val="ListParagraph"/>
        <w:numPr>
          <w:ilvl w:val="0"/>
          <w:numId w:val="11"/>
        </w:numPr>
      </w:pPr>
      <w:r>
        <w:t xml:space="preserve">Scott Chapman, AEMO. </w:t>
      </w:r>
    </w:p>
    <w:p w14:paraId="79BD9BDD" w14:textId="15890C1E" w:rsidR="00C049EF" w:rsidRPr="003E5978" w:rsidRDefault="00C049EF" w:rsidP="00237486">
      <w:pPr>
        <w:pStyle w:val="ListParagraph"/>
        <w:numPr>
          <w:ilvl w:val="0"/>
          <w:numId w:val="11"/>
        </w:numPr>
      </w:pPr>
      <w:r>
        <w:br w:type="page"/>
      </w:r>
    </w:p>
    <w:p w14:paraId="4B3AF32C" w14:textId="07E1BA88" w:rsidR="00F05812" w:rsidRDefault="00F05812" w:rsidP="00F05812">
      <w:pPr>
        <w:pStyle w:val="Heading1"/>
        <w:numPr>
          <w:ilvl w:val="0"/>
          <w:numId w:val="0"/>
        </w:numPr>
      </w:pPr>
      <w:bookmarkStart w:id="47" w:name="_Toc83674480"/>
      <w:r>
        <w:lastRenderedPageBreak/>
        <w:t>References</w:t>
      </w:r>
      <w:bookmarkEnd w:id="47"/>
    </w:p>
    <w:p w14:paraId="36925653" w14:textId="77777777" w:rsidR="009738CB" w:rsidRDefault="009738CB" w:rsidP="0010737E"/>
    <w:p w14:paraId="357A7A86" w14:textId="77777777" w:rsidR="005A62DE" w:rsidRPr="005A62DE" w:rsidRDefault="009738CB" w:rsidP="005A62DE">
      <w:pPr>
        <w:pStyle w:val="EndNoteBibliography"/>
        <w:ind w:left="720" w:hanging="720"/>
      </w:pPr>
      <w:r>
        <w:fldChar w:fldCharType="begin"/>
      </w:r>
      <w:r>
        <w:instrText xml:space="preserve"> ADDIN EN.REFLIST </w:instrText>
      </w:r>
      <w:r>
        <w:fldChar w:fldCharType="separate"/>
      </w:r>
      <w:r w:rsidR="005A62DE" w:rsidRPr="005A62DE">
        <w:t>1.</w:t>
      </w:r>
      <w:r w:rsidR="005A62DE" w:rsidRPr="005A62DE">
        <w:tab/>
        <w:t xml:space="preserve">Nations, U., </w:t>
      </w:r>
      <w:r w:rsidR="005A62DE" w:rsidRPr="005A62DE">
        <w:rPr>
          <w:i/>
        </w:rPr>
        <w:t>The Sustainable Development Goals Report</w:t>
      </w:r>
      <w:r w:rsidR="005A62DE" w:rsidRPr="005A62DE">
        <w:t>. 2019: United Nations.</w:t>
      </w:r>
    </w:p>
    <w:p w14:paraId="467C38F3" w14:textId="77777777" w:rsidR="005A62DE" w:rsidRPr="005A62DE" w:rsidRDefault="005A62DE" w:rsidP="005A62DE">
      <w:pPr>
        <w:pStyle w:val="EndNoteBibliography"/>
        <w:ind w:left="720" w:hanging="720"/>
      </w:pPr>
      <w:r w:rsidRPr="005A62DE">
        <w:t>2.</w:t>
      </w:r>
      <w:r w:rsidRPr="005A62DE">
        <w:tab/>
      </w:r>
      <w:r w:rsidRPr="005A62DE">
        <w:rPr>
          <w:i/>
        </w:rPr>
        <w:t>Retirement of coal fired power stations</w:t>
      </w:r>
      <w:r w:rsidRPr="005A62DE">
        <w:t xml:space="preserve">. 2016, Commonwealth of Australia </w:t>
      </w:r>
    </w:p>
    <w:p w14:paraId="72072010" w14:textId="77777777" w:rsidR="005A62DE" w:rsidRPr="005A62DE" w:rsidRDefault="005A62DE" w:rsidP="005A62DE">
      <w:pPr>
        <w:pStyle w:val="EndNoteBibliography"/>
        <w:ind w:left="720" w:hanging="720"/>
      </w:pPr>
      <w:r w:rsidRPr="005A62DE">
        <w:t>3.</w:t>
      </w:r>
      <w:r w:rsidRPr="005A62DE">
        <w:tab/>
        <w:t xml:space="preserve">J. Bryant, et al., </w:t>
      </w:r>
      <w:r w:rsidRPr="005A62DE">
        <w:rPr>
          <w:i/>
        </w:rPr>
        <w:t>Frequency control challenges in power systems with high renewable power generation: an Australian Perspective</w:t>
      </w:r>
      <w:r w:rsidRPr="005A62DE">
        <w:t>, R. University, Editor. 2019.</w:t>
      </w:r>
    </w:p>
    <w:p w14:paraId="5EFC877F" w14:textId="77777777" w:rsidR="005A62DE" w:rsidRPr="005A62DE" w:rsidRDefault="005A62DE" w:rsidP="005A62DE">
      <w:pPr>
        <w:pStyle w:val="EndNoteBibliography"/>
        <w:ind w:left="720" w:hanging="720"/>
      </w:pPr>
      <w:r w:rsidRPr="005A62DE">
        <w:t>4.</w:t>
      </w:r>
      <w:r w:rsidRPr="005A62DE">
        <w:tab/>
      </w:r>
      <w:r w:rsidRPr="005A62DE">
        <w:rPr>
          <w:i/>
        </w:rPr>
        <w:t>Market ancilliary service specification</w:t>
      </w:r>
      <w:r w:rsidRPr="005A62DE">
        <w:t>. July 2020, Australian Energy Market Operator.</w:t>
      </w:r>
    </w:p>
    <w:p w14:paraId="56E9F611" w14:textId="77777777" w:rsidR="005A62DE" w:rsidRPr="005A62DE" w:rsidRDefault="005A62DE" w:rsidP="005A62DE">
      <w:pPr>
        <w:pStyle w:val="EndNoteBibliography"/>
        <w:ind w:left="720" w:hanging="720"/>
      </w:pPr>
      <w:r w:rsidRPr="005A62DE">
        <w:t>5.</w:t>
      </w:r>
      <w:r w:rsidRPr="005A62DE">
        <w:tab/>
      </w:r>
      <w:r w:rsidRPr="005A62DE">
        <w:rPr>
          <w:i/>
        </w:rPr>
        <w:t>Guide to Ancillary Services in the National Electricity Market</w:t>
      </w:r>
      <w:r w:rsidRPr="005A62DE">
        <w:t>. April 2015, Australian Energy Market Operator.</w:t>
      </w:r>
    </w:p>
    <w:p w14:paraId="3A2829FD" w14:textId="77777777" w:rsidR="005A62DE" w:rsidRPr="005A62DE" w:rsidRDefault="005A62DE" w:rsidP="005A62DE">
      <w:pPr>
        <w:pStyle w:val="EndNoteBibliography"/>
        <w:ind w:left="720" w:hanging="720"/>
      </w:pPr>
      <w:r w:rsidRPr="005A62DE">
        <w:t>6.</w:t>
      </w:r>
      <w:r w:rsidRPr="005A62DE">
        <w:tab/>
        <w:t xml:space="preserve">Bryant, J.S., et al., </w:t>
      </w:r>
      <w:r w:rsidRPr="005A62DE">
        <w:rPr>
          <w:i/>
        </w:rPr>
        <w:t>Synchronous generator governor response: Performance implications under high share of inverter-based renewable energy sources.</w:t>
      </w:r>
      <w:r w:rsidRPr="005A62DE">
        <w:t xml:space="preserve"> IEEE Transactions on Power Systems, 2021. </w:t>
      </w:r>
      <w:r w:rsidRPr="005A62DE">
        <w:rPr>
          <w:b/>
        </w:rPr>
        <w:t>36</w:t>
      </w:r>
      <w:r w:rsidRPr="005A62DE">
        <w:t>(3): p. 2721-2724.</w:t>
      </w:r>
    </w:p>
    <w:p w14:paraId="5AEC46F7" w14:textId="77777777" w:rsidR="005A62DE" w:rsidRPr="005A62DE" w:rsidRDefault="005A62DE" w:rsidP="005A62DE">
      <w:pPr>
        <w:pStyle w:val="EndNoteBibliography"/>
        <w:ind w:left="720" w:hanging="720"/>
      </w:pPr>
      <w:r w:rsidRPr="005A62DE">
        <w:t>7.</w:t>
      </w:r>
      <w:r w:rsidRPr="005A62DE">
        <w:tab/>
        <w:t xml:space="preserve">Denholm, P., Yinong Sun, and Trieu Ma, </w:t>
      </w:r>
      <w:r w:rsidRPr="005A62DE">
        <w:rPr>
          <w:i/>
        </w:rPr>
        <w:t>An Introduction to Grid Services: Concepts, Technical Requirements, and Provision from Wind</w:t>
      </w:r>
      <w:r w:rsidRPr="005A62DE">
        <w:t>. 2019, National Renewable Energy Laboratory. NREL/TP-6A20-72578.</w:t>
      </w:r>
    </w:p>
    <w:p w14:paraId="749A3F88" w14:textId="77777777" w:rsidR="005A62DE" w:rsidRPr="005A62DE" w:rsidRDefault="005A62DE" w:rsidP="005A62DE">
      <w:pPr>
        <w:pStyle w:val="EndNoteBibliography"/>
        <w:ind w:left="720" w:hanging="720"/>
      </w:pPr>
      <w:r w:rsidRPr="005A62DE">
        <w:t>8.</w:t>
      </w:r>
      <w:r w:rsidRPr="005A62DE">
        <w:tab/>
      </w:r>
      <w:r w:rsidRPr="005A62DE">
        <w:rPr>
          <w:i/>
        </w:rPr>
        <w:t>Commision regulation (EU) 2016/631 of 14 April 2016</w:t>
      </w:r>
      <w:r w:rsidRPr="005A62DE">
        <w:t>. 2016.</w:t>
      </w:r>
    </w:p>
    <w:p w14:paraId="5F5E09EF" w14:textId="77777777" w:rsidR="005A62DE" w:rsidRPr="005A62DE" w:rsidRDefault="005A62DE" w:rsidP="005A62DE">
      <w:pPr>
        <w:pStyle w:val="EndNoteBibliography"/>
        <w:ind w:left="720" w:hanging="720"/>
      </w:pPr>
      <w:r w:rsidRPr="005A62DE">
        <w:t>9.</w:t>
      </w:r>
      <w:r w:rsidRPr="005A62DE">
        <w:tab/>
        <w:t xml:space="preserve">Oureilidis, K., et al., </w:t>
      </w:r>
      <w:r w:rsidRPr="005A62DE">
        <w:rPr>
          <w:i/>
        </w:rPr>
        <w:t>Ancillary Services Market Design in Distribution Networks: Review and Identification of Barriers.</w:t>
      </w:r>
      <w:r w:rsidRPr="005A62DE">
        <w:t xml:space="preserve"> Energies, 2020. </w:t>
      </w:r>
      <w:r w:rsidRPr="005A62DE">
        <w:rPr>
          <w:b/>
        </w:rPr>
        <w:t>13</w:t>
      </w:r>
      <w:r w:rsidRPr="005A62DE">
        <w:t>(4).</w:t>
      </w:r>
    </w:p>
    <w:p w14:paraId="4D725BEA" w14:textId="77777777" w:rsidR="005A62DE" w:rsidRPr="005A62DE" w:rsidRDefault="005A62DE" w:rsidP="005A62DE">
      <w:pPr>
        <w:pStyle w:val="EndNoteBibliography"/>
        <w:ind w:left="720" w:hanging="720"/>
      </w:pPr>
      <w:r w:rsidRPr="005A62DE">
        <w:t>10.</w:t>
      </w:r>
      <w:r w:rsidRPr="005A62DE">
        <w:tab/>
        <w:t xml:space="preserve">Meegahapola, L., et al., </w:t>
      </w:r>
      <w:r w:rsidRPr="005A62DE">
        <w:rPr>
          <w:i/>
        </w:rPr>
        <w:t>Power system stability in the transition to a low carbon grid: A techno‐economic perspective on challenges and opportunities.</w:t>
      </w:r>
      <w:r w:rsidRPr="005A62DE">
        <w:t xml:space="preserve"> WIREs Energy and Environment, 2021.</w:t>
      </w:r>
    </w:p>
    <w:p w14:paraId="3B5D9394" w14:textId="77777777" w:rsidR="005A62DE" w:rsidRPr="005A62DE" w:rsidRDefault="005A62DE" w:rsidP="005A62DE">
      <w:pPr>
        <w:pStyle w:val="EndNoteBibliography"/>
        <w:ind w:left="720" w:hanging="720"/>
      </w:pPr>
      <w:r w:rsidRPr="005A62DE">
        <w:t>11.</w:t>
      </w:r>
      <w:r w:rsidRPr="005A62DE">
        <w:tab/>
      </w:r>
      <w:r w:rsidRPr="005A62DE">
        <w:rPr>
          <w:i/>
        </w:rPr>
        <w:t>System Strength</w:t>
      </w:r>
      <w:r w:rsidRPr="005A62DE">
        <w:t>. March 2020, Australian Energy Market Operator.</w:t>
      </w:r>
    </w:p>
    <w:p w14:paraId="09909A5B" w14:textId="77777777" w:rsidR="005A62DE" w:rsidRPr="005A62DE" w:rsidRDefault="005A62DE" w:rsidP="005A62DE">
      <w:pPr>
        <w:pStyle w:val="EndNoteBibliography"/>
        <w:ind w:left="720" w:hanging="720"/>
      </w:pPr>
      <w:r w:rsidRPr="005A62DE">
        <w:t>12.</w:t>
      </w:r>
      <w:r w:rsidRPr="005A62DE">
        <w:tab/>
        <w:t xml:space="preserve">Chandler, H., </w:t>
      </w:r>
      <w:r w:rsidRPr="005A62DE">
        <w:rPr>
          <w:i/>
        </w:rPr>
        <w:t>Empowering Variable Renewables-Options for Flexible Electricity Systems.</w:t>
      </w:r>
      <w:r w:rsidRPr="005A62DE">
        <w:t xml:space="preserve"> 2008.</w:t>
      </w:r>
    </w:p>
    <w:p w14:paraId="47839B03" w14:textId="77777777" w:rsidR="005A62DE" w:rsidRPr="005A62DE" w:rsidRDefault="005A62DE" w:rsidP="005A62DE">
      <w:pPr>
        <w:pStyle w:val="EndNoteBibliography"/>
        <w:ind w:left="720" w:hanging="720"/>
      </w:pPr>
      <w:r w:rsidRPr="005A62DE">
        <w:t>13.</w:t>
      </w:r>
      <w:r w:rsidRPr="005A62DE">
        <w:tab/>
        <w:t xml:space="preserve">Nguyen, S., et al., </w:t>
      </w:r>
      <w:r w:rsidRPr="005A62DE">
        <w:rPr>
          <w:i/>
        </w:rPr>
        <w:t>Optimizing rooftop photovoltaic distributed generation with battery storage for peer-to-peer energy trading.</w:t>
      </w:r>
      <w:r w:rsidRPr="005A62DE">
        <w:t xml:space="preserve"> 2018. </w:t>
      </w:r>
      <w:r w:rsidRPr="005A62DE">
        <w:rPr>
          <w:b/>
        </w:rPr>
        <w:t>228</w:t>
      </w:r>
      <w:r w:rsidRPr="005A62DE">
        <w:t>: p. 2567-2580.</w:t>
      </w:r>
    </w:p>
    <w:p w14:paraId="3526EF96" w14:textId="77777777" w:rsidR="005A62DE" w:rsidRPr="005A62DE" w:rsidRDefault="005A62DE" w:rsidP="005A62DE">
      <w:pPr>
        <w:pStyle w:val="EndNoteBibliography"/>
        <w:ind w:left="720" w:hanging="720"/>
      </w:pPr>
      <w:r w:rsidRPr="005A62DE">
        <w:t>14.</w:t>
      </w:r>
      <w:r w:rsidRPr="005A62DE">
        <w:tab/>
        <w:t xml:space="preserve">Yu, X. and Y. Xue, </w:t>
      </w:r>
      <w:r w:rsidRPr="005A62DE">
        <w:rPr>
          <w:i/>
        </w:rPr>
        <w:t>Smart grids: A cyber physical systems perspective.</w:t>
      </w:r>
      <w:r w:rsidRPr="005A62DE">
        <w:t xml:space="preserve"> Proceedings of the IEEE, 2016. </w:t>
      </w:r>
      <w:r w:rsidRPr="005A62DE">
        <w:rPr>
          <w:b/>
        </w:rPr>
        <w:t>104</w:t>
      </w:r>
      <w:r w:rsidRPr="005A62DE">
        <w:t>(5): p. 1058-1070.</w:t>
      </w:r>
    </w:p>
    <w:p w14:paraId="7D387E68" w14:textId="77777777" w:rsidR="005A62DE" w:rsidRPr="005A62DE" w:rsidRDefault="005A62DE" w:rsidP="005A62DE">
      <w:pPr>
        <w:pStyle w:val="EndNoteBibliography"/>
        <w:ind w:left="720" w:hanging="720"/>
      </w:pPr>
      <w:r w:rsidRPr="005A62DE">
        <w:t>15.</w:t>
      </w:r>
      <w:r w:rsidRPr="005A62DE">
        <w:tab/>
        <w:t xml:space="preserve">Agency, I.E., </w:t>
      </w:r>
      <w:r w:rsidRPr="005A62DE">
        <w:rPr>
          <w:i/>
        </w:rPr>
        <w:t>Harnessing Variable Renewables</w:t>
      </w:r>
      <w:r w:rsidRPr="005A62DE">
        <w:t>. 2011.</w:t>
      </w:r>
    </w:p>
    <w:p w14:paraId="38CC1E79" w14:textId="77777777" w:rsidR="005A62DE" w:rsidRPr="005A62DE" w:rsidRDefault="005A62DE" w:rsidP="005A62DE">
      <w:pPr>
        <w:pStyle w:val="EndNoteBibliography"/>
        <w:ind w:left="720" w:hanging="720"/>
      </w:pPr>
      <w:r w:rsidRPr="005A62DE">
        <w:t>16.</w:t>
      </w:r>
      <w:r w:rsidRPr="005A62DE">
        <w:tab/>
        <w:t xml:space="preserve">Impram, S., S. Varbak Nese, and B. Oral, </w:t>
      </w:r>
      <w:r w:rsidRPr="005A62DE">
        <w:rPr>
          <w:i/>
        </w:rPr>
        <w:t>Challenges of renewable energy penetration on power system flexibility: A survey.</w:t>
      </w:r>
      <w:r w:rsidRPr="005A62DE">
        <w:t xml:space="preserve"> Energy Strategy Reviews, 2020. </w:t>
      </w:r>
      <w:r w:rsidRPr="005A62DE">
        <w:rPr>
          <w:b/>
        </w:rPr>
        <w:t>31</w:t>
      </w:r>
      <w:r w:rsidRPr="005A62DE">
        <w:t>.</w:t>
      </w:r>
    </w:p>
    <w:p w14:paraId="5B136D6A" w14:textId="77777777" w:rsidR="005A62DE" w:rsidRPr="005A62DE" w:rsidRDefault="005A62DE" w:rsidP="005A62DE">
      <w:pPr>
        <w:pStyle w:val="EndNoteBibliography"/>
        <w:ind w:left="720" w:hanging="720"/>
      </w:pPr>
      <w:r w:rsidRPr="005A62DE">
        <w:t>17.</w:t>
      </w:r>
      <w:r w:rsidRPr="005A62DE">
        <w:tab/>
        <w:t xml:space="preserve">Holttinen, H., </w:t>
      </w:r>
      <w:r w:rsidRPr="005A62DE">
        <w:rPr>
          <w:i/>
        </w:rPr>
        <w:t>Impact of hourly wind power variations on the system operation in the Nordic countries.</w:t>
      </w:r>
      <w:r w:rsidRPr="005A62DE">
        <w:t xml:space="preserve"> Wind Energy: An International Journal for Progress Applications in Wind Power Conversion Technology, 2005. </w:t>
      </w:r>
      <w:r w:rsidRPr="005A62DE">
        <w:rPr>
          <w:b/>
        </w:rPr>
        <w:t>8</w:t>
      </w:r>
      <w:r w:rsidRPr="005A62DE">
        <w:t>(2): p. 197-218.</w:t>
      </w:r>
    </w:p>
    <w:p w14:paraId="3B60A098" w14:textId="77777777" w:rsidR="005A62DE" w:rsidRPr="005A62DE" w:rsidRDefault="005A62DE" w:rsidP="005A62DE">
      <w:pPr>
        <w:pStyle w:val="EndNoteBibliography"/>
        <w:ind w:left="720" w:hanging="720"/>
      </w:pPr>
      <w:r w:rsidRPr="005A62DE">
        <w:t>18.</w:t>
      </w:r>
      <w:r w:rsidRPr="005A62DE">
        <w:tab/>
        <w:t xml:space="preserve">G. Papaefthymiou and K. Grave. </w:t>
      </w:r>
      <w:r w:rsidRPr="005A62DE">
        <w:rPr>
          <w:i/>
        </w:rPr>
        <w:t>Can we achieve 100% renewables? Flexibility options in the electricity system</w:t>
      </w:r>
      <w:r w:rsidRPr="005A62DE">
        <w:t>. 2014.</w:t>
      </w:r>
    </w:p>
    <w:p w14:paraId="167F6724" w14:textId="77777777" w:rsidR="005A62DE" w:rsidRPr="005A62DE" w:rsidRDefault="005A62DE" w:rsidP="005A62DE">
      <w:pPr>
        <w:pStyle w:val="EndNoteBibliography"/>
        <w:ind w:left="720" w:hanging="720"/>
      </w:pPr>
      <w:r w:rsidRPr="005A62DE">
        <w:t>19.</w:t>
      </w:r>
      <w:r w:rsidRPr="005A62DE">
        <w:tab/>
        <w:t xml:space="preserve">Henderson, C., </w:t>
      </w:r>
      <w:r w:rsidRPr="005A62DE">
        <w:rPr>
          <w:i/>
        </w:rPr>
        <w:t>Increasing the flexibility of coal-fired power plants.</w:t>
      </w:r>
      <w:r w:rsidRPr="005A62DE">
        <w:t xml:space="preserve"> IEA Clean Coal Centre, 2014. </w:t>
      </w:r>
      <w:r w:rsidRPr="005A62DE">
        <w:rPr>
          <w:b/>
        </w:rPr>
        <w:t>15</w:t>
      </w:r>
      <w:r w:rsidRPr="005A62DE">
        <w:t>.</w:t>
      </w:r>
    </w:p>
    <w:p w14:paraId="336BA3D8" w14:textId="77777777" w:rsidR="005A62DE" w:rsidRPr="005A62DE" w:rsidRDefault="005A62DE" w:rsidP="005A62DE">
      <w:pPr>
        <w:pStyle w:val="EndNoteBibliography"/>
        <w:ind w:left="720" w:hanging="720"/>
      </w:pPr>
      <w:r w:rsidRPr="005A62DE">
        <w:t>20.</w:t>
      </w:r>
      <w:r w:rsidRPr="005A62DE">
        <w:tab/>
        <w:t xml:space="preserve">Fairley, P., </w:t>
      </w:r>
      <w:r w:rsidRPr="005A62DE">
        <w:rPr>
          <w:i/>
        </w:rPr>
        <w:t>Quicker coal power.</w:t>
      </w:r>
      <w:r w:rsidRPr="005A62DE">
        <w:t xml:space="preserve"> IEEE Spectrum, 2013. </w:t>
      </w:r>
      <w:r w:rsidRPr="005A62DE">
        <w:rPr>
          <w:b/>
        </w:rPr>
        <w:t>50</w:t>
      </w:r>
      <w:r w:rsidRPr="005A62DE">
        <w:t>(2): p. 11-11.</w:t>
      </w:r>
    </w:p>
    <w:p w14:paraId="0CA29B0E" w14:textId="77777777" w:rsidR="005A62DE" w:rsidRPr="005A62DE" w:rsidRDefault="005A62DE" w:rsidP="005A62DE">
      <w:pPr>
        <w:pStyle w:val="EndNoteBibliography"/>
        <w:ind w:left="720" w:hanging="720"/>
      </w:pPr>
      <w:r w:rsidRPr="005A62DE">
        <w:t>21.</w:t>
      </w:r>
      <w:r w:rsidRPr="005A62DE">
        <w:tab/>
      </w:r>
      <w:r w:rsidRPr="005A62DE">
        <w:rPr>
          <w:i/>
        </w:rPr>
        <w:t>Non-baseload operation in nuclear power plants: load following and frequency control modes of flexible operation</w:t>
      </w:r>
      <w:r w:rsidRPr="005A62DE">
        <w:t xml:space="preserve">, in </w:t>
      </w:r>
      <w:r w:rsidRPr="005A62DE">
        <w:rPr>
          <w:i/>
        </w:rPr>
        <w:t>IAEA nuclear energy series</w:t>
      </w:r>
      <w:r w:rsidRPr="005A62DE">
        <w:t>. 2018.</w:t>
      </w:r>
    </w:p>
    <w:p w14:paraId="46E8A2AC" w14:textId="77777777" w:rsidR="005A62DE" w:rsidRPr="005A62DE" w:rsidRDefault="005A62DE" w:rsidP="005A62DE">
      <w:pPr>
        <w:pStyle w:val="EndNoteBibliography"/>
        <w:ind w:left="720" w:hanging="720"/>
      </w:pPr>
      <w:r w:rsidRPr="005A62DE">
        <w:t>22.</w:t>
      </w:r>
      <w:r w:rsidRPr="005A62DE">
        <w:tab/>
        <w:t xml:space="preserve">Keppler, J.H. and M.J.N.E.A. Cometto, OECD, Paris, France, </w:t>
      </w:r>
      <w:r w:rsidRPr="005A62DE">
        <w:rPr>
          <w:i/>
        </w:rPr>
        <w:t>Nuclear energy and renewables: system effects in low-carbon electricity systems.</w:t>
      </w:r>
      <w:r w:rsidRPr="005A62DE">
        <w:t xml:space="preserve"> 2012.</w:t>
      </w:r>
    </w:p>
    <w:p w14:paraId="7E958EA6" w14:textId="77777777" w:rsidR="005A62DE" w:rsidRPr="005A62DE" w:rsidRDefault="005A62DE" w:rsidP="005A62DE">
      <w:pPr>
        <w:pStyle w:val="EndNoteBibliography"/>
        <w:ind w:left="720" w:hanging="720"/>
      </w:pPr>
      <w:r w:rsidRPr="005A62DE">
        <w:t>23.</w:t>
      </w:r>
      <w:r w:rsidRPr="005A62DE">
        <w:tab/>
      </w:r>
      <w:r w:rsidRPr="005A62DE">
        <w:rPr>
          <w:i/>
        </w:rPr>
        <w:t>Large-scale electricity interconnection</w:t>
      </w:r>
      <w:r w:rsidRPr="005A62DE">
        <w:t>, P. IEA, Editor. 2016.</w:t>
      </w:r>
    </w:p>
    <w:p w14:paraId="72B91816" w14:textId="77777777" w:rsidR="005A62DE" w:rsidRPr="005A62DE" w:rsidRDefault="005A62DE" w:rsidP="005A62DE">
      <w:pPr>
        <w:pStyle w:val="EndNoteBibliography"/>
        <w:ind w:left="720" w:hanging="720"/>
      </w:pPr>
      <w:r w:rsidRPr="005A62DE">
        <w:t>24.</w:t>
      </w:r>
      <w:r w:rsidRPr="005A62DE">
        <w:tab/>
        <w:t xml:space="preserve">Lal, N., et al., </w:t>
      </w:r>
      <w:r w:rsidRPr="005A62DE">
        <w:rPr>
          <w:i/>
        </w:rPr>
        <w:t>Essential System Services Reform: Australian Market Design for Renewable-Dominated Grids.</w:t>
      </w:r>
      <w:r w:rsidRPr="005A62DE">
        <w:t xml:space="preserve"> IEEE Power Energy Magazine, 2021. </w:t>
      </w:r>
      <w:r w:rsidRPr="005A62DE">
        <w:rPr>
          <w:b/>
        </w:rPr>
        <w:t>19</w:t>
      </w:r>
      <w:r w:rsidRPr="005A62DE">
        <w:t>(5): p. 29-45.</w:t>
      </w:r>
    </w:p>
    <w:p w14:paraId="7D98C0CE" w14:textId="77777777" w:rsidR="005A62DE" w:rsidRPr="005A62DE" w:rsidRDefault="005A62DE" w:rsidP="005A62DE">
      <w:pPr>
        <w:pStyle w:val="EndNoteBibliography"/>
        <w:ind w:left="720" w:hanging="720"/>
      </w:pPr>
      <w:r w:rsidRPr="005A62DE">
        <w:t>25.</w:t>
      </w:r>
      <w:r w:rsidRPr="005A62DE">
        <w:tab/>
      </w:r>
      <w:r w:rsidRPr="005A62DE">
        <w:rPr>
          <w:i/>
        </w:rPr>
        <w:t>Ancillary Service Benefits for Marinus Link</w:t>
      </w:r>
      <w:r w:rsidRPr="005A62DE">
        <w:t>. 2019, GHD Report for TasNetworks.</w:t>
      </w:r>
    </w:p>
    <w:p w14:paraId="1D6E4F7C" w14:textId="77777777" w:rsidR="005A62DE" w:rsidRPr="005A62DE" w:rsidRDefault="005A62DE" w:rsidP="005A62DE">
      <w:pPr>
        <w:pStyle w:val="EndNoteBibliography"/>
        <w:ind w:left="720" w:hanging="720"/>
      </w:pPr>
      <w:r w:rsidRPr="005A62DE">
        <w:t>26.</w:t>
      </w:r>
      <w:r w:rsidRPr="005A62DE">
        <w:tab/>
        <w:t xml:space="preserve">Cochran, J., et al., </w:t>
      </w:r>
      <w:r w:rsidRPr="005A62DE">
        <w:rPr>
          <w:i/>
        </w:rPr>
        <w:t>Flexibility in 21st century power systems</w:t>
      </w:r>
      <w:r w:rsidRPr="005A62DE">
        <w:t>. 2014, National Renewable Energy Lab.(NREL), Golden, CO (United States).</w:t>
      </w:r>
    </w:p>
    <w:p w14:paraId="5CD4F825" w14:textId="77777777" w:rsidR="005A62DE" w:rsidRPr="005A62DE" w:rsidRDefault="005A62DE" w:rsidP="005A62DE">
      <w:pPr>
        <w:pStyle w:val="EndNoteBibliography"/>
        <w:ind w:left="720" w:hanging="720"/>
      </w:pPr>
      <w:r w:rsidRPr="005A62DE">
        <w:t>27.</w:t>
      </w:r>
      <w:r w:rsidRPr="005A62DE">
        <w:tab/>
        <w:t xml:space="preserve">Wang, Q. and B.-M. Hodge, </w:t>
      </w:r>
      <w:r w:rsidRPr="005A62DE">
        <w:rPr>
          <w:i/>
        </w:rPr>
        <w:t>Enhancing Power System Operational Flexibility With Flexible Ramping Products: A Review.</w:t>
      </w:r>
      <w:r w:rsidRPr="005A62DE">
        <w:t xml:space="preserve"> IEEE Transactions on Industrial Informatics, 2017. </w:t>
      </w:r>
      <w:r w:rsidRPr="005A62DE">
        <w:rPr>
          <w:b/>
        </w:rPr>
        <w:t>13</w:t>
      </w:r>
      <w:r w:rsidRPr="005A62DE">
        <w:t>(4): p. 1652-1664.</w:t>
      </w:r>
    </w:p>
    <w:p w14:paraId="0ACBA2C3" w14:textId="77777777" w:rsidR="005A62DE" w:rsidRPr="005A62DE" w:rsidRDefault="005A62DE" w:rsidP="005A62DE">
      <w:pPr>
        <w:pStyle w:val="EndNoteBibliography"/>
        <w:ind w:left="720" w:hanging="720"/>
      </w:pPr>
      <w:r w:rsidRPr="005A62DE">
        <w:lastRenderedPageBreak/>
        <w:t>28.</w:t>
      </w:r>
      <w:r w:rsidRPr="005A62DE">
        <w:tab/>
        <w:t xml:space="preserve">Yasuda, Y., et al. </w:t>
      </w:r>
      <w:r w:rsidRPr="005A62DE">
        <w:rPr>
          <w:i/>
        </w:rPr>
        <w:t>Flexibility chart: Evaluation on diversity of flexibility in various areas</w:t>
      </w:r>
      <w:r w:rsidRPr="005A62DE">
        <w:t xml:space="preserve">. in </w:t>
      </w:r>
      <w:r w:rsidRPr="005A62DE">
        <w:rPr>
          <w:i/>
        </w:rPr>
        <w:t>12th International Workshop on Large-Scale Integration of Wind Power into Power Systems as well as on Transmission Networks for Offshore Wind Farms, WIW13</w:t>
      </w:r>
      <w:r w:rsidRPr="005A62DE">
        <w:t>. 2013. Energynautics GmbH.</w:t>
      </w:r>
    </w:p>
    <w:p w14:paraId="79009302" w14:textId="77777777" w:rsidR="005A62DE" w:rsidRPr="005A62DE" w:rsidRDefault="005A62DE" w:rsidP="005A62DE">
      <w:pPr>
        <w:pStyle w:val="EndNoteBibliography"/>
        <w:ind w:left="720" w:hanging="720"/>
      </w:pPr>
      <w:r w:rsidRPr="005A62DE">
        <w:t>29.</w:t>
      </w:r>
      <w:r w:rsidRPr="005A62DE">
        <w:tab/>
      </w:r>
      <w:r w:rsidRPr="005A62DE">
        <w:rPr>
          <w:i/>
        </w:rPr>
        <w:t>The power of transformation</w:t>
      </w:r>
      <w:r w:rsidRPr="005A62DE">
        <w:t>. 2014, International Energy Agency.</w:t>
      </w:r>
    </w:p>
    <w:p w14:paraId="01FA1237" w14:textId="77777777" w:rsidR="005A62DE" w:rsidRPr="005A62DE" w:rsidRDefault="005A62DE" w:rsidP="005A62DE">
      <w:pPr>
        <w:pStyle w:val="EndNoteBibliography"/>
        <w:ind w:left="720" w:hanging="720"/>
      </w:pPr>
      <w:r w:rsidRPr="005A62DE">
        <w:t>30.</w:t>
      </w:r>
      <w:r w:rsidRPr="005A62DE">
        <w:tab/>
        <w:t xml:space="preserve">Lannoye, E., D. Flynn, and M. O'Malley, </w:t>
      </w:r>
      <w:r w:rsidRPr="005A62DE">
        <w:rPr>
          <w:i/>
        </w:rPr>
        <w:t>Evaluation of Power System Flexibility.</w:t>
      </w:r>
      <w:r w:rsidRPr="005A62DE">
        <w:t xml:space="preserve"> IEEE Transactions on Power Systems, 2012. </w:t>
      </w:r>
      <w:r w:rsidRPr="005A62DE">
        <w:rPr>
          <w:b/>
        </w:rPr>
        <w:t>27</w:t>
      </w:r>
      <w:r w:rsidRPr="005A62DE">
        <w:t>(2): p. 922-931.</w:t>
      </w:r>
    </w:p>
    <w:p w14:paraId="52CAC667" w14:textId="77777777" w:rsidR="005A62DE" w:rsidRPr="005A62DE" w:rsidRDefault="005A62DE" w:rsidP="005A62DE">
      <w:pPr>
        <w:pStyle w:val="EndNoteBibliography"/>
        <w:ind w:left="720" w:hanging="720"/>
      </w:pPr>
      <w:r w:rsidRPr="005A62DE">
        <w:t>31.</w:t>
      </w:r>
      <w:r w:rsidRPr="005A62DE">
        <w:tab/>
        <w:t xml:space="preserve">Ma, J., </w:t>
      </w:r>
      <w:r w:rsidRPr="005A62DE">
        <w:rPr>
          <w:i/>
        </w:rPr>
        <w:t>Evaluating and planning flexibility in a sustainable power system with large wind penetration</w:t>
      </w:r>
      <w:r w:rsidRPr="005A62DE">
        <w:t>. 2012, The University of Manchester (United Kingdom).</w:t>
      </w:r>
    </w:p>
    <w:p w14:paraId="1A2027EA" w14:textId="77777777" w:rsidR="005A62DE" w:rsidRPr="005A62DE" w:rsidRDefault="005A62DE" w:rsidP="005A62DE">
      <w:pPr>
        <w:pStyle w:val="EndNoteBibliography"/>
        <w:ind w:left="720" w:hanging="720"/>
      </w:pPr>
      <w:r w:rsidRPr="005A62DE">
        <w:t>32.</w:t>
      </w:r>
      <w:r w:rsidRPr="005A62DE">
        <w:tab/>
      </w:r>
      <w:r w:rsidRPr="005A62DE">
        <w:rPr>
          <w:i/>
        </w:rPr>
        <w:t>Guide to Ancillary Services in the National Electricity Market</w:t>
      </w:r>
      <w:r w:rsidRPr="005A62DE">
        <w:t>. 2015, Australian Energy Market Operator.</w:t>
      </w:r>
    </w:p>
    <w:p w14:paraId="682FFAD0" w14:textId="77777777" w:rsidR="005A62DE" w:rsidRPr="005A62DE" w:rsidRDefault="005A62DE" w:rsidP="005A62DE">
      <w:pPr>
        <w:pStyle w:val="EndNoteBibliography"/>
        <w:ind w:left="720" w:hanging="720"/>
      </w:pPr>
      <w:r w:rsidRPr="005A62DE">
        <w:t>33.</w:t>
      </w:r>
      <w:r w:rsidRPr="005A62DE">
        <w:tab/>
        <w:t xml:space="preserve">Du, P., et al., </w:t>
      </w:r>
      <w:r w:rsidRPr="005A62DE">
        <w:rPr>
          <w:i/>
        </w:rPr>
        <w:t>New Ancillary Service Market for ERCOT.</w:t>
      </w:r>
      <w:r w:rsidRPr="005A62DE">
        <w:t xml:space="preserve"> IEEE Access, 2020. </w:t>
      </w:r>
      <w:r w:rsidRPr="005A62DE">
        <w:rPr>
          <w:b/>
        </w:rPr>
        <w:t>8</w:t>
      </w:r>
      <w:r w:rsidRPr="005A62DE">
        <w:t>: p. 178391-178401.</w:t>
      </w:r>
    </w:p>
    <w:p w14:paraId="44B03E16" w14:textId="77777777" w:rsidR="005A62DE" w:rsidRPr="005A62DE" w:rsidRDefault="005A62DE" w:rsidP="005A62DE">
      <w:pPr>
        <w:pStyle w:val="EndNoteBibliography"/>
        <w:ind w:left="720" w:hanging="720"/>
      </w:pPr>
      <w:r w:rsidRPr="005A62DE">
        <w:t>34.</w:t>
      </w:r>
      <w:r w:rsidRPr="005A62DE">
        <w:tab/>
        <w:t xml:space="preserve">Dominguez López, G., </w:t>
      </w:r>
      <w:r w:rsidRPr="005A62DE">
        <w:rPr>
          <w:i/>
        </w:rPr>
        <w:t>Frequency control in power systems without must-run units</w:t>
      </w:r>
      <w:r w:rsidRPr="005A62DE">
        <w:t>. 2017, Universitat Politècnica de Catalunya.</w:t>
      </w:r>
    </w:p>
    <w:p w14:paraId="2B96C865" w14:textId="77777777" w:rsidR="005A62DE" w:rsidRPr="005A62DE" w:rsidRDefault="005A62DE" w:rsidP="005A62DE">
      <w:pPr>
        <w:pStyle w:val="EndNoteBibliography"/>
        <w:ind w:left="720" w:hanging="720"/>
      </w:pPr>
      <w:r w:rsidRPr="005A62DE">
        <w:t>35.</w:t>
      </w:r>
      <w:r w:rsidRPr="005A62DE">
        <w:tab/>
        <w:t xml:space="preserve">Tan, Y., L. Meegahapola, and K.M. Muttaqi, </w:t>
      </w:r>
      <w:r w:rsidRPr="005A62DE">
        <w:rPr>
          <w:i/>
        </w:rPr>
        <w:t>A suboptimal power-point-tracking-based primary frequency response strategy for DFIGs in hybrid remote area power supply systems.</w:t>
      </w:r>
      <w:r w:rsidRPr="005A62DE">
        <w:t xml:space="preserve"> IEEE Transactions on Energy Conversion, 2015. </w:t>
      </w:r>
      <w:r w:rsidRPr="005A62DE">
        <w:rPr>
          <w:b/>
        </w:rPr>
        <w:t>31</w:t>
      </w:r>
      <w:r w:rsidRPr="005A62DE">
        <w:t>(1): p. 93-105.</w:t>
      </w:r>
    </w:p>
    <w:p w14:paraId="5EE9E523" w14:textId="77777777" w:rsidR="005A62DE" w:rsidRPr="005A62DE" w:rsidRDefault="005A62DE" w:rsidP="005A62DE">
      <w:pPr>
        <w:pStyle w:val="EndNoteBibliography"/>
        <w:ind w:left="720" w:hanging="720"/>
      </w:pPr>
      <w:r w:rsidRPr="005A62DE">
        <w:t>36.</w:t>
      </w:r>
      <w:r w:rsidRPr="005A62DE">
        <w:tab/>
        <w:t xml:space="preserve">Izadkhast, S., </w:t>
      </w:r>
      <w:r w:rsidRPr="005A62DE">
        <w:rPr>
          <w:i/>
        </w:rPr>
        <w:t>Aggregation of plug-in electric vehicles in power systems for primary frequency control.</w:t>
      </w:r>
      <w:r w:rsidRPr="005A62DE">
        <w:t xml:space="preserve"> 2017.</w:t>
      </w:r>
    </w:p>
    <w:p w14:paraId="02ABF845" w14:textId="77777777" w:rsidR="005A62DE" w:rsidRPr="005A62DE" w:rsidRDefault="005A62DE" w:rsidP="005A62DE">
      <w:pPr>
        <w:pStyle w:val="EndNoteBibliography"/>
        <w:ind w:left="720" w:hanging="720"/>
      </w:pPr>
      <w:r w:rsidRPr="005A62DE">
        <w:t>37.</w:t>
      </w:r>
      <w:r w:rsidRPr="005A62DE">
        <w:tab/>
        <w:t xml:space="preserve">Dozein, M.G., et al. </w:t>
      </w:r>
      <w:r w:rsidRPr="005A62DE">
        <w:rPr>
          <w:i/>
        </w:rPr>
        <w:t>System strength and weak grids: Fundamentals, challenges, and mitigation strategies</w:t>
      </w:r>
      <w:r w:rsidRPr="005A62DE">
        <w:t xml:space="preserve">. in </w:t>
      </w:r>
      <w:r w:rsidRPr="005A62DE">
        <w:rPr>
          <w:i/>
        </w:rPr>
        <w:t>2018 Australasian Universities Power Engineering Conference (AUPEC)</w:t>
      </w:r>
      <w:r w:rsidRPr="005A62DE">
        <w:t>. 2018. IEEE.</w:t>
      </w:r>
    </w:p>
    <w:p w14:paraId="52A8DD69" w14:textId="77777777" w:rsidR="005A62DE" w:rsidRPr="005A62DE" w:rsidRDefault="005A62DE" w:rsidP="005A62DE">
      <w:pPr>
        <w:pStyle w:val="EndNoteBibliography"/>
        <w:ind w:left="720" w:hanging="720"/>
      </w:pPr>
      <w:r w:rsidRPr="005A62DE">
        <w:t>38.</w:t>
      </w:r>
      <w:r w:rsidRPr="005A62DE">
        <w:tab/>
        <w:t xml:space="preserve">Sokolowski, P., et al. </w:t>
      </w:r>
      <w:r w:rsidRPr="005A62DE">
        <w:rPr>
          <w:i/>
        </w:rPr>
        <w:t>Roles of policy settings in distributed generation with battery storage</w:t>
      </w:r>
      <w:r w:rsidRPr="005A62DE">
        <w:t xml:space="preserve">. in </w:t>
      </w:r>
      <w:r w:rsidRPr="005A62DE">
        <w:rPr>
          <w:i/>
        </w:rPr>
        <w:t>IECON 2017-43rd Annual Conference of the IEEE Industrial Electronics Society</w:t>
      </w:r>
      <w:r w:rsidRPr="005A62DE">
        <w:t>. 2017. IEEE.</w:t>
      </w:r>
    </w:p>
    <w:p w14:paraId="72C917BD" w14:textId="77777777" w:rsidR="005A62DE" w:rsidRPr="005A62DE" w:rsidRDefault="005A62DE" w:rsidP="005A62DE">
      <w:pPr>
        <w:pStyle w:val="EndNoteBibliography"/>
        <w:ind w:left="720" w:hanging="720"/>
      </w:pPr>
      <w:r w:rsidRPr="005A62DE">
        <w:t>39.</w:t>
      </w:r>
      <w:r w:rsidRPr="005A62DE">
        <w:tab/>
        <w:t xml:space="preserve">Günter, N. and A. Marinopoulos, </w:t>
      </w:r>
      <w:r w:rsidRPr="005A62DE">
        <w:rPr>
          <w:i/>
        </w:rPr>
        <w:t>Energy storage for grid services and applications: Classification, market review, metrics, and methodology for evaluation of deployment cases.</w:t>
      </w:r>
      <w:r w:rsidRPr="005A62DE">
        <w:t xml:space="preserve"> Journal of Energy Storage, 2016. </w:t>
      </w:r>
      <w:r w:rsidRPr="005A62DE">
        <w:rPr>
          <w:b/>
        </w:rPr>
        <w:t>8</w:t>
      </w:r>
      <w:r w:rsidRPr="005A62DE">
        <w:t>: p. 226-234.</w:t>
      </w:r>
    </w:p>
    <w:p w14:paraId="45FFA257" w14:textId="77777777" w:rsidR="005A62DE" w:rsidRPr="005A62DE" w:rsidRDefault="005A62DE" w:rsidP="005A62DE">
      <w:pPr>
        <w:pStyle w:val="EndNoteBibliography"/>
        <w:ind w:left="720" w:hanging="720"/>
      </w:pPr>
      <w:r w:rsidRPr="005A62DE">
        <w:t>40.</w:t>
      </w:r>
      <w:r w:rsidRPr="005A62DE">
        <w:tab/>
        <w:t xml:space="preserve">Agranat, O., I. MacGill, and A. Bruce. </w:t>
      </w:r>
      <w:r w:rsidRPr="005A62DE">
        <w:rPr>
          <w:i/>
        </w:rPr>
        <w:t>Fast frequency markets under high penetrations of renewable energy in the Australian national electricity market</w:t>
      </w:r>
      <w:r w:rsidRPr="005A62DE">
        <w:t xml:space="preserve">. in </w:t>
      </w:r>
      <w:r w:rsidRPr="005A62DE">
        <w:rPr>
          <w:i/>
        </w:rPr>
        <w:t>Proceedings of the Asia-Pacific Solar Research Conference, Queensland, Australia</w:t>
      </w:r>
      <w:r w:rsidRPr="005A62DE">
        <w:t>. 2015.</w:t>
      </w:r>
    </w:p>
    <w:p w14:paraId="56FDED50" w14:textId="77777777" w:rsidR="005A62DE" w:rsidRPr="005A62DE" w:rsidRDefault="005A62DE" w:rsidP="005A62DE">
      <w:pPr>
        <w:pStyle w:val="EndNoteBibliography"/>
        <w:ind w:left="720" w:hanging="720"/>
      </w:pPr>
      <w:r w:rsidRPr="005A62DE">
        <w:t>41.</w:t>
      </w:r>
      <w:r w:rsidRPr="005A62DE">
        <w:tab/>
        <w:t xml:space="preserve">Breslau, D., </w:t>
      </w:r>
      <w:r w:rsidRPr="005A62DE">
        <w:rPr>
          <w:i/>
        </w:rPr>
        <w:t>Redistributing Agency: The Control Roots of Spot Pricing of Electricity.</w:t>
      </w:r>
      <w:r w:rsidRPr="005A62DE">
        <w:t xml:space="preserve"> History of Political Economy, 2020. </w:t>
      </w:r>
      <w:r w:rsidRPr="005A62DE">
        <w:rPr>
          <w:b/>
        </w:rPr>
        <w:t>52</w:t>
      </w:r>
      <w:r w:rsidRPr="005A62DE">
        <w:t>(S1): p. 221-244.</w:t>
      </w:r>
    </w:p>
    <w:p w14:paraId="4CDCB560" w14:textId="77777777" w:rsidR="005A62DE" w:rsidRPr="005A62DE" w:rsidRDefault="005A62DE" w:rsidP="005A62DE">
      <w:pPr>
        <w:pStyle w:val="EndNoteBibliography"/>
        <w:ind w:left="720" w:hanging="720"/>
      </w:pPr>
      <w:r w:rsidRPr="005A62DE">
        <w:t>42.</w:t>
      </w:r>
      <w:r w:rsidRPr="005A62DE">
        <w:tab/>
      </w:r>
      <w:r w:rsidRPr="005A62DE">
        <w:rPr>
          <w:i/>
        </w:rPr>
        <w:t>Integrated System Plan</w:t>
      </w:r>
      <w:r w:rsidRPr="005A62DE">
        <w:t>. July 2020, Australian Energy Market Operator.</w:t>
      </w:r>
    </w:p>
    <w:p w14:paraId="55058578" w14:textId="77777777" w:rsidR="005A62DE" w:rsidRPr="005A62DE" w:rsidRDefault="005A62DE" w:rsidP="005A62DE">
      <w:pPr>
        <w:pStyle w:val="EndNoteBibliography"/>
        <w:ind w:left="720" w:hanging="720"/>
      </w:pPr>
      <w:r w:rsidRPr="005A62DE">
        <w:t>43.</w:t>
      </w:r>
      <w:r w:rsidRPr="005A62DE">
        <w:tab/>
      </w:r>
      <w:r w:rsidRPr="005A62DE">
        <w:rPr>
          <w:i/>
        </w:rPr>
        <w:t>AEMO's reliability outlook</w:t>
      </w:r>
      <w:r w:rsidRPr="005A62DE">
        <w:t>. 2021, Australian Energy Market Operator.</w:t>
      </w:r>
    </w:p>
    <w:p w14:paraId="1BDC3AD0" w14:textId="77777777" w:rsidR="005A62DE" w:rsidRPr="005A62DE" w:rsidRDefault="005A62DE" w:rsidP="005A62DE">
      <w:pPr>
        <w:pStyle w:val="EndNoteBibliography"/>
        <w:ind w:left="720" w:hanging="720"/>
      </w:pPr>
      <w:r w:rsidRPr="005A62DE">
        <w:t>44.</w:t>
      </w:r>
      <w:r w:rsidRPr="005A62DE">
        <w:tab/>
      </w:r>
      <w:r w:rsidRPr="005A62DE">
        <w:rPr>
          <w:i/>
        </w:rPr>
        <w:t xml:space="preserve">Network Support and Control Ancillary Services (NSCAS) </w:t>
      </w:r>
      <w:r w:rsidRPr="005A62DE">
        <w:t>Dec 2020, Australian Energy Market Operator.</w:t>
      </w:r>
    </w:p>
    <w:p w14:paraId="7BE74132" w14:textId="77777777" w:rsidR="005A62DE" w:rsidRPr="005A62DE" w:rsidRDefault="005A62DE" w:rsidP="005A62DE">
      <w:pPr>
        <w:pStyle w:val="EndNoteBibliography"/>
        <w:ind w:left="720" w:hanging="720"/>
      </w:pPr>
      <w:r w:rsidRPr="005A62DE">
        <w:t>45.</w:t>
      </w:r>
      <w:r w:rsidRPr="005A62DE">
        <w:tab/>
        <w:t xml:space="preserve">Scherer, M., </w:t>
      </w:r>
      <w:r w:rsidRPr="005A62DE">
        <w:rPr>
          <w:i/>
        </w:rPr>
        <w:t>Frequency control in the European power system considering the organisational structure and division of responsibilities</w:t>
      </w:r>
      <w:r w:rsidRPr="005A62DE">
        <w:t>. 2016, ETH Zurich.</w:t>
      </w:r>
    </w:p>
    <w:p w14:paraId="7F3FD1EC" w14:textId="77777777" w:rsidR="005A62DE" w:rsidRPr="005A62DE" w:rsidRDefault="005A62DE" w:rsidP="005A62DE">
      <w:pPr>
        <w:pStyle w:val="EndNoteBibliography"/>
        <w:ind w:left="720" w:hanging="720"/>
      </w:pPr>
      <w:r w:rsidRPr="005A62DE">
        <w:t>46.</w:t>
      </w:r>
      <w:r w:rsidRPr="005A62DE">
        <w:tab/>
      </w:r>
      <w:r w:rsidRPr="005A62DE">
        <w:rPr>
          <w:i/>
        </w:rPr>
        <w:t>NEM power system design and engineering framework</w:t>
      </w:r>
      <w:r w:rsidRPr="005A62DE">
        <w:t>. 2020, Australian Energy Market Operator (AEMO).</w:t>
      </w:r>
    </w:p>
    <w:p w14:paraId="73DD31FF" w14:textId="77777777" w:rsidR="005A62DE" w:rsidRPr="005A62DE" w:rsidRDefault="005A62DE" w:rsidP="005A62DE">
      <w:pPr>
        <w:pStyle w:val="EndNoteBibliography"/>
        <w:ind w:left="720" w:hanging="720"/>
      </w:pPr>
      <w:r w:rsidRPr="005A62DE">
        <w:t>47.</w:t>
      </w:r>
      <w:r w:rsidRPr="005A62DE">
        <w:tab/>
      </w:r>
      <w:r w:rsidRPr="005A62DE">
        <w:rPr>
          <w:i/>
        </w:rPr>
        <w:t>Innovation landscape for a renewable-powered future: Solutions to integrate variable renewables.</w:t>
      </w:r>
      <w:r w:rsidRPr="005A62DE">
        <w:t xml:space="preserve"> 2019, International Renewable Energy Agency: Abu Dhabi.</w:t>
      </w:r>
    </w:p>
    <w:p w14:paraId="7B7C4092" w14:textId="77777777" w:rsidR="005A62DE" w:rsidRPr="005A62DE" w:rsidRDefault="005A62DE" w:rsidP="005A62DE">
      <w:pPr>
        <w:pStyle w:val="EndNoteBibliography"/>
        <w:ind w:left="720" w:hanging="720"/>
      </w:pPr>
      <w:r w:rsidRPr="005A62DE">
        <w:t>48.</w:t>
      </w:r>
      <w:r w:rsidRPr="005A62DE">
        <w:tab/>
        <w:t xml:space="preserve">Flourentzou, N., V.G. Agelidis, and G.D. Demetriades, </w:t>
      </w:r>
      <w:r w:rsidRPr="005A62DE">
        <w:rPr>
          <w:i/>
        </w:rPr>
        <w:t>VSC-based HVDC power transmission systems: An overview.</w:t>
      </w:r>
      <w:r w:rsidRPr="005A62DE">
        <w:t xml:space="preserve"> IEEE Transactions on power electronics, 2009. </w:t>
      </w:r>
      <w:r w:rsidRPr="005A62DE">
        <w:rPr>
          <w:b/>
        </w:rPr>
        <w:t>24</w:t>
      </w:r>
      <w:r w:rsidRPr="005A62DE">
        <w:t>(3): p. 592-602.</w:t>
      </w:r>
    </w:p>
    <w:p w14:paraId="11E53112" w14:textId="77777777" w:rsidR="005A62DE" w:rsidRPr="005A62DE" w:rsidRDefault="005A62DE" w:rsidP="005A62DE">
      <w:pPr>
        <w:pStyle w:val="EndNoteBibliography"/>
        <w:ind w:left="720" w:hanging="720"/>
      </w:pPr>
      <w:r w:rsidRPr="005A62DE">
        <w:t>49.</w:t>
      </w:r>
      <w:r w:rsidRPr="005A62DE">
        <w:tab/>
        <w:t xml:space="preserve">Kaushal, A. and D. Van Hertem, </w:t>
      </w:r>
      <w:r w:rsidRPr="005A62DE">
        <w:rPr>
          <w:i/>
        </w:rPr>
        <w:t>An overview of ancillary services and HVDC systems in European context.</w:t>
      </w:r>
      <w:r w:rsidRPr="005A62DE">
        <w:t xml:space="preserve"> Energies, 2019. </w:t>
      </w:r>
      <w:r w:rsidRPr="005A62DE">
        <w:rPr>
          <w:b/>
        </w:rPr>
        <w:t>12</w:t>
      </w:r>
      <w:r w:rsidRPr="005A62DE">
        <w:t>(18): p. 3481.</w:t>
      </w:r>
    </w:p>
    <w:p w14:paraId="6A2FD4B1" w14:textId="331A7E3B" w:rsidR="00C90CB8" w:rsidRPr="0010737E" w:rsidRDefault="009738CB" w:rsidP="005A62DE">
      <w:r>
        <w:fldChar w:fldCharType="end"/>
      </w:r>
    </w:p>
    <w:sectPr w:rsidR="00C90CB8" w:rsidRPr="0010737E" w:rsidSect="00E7786D">
      <w:footerReference w:type="first" r:id="rId67"/>
      <w:pgSz w:w="11906" w:h="16838" w:code="9"/>
      <w:pgMar w:top="1440" w:right="1440" w:bottom="1440" w:left="1440" w:header="720" w:footer="720" w:gutter="0"/>
      <w:pgNumType w:fmt="upperRoman" w:start="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24D1EA" w14:textId="77777777" w:rsidR="007F0442" w:rsidRDefault="007F0442" w:rsidP="009C646F">
      <w:pPr>
        <w:spacing w:after="0" w:line="240" w:lineRule="auto"/>
      </w:pPr>
      <w:r>
        <w:separator/>
      </w:r>
    </w:p>
  </w:endnote>
  <w:endnote w:type="continuationSeparator" w:id="0">
    <w:p w14:paraId="5A37D016" w14:textId="77777777" w:rsidR="007F0442" w:rsidRDefault="007F0442" w:rsidP="009C646F">
      <w:pPr>
        <w:spacing w:after="0" w:line="240" w:lineRule="auto"/>
      </w:pPr>
      <w:r>
        <w:continuationSeparator/>
      </w:r>
    </w:p>
  </w:endnote>
  <w:endnote w:type="continuationNotice" w:id="1">
    <w:p w14:paraId="0F46A56D" w14:textId="77777777" w:rsidR="007F0442" w:rsidRDefault="007F044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A4C13" w14:textId="77777777" w:rsidR="008B0297" w:rsidRDefault="008B02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D9483" w14:textId="1205441A" w:rsidR="00C27912" w:rsidRDefault="00C27912">
    <w:pPr>
      <w:pStyle w:val="Footer"/>
      <w:jc w:val="right"/>
    </w:pPr>
  </w:p>
  <w:p w14:paraId="6B12B489" w14:textId="7A44F481" w:rsidR="00C27912" w:rsidRDefault="00C279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4E365FCF" w14:paraId="793EE486" w14:textId="77777777" w:rsidTr="4E365FCF">
      <w:tc>
        <w:tcPr>
          <w:tcW w:w="3005" w:type="dxa"/>
        </w:tcPr>
        <w:p w14:paraId="2133BFE6" w14:textId="332224D6" w:rsidR="4E365FCF" w:rsidRDefault="4E365FCF" w:rsidP="4E365FCF">
          <w:pPr>
            <w:pStyle w:val="Header"/>
            <w:ind w:left="-115"/>
            <w:jc w:val="left"/>
            <w:rPr>
              <w:rFonts w:ascii="Arial" w:eastAsia="Calibri" w:hAnsi="Arial" w:cs="Arial"/>
              <w:szCs w:val="20"/>
            </w:rPr>
          </w:pPr>
        </w:p>
      </w:tc>
      <w:tc>
        <w:tcPr>
          <w:tcW w:w="3005" w:type="dxa"/>
        </w:tcPr>
        <w:p w14:paraId="18996BFF" w14:textId="1E56B8A6" w:rsidR="4E365FCF" w:rsidRDefault="4E365FCF" w:rsidP="4E365FCF">
          <w:pPr>
            <w:pStyle w:val="Header"/>
            <w:jc w:val="center"/>
            <w:rPr>
              <w:rFonts w:ascii="Arial" w:eastAsia="Calibri" w:hAnsi="Arial" w:cs="Arial"/>
              <w:szCs w:val="20"/>
            </w:rPr>
          </w:pPr>
        </w:p>
      </w:tc>
      <w:tc>
        <w:tcPr>
          <w:tcW w:w="3005" w:type="dxa"/>
        </w:tcPr>
        <w:p w14:paraId="40F15287" w14:textId="5BEF230D" w:rsidR="4E365FCF" w:rsidRDefault="4E365FCF" w:rsidP="4E365FCF">
          <w:pPr>
            <w:pStyle w:val="Header"/>
            <w:ind w:right="-115"/>
            <w:jc w:val="right"/>
            <w:rPr>
              <w:rFonts w:ascii="Arial" w:eastAsia="Calibri" w:hAnsi="Arial" w:cs="Arial"/>
              <w:szCs w:val="20"/>
            </w:rPr>
          </w:pPr>
        </w:p>
      </w:tc>
    </w:tr>
  </w:tbl>
  <w:p w14:paraId="236B17F6" w14:textId="26BD9310" w:rsidR="00DB2DF9" w:rsidRDefault="00DB2DF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0"/>
      <w:gridCol w:w="4650"/>
      <w:gridCol w:w="4650"/>
    </w:tblGrid>
    <w:tr w:rsidR="4E365FCF" w14:paraId="7630AE89" w14:textId="77777777" w:rsidTr="4E365FCF">
      <w:tc>
        <w:tcPr>
          <w:tcW w:w="4650" w:type="dxa"/>
        </w:tcPr>
        <w:p w14:paraId="12D099E2" w14:textId="2166738B" w:rsidR="4E365FCF" w:rsidRDefault="4E365FCF" w:rsidP="4E365FCF">
          <w:pPr>
            <w:pStyle w:val="Header"/>
            <w:ind w:left="-115"/>
            <w:jc w:val="left"/>
            <w:rPr>
              <w:rFonts w:ascii="Arial" w:eastAsia="Calibri" w:hAnsi="Arial" w:cs="Arial"/>
              <w:szCs w:val="20"/>
            </w:rPr>
          </w:pPr>
        </w:p>
      </w:tc>
      <w:tc>
        <w:tcPr>
          <w:tcW w:w="4650" w:type="dxa"/>
        </w:tcPr>
        <w:p w14:paraId="456243C5" w14:textId="5AFE5532" w:rsidR="4E365FCF" w:rsidRDefault="4E365FCF" w:rsidP="4E365FCF">
          <w:pPr>
            <w:pStyle w:val="Header"/>
            <w:jc w:val="center"/>
            <w:rPr>
              <w:rFonts w:ascii="Arial" w:eastAsia="Calibri" w:hAnsi="Arial" w:cs="Arial"/>
              <w:szCs w:val="20"/>
            </w:rPr>
          </w:pPr>
        </w:p>
      </w:tc>
      <w:tc>
        <w:tcPr>
          <w:tcW w:w="4650" w:type="dxa"/>
        </w:tcPr>
        <w:p w14:paraId="65021382" w14:textId="1F2DD50A" w:rsidR="4E365FCF" w:rsidRDefault="4E365FCF" w:rsidP="4E365FCF">
          <w:pPr>
            <w:pStyle w:val="Header"/>
            <w:ind w:right="-115"/>
            <w:jc w:val="right"/>
            <w:rPr>
              <w:rFonts w:ascii="Arial" w:eastAsia="Calibri" w:hAnsi="Arial" w:cs="Arial"/>
              <w:szCs w:val="20"/>
            </w:rPr>
          </w:pPr>
        </w:p>
      </w:tc>
    </w:tr>
  </w:tbl>
  <w:p w14:paraId="54A6017F" w14:textId="18274771" w:rsidR="00DB2DF9" w:rsidRDefault="00DB2DF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4E365FCF" w14:paraId="6232AA54" w14:textId="77777777" w:rsidTr="4E365FCF">
      <w:tc>
        <w:tcPr>
          <w:tcW w:w="3005" w:type="dxa"/>
        </w:tcPr>
        <w:p w14:paraId="31A79807" w14:textId="1D6FEF9E" w:rsidR="4E365FCF" w:rsidRDefault="4E365FCF" w:rsidP="4E365FCF">
          <w:pPr>
            <w:pStyle w:val="Header"/>
            <w:ind w:left="-115"/>
            <w:jc w:val="left"/>
            <w:rPr>
              <w:rFonts w:ascii="Arial" w:eastAsia="Calibri" w:hAnsi="Arial" w:cs="Arial"/>
              <w:szCs w:val="20"/>
            </w:rPr>
          </w:pPr>
        </w:p>
      </w:tc>
      <w:tc>
        <w:tcPr>
          <w:tcW w:w="3005" w:type="dxa"/>
        </w:tcPr>
        <w:p w14:paraId="489957F7" w14:textId="5046E26D" w:rsidR="4E365FCF" w:rsidRDefault="4E365FCF" w:rsidP="4E365FCF">
          <w:pPr>
            <w:pStyle w:val="Header"/>
            <w:jc w:val="center"/>
            <w:rPr>
              <w:rFonts w:ascii="Arial" w:eastAsia="Calibri" w:hAnsi="Arial" w:cs="Arial"/>
              <w:szCs w:val="20"/>
            </w:rPr>
          </w:pPr>
        </w:p>
      </w:tc>
      <w:tc>
        <w:tcPr>
          <w:tcW w:w="3005" w:type="dxa"/>
        </w:tcPr>
        <w:p w14:paraId="723E52AD" w14:textId="4EED3F90" w:rsidR="4E365FCF" w:rsidRDefault="4E365FCF" w:rsidP="4E365FCF">
          <w:pPr>
            <w:pStyle w:val="Header"/>
            <w:ind w:right="-115"/>
            <w:jc w:val="right"/>
            <w:rPr>
              <w:rFonts w:ascii="Arial" w:eastAsia="Calibri" w:hAnsi="Arial" w:cs="Arial"/>
              <w:szCs w:val="20"/>
            </w:rPr>
          </w:pPr>
        </w:p>
      </w:tc>
    </w:tr>
  </w:tbl>
  <w:p w14:paraId="5C7821FD" w14:textId="3CD19F1A" w:rsidR="00DB2DF9" w:rsidRDefault="00DB2DF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3420025"/>
      <w:docPartObj>
        <w:docPartGallery w:val="Page Numbers (Bottom of Page)"/>
        <w:docPartUnique/>
      </w:docPartObj>
    </w:sdtPr>
    <w:sdtEndPr>
      <w:rPr>
        <w:noProof/>
      </w:rPr>
    </w:sdtEndPr>
    <w:sdtContent>
      <w:p w14:paraId="70EF262A" w14:textId="77777777" w:rsidR="00C27912" w:rsidRDefault="00C2791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1981737" w14:textId="77777777" w:rsidR="00C27912" w:rsidRDefault="00C2791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4E365FCF" w14:paraId="6D4A3413" w14:textId="77777777" w:rsidTr="4E365FCF">
      <w:tc>
        <w:tcPr>
          <w:tcW w:w="3005" w:type="dxa"/>
        </w:tcPr>
        <w:p w14:paraId="442B51E3" w14:textId="0A5DA947" w:rsidR="4E365FCF" w:rsidRDefault="4E365FCF" w:rsidP="4E365FCF">
          <w:pPr>
            <w:pStyle w:val="Header"/>
            <w:ind w:left="-115"/>
            <w:jc w:val="left"/>
            <w:rPr>
              <w:rFonts w:ascii="Arial" w:eastAsia="Calibri" w:hAnsi="Arial" w:cs="Arial"/>
              <w:szCs w:val="20"/>
            </w:rPr>
          </w:pPr>
        </w:p>
      </w:tc>
      <w:tc>
        <w:tcPr>
          <w:tcW w:w="3005" w:type="dxa"/>
        </w:tcPr>
        <w:p w14:paraId="31CA4E27" w14:textId="73AA67D5" w:rsidR="4E365FCF" w:rsidRDefault="4E365FCF" w:rsidP="4E365FCF">
          <w:pPr>
            <w:pStyle w:val="Header"/>
            <w:jc w:val="center"/>
            <w:rPr>
              <w:rFonts w:ascii="Arial" w:eastAsia="Calibri" w:hAnsi="Arial" w:cs="Arial"/>
              <w:szCs w:val="20"/>
            </w:rPr>
          </w:pPr>
        </w:p>
      </w:tc>
      <w:tc>
        <w:tcPr>
          <w:tcW w:w="3005" w:type="dxa"/>
        </w:tcPr>
        <w:p w14:paraId="66E3C4BA" w14:textId="63F71A99" w:rsidR="4E365FCF" w:rsidRDefault="4E365FCF" w:rsidP="4E365FCF">
          <w:pPr>
            <w:pStyle w:val="Header"/>
            <w:ind w:right="-115"/>
            <w:jc w:val="right"/>
            <w:rPr>
              <w:rFonts w:ascii="Arial" w:eastAsia="Calibri" w:hAnsi="Arial" w:cs="Arial"/>
              <w:szCs w:val="20"/>
            </w:rPr>
          </w:pPr>
        </w:p>
      </w:tc>
    </w:tr>
  </w:tbl>
  <w:p w14:paraId="2CB3287C" w14:textId="6B91506D" w:rsidR="00DB2DF9" w:rsidRDefault="00DB2DF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0"/>
      <w:gridCol w:w="4650"/>
      <w:gridCol w:w="4650"/>
    </w:tblGrid>
    <w:tr w:rsidR="4E365FCF" w14:paraId="6574A985" w14:textId="77777777" w:rsidTr="4E365FCF">
      <w:tc>
        <w:tcPr>
          <w:tcW w:w="4650" w:type="dxa"/>
        </w:tcPr>
        <w:p w14:paraId="3B8E2325" w14:textId="6C332165" w:rsidR="4E365FCF" w:rsidRDefault="4E365FCF" w:rsidP="4E365FCF">
          <w:pPr>
            <w:pStyle w:val="Header"/>
            <w:ind w:left="-115"/>
            <w:jc w:val="left"/>
            <w:rPr>
              <w:rFonts w:ascii="Arial" w:eastAsia="Calibri" w:hAnsi="Arial" w:cs="Arial"/>
              <w:szCs w:val="20"/>
            </w:rPr>
          </w:pPr>
        </w:p>
      </w:tc>
      <w:tc>
        <w:tcPr>
          <w:tcW w:w="4650" w:type="dxa"/>
        </w:tcPr>
        <w:p w14:paraId="0CBC6C1C" w14:textId="4D799859" w:rsidR="4E365FCF" w:rsidRDefault="4E365FCF" w:rsidP="4E365FCF">
          <w:pPr>
            <w:pStyle w:val="Header"/>
            <w:jc w:val="center"/>
            <w:rPr>
              <w:rFonts w:ascii="Arial" w:eastAsia="Calibri" w:hAnsi="Arial" w:cs="Arial"/>
              <w:szCs w:val="20"/>
            </w:rPr>
          </w:pPr>
        </w:p>
      </w:tc>
      <w:tc>
        <w:tcPr>
          <w:tcW w:w="4650" w:type="dxa"/>
        </w:tcPr>
        <w:p w14:paraId="41FA038A" w14:textId="3A5B9968" w:rsidR="4E365FCF" w:rsidRDefault="4E365FCF" w:rsidP="4E365FCF">
          <w:pPr>
            <w:pStyle w:val="Header"/>
            <w:ind w:right="-115"/>
            <w:jc w:val="right"/>
            <w:rPr>
              <w:rFonts w:ascii="Arial" w:eastAsia="Calibri" w:hAnsi="Arial" w:cs="Arial"/>
              <w:szCs w:val="20"/>
            </w:rPr>
          </w:pPr>
        </w:p>
      </w:tc>
    </w:tr>
  </w:tbl>
  <w:p w14:paraId="62CF6E27" w14:textId="65A84798" w:rsidR="00DB2DF9" w:rsidRDefault="00DB2DF9">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4E365FCF" w14:paraId="36A8E8ED" w14:textId="77777777" w:rsidTr="4E365FCF">
      <w:tc>
        <w:tcPr>
          <w:tcW w:w="3005" w:type="dxa"/>
        </w:tcPr>
        <w:p w14:paraId="521E93B8" w14:textId="5F269C77" w:rsidR="4E365FCF" w:rsidRDefault="4E365FCF" w:rsidP="4E365FCF">
          <w:pPr>
            <w:pStyle w:val="Header"/>
            <w:ind w:left="-115"/>
            <w:jc w:val="left"/>
            <w:rPr>
              <w:rFonts w:ascii="Arial" w:eastAsia="Calibri" w:hAnsi="Arial" w:cs="Arial"/>
              <w:szCs w:val="20"/>
            </w:rPr>
          </w:pPr>
        </w:p>
      </w:tc>
      <w:tc>
        <w:tcPr>
          <w:tcW w:w="3005" w:type="dxa"/>
        </w:tcPr>
        <w:p w14:paraId="7C1F9162" w14:textId="42FEF959" w:rsidR="4E365FCF" w:rsidRDefault="4E365FCF" w:rsidP="4E365FCF">
          <w:pPr>
            <w:pStyle w:val="Header"/>
            <w:jc w:val="center"/>
            <w:rPr>
              <w:rFonts w:ascii="Arial" w:eastAsia="Calibri" w:hAnsi="Arial" w:cs="Arial"/>
              <w:szCs w:val="20"/>
            </w:rPr>
          </w:pPr>
        </w:p>
      </w:tc>
      <w:tc>
        <w:tcPr>
          <w:tcW w:w="3005" w:type="dxa"/>
        </w:tcPr>
        <w:p w14:paraId="0B6E0CDB" w14:textId="4884E4CF" w:rsidR="4E365FCF" w:rsidRDefault="4E365FCF" w:rsidP="4E365FCF">
          <w:pPr>
            <w:pStyle w:val="Header"/>
            <w:ind w:right="-115"/>
            <w:jc w:val="right"/>
            <w:rPr>
              <w:rFonts w:ascii="Arial" w:eastAsia="Calibri" w:hAnsi="Arial" w:cs="Arial"/>
              <w:szCs w:val="20"/>
            </w:rPr>
          </w:pPr>
        </w:p>
      </w:tc>
    </w:tr>
  </w:tbl>
  <w:p w14:paraId="6407E20D" w14:textId="578B1A33" w:rsidR="00DB2DF9" w:rsidRDefault="00DB2D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4AFD9D" w14:textId="77777777" w:rsidR="007F0442" w:rsidRDefault="007F0442" w:rsidP="009C646F">
      <w:pPr>
        <w:spacing w:after="0" w:line="240" w:lineRule="auto"/>
      </w:pPr>
      <w:r>
        <w:separator/>
      </w:r>
    </w:p>
  </w:footnote>
  <w:footnote w:type="continuationSeparator" w:id="0">
    <w:p w14:paraId="3294BE7F" w14:textId="77777777" w:rsidR="007F0442" w:rsidRDefault="007F0442" w:rsidP="009C646F">
      <w:pPr>
        <w:spacing w:after="0" w:line="240" w:lineRule="auto"/>
      </w:pPr>
      <w:r>
        <w:continuationSeparator/>
      </w:r>
    </w:p>
  </w:footnote>
  <w:footnote w:type="continuationNotice" w:id="1">
    <w:p w14:paraId="75B5C79C" w14:textId="77777777" w:rsidR="007F0442" w:rsidRDefault="007F0442">
      <w:pPr>
        <w:spacing w:after="0" w:line="240" w:lineRule="auto"/>
      </w:pPr>
    </w:p>
  </w:footnote>
  <w:footnote w:id="2">
    <w:p w14:paraId="729B9B93" w14:textId="38DF2F93" w:rsidR="00900DA4" w:rsidRPr="009548EA" w:rsidRDefault="00900DA4">
      <w:pPr>
        <w:pStyle w:val="FootnoteText"/>
        <w:rPr>
          <w:sz w:val="18"/>
          <w:szCs w:val="18"/>
        </w:rPr>
      </w:pPr>
      <w:r>
        <w:rPr>
          <w:rStyle w:val="FootnoteReference"/>
        </w:rPr>
        <w:footnoteRef/>
      </w:r>
      <w:r>
        <w:t xml:space="preserve"> </w:t>
      </w:r>
      <w:hyperlink r:id="rId1" w:history="1">
        <w:r w:rsidRPr="009548EA">
          <w:rPr>
            <w:rStyle w:val="Hyperlink"/>
            <w:szCs w:val="18"/>
          </w:rPr>
          <w:t>https://www.cleanenergycouncil.org.au/</w:t>
        </w:r>
      </w:hyperlink>
      <w:r w:rsidRPr="009548EA">
        <w:rPr>
          <w:sz w:val="18"/>
          <w:szCs w:val="18"/>
        </w:rPr>
        <w:t xml:space="preserve"> </w:t>
      </w:r>
    </w:p>
  </w:footnote>
  <w:footnote w:id="3">
    <w:p w14:paraId="14CFC522" w14:textId="21815B70" w:rsidR="009548EA" w:rsidRDefault="009548EA">
      <w:pPr>
        <w:pStyle w:val="FootnoteText"/>
      </w:pPr>
      <w:r w:rsidRPr="009548EA">
        <w:rPr>
          <w:rStyle w:val="FootnoteReference"/>
          <w:sz w:val="18"/>
          <w:szCs w:val="18"/>
        </w:rPr>
        <w:footnoteRef/>
      </w:r>
      <w:r w:rsidRPr="009548EA">
        <w:rPr>
          <w:sz w:val="18"/>
          <w:szCs w:val="18"/>
        </w:rPr>
        <w:t xml:space="preserve"> https://www.minister.industry.gov.au/ministers/taylor/media-releases/2021-australian-energy-statistics-electricity</w:t>
      </w:r>
    </w:p>
  </w:footnote>
  <w:footnote w:id="4">
    <w:p w14:paraId="469A748E" w14:textId="77777777" w:rsidR="003E5DD9" w:rsidRDefault="003E5DD9" w:rsidP="003E5DD9">
      <w:pPr>
        <w:pStyle w:val="FootnoteText"/>
      </w:pPr>
      <w:r>
        <w:rPr>
          <w:rStyle w:val="FootnoteReference"/>
        </w:rPr>
        <w:footnoteRef/>
      </w:r>
      <w:r>
        <w:t xml:space="preserve"> </w:t>
      </w:r>
      <w:r w:rsidRPr="000E1CA3">
        <w:rPr>
          <w:sz w:val="16"/>
          <w:szCs w:val="16"/>
        </w:rPr>
        <w:t>Measured by the ratio between the short-circuit level at the point of common coupling of the generator and the generator rated capacity.</w:t>
      </w:r>
    </w:p>
  </w:footnote>
  <w:footnote w:id="5">
    <w:p w14:paraId="472B19FC" w14:textId="77777777" w:rsidR="004270B7" w:rsidRDefault="004270B7" w:rsidP="004270B7">
      <w:pPr>
        <w:pStyle w:val="FootnoteText"/>
      </w:pPr>
      <w:r>
        <w:rPr>
          <w:rStyle w:val="FootnoteReference"/>
        </w:rPr>
        <w:footnoteRef/>
      </w:r>
      <w:r>
        <w:t xml:space="preserve"> This article was recently studied and workshopped by the Institute for Integrated Economic Research – Australia (IIER-A) collaboration, 2020-2021.  </w:t>
      </w:r>
    </w:p>
  </w:footnote>
  <w:footnote w:id="6">
    <w:p w14:paraId="473DAAD1" w14:textId="224D9042" w:rsidR="0070715F" w:rsidRPr="00132BFB" w:rsidRDefault="0070715F">
      <w:pPr>
        <w:pStyle w:val="FootnoteText"/>
        <w:rPr>
          <w:sz w:val="18"/>
          <w:szCs w:val="18"/>
        </w:rPr>
      </w:pPr>
      <w:r w:rsidRPr="00132BFB">
        <w:rPr>
          <w:rStyle w:val="FootnoteReference"/>
          <w:sz w:val="18"/>
          <w:szCs w:val="18"/>
        </w:rPr>
        <w:footnoteRef/>
      </w:r>
      <w:r w:rsidRPr="00132BFB">
        <w:rPr>
          <w:sz w:val="18"/>
          <w:szCs w:val="18"/>
        </w:rPr>
        <w:t xml:space="preserve"> https://www.aemc.gov.au/rule-changes/fast-frequency-response-market-ancillary-service</w:t>
      </w:r>
    </w:p>
  </w:footnote>
  <w:footnote w:id="7">
    <w:p w14:paraId="0E5756E9" w14:textId="3AAB06F6" w:rsidR="0070715F" w:rsidRPr="00132BFB" w:rsidRDefault="0070715F">
      <w:pPr>
        <w:pStyle w:val="FootnoteText"/>
        <w:rPr>
          <w:sz w:val="18"/>
          <w:szCs w:val="18"/>
        </w:rPr>
      </w:pPr>
      <w:r w:rsidRPr="00132BFB">
        <w:rPr>
          <w:rStyle w:val="FootnoteReference"/>
          <w:sz w:val="18"/>
          <w:szCs w:val="18"/>
        </w:rPr>
        <w:footnoteRef/>
      </w:r>
      <w:r w:rsidRPr="00132BFB">
        <w:rPr>
          <w:sz w:val="18"/>
          <w:szCs w:val="18"/>
        </w:rPr>
        <w:t xml:space="preserve"> https://www.aemc.gov.au/rule-changes/removal-disincentives-primary-frequency-response</w:t>
      </w:r>
    </w:p>
  </w:footnote>
  <w:footnote w:id="8">
    <w:p w14:paraId="3CDC26B8" w14:textId="53192AAA" w:rsidR="0070715F" w:rsidRPr="00132BFB" w:rsidRDefault="0070715F">
      <w:pPr>
        <w:pStyle w:val="FootnoteText"/>
        <w:rPr>
          <w:sz w:val="18"/>
          <w:szCs w:val="18"/>
        </w:rPr>
      </w:pPr>
      <w:r w:rsidRPr="00132BFB">
        <w:rPr>
          <w:rStyle w:val="FootnoteReference"/>
          <w:sz w:val="18"/>
          <w:szCs w:val="18"/>
        </w:rPr>
        <w:footnoteRef/>
      </w:r>
      <w:r w:rsidRPr="00132BFB">
        <w:rPr>
          <w:sz w:val="18"/>
          <w:szCs w:val="18"/>
        </w:rPr>
        <w:t xml:space="preserve"> https://www.aemc.gov.au/rule-changes/operating-reserve-market</w:t>
      </w:r>
    </w:p>
  </w:footnote>
  <w:footnote w:id="9">
    <w:p w14:paraId="18A2017A" w14:textId="153BE87B" w:rsidR="0070715F" w:rsidRPr="00132BFB" w:rsidRDefault="0070715F" w:rsidP="009561A1">
      <w:pPr>
        <w:pStyle w:val="FootnoteText"/>
        <w:jc w:val="left"/>
        <w:rPr>
          <w:sz w:val="18"/>
          <w:szCs w:val="18"/>
        </w:rPr>
      </w:pPr>
      <w:r w:rsidRPr="00132BFB">
        <w:rPr>
          <w:rStyle w:val="FootnoteReference"/>
          <w:sz w:val="18"/>
          <w:szCs w:val="18"/>
        </w:rPr>
        <w:footnoteRef/>
      </w:r>
      <w:r w:rsidR="009561A1">
        <w:rPr>
          <w:sz w:val="18"/>
          <w:szCs w:val="18"/>
        </w:rPr>
        <w:t xml:space="preserve"> </w:t>
      </w:r>
      <w:r w:rsidRPr="00132BFB">
        <w:rPr>
          <w:sz w:val="18"/>
          <w:szCs w:val="18"/>
        </w:rPr>
        <w:t>https://www.aemc.gov.au/rule-changes/capacity-commitment-mechanism-system-security-and-reliability-services</w:t>
      </w:r>
    </w:p>
  </w:footnote>
  <w:footnote w:id="10">
    <w:p w14:paraId="5AE85294" w14:textId="66412909" w:rsidR="00132BFB" w:rsidRPr="00132BFB" w:rsidRDefault="00132BFB">
      <w:pPr>
        <w:pStyle w:val="FootnoteText"/>
        <w:rPr>
          <w:sz w:val="18"/>
          <w:szCs w:val="18"/>
        </w:rPr>
      </w:pPr>
      <w:r w:rsidRPr="00132BFB">
        <w:rPr>
          <w:rStyle w:val="FootnoteReference"/>
          <w:sz w:val="18"/>
          <w:szCs w:val="18"/>
        </w:rPr>
        <w:footnoteRef/>
      </w:r>
      <w:r w:rsidRPr="00132BFB">
        <w:rPr>
          <w:sz w:val="18"/>
          <w:szCs w:val="18"/>
        </w:rPr>
        <w:t xml:space="preserve"> https://www.aemc.gov.au/rule-changes/introduction-ramping-services</w:t>
      </w:r>
    </w:p>
  </w:footnote>
  <w:footnote w:id="11">
    <w:p w14:paraId="54821DBE" w14:textId="257DE143" w:rsidR="00132BFB" w:rsidRPr="00132BFB" w:rsidRDefault="00132BFB">
      <w:pPr>
        <w:pStyle w:val="FootnoteText"/>
        <w:rPr>
          <w:sz w:val="18"/>
          <w:szCs w:val="18"/>
        </w:rPr>
      </w:pPr>
      <w:r w:rsidRPr="00132BFB">
        <w:rPr>
          <w:rStyle w:val="FootnoteReference"/>
          <w:sz w:val="18"/>
          <w:szCs w:val="18"/>
        </w:rPr>
        <w:footnoteRef/>
      </w:r>
      <w:r w:rsidRPr="00132BFB">
        <w:rPr>
          <w:sz w:val="18"/>
          <w:szCs w:val="18"/>
        </w:rPr>
        <w:t xml:space="preserve"> https://www.aemc.gov.au/rule-changes/efficient-management-system-strength-power-system</w:t>
      </w:r>
    </w:p>
  </w:footnote>
  <w:footnote w:id="12">
    <w:p w14:paraId="4C85C60C" w14:textId="046714F8" w:rsidR="00126DC5" w:rsidRDefault="00126DC5">
      <w:pPr>
        <w:pStyle w:val="FootnoteText"/>
      </w:pPr>
      <w:r w:rsidRPr="00132BFB">
        <w:rPr>
          <w:rStyle w:val="FootnoteReference"/>
          <w:sz w:val="18"/>
          <w:szCs w:val="18"/>
        </w:rPr>
        <w:footnoteRef/>
      </w:r>
      <w:r w:rsidRPr="00132BFB">
        <w:rPr>
          <w:sz w:val="18"/>
          <w:szCs w:val="18"/>
        </w:rPr>
        <w:t xml:space="preserve"> https://www.aemc.gov.au/rule-changes/synchronous-services-markets</w:t>
      </w:r>
    </w:p>
  </w:footnote>
  <w:footnote w:id="13">
    <w:p w14:paraId="220FB0ED" w14:textId="13CB3122" w:rsidR="00D3726E" w:rsidRDefault="00D3726E">
      <w:pPr>
        <w:pStyle w:val="FootnoteText"/>
      </w:pPr>
      <w:r>
        <w:rPr>
          <w:rStyle w:val="FootnoteReference"/>
        </w:rPr>
        <w:footnoteRef/>
      </w:r>
      <w:r>
        <w:t xml:space="preserve"> </w:t>
      </w:r>
      <w:r w:rsidRPr="00D3726E">
        <w:rPr>
          <w:sz w:val="18"/>
          <w:szCs w:val="18"/>
        </w:rPr>
        <w:t>https://www.aemc.gov.au/market-reviews-advice/investigation-system-strength-frameworks-nem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93EF3" w14:textId="77777777" w:rsidR="008B0297" w:rsidRDefault="008B02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4DCB4" w14:textId="3110672B" w:rsidR="00C27912" w:rsidRDefault="006526DE">
    <w:pPr>
      <w:pStyle w:val="Header"/>
    </w:pPr>
    <w:r>
      <w:rPr>
        <w:noProof/>
      </w:rPr>
      <mc:AlternateContent>
        <mc:Choice Requires="wps">
          <w:drawing>
            <wp:anchor distT="0" distB="0" distL="114300" distR="114300" simplePos="0" relativeHeight="251658240" behindDoc="0" locked="0" layoutInCell="0" allowOverlap="1" wp14:anchorId="5D52A9CC" wp14:editId="41FBDEA2">
              <wp:simplePos x="0" y="0"/>
              <wp:positionH relativeFrom="page">
                <wp:posOffset>0</wp:posOffset>
              </wp:positionH>
              <wp:positionV relativeFrom="page">
                <wp:posOffset>190500</wp:posOffset>
              </wp:positionV>
              <wp:extent cx="7560310" cy="273050"/>
              <wp:effectExtent l="0" t="0" r="0" b="12700"/>
              <wp:wrapNone/>
              <wp:docPr id="2" name="MSIPCMc1ab4f05ae4663fec2f39f5a" descr="{&quot;HashCode&quot;:-1910640812,&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D691AC" w14:textId="344DCD9C" w:rsidR="006526DE" w:rsidRPr="006526DE" w:rsidRDefault="006526DE" w:rsidP="006526DE">
                          <w:pPr>
                            <w:spacing w:after="0"/>
                            <w:jc w:val="center"/>
                            <w:rPr>
                              <w:rFonts w:ascii="Calibri" w:hAnsi="Calibri" w:cs="Calibri"/>
                              <w:color w:val="EEDC00"/>
                              <w:sz w:val="24"/>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D52A9CC" id="_x0000_t202" coordsize="21600,21600" o:spt="202" path="m,l,21600r21600,l21600,xe">
              <v:stroke joinstyle="miter"/>
              <v:path gradientshapeok="t" o:connecttype="rect"/>
            </v:shapetype>
            <v:shape id="MSIPCMc1ab4f05ae4663fec2f39f5a" o:spid="_x0000_s1027" type="#_x0000_t202" alt="{&quot;HashCode&quot;:-1910640812,&quot;Height&quot;:841.0,&quot;Width&quot;:595.0,&quot;Placement&quot;:&quot;Header&quot;,&quot;Index&quot;:&quot;Primary&quot;,&quot;Section&quot;:1,&quot;Top&quot;:0.0,&quot;Left&quot;:0.0}" style="position:absolute;left:0;text-align:left;margin-left:0;margin-top:15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" o:allowincell="f" filled="f" stroked="f" strokeweight=".5pt">
              <v:textbox inset=",0,,0">
                <w:txbxContent>
                  <w:p w14:paraId="51D691AC" w14:textId="344DCD9C" w:rsidR="006526DE" w:rsidRPr="006526DE" w:rsidRDefault="006526DE" w:rsidP="006526DE">
                    <w:pPr>
                      <w:spacing w:after="0"/>
                      <w:jc w:val="center"/>
                      <w:rPr>
                        <w:rFonts w:ascii="Calibri" w:hAnsi="Calibri" w:cs="Calibri"/>
                        <w:color w:val="EEDC00"/>
                        <w:sz w:val="24"/>
                      </w:rPr>
                    </w:pPr>
                  </w:p>
                </w:txbxContent>
              </v:textbox>
              <w10:wrap anchorx="page" anchory="page"/>
            </v:shape>
          </w:pict>
        </mc:Fallback>
      </mc:AlternateContent>
    </w:r>
  </w:p>
  <w:p w14:paraId="78E93896" w14:textId="3954DC3D" w:rsidR="00C27912" w:rsidRDefault="00C2791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EC181" w14:textId="5EF6FB5E" w:rsidR="006526DE" w:rsidRDefault="006526DE">
    <w:pPr>
      <w:pStyle w:val="Header"/>
    </w:pPr>
    <w:r>
      <w:rPr>
        <w:noProof/>
      </w:rPr>
      <mc:AlternateContent>
        <mc:Choice Requires="wps">
          <w:drawing>
            <wp:anchor distT="0" distB="0" distL="114300" distR="114300" simplePos="0" relativeHeight="251658241" behindDoc="0" locked="0" layoutInCell="0" allowOverlap="1" wp14:anchorId="441625E2" wp14:editId="26F693A0">
              <wp:simplePos x="0" y="0"/>
              <wp:positionH relativeFrom="page">
                <wp:posOffset>0</wp:posOffset>
              </wp:positionH>
              <wp:positionV relativeFrom="page">
                <wp:posOffset>190500</wp:posOffset>
              </wp:positionV>
              <wp:extent cx="7560310" cy="273050"/>
              <wp:effectExtent l="0" t="0" r="0" b="12700"/>
              <wp:wrapNone/>
              <wp:docPr id="3" name="MSIPCMa63047d4a0d79d71266a3d5a" descr="{&quot;HashCode&quot;:-1910640812,&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C55133" w14:textId="27D5AAAC" w:rsidR="006526DE" w:rsidRPr="006526DE" w:rsidRDefault="006526DE" w:rsidP="006526DE">
                          <w:pPr>
                            <w:spacing w:after="0"/>
                            <w:jc w:val="center"/>
                            <w:rPr>
                              <w:rFonts w:ascii="Calibri" w:hAnsi="Calibri" w:cs="Calibri"/>
                              <w:color w:val="EEDC00"/>
                              <w:sz w:val="24"/>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41625E2" id="_x0000_t202" coordsize="21600,21600" o:spt="202" path="m,l,21600r21600,l21600,xe">
              <v:stroke joinstyle="miter"/>
              <v:path gradientshapeok="t" o:connecttype="rect"/>
            </v:shapetype>
            <v:shape id="MSIPCMa63047d4a0d79d71266a3d5a" o:spid="_x0000_s1028" type="#_x0000_t202" alt="{&quot;HashCode&quot;:-1910640812,&quot;Height&quot;:841.0,&quot;Width&quot;:595.0,&quot;Placement&quot;:&quot;Header&quot;,&quot;Index&quot;:&quot;FirstPage&quot;,&quot;Section&quot;:1,&quot;Top&quot;:0.0,&quot;Left&quot;:0.0}" style="position:absolute;left:0;text-align:left;margin-left:0;margin-top:15pt;width:595.3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" o:allowincell="f" filled="f" stroked="f" strokeweight=".5pt">
              <v:textbox inset=",0,,0">
                <w:txbxContent>
                  <w:p w14:paraId="08C55133" w14:textId="27D5AAAC" w:rsidR="006526DE" w:rsidRPr="006526DE" w:rsidRDefault="006526DE" w:rsidP="006526DE">
                    <w:pPr>
                      <w:spacing w:after="0"/>
                      <w:jc w:val="center"/>
                      <w:rPr>
                        <w:rFonts w:ascii="Calibri" w:hAnsi="Calibri" w:cs="Calibri"/>
                        <w:color w:val="EEDC00"/>
                        <w:sz w:val="24"/>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909A5"/>
    <w:multiLevelType w:val="multilevel"/>
    <w:tmpl w:val="28DA7726"/>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44B7076"/>
    <w:multiLevelType w:val="hybridMultilevel"/>
    <w:tmpl w:val="413CEC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867D3A"/>
    <w:multiLevelType w:val="hybridMultilevel"/>
    <w:tmpl w:val="327039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F4049F3"/>
    <w:multiLevelType w:val="hybridMultilevel"/>
    <w:tmpl w:val="9B5ED822"/>
    <w:lvl w:ilvl="0" w:tplc="D1DA5962">
      <w:start w:val="1"/>
      <w:numFmt w:val="decimal"/>
      <w:lvlText w:val="%1."/>
      <w:lvlJc w:val="left"/>
      <w:pPr>
        <w:ind w:left="720" w:hanging="360"/>
      </w:pPr>
      <w:rPr>
        <w:rFonts w:ascii="Calibri" w:eastAsia="Calibri" w:hAnsi="Calibri" w:cs="Arial"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C76209B"/>
    <w:multiLevelType w:val="multilevel"/>
    <w:tmpl w:val="845AF010"/>
    <w:lvl w:ilvl="0">
      <w:start w:val="1"/>
      <w:numFmt w:val="decimal"/>
      <w:lvlText w:val="%1."/>
      <w:lvlJc w:val="left"/>
      <w:pPr>
        <w:ind w:left="720" w:hanging="360"/>
      </w:pPr>
      <w:rPr>
        <w:rFonts w:hint="default"/>
        <w:i w:val="0"/>
        <w:iCs w:val="0"/>
        <w:sz w:val="20"/>
        <w:szCs w:val="20"/>
      </w:rPr>
    </w:lvl>
    <w:lvl w:ilvl="1">
      <w:start w:val="1"/>
      <w:numFmt w:val="decimal"/>
      <w:isLgl/>
      <w:lvlText w:val="%1.%2."/>
      <w:lvlJc w:val="left"/>
      <w:pPr>
        <w:ind w:left="720" w:hanging="360"/>
      </w:pPr>
      <w:rPr>
        <w:rFonts w:asciiTheme="minorBidi" w:hAnsiTheme="minorBidi" w:cstheme="minorBidi" w:hint="default"/>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14E61EF"/>
    <w:multiLevelType w:val="hybridMultilevel"/>
    <w:tmpl w:val="6144FD76"/>
    <w:lvl w:ilvl="0" w:tplc="0C090001">
      <w:start w:val="1"/>
      <w:numFmt w:val="bullet"/>
      <w:lvlText w:val=""/>
      <w:lvlJc w:val="left"/>
      <w:pPr>
        <w:ind w:left="870" w:hanging="360"/>
      </w:pPr>
      <w:rPr>
        <w:rFonts w:ascii="Symbol" w:hAnsi="Symbol" w:hint="default"/>
      </w:rPr>
    </w:lvl>
    <w:lvl w:ilvl="1" w:tplc="0C090003" w:tentative="1">
      <w:start w:val="1"/>
      <w:numFmt w:val="bullet"/>
      <w:lvlText w:val="o"/>
      <w:lvlJc w:val="left"/>
      <w:pPr>
        <w:ind w:left="1590" w:hanging="360"/>
      </w:pPr>
      <w:rPr>
        <w:rFonts w:ascii="Courier New" w:hAnsi="Courier New" w:cs="Courier New" w:hint="default"/>
      </w:rPr>
    </w:lvl>
    <w:lvl w:ilvl="2" w:tplc="0C090005" w:tentative="1">
      <w:start w:val="1"/>
      <w:numFmt w:val="bullet"/>
      <w:lvlText w:val=""/>
      <w:lvlJc w:val="left"/>
      <w:pPr>
        <w:ind w:left="2310" w:hanging="360"/>
      </w:pPr>
      <w:rPr>
        <w:rFonts w:ascii="Wingdings" w:hAnsi="Wingdings" w:hint="default"/>
      </w:rPr>
    </w:lvl>
    <w:lvl w:ilvl="3" w:tplc="0C090001" w:tentative="1">
      <w:start w:val="1"/>
      <w:numFmt w:val="bullet"/>
      <w:lvlText w:val=""/>
      <w:lvlJc w:val="left"/>
      <w:pPr>
        <w:ind w:left="3030" w:hanging="360"/>
      </w:pPr>
      <w:rPr>
        <w:rFonts w:ascii="Symbol" w:hAnsi="Symbol" w:hint="default"/>
      </w:rPr>
    </w:lvl>
    <w:lvl w:ilvl="4" w:tplc="0C090003" w:tentative="1">
      <w:start w:val="1"/>
      <w:numFmt w:val="bullet"/>
      <w:lvlText w:val="o"/>
      <w:lvlJc w:val="left"/>
      <w:pPr>
        <w:ind w:left="3750" w:hanging="360"/>
      </w:pPr>
      <w:rPr>
        <w:rFonts w:ascii="Courier New" w:hAnsi="Courier New" w:cs="Courier New" w:hint="default"/>
      </w:rPr>
    </w:lvl>
    <w:lvl w:ilvl="5" w:tplc="0C090005" w:tentative="1">
      <w:start w:val="1"/>
      <w:numFmt w:val="bullet"/>
      <w:lvlText w:val=""/>
      <w:lvlJc w:val="left"/>
      <w:pPr>
        <w:ind w:left="4470" w:hanging="360"/>
      </w:pPr>
      <w:rPr>
        <w:rFonts w:ascii="Wingdings" w:hAnsi="Wingdings" w:hint="default"/>
      </w:rPr>
    </w:lvl>
    <w:lvl w:ilvl="6" w:tplc="0C090001" w:tentative="1">
      <w:start w:val="1"/>
      <w:numFmt w:val="bullet"/>
      <w:lvlText w:val=""/>
      <w:lvlJc w:val="left"/>
      <w:pPr>
        <w:ind w:left="5190" w:hanging="360"/>
      </w:pPr>
      <w:rPr>
        <w:rFonts w:ascii="Symbol" w:hAnsi="Symbol" w:hint="default"/>
      </w:rPr>
    </w:lvl>
    <w:lvl w:ilvl="7" w:tplc="0C090003" w:tentative="1">
      <w:start w:val="1"/>
      <w:numFmt w:val="bullet"/>
      <w:lvlText w:val="o"/>
      <w:lvlJc w:val="left"/>
      <w:pPr>
        <w:ind w:left="5910" w:hanging="360"/>
      </w:pPr>
      <w:rPr>
        <w:rFonts w:ascii="Courier New" w:hAnsi="Courier New" w:cs="Courier New" w:hint="default"/>
      </w:rPr>
    </w:lvl>
    <w:lvl w:ilvl="8" w:tplc="0C090005" w:tentative="1">
      <w:start w:val="1"/>
      <w:numFmt w:val="bullet"/>
      <w:lvlText w:val=""/>
      <w:lvlJc w:val="left"/>
      <w:pPr>
        <w:ind w:left="6630" w:hanging="360"/>
      </w:pPr>
      <w:rPr>
        <w:rFonts w:ascii="Wingdings" w:hAnsi="Wingdings" w:hint="default"/>
      </w:rPr>
    </w:lvl>
  </w:abstractNum>
  <w:abstractNum w:abstractNumId="6" w15:restartNumberingAfterBreak="0">
    <w:nsid w:val="254760D9"/>
    <w:multiLevelType w:val="hybridMultilevel"/>
    <w:tmpl w:val="57B05938"/>
    <w:lvl w:ilvl="0" w:tplc="0C090001">
      <w:start w:val="1"/>
      <w:numFmt w:val="bullet"/>
      <w:lvlText w:val=""/>
      <w:lvlJc w:val="left"/>
      <w:pPr>
        <w:ind w:left="820" w:hanging="360"/>
      </w:pPr>
      <w:rPr>
        <w:rFonts w:ascii="Symbol" w:hAnsi="Symbol" w:hint="default"/>
      </w:rPr>
    </w:lvl>
    <w:lvl w:ilvl="1" w:tplc="0C090003" w:tentative="1">
      <w:start w:val="1"/>
      <w:numFmt w:val="bullet"/>
      <w:lvlText w:val="o"/>
      <w:lvlJc w:val="left"/>
      <w:pPr>
        <w:ind w:left="1540" w:hanging="360"/>
      </w:pPr>
      <w:rPr>
        <w:rFonts w:ascii="Courier New" w:hAnsi="Courier New" w:cs="Courier New" w:hint="default"/>
      </w:rPr>
    </w:lvl>
    <w:lvl w:ilvl="2" w:tplc="0C090005" w:tentative="1">
      <w:start w:val="1"/>
      <w:numFmt w:val="bullet"/>
      <w:lvlText w:val=""/>
      <w:lvlJc w:val="left"/>
      <w:pPr>
        <w:ind w:left="2260" w:hanging="360"/>
      </w:pPr>
      <w:rPr>
        <w:rFonts w:ascii="Wingdings" w:hAnsi="Wingdings" w:hint="default"/>
      </w:rPr>
    </w:lvl>
    <w:lvl w:ilvl="3" w:tplc="0C090001" w:tentative="1">
      <w:start w:val="1"/>
      <w:numFmt w:val="bullet"/>
      <w:lvlText w:val=""/>
      <w:lvlJc w:val="left"/>
      <w:pPr>
        <w:ind w:left="2980" w:hanging="360"/>
      </w:pPr>
      <w:rPr>
        <w:rFonts w:ascii="Symbol" w:hAnsi="Symbol" w:hint="default"/>
      </w:rPr>
    </w:lvl>
    <w:lvl w:ilvl="4" w:tplc="0C090003" w:tentative="1">
      <w:start w:val="1"/>
      <w:numFmt w:val="bullet"/>
      <w:lvlText w:val="o"/>
      <w:lvlJc w:val="left"/>
      <w:pPr>
        <w:ind w:left="3700" w:hanging="360"/>
      </w:pPr>
      <w:rPr>
        <w:rFonts w:ascii="Courier New" w:hAnsi="Courier New" w:cs="Courier New" w:hint="default"/>
      </w:rPr>
    </w:lvl>
    <w:lvl w:ilvl="5" w:tplc="0C090005" w:tentative="1">
      <w:start w:val="1"/>
      <w:numFmt w:val="bullet"/>
      <w:lvlText w:val=""/>
      <w:lvlJc w:val="left"/>
      <w:pPr>
        <w:ind w:left="4420" w:hanging="360"/>
      </w:pPr>
      <w:rPr>
        <w:rFonts w:ascii="Wingdings" w:hAnsi="Wingdings" w:hint="default"/>
      </w:rPr>
    </w:lvl>
    <w:lvl w:ilvl="6" w:tplc="0C090001" w:tentative="1">
      <w:start w:val="1"/>
      <w:numFmt w:val="bullet"/>
      <w:lvlText w:val=""/>
      <w:lvlJc w:val="left"/>
      <w:pPr>
        <w:ind w:left="5140" w:hanging="360"/>
      </w:pPr>
      <w:rPr>
        <w:rFonts w:ascii="Symbol" w:hAnsi="Symbol" w:hint="default"/>
      </w:rPr>
    </w:lvl>
    <w:lvl w:ilvl="7" w:tplc="0C090003" w:tentative="1">
      <w:start w:val="1"/>
      <w:numFmt w:val="bullet"/>
      <w:lvlText w:val="o"/>
      <w:lvlJc w:val="left"/>
      <w:pPr>
        <w:ind w:left="5860" w:hanging="360"/>
      </w:pPr>
      <w:rPr>
        <w:rFonts w:ascii="Courier New" w:hAnsi="Courier New" w:cs="Courier New" w:hint="default"/>
      </w:rPr>
    </w:lvl>
    <w:lvl w:ilvl="8" w:tplc="0C090005" w:tentative="1">
      <w:start w:val="1"/>
      <w:numFmt w:val="bullet"/>
      <w:lvlText w:val=""/>
      <w:lvlJc w:val="left"/>
      <w:pPr>
        <w:ind w:left="6580" w:hanging="360"/>
      </w:pPr>
      <w:rPr>
        <w:rFonts w:ascii="Wingdings" w:hAnsi="Wingdings" w:hint="default"/>
      </w:rPr>
    </w:lvl>
  </w:abstractNum>
  <w:abstractNum w:abstractNumId="7" w15:restartNumberingAfterBreak="0">
    <w:nsid w:val="31CB68F2"/>
    <w:multiLevelType w:val="hybridMultilevel"/>
    <w:tmpl w:val="C436D1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2B745B7"/>
    <w:multiLevelType w:val="hybridMultilevel"/>
    <w:tmpl w:val="55120712"/>
    <w:lvl w:ilvl="0" w:tplc="1AAEFCCA">
      <w:start w:val="1"/>
      <w:numFmt w:val="decimal"/>
      <w:lvlText w:val="%1."/>
      <w:lvlJc w:val="left"/>
      <w:pPr>
        <w:ind w:left="465" w:hanging="360"/>
      </w:pPr>
      <w:rPr>
        <w:rFonts w:hint="default"/>
      </w:rPr>
    </w:lvl>
    <w:lvl w:ilvl="1" w:tplc="0C090019" w:tentative="1">
      <w:start w:val="1"/>
      <w:numFmt w:val="lowerLetter"/>
      <w:lvlText w:val="%2."/>
      <w:lvlJc w:val="left"/>
      <w:pPr>
        <w:ind w:left="1185" w:hanging="360"/>
      </w:pPr>
    </w:lvl>
    <w:lvl w:ilvl="2" w:tplc="0C09001B" w:tentative="1">
      <w:start w:val="1"/>
      <w:numFmt w:val="lowerRoman"/>
      <w:lvlText w:val="%3."/>
      <w:lvlJc w:val="right"/>
      <w:pPr>
        <w:ind w:left="1905" w:hanging="180"/>
      </w:pPr>
    </w:lvl>
    <w:lvl w:ilvl="3" w:tplc="0C09000F" w:tentative="1">
      <w:start w:val="1"/>
      <w:numFmt w:val="decimal"/>
      <w:lvlText w:val="%4."/>
      <w:lvlJc w:val="left"/>
      <w:pPr>
        <w:ind w:left="2625" w:hanging="360"/>
      </w:pPr>
    </w:lvl>
    <w:lvl w:ilvl="4" w:tplc="0C090019" w:tentative="1">
      <w:start w:val="1"/>
      <w:numFmt w:val="lowerLetter"/>
      <w:lvlText w:val="%5."/>
      <w:lvlJc w:val="left"/>
      <w:pPr>
        <w:ind w:left="3345" w:hanging="360"/>
      </w:pPr>
    </w:lvl>
    <w:lvl w:ilvl="5" w:tplc="0C09001B" w:tentative="1">
      <w:start w:val="1"/>
      <w:numFmt w:val="lowerRoman"/>
      <w:lvlText w:val="%6."/>
      <w:lvlJc w:val="right"/>
      <w:pPr>
        <w:ind w:left="4065" w:hanging="180"/>
      </w:pPr>
    </w:lvl>
    <w:lvl w:ilvl="6" w:tplc="0C09000F" w:tentative="1">
      <w:start w:val="1"/>
      <w:numFmt w:val="decimal"/>
      <w:lvlText w:val="%7."/>
      <w:lvlJc w:val="left"/>
      <w:pPr>
        <w:ind w:left="4785" w:hanging="360"/>
      </w:pPr>
    </w:lvl>
    <w:lvl w:ilvl="7" w:tplc="0C090019" w:tentative="1">
      <w:start w:val="1"/>
      <w:numFmt w:val="lowerLetter"/>
      <w:lvlText w:val="%8."/>
      <w:lvlJc w:val="left"/>
      <w:pPr>
        <w:ind w:left="5505" w:hanging="360"/>
      </w:pPr>
    </w:lvl>
    <w:lvl w:ilvl="8" w:tplc="0C09001B" w:tentative="1">
      <w:start w:val="1"/>
      <w:numFmt w:val="lowerRoman"/>
      <w:lvlText w:val="%9."/>
      <w:lvlJc w:val="right"/>
      <w:pPr>
        <w:ind w:left="6225" w:hanging="180"/>
      </w:pPr>
    </w:lvl>
  </w:abstractNum>
  <w:abstractNum w:abstractNumId="9" w15:restartNumberingAfterBreak="0">
    <w:nsid w:val="386D7512"/>
    <w:multiLevelType w:val="hybridMultilevel"/>
    <w:tmpl w:val="80C800D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38A84F99"/>
    <w:multiLevelType w:val="hybridMultilevel"/>
    <w:tmpl w:val="DBAE65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9524308"/>
    <w:multiLevelType w:val="hybridMultilevel"/>
    <w:tmpl w:val="C780064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8C74A60"/>
    <w:multiLevelType w:val="hybridMultilevel"/>
    <w:tmpl w:val="1CD446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BD90F42"/>
    <w:multiLevelType w:val="hybridMultilevel"/>
    <w:tmpl w:val="7B585D72"/>
    <w:lvl w:ilvl="0" w:tplc="DDE4FB68">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07A11AC"/>
    <w:multiLevelType w:val="hybridMultilevel"/>
    <w:tmpl w:val="6308BF62"/>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15" w15:restartNumberingAfterBreak="0">
    <w:nsid w:val="5E3E4997"/>
    <w:multiLevelType w:val="hybridMultilevel"/>
    <w:tmpl w:val="BF3AB9E2"/>
    <w:lvl w:ilvl="0" w:tplc="CE4E22D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4430001"/>
    <w:multiLevelType w:val="hybridMultilevel"/>
    <w:tmpl w:val="C6428AEE"/>
    <w:lvl w:ilvl="0" w:tplc="0C090001">
      <w:start w:val="1"/>
      <w:numFmt w:val="bullet"/>
      <w:lvlText w:val=""/>
      <w:lvlJc w:val="left"/>
      <w:pPr>
        <w:ind w:left="820" w:hanging="360"/>
      </w:pPr>
      <w:rPr>
        <w:rFonts w:ascii="Symbol" w:hAnsi="Symbol" w:hint="default"/>
      </w:rPr>
    </w:lvl>
    <w:lvl w:ilvl="1" w:tplc="0C090003" w:tentative="1">
      <w:start w:val="1"/>
      <w:numFmt w:val="bullet"/>
      <w:lvlText w:val="o"/>
      <w:lvlJc w:val="left"/>
      <w:pPr>
        <w:ind w:left="1540" w:hanging="360"/>
      </w:pPr>
      <w:rPr>
        <w:rFonts w:ascii="Courier New" w:hAnsi="Courier New" w:cs="Courier New" w:hint="default"/>
      </w:rPr>
    </w:lvl>
    <w:lvl w:ilvl="2" w:tplc="0C090005" w:tentative="1">
      <w:start w:val="1"/>
      <w:numFmt w:val="bullet"/>
      <w:lvlText w:val=""/>
      <w:lvlJc w:val="left"/>
      <w:pPr>
        <w:ind w:left="2260" w:hanging="360"/>
      </w:pPr>
      <w:rPr>
        <w:rFonts w:ascii="Wingdings" w:hAnsi="Wingdings" w:hint="default"/>
      </w:rPr>
    </w:lvl>
    <w:lvl w:ilvl="3" w:tplc="0C090001" w:tentative="1">
      <w:start w:val="1"/>
      <w:numFmt w:val="bullet"/>
      <w:lvlText w:val=""/>
      <w:lvlJc w:val="left"/>
      <w:pPr>
        <w:ind w:left="2980" w:hanging="360"/>
      </w:pPr>
      <w:rPr>
        <w:rFonts w:ascii="Symbol" w:hAnsi="Symbol" w:hint="default"/>
      </w:rPr>
    </w:lvl>
    <w:lvl w:ilvl="4" w:tplc="0C090003" w:tentative="1">
      <w:start w:val="1"/>
      <w:numFmt w:val="bullet"/>
      <w:lvlText w:val="o"/>
      <w:lvlJc w:val="left"/>
      <w:pPr>
        <w:ind w:left="3700" w:hanging="360"/>
      </w:pPr>
      <w:rPr>
        <w:rFonts w:ascii="Courier New" w:hAnsi="Courier New" w:cs="Courier New" w:hint="default"/>
      </w:rPr>
    </w:lvl>
    <w:lvl w:ilvl="5" w:tplc="0C090005" w:tentative="1">
      <w:start w:val="1"/>
      <w:numFmt w:val="bullet"/>
      <w:lvlText w:val=""/>
      <w:lvlJc w:val="left"/>
      <w:pPr>
        <w:ind w:left="4420" w:hanging="360"/>
      </w:pPr>
      <w:rPr>
        <w:rFonts w:ascii="Wingdings" w:hAnsi="Wingdings" w:hint="default"/>
      </w:rPr>
    </w:lvl>
    <w:lvl w:ilvl="6" w:tplc="0C090001" w:tentative="1">
      <w:start w:val="1"/>
      <w:numFmt w:val="bullet"/>
      <w:lvlText w:val=""/>
      <w:lvlJc w:val="left"/>
      <w:pPr>
        <w:ind w:left="5140" w:hanging="360"/>
      </w:pPr>
      <w:rPr>
        <w:rFonts w:ascii="Symbol" w:hAnsi="Symbol" w:hint="default"/>
      </w:rPr>
    </w:lvl>
    <w:lvl w:ilvl="7" w:tplc="0C090003" w:tentative="1">
      <w:start w:val="1"/>
      <w:numFmt w:val="bullet"/>
      <w:lvlText w:val="o"/>
      <w:lvlJc w:val="left"/>
      <w:pPr>
        <w:ind w:left="5860" w:hanging="360"/>
      </w:pPr>
      <w:rPr>
        <w:rFonts w:ascii="Courier New" w:hAnsi="Courier New" w:cs="Courier New" w:hint="default"/>
      </w:rPr>
    </w:lvl>
    <w:lvl w:ilvl="8" w:tplc="0C090005" w:tentative="1">
      <w:start w:val="1"/>
      <w:numFmt w:val="bullet"/>
      <w:lvlText w:val=""/>
      <w:lvlJc w:val="left"/>
      <w:pPr>
        <w:ind w:left="6580" w:hanging="360"/>
      </w:pPr>
      <w:rPr>
        <w:rFonts w:ascii="Wingdings" w:hAnsi="Wingdings" w:hint="default"/>
      </w:rPr>
    </w:lvl>
  </w:abstractNum>
  <w:abstractNum w:abstractNumId="17" w15:restartNumberingAfterBreak="0">
    <w:nsid w:val="791905BD"/>
    <w:multiLevelType w:val="hybridMultilevel"/>
    <w:tmpl w:val="8234A9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EF70F81"/>
    <w:multiLevelType w:val="hybridMultilevel"/>
    <w:tmpl w:val="4A4EE70C"/>
    <w:lvl w:ilvl="0" w:tplc="0C090001">
      <w:start w:val="1"/>
      <w:numFmt w:val="bullet"/>
      <w:lvlText w:val=""/>
      <w:lvlJc w:val="left"/>
      <w:pPr>
        <w:ind w:left="767" w:hanging="360"/>
      </w:pPr>
      <w:rPr>
        <w:rFonts w:ascii="Symbol" w:hAnsi="Symbol" w:hint="default"/>
      </w:rPr>
    </w:lvl>
    <w:lvl w:ilvl="1" w:tplc="0C090003" w:tentative="1">
      <w:start w:val="1"/>
      <w:numFmt w:val="bullet"/>
      <w:lvlText w:val="o"/>
      <w:lvlJc w:val="left"/>
      <w:pPr>
        <w:ind w:left="1487" w:hanging="360"/>
      </w:pPr>
      <w:rPr>
        <w:rFonts w:ascii="Courier New" w:hAnsi="Courier New" w:cs="Courier New" w:hint="default"/>
      </w:rPr>
    </w:lvl>
    <w:lvl w:ilvl="2" w:tplc="0C090005" w:tentative="1">
      <w:start w:val="1"/>
      <w:numFmt w:val="bullet"/>
      <w:lvlText w:val=""/>
      <w:lvlJc w:val="left"/>
      <w:pPr>
        <w:ind w:left="2207" w:hanging="360"/>
      </w:pPr>
      <w:rPr>
        <w:rFonts w:ascii="Wingdings" w:hAnsi="Wingdings" w:hint="default"/>
      </w:rPr>
    </w:lvl>
    <w:lvl w:ilvl="3" w:tplc="0C090001" w:tentative="1">
      <w:start w:val="1"/>
      <w:numFmt w:val="bullet"/>
      <w:lvlText w:val=""/>
      <w:lvlJc w:val="left"/>
      <w:pPr>
        <w:ind w:left="2927" w:hanging="360"/>
      </w:pPr>
      <w:rPr>
        <w:rFonts w:ascii="Symbol" w:hAnsi="Symbol" w:hint="default"/>
      </w:rPr>
    </w:lvl>
    <w:lvl w:ilvl="4" w:tplc="0C090003" w:tentative="1">
      <w:start w:val="1"/>
      <w:numFmt w:val="bullet"/>
      <w:lvlText w:val="o"/>
      <w:lvlJc w:val="left"/>
      <w:pPr>
        <w:ind w:left="3647" w:hanging="360"/>
      </w:pPr>
      <w:rPr>
        <w:rFonts w:ascii="Courier New" w:hAnsi="Courier New" w:cs="Courier New" w:hint="default"/>
      </w:rPr>
    </w:lvl>
    <w:lvl w:ilvl="5" w:tplc="0C090005" w:tentative="1">
      <w:start w:val="1"/>
      <w:numFmt w:val="bullet"/>
      <w:lvlText w:val=""/>
      <w:lvlJc w:val="left"/>
      <w:pPr>
        <w:ind w:left="4367" w:hanging="360"/>
      </w:pPr>
      <w:rPr>
        <w:rFonts w:ascii="Wingdings" w:hAnsi="Wingdings" w:hint="default"/>
      </w:rPr>
    </w:lvl>
    <w:lvl w:ilvl="6" w:tplc="0C090001" w:tentative="1">
      <w:start w:val="1"/>
      <w:numFmt w:val="bullet"/>
      <w:lvlText w:val=""/>
      <w:lvlJc w:val="left"/>
      <w:pPr>
        <w:ind w:left="5087" w:hanging="360"/>
      </w:pPr>
      <w:rPr>
        <w:rFonts w:ascii="Symbol" w:hAnsi="Symbol" w:hint="default"/>
      </w:rPr>
    </w:lvl>
    <w:lvl w:ilvl="7" w:tplc="0C090003" w:tentative="1">
      <w:start w:val="1"/>
      <w:numFmt w:val="bullet"/>
      <w:lvlText w:val="o"/>
      <w:lvlJc w:val="left"/>
      <w:pPr>
        <w:ind w:left="5807" w:hanging="360"/>
      </w:pPr>
      <w:rPr>
        <w:rFonts w:ascii="Courier New" w:hAnsi="Courier New" w:cs="Courier New" w:hint="default"/>
      </w:rPr>
    </w:lvl>
    <w:lvl w:ilvl="8" w:tplc="0C090005" w:tentative="1">
      <w:start w:val="1"/>
      <w:numFmt w:val="bullet"/>
      <w:lvlText w:val=""/>
      <w:lvlJc w:val="left"/>
      <w:pPr>
        <w:ind w:left="6527" w:hanging="360"/>
      </w:pPr>
      <w:rPr>
        <w:rFonts w:ascii="Wingdings" w:hAnsi="Wingdings" w:hint="default"/>
      </w:rPr>
    </w:lvl>
  </w:abstractNum>
  <w:num w:numId="1">
    <w:abstractNumId w:val="0"/>
  </w:num>
  <w:num w:numId="2">
    <w:abstractNumId w:val="13"/>
  </w:num>
  <w:num w:numId="3">
    <w:abstractNumId w:val="11"/>
  </w:num>
  <w:num w:numId="4">
    <w:abstractNumId w:val="3"/>
  </w:num>
  <w:num w:numId="5">
    <w:abstractNumId w:val="5"/>
  </w:num>
  <w:num w:numId="6">
    <w:abstractNumId w:val="12"/>
  </w:num>
  <w:num w:numId="7">
    <w:abstractNumId w:val="17"/>
  </w:num>
  <w:num w:numId="8">
    <w:abstractNumId w:val="7"/>
  </w:num>
  <w:num w:numId="9">
    <w:abstractNumId w:val="8"/>
  </w:num>
  <w:num w:numId="10">
    <w:abstractNumId w:val="15"/>
  </w:num>
  <w:num w:numId="11">
    <w:abstractNumId w:val="2"/>
  </w:num>
  <w:num w:numId="12">
    <w:abstractNumId w:val="6"/>
  </w:num>
  <w:num w:numId="13">
    <w:abstractNumId w:val="14"/>
  </w:num>
  <w:num w:numId="14">
    <w:abstractNumId w:val="1"/>
  </w:num>
  <w:num w:numId="15">
    <w:abstractNumId w:val="16"/>
  </w:num>
  <w:num w:numId="16">
    <w:abstractNumId w:val="18"/>
  </w:num>
  <w:num w:numId="17">
    <w:abstractNumId w:val="4"/>
  </w:num>
  <w:num w:numId="18">
    <w:abstractNumId w:val="9"/>
  </w:num>
  <w:num w:numId="19">
    <w:abstractNumId w:val="10"/>
  </w:num>
  <w:num w:numId="20">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cyNrI0MDA3NbA0NbZQ0lEKTi0uzszPAykwNqgFAM8BVZEtAAAA"/>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sezaaaxf5z9dte9xeovfea50xe9wdtdapd9&quot;&gt;Renewables in Distribution Grid&lt;record-ids&gt;&lt;item&gt;33&lt;/item&gt;&lt;item&gt;34&lt;/item&gt;&lt;item&gt;35&lt;/item&gt;&lt;item&gt;36&lt;/item&gt;&lt;item&gt;39&lt;/item&gt;&lt;item&gt;40&lt;/item&gt;&lt;item&gt;41&lt;/item&gt;&lt;item&gt;42&lt;/item&gt;&lt;item&gt;43&lt;/item&gt;&lt;item&gt;44&lt;/item&gt;&lt;item&gt;45&lt;/item&gt;&lt;item&gt;46&lt;/item&gt;&lt;item&gt;48&lt;/item&gt;&lt;item&gt;51&lt;/item&gt;&lt;item&gt;52&lt;/item&gt;&lt;item&gt;53&lt;/item&gt;&lt;item&gt;58&lt;/item&gt;&lt;item&gt;59&lt;/item&gt;&lt;item&gt;60&lt;/item&gt;&lt;item&gt;61&lt;/item&gt;&lt;item&gt;62&lt;/item&gt;&lt;item&gt;63&lt;/item&gt;&lt;item&gt;64&lt;/item&gt;&lt;item&gt;65&lt;/item&gt;&lt;item&gt;66&lt;/item&gt;&lt;item&gt;68&lt;/item&gt;&lt;item&gt;69&lt;/item&gt;&lt;item&gt;70&lt;/item&gt;&lt;item&gt;273&lt;/item&gt;&lt;item&gt;276&lt;/item&gt;&lt;item&gt;283&lt;/item&gt;&lt;item&gt;287&lt;/item&gt;&lt;item&gt;292&lt;/item&gt;&lt;item&gt;293&lt;/item&gt;&lt;item&gt;294&lt;/item&gt;&lt;item&gt;295&lt;/item&gt;&lt;item&gt;296&lt;/item&gt;&lt;item&gt;310&lt;/item&gt;&lt;item&gt;311&lt;/item&gt;&lt;item&gt;313&lt;/item&gt;&lt;item&gt;314&lt;/item&gt;&lt;item&gt;316&lt;/item&gt;&lt;item&gt;317&lt;/item&gt;&lt;item&gt;318&lt;/item&gt;&lt;item&gt;319&lt;/item&gt;&lt;item&gt;320&lt;/item&gt;&lt;item&gt;321&lt;/item&gt;&lt;item&gt;373&lt;/item&gt;&lt;/record-ids&gt;&lt;/item&gt;&lt;/Libraries&gt;"/>
  </w:docVars>
  <w:rsids>
    <w:rsidRoot w:val="00250879"/>
    <w:rsid w:val="00000B6E"/>
    <w:rsid w:val="000014D4"/>
    <w:rsid w:val="00002202"/>
    <w:rsid w:val="00002621"/>
    <w:rsid w:val="00002685"/>
    <w:rsid w:val="00002C98"/>
    <w:rsid w:val="00002CC5"/>
    <w:rsid w:val="000031ED"/>
    <w:rsid w:val="00004974"/>
    <w:rsid w:val="00004BCD"/>
    <w:rsid w:val="0000560A"/>
    <w:rsid w:val="00005D80"/>
    <w:rsid w:val="000107B8"/>
    <w:rsid w:val="00010F8D"/>
    <w:rsid w:val="00011361"/>
    <w:rsid w:val="000116BD"/>
    <w:rsid w:val="00012D2A"/>
    <w:rsid w:val="00012F36"/>
    <w:rsid w:val="0001328E"/>
    <w:rsid w:val="000147B0"/>
    <w:rsid w:val="00014D95"/>
    <w:rsid w:val="00014EA0"/>
    <w:rsid w:val="00014F3A"/>
    <w:rsid w:val="0001516E"/>
    <w:rsid w:val="0001653A"/>
    <w:rsid w:val="00016C25"/>
    <w:rsid w:val="00016EE0"/>
    <w:rsid w:val="000175A7"/>
    <w:rsid w:val="00017D4F"/>
    <w:rsid w:val="000207EA"/>
    <w:rsid w:val="00020DCC"/>
    <w:rsid w:val="00021409"/>
    <w:rsid w:val="00023619"/>
    <w:rsid w:val="00023F57"/>
    <w:rsid w:val="0002466E"/>
    <w:rsid w:val="00024C49"/>
    <w:rsid w:val="00025C21"/>
    <w:rsid w:val="00026791"/>
    <w:rsid w:val="00026EA1"/>
    <w:rsid w:val="00027558"/>
    <w:rsid w:val="000275BE"/>
    <w:rsid w:val="00027861"/>
    <w:rsid w:val="0003083E"/>
    <w:rsid w:val="000310CE"/>
    <w:rsid w:val="00031149"/>
    <w:rsid w:val="00032893"/>
    <w:rsid w:val="00032B89"/>
    <w:rsid w:val="00032BED"/>
    <w:rsid w:val="00032D4F"/>
    <w:rsid w:val="00032E86"/>
    <w:rsid w:val="00033030"/>
    <w:rsid w:val="000332AB"/>
    <w:rsid w:val="00033F8B"/>
    <w:rsid w:val="00034066"/>
    <w:rsid w:val="00036399"/>
    <w:rsid w:val="00036D16"/>
    <w:rsid w:val="00036ED3"/>
    <w:rsid w:val="000377AA"/>
    <w:rsid w:val="000413E8"/>
    <w:rsid w:val="0004187C"/>
    <w:rsid w:val="0004281E"/>
    <w:rsid w:val="000429BC"/>
    <w:rsid w:val="00042AA0"/>
    <w:rsid w:val="00042B18"/>
    <w:rsid w:val="0004358B"/>
    <w:rsid w:val="00044142"/>
    <w:rsid w:val="00045055"/>
    <w:rsid w:val="00046C08"/>
    <w:rsid w:val="00046D2C"/>
    <w:rsid w:val="0005027D"/>
    <w:rsid w:val="000504E5"/>
    <w:rsid w:val="000509F7"/>
    <w:rsid w:val="00051175"/>
    <w:rsid w:val="00051711"/>
    <w:rsid w:val="00052230"/>
    <w:rsid w:val="00052370"/>
    <w:rsid w:val="000524C2"/>
    <w:rsid w:val="00052FFD"/>
    <w:rsid w:val="0005411F"/>
    <w:rsid w:val="00054D3C"/>
    <w:rsid w:val="00054DC3"/>
    <w:rsid w:val="00055AA7"/>
    <w:rsid w:val="00055D09"/>
    <w:rsid w:val="0005636C"/>
    <w:rsid w:val="0005655E"/>
    <w:rsid w:val="00056A5F"/>
    <w:rsid w:val="00057003"/>
    <w:rsid w:val="00057409"/>
    <w:rsid w:val="000576F2"/>
    <w:rsid w:val="00057EDF"/>
    <w:rsid w:val="00057F92"/>
    <w:rsid w:val="00057FD5"/>
    <w:rsid w:val="00060008"/>
    <w:rsid w:val="000621D7"/>
    <w:rsid w:val="000621DB"/>
    <w:rsid w:val="000634FC"/>
    <w:rsid w:val="0006367F"/>
    <w:rsid w:val="000636F9"/>
    <w:rsid w:val="0006546B"/>
    <w:rsid w:val="00065E77"/>
    <w:rsid w:val="00066D84"/>
    <w:rsid w:val="000675BC"/>
    <w:rsid w:val="00067F98"/>
    <w:rsid w:val="00071189"/>
    <w:rsid w:val="0007132E"/>
    <w:rsid w:val="0007144A"/>
    <w:rsid w:val="0007158E"/>
    <w:rsid w:val="0007285E"/>
    <w:rsid w:val="000734F8"/>
    <w:rsid w:val="0007366B"/>
    <w:rsid w:val="000739B7"/>
    <w:rsid w:val="000740B0"/>
    <w:rsid w:val="000753D4"/>
    <w:rsid w:val="000754B7"/>
    <w:rsid w:val="0007723F"/>
    <w:rsid w:val="00077475"/>
    <w:rsid w:val="00077578"/>
    <w:rsid w:val="0008091F"/>
    <w:rsid w:val="00080A08"/>
    <w:rsid w:val="0008102D"/>
    <w:rsid w:val="00081575"/>
    <w:rsid w:val="000818CA"/>
    <w:rsid w:val="00081D68"/>
    <w:rsid w:val="0008261C"/>
    <w:rsid w:val="00083499"/>
    <w:rsid w:val="00084317"/>
    <w:rsid w:val="00085BCC"/>
    <w:rsid w:val="00087316"/>
    <w:rsid w:val="000903D4"/>
    <w:rsid w:val="00091F5E"/>
    <w:rsid w:val="00092110"/>
    <w:rsid w:val="00092A48"/>
    <w:rsid w:val="0009323A"/>
    <w:rsid w:val="00093363"/>
    <w:rsid w:val="0009339A"/>
    <w:rsid w:val="00093D22"/>
    <w:rsid w:val="000947DD"/>
    <w:rsid w:val="00094E60"/>
    <w:rsid w:val="00094F20"/>
    <w:rsid w:val="00094F89"/>
    <w:rsid w:val="00095701"/>
    <w:rsid w:val="00095C3B"/>
    <w:rsid w:val="00095E4E"/>
    <w:rsid w:val="00095F91"/>
    <w:rsid w:val="000974C3"/>
    <w:rsid w:val="00097C28"/>
    <w:rsid w:val="000A1688"/>
    <w:rsid w:val="000A196C"/>
    <w:rsid w:val="000A1DDB"/>
    <w:rsid w:val="000A1DF6"/>
    <w:rsid w:val="000A20B4"/>
    <w:rsid w:val="000A21B4"/>
    <w:rsid w:val="000A24AF"/>
    <w:rsid w:val="000A2BB6"/>
    <w:rsid w:val="000A36FC"/>
    <w:rsid w:val="000A393C"/>
    <w:rsid w:val="000A46C0"/>
    <w:rsid w:val="000A4A21"/>
    <w:rsid w:val="000A4CB8"/>
    <w:rsid w:val="000A55E6"/>
    <w:rsid w:val="000A7DE0"/>
    <w:rsid w:val="000B0421"/>
    <w:rsid w:val="000B0A18"/>
    <w:rsid w:val="000B15D2"/>
    <w:rsid w:val="000B2360"/>
    <w:rsid w:val="000B36E1"/>
    <w:rsid w:val="000B3BAB"/>
    <w:rsid w:val="000B3D16"/>
    <w:rsid w:val="000B429E"/>
    <w:rsid w:val="000B5040"/>
    <w:rsid w:val="000B5E64"/>
    <w:rsid w:val="000B7CFA"/>
    <w:rsid w:val="000C0E6D"/>
    <w:rsid w:val="000C2318"/>
    <w:rsid w:val="000C326C"/>
    <w:rsid w:val="000C4D54"/>
    <w:rsid w:val="000C59CF"/>
    <w:rsid w:val="000C5FDF"/>
    <w:rsid w:val="000C62C2"/>
    <w:rsid w:val="000C63C3"/>
    <w:rsid w:val="000C6F2C"/>
    <w:rsid w:val="000C7502"/>
    <w:rsid w:val="000C7D4A"/>
    <w:rsid w:val="000D0468"/>
    <w:rsid w:val="000D22F8"/>
    <w:rsid w:val="000D330B"/>
    <w:rsid w:val="000D37AE"/>
    <w:rsid w:val="000D3B1A"/>
    <w:rsid w:val="000D4C94"/>
    <w:rsid w:val="000D51C7"/>
    <w:rsid w:val="000D5815"/>
    <w:rsid w:val="000D62E5"/>
    <w:rsid w:val="000D7289"/>
    <w:rsid w:val="000D7B9A"/>
    <w:rsid w:val="000E029F"/>
    <w:rsid w:val="000E0D26"/>
    <w:rsid w:val="000E1CA3"/>
    <w:rsid w:val="000E200D"/>
    <w:rsid w:val="000E2013"/>
    <w:rsid w:val="000E2B54"/>
    <w:rsid w:val="000E2F6D"/>
    <w:rsid w:val="000E342C"/>
    <w:rsid w:val="000E3B8B"/>
    <w:rsid w:val="000E409A"/>
    <w:rsid w:val="000E45BC"/>
    <w:rsid w:val="000E604F"/>
    <w:rsid w:val="000E66E6"/>
    <w:rsid w:val="000E671A"/>
    <w:rsid w:val="000E6DF1"/>
    <w:rsid w:val="000E7A9F"/>
    <w:rsid w:val="000F0BF2"/>
    <w:rsid w:val="000F0D6F"/>
    <w:rsid w:val="000F253D"/>
    <w:rsid w:val="000F38A7"/>
    <w:rsid w:val="000F3CC5"/>
    <w:rsid w:val="000F4567"/>
    <w:rsid w:val="000F45DD"/>
    <w:rsid w:val="000F47B4"/>
    <w:rsid w:val="000F5168"/>
    <w:rsid w:val="000F521C"/>
    <w:rsid w:val="000F54C7"/>
    <w:rsid w:val="000F5638"/>
    <w:rsid w:val="000F5776"/>
    <w:rsid w:val="000F6207"/>
    <w:rsid w:val="000F66D7"/>
    <w:rsid w:val="000F72F0"/>
    <w:rsid w:val="000F74B5"/>
    <w:rsid w:val="000F7521"/>
    <w:rsid w:val="000F7CA2"/>
    <w:rsid w:val="0010028E"/>
    <w:rsid w:val="00100319"/>
    <w:rsid w:val="0010032F"/>
    <w:rsid w:val="001016F0"/>
    <w:rsid w:val="001017B6"/>
    <w:rsid w:val="001023C3"/>
    <w:rsid w:val="0010242F"/>
    <w:rsid w:val="00102559"/>
    <w:rsid w:val="00105164"/>
    <w:rsid w:val="001051C9"/>
    <w:rsid w:val="001051EC"/>
    <w:rsid w:val="00105411"/>
    <w:rsid w:val="001054E7"/>
    <w:rsid w:val="001065DE"/>
    <w:rsid w:val="00106B48"/>
    <w:rsid w:val="00106D7B"/>
    <w:rsid w:val="0010737E"/>
    <w:rsid w:val="00110182"/>
    <w:rsid w:val="001105F1"/>
    <w:rsid w:val="00111F10"/>
    <w:rsid w:val="00112A63"/>
    <w:rsid w:val="00112AA9"/>
    <w:rsid w:val="00112D35"/>
    <w:rsid w:val="001137EB"/>
    <w:rsid w:val="001142F8"/>
    <w:rsid w:val="0011446F"/>
    <w:rsid w:val="00116083"/>
    <w:rsid w:val="0011640E"/>
    <w:rsid w:val="00120F9D"/>
    <w:rsid w:val="001215C5"/>
    <w:rsid w:val="00121F87"/>
    <w:rsid w:val="00122FD3"/>
    <w:rsid w:val="00123000"/>
    <w:rsid w:val="00123198"/>
    <w:rsid w:val="001231CE"/>
    <w:rsid w:val="0012452B"/>
    <w:rsid w:val="001248E8"/>
    <w:rsid w:val="00125207"/>
    <w:rsid w:val="00125DE1"/>
    <w:rsid w:val="0012612C"/>
    <w:rsid w:val="00126880"/>
    <w:rsid w:val="00126925"/>
    <w:rsid w:val="00126AD4"/>
    <w:rsid w:val="00126DC5"/>
    <w:rsid w:val="001278F7"/>
    <w:rsid w:val="00127FB9"/>
    <w:rsid w:val="00130B26"/>
    <w:rsid w:val="00131621"/>
    <w:rsid w:val="00131B0E"/>
    <w:rsid w:val="001327AA"/>
    <w:rsid w:val="00132BFB"/>
    <w:rsid w:val="00133927"/>
    <w:rsid w:val="00133BD6"/>
    <w:rsid w:val="00133C2C"/>
    <w:rsid w:val="001347BB"/>
    <w:rsid w:val="00134E5C"/>
    <w:rsid w:val="00135480"/>
    <w:rsid w:val="001360BA"/>
    <w:rsid w:val="00136719"/>
    <w:rsid w:val="001367CC"/>
    <w:rsid w:val="00136B41"/>
    <w:rsid w:val="00136C60"/>
    <w:rsid w:val="00136EE2"/>
    <w:rsid w:val="00137164"/>
    <w:rsid w:val="001407D0"/>
    <w:rsid w:val="00141026"/>
    <w:rsid w:val="0014122F"/>
    <w:rsid w:val="0014176E"/>
    <w:rsid w:val="001422E3"/>
    <w:rsid w:val="00143CFA"/>
    <w:rsid w:val="00144BE8"/>
    <w:rsid w:val="00145CC4"/>
    <w:rsid w:val="001467DE"/>
    <w:rsid w:val="00146C67"/>
    <w:rsid w:val="001505FE"/>
    <w:rsid w:val="00150E15"/>
    <w:rsid w:val="001514B8"/>
    <w:rsid w:val="001520C0"/>
    <w:rsid w:val="00152698"/>
    <w:rsid w:val="00152F2A"/>
    <w:rsid w:val="00152FBA"/>
    <w:rsid w:val="00153553"/>
    <w:rsid w:val="001539AB"/>
    <w:rsid w:val="00153D50"/>
    <w:rsid w:val="0015468E"/>
    <w:rsid w:val="00155F18"/>
    <w:rsid w:val="001575C4"/>
    <w:rsid w:val="001615DF"/>
    <w:rsid w:val="00163102"/>
    <w:rsid w:val="00163992"/>
    <w:rsid w:val="00163D6E"/>
    <w:rsid w:val="00163E68"/>
    <w:rsid w:val="00164187"/>
    <w:rsid w:val="00165923"/>
    <w:rsid w:val="00165C30"/>
    <w:rsid w:val="00166797"/>
    <w:rsid w:val="00167AC0"/>
    <w:rsid w:val="0017176D"/>
    <w:rsid w:val="00172879"/>
    <w:rsid w:val="00173391"/>
    <w:rsid w:val="001734D2"/>
    <w:rsid w:val="00173D29"/>
    <w:rsid w:val="00174EF0"/>
    <w:rsid w:val="00176CA4"/>
    <w:rsid w:val="0018044E"/>
    <w:rsid w:val="00181923"/>
    <w:rsid w:val="00181F65"/>
    <w:rsid w:val="00182A3E"/>
    <w:rsid w:val="00182EBC"/>
    <w:rsid w:val="00183E87"/>
    <w:rsid w:val="0018435F"/>
    <w:rsid w:val="00186879"/>
    <w:rsid w:val="00186A1E"/>
    <w:rsid w:val="00186A5F"/>
    <w:rsid w:val="001874A1"/>
    <w:rsid w:val="001910B9"/>
    <w:rsid w:val="00191685"/>
    <w:rsid w:val="00192911"/>
    <w:rsid w:val="00195131"/>
    <w:rsid w:val="00195960"/>
    <w:rsid w:val="00196190"/>
    <w:rsid w:val="00196A0A"/>
    <w:rsid w:val="0019731B"/>
    <w:rsid w:val="00197B29"/>
    <w:rsid w:val="001A005A"/>
    <w:rsid w:val="001A021E"/>
    <w:rsid w:val="001A05D7"/>
    <w:rsid w:val="001A08D5"/>
    <w:rsid w:val="001A09D5"/>
    <w:rsid w:val="001A1339"/>
    <w:rsid w:val="001A1599"/>
    <w:rsid w:val="001A1BE0"/>
    <w:rsid w:val="001A3003"/>
    <w:rsid w:val="001A32E7"/>
    <w:rsid w:val="001A4A3F"/>
    <w:rsid w:val="001A4E17"/>
    <w:rsid w:val="001A4F4A"/>
    <w:rsid w:val="001A559C"/>
    <w:rsid w:val="001A5602"/>
    <w:rsid w:val="001A5CF0"/>
    <w:rsid w:val="001A6ACA"/>
    <w:rsid w:val="001A747D"/>
    <w:rsid w:val="001B09CE"/>
    <w:rsid w:val="001B21FC"/>
    <w:rsid w:val="001B2B02"/>
    <w:rsid w:val="001B3214"/>
    <w:rsid w:val="001B3B29"/>
    <w:rsid w:val="001B4311"/>
    <w:rsid w:val="001B49A6"/>
    <w:rsid w:val="001B5682"/>
    <w:rsid w:val="001B61D6"/>
    <w:rsid w:val="001B6506"/>
    <w:rsid w:val="001B6A12"/>
    <w:rsid w:val="001B6F25"/>
    <w:rsid w:val="001B73D7"/>
    <w:rsid w:val="001B73FF"/>
    <w:rsid w:val="001B772D"/>
    <w:rsid w:val="001C1723"/>
    <w:rsid w:val="001C2525"/>
    <w:rsid w:val="001C3F86"/>
    <w:rsid w:val="001C5371"/>
    <w:rsid w:val="001C5806"/>
    <w:rsid w:val="001C6CEB"/>
    <w:rsid w:val="001C724C"/>
    <w:rsid w:val="001C757D"/>
    <w:rsid w:val="001D0D60"/>
    <w:rsid w:val="001D14F7"/>
    <w:rsid w:val="001D1FE7"/>
    <w:rsid w:val="001D2706"/>
    <w:rsid w:val="001D27C3"/>
    <w:rsid w:val="001D3A27"/>
    <w:rsid w:val="001D3BC4"/>
    <w:rsid w:val="001D5A85"/>
    <w:rsid w:val="001D65DF"/>
    <w:rsid w:val="001D6683"/>
    <w:rsid w:val="001D69F5"/>
    <w:rsid w:val="001D6B9D"/>
    <w:rsid w:val="001D6F9A"/>
    <w:rsid w:val="001D71B1"/>
    <w:rsid w:val="001D765B"/>
    <w:rsid w:val="001D7C79"/>
    <w:rsid w:val="001E01A3"/>
    <w:rsid w:val="001E0C7E"/>
    <w:rsid w:val="001E0FB3"/>
    <w:rsid w:val="001E1132"/>
    <w:rsid w:val="001E1BDF"/>
    <w:rsid w:val="001E208C"/>
    <w:rsid w:val="001E3654"/>
    <w:rsid w:val="001E37A6"/>
    <w:rsid w:val="001E3BE2"/>
    <w:rsid w:val="001E59CD"/>
    <w:rsid w:val="001E5C23"/>
    <w:rsid w:val="001E7DF4"/>
    <w:rsid w:val="001F0030"/>
    <w:rsid w:val="001F0751"/>
    <w:rsid w:val="001F0CB7"/>
    <w:rsid w:val="001F1485"/>
    <w:rsid w:val="001F2A98"/>
    <w:rsid w:val="001F3642"/>
    <w:rsid w:val="001F52D5"/>
    <w:rsid w:val="001F5588"/>
    <w:rsid w:val="001F5F36"/>
    <w:rsid w:val="001F606B"/>
    <w:rsid w:val="001F68E8"/>
    <w:rsid w:val="001F6EA0"/>
    <w:rsid w:val="001F6F5B"/>
    <w:rsid w:val="001F703B"/>
    <w:rsid w:val="001F710F"/>
    <w:rsid w:val="001F7466"/>
    <w:rsid w:val="00201139"/>
    <w:rsid w:val="0020138B"/>
    <w:rsid w:val="00201CF7"/>
    <w:rsid w:val="00201E63"/>
    <w:rsid w:val="002026E6"/>
    <w:rsid w:val="00202CB1"/>
    <w:rsid w:val="002036B3"/>
    <w:rsid w:val="00203AF6"/>
    <w:rsid w:val="00203C18"/>
    <w:rsid w:val="00203D08"/>
    <w:rsid w:val="00203EA7"/>
    <w:rsid w:val="00203EB7"/>
    <w:rsid w:val="00203EC0"/>
    <w:rsid w:val="0020414C"/>
    <w:rsid w:val="0020499F"/>
    <w:rsid w:val="00206D61"/>
    <w:rsid w:val="002102A5"/>
    <w:rsid w:val="002103CE"/>
    <w:rsid w:val="00210B6E"/>
    <w:rsid w:val="00210B9E"/>
    <w:rsid w:val="0021174B"/>
    <w:rsid w:val="002117F9"/>
    <w:rsid w:val="00211AFC"/>
    <w:rsid w:val="00215FC6"/>
    <w:rsid w:val="002201E4"/>
    <w:rsid w:val="00223D75"/>
    <w:rsid w:val="00223F8A"/>
    <w:rsid w:val="0022564B"/>
    <w:rsid w:val="00225B91"/>
    <w:rsid w:val="002266B2"/>
    <w:rsid w:val="00226738"/>
    <w:rsid w:val="0022724A"/>
    <w:rsid w:val="002272B6"/>
    <w:rsid w:val="002272FA"/>
    <w:rsid w:val="00227738"/>
    <w:rsid w:val="00230296"/>
    <w:rsid w:val="00231250"/>
    <w:rsid w:val="00231DAB"/>
    <w:rsid w:val="00232952"/>
    <w:rsid w:val="002359F4"/>
    <w:rsid w:val="00235B3D"/>
    <w:rsid w:val="0023619F"/>
    <w:rsid w:val="002367AE"/>
    <w:rsid w:val="00236F7A"/>
    <w:rsid w:val="002371FD"/>
    <w:rsid w:val="00237486"/>
    <w:rsid w:val="002410C7"/>
    <w:rsid w:val="002414DA"/>
    <w:rsid w:val="002421C4"/>
    <w:rsid w:val="0024228F"/>
    <w:rsid w:val="00243094"/>
    <w:rsid w:val="00244D89"/>
    <w:rsid w:val="0024525C"/>
    <w:rsid w:val="002452B4"/>
    <w:rsid w:val="00245FF0"/>
    <w:rsid w:val="00246079"/>
    <w:rsid w:val="0024713E"/>
    <w:rsid w:val="00247A78"/>
    <w:rsid w:val="0025083E"/>
    <w:rsid w:val="00250879"/>
    <w:rsid w:val="00251B66"/>
    <w:rsid w:val="002534C8"/>
    <w:rsid w:val="00253993"/>
    <w:rsid w:val="00253EF0"/>
    <w:rsid w:val="00253F67"/>
    <w:rsid w:val="00254F17"/>
    <w:rsid w:val="00255112"/>
    <w:rsid w:val="0025573E"/>
    <w:rsid w:val="002565A2"/>
    <w:rsid w:val="0025755B"/>
    <w:rsid w:val="00257BC8"/>
    <w:rsid w:val="002606DF"/>
    <w:rsid w:val="00260B81"/>
    <w:rsid w:val="00260F78"/>
    <w:rsid w:val="00261B8F"/>
    <w:rsid w:val="002626C0"/>
    <w:rsid w:val="00264D1B"/>
    <w:rsid w:val="002655E8"/>
    <w:rsid w:val="00265606"/>
    <w:rsid w:val="0026687E"/>
    <w:rsid w:val="002675E1"/>
    <w:rsid w:val="002676D5"/>
    <w:rsid w:val="00267ADB"/>
    <w:rsid w:val="00267CB5"/>
    <w:rsid w:val="00271003"/>
    <w:rsid w:val="002729AB"/>
    <w:rsid w:val="00272E9E"/>
    <w:rsid w:val="00273616"/>
    <w:rsid w:val="00273A43"/>
    <w:rsid w:val="002742A6"/>
    <w:rsid w:val="0027457D"/>
    <w:rsid w:val="002755FA"/>
    <w:rsid w:val="00277469"/>
    <w:rsid w:val="00277E0E"/>
    <w:rsid w:val="00280812"/>
    <w:rsid w:val="002811B1"/>
    <w:rsid w:val="002815E3"/>
    <w:rsid w:val="00282098"/>
    <w:rsid w:val="002821B8"/>
    <w:rsid w:val="002825CB"/>
    <w:rsid w:val="002833C9"/>
    <w:rsid w:val="00283463"/>
    <w:rsid w:val="00283BA6"/>
    <w:rsid w:val="00283FCB"/>
    <w:rsid w:val="0028418A"/>
    <w:rsid w:val="00284D5A"/>
    <w:rsid w:val="002860FB"/>
    <w:rsid w:val="00286CE8"/>
    <w:rsid w:val="002870EA"/>
    <w:rsid w:val="002875FA"/>
    <w:rsid w:val="00287755"/>
    <w:rsid w:val="00287E09"/>
    <w:rsid w:val="002906A8"/>
    <w:rsid w:val="0029376F"/>
    <w:rsid w:val="00293F95"/>
    <w:rsid w:val="00295264"/>
    <w:rsid w:val="002956B3"/>
    <w:rsid w:val="002976E6"/>
    <w:rsid w:val="002A0228"/>
    <w:rsid w:val="002A1C6C"/>
    <w:rsid w:val="002A2E12"/>
    <w:rsid w:val="002A310C"/>
    <w:rsid w:val="002A3561"/>
    <w:rsid w:val="002A39B4"/>
    <w:rsid w:val="002A39C8"/>
    <w:rsid w:val="002A4E29"/>
    <w:rsid w:val="002A52D4"/>
    <w:rsid w:val="002A5310"/>
    <w:rsid w:val="002A54C6"/>
    <w:rsid w:val="002A778C"/>
    <w:rsid w:val="002B0B66"/>
    <w:rsid w:val="002B1127"/>
    <w:rsid w:val="002B2F46"/>
    <w:rsid w:val="002B32BA"/>
    <w:rsid w:val="002B38BC"/>
    <w:rsid w:val="002B402E"/>
    <w:rsid w:val="002B4E89"/>
    <w:rsid w:val="002B515D"/>
    <w:rsid w:val="002B54CB"/>
    <w:rsid w:val="002B5588"/>
    <w:rsid w:val="002C01A8"/>
    <w:rsid w:val="002C05C8"/>
    <w:rsid w:val="002C0E64"/>
    <w:rsid w:val="002C0F95"/>
    <w:rsid w:val="002C218C"/>
    <w:rsid w:val="002C25F1"/>
    <w:rsid w:val="002C3AED"/>
    <w:rsid w:val="002C4F3C"/>
    <w:rsid w:val="002C5129"/>
    <w:rsid w:val="002C5CE1"/>
    <w:rsid w:val="002C5D3C"/>
    <w:rsid w:val="002C63A0"/>
    <w:rsid w:val="002C7AC1"/>
    <w:rsid w:val="002C7ECA"/>
    <w:rsid w:val="002D08C8"/>
    <w:rsid w:val="002D0DF6"/>
    <w:rsid w:val="002D1340"/>
    <w:rsid w:val="002D14D3"/>
    <w:rsid w:val="002D3533"/>
    <w:rsid w:val="002D36B6"/>
    <w:rsid w:val="002D466D"/>
    <w:rsid w:val="002D48AA"/>
    <w:rsid w:val="002D5DFC"/>
    <w:rsid w:val="002D687A"/>
    <w:rsid w:val="002D7B14"/>
    <w:rsid w:val="002D7C8B"/>
    <w:rsid w:val="002E0C6C"/>
    <w:rsid w:val="002E2469"/>
    <w:rsid w:val="002E4057"/>
    <w:rsid w:val="002E4E79"/>
    <w:rsid w:val="002E4F63"/>
    <w:rsid w:val="002E51C3"/>
    <w:rsid w:val="002E54CC"/>
    <w:rsid w:val="002E5E23"/>
    <w:rsid w:val="002E694C"/>
    <w:rsid w:val="002E6F61"/>
    <w:rsid w:val="002E77AE"/>
    <w:rsid w:val="002E7D84"/>
    <w:rsid w:val="002F113D"/>
    <w:rsid w:val="002F17F1"/>
    <w:rsid w:val="002F2B0C"/>
    <w:rsid w:val="002F2FE8"/>
    <w:rsid w:val="002F34A8"/>
    <w:rsid w:val="002F50DD"/>
    <w:rsid w:val="002F6300"/>
    <w:rsid w:val="002F6A32"/>
    <w:rsid w:val="003005D4"/>
    <w:rsid w:val="00300916"/>
    <w:rsid w:val="00300B7F"/>
    <w:rsid w:val="003014C7"/>
    <w:rsid w:val="00301772"/>
    <w:rsid w:val="0030193D"/>
    <w:rsid w:val="00301F68"/>
    <w:rsid w:val="003027FE"/>
    <w:rsid w:val="00302B19"/>
    <w:rsid w:val="00303163"/>
    <w:rsid w:val="0030388E"/>
    <w:rsid w:val="00303A3B"/>
    <w:rsid w:val="00304241"/>
    <w:rsid w:val="003045C2"/>
    <w:rsid w:val="00304A0A"/>
    <w:rsid w:val="00305627"/>
    <w:rsid w:val="003058AC"/>
    <w:rsid w:val="00305C3A"/>
    <w:rsid w:val="00306B4F"/>
    <w:rsid w:val="00306F7B"/>
    <w:rsid w:val="00307676"/>
    <w:rsid w:val="0030797C"/>
    <w:rsid w:val="00310087"/>
    <w:rsid w:val="00310445"/>
    <w:rsid w:val="00311277"/>
    <w:rsid w:val="003117B8"/>
    <w:rsid w:val="0031197F"/>
    <w:rsid w:val="00311A67"/>
    <w:rsid w:val="00311FFC"/>
    <w:rsid w:val="0031320E"/>
    <w:rsid w:val="00313AD1"/>
    <w:rsid w:val="00313B39"/>
    <w:rsid w:val="00315264"/>
    <w:rsid w:val="0031567D"/>
    <w:rsid w:val="00315D33"/>
    <w:rsid w:val="00315DAA"/>
    <w:rsid w:val="003163C8"/>
    <w:rsid w:val="0031746E"/>
    <w:rsid w:val="003175CA"/>
    <w:rsid w:val="00317781"/>
    <w:rsid w:val="003178EC"/>
    <w:rsid w:val="00317FA8"/>
    <w:rsid w:val="0032068B"/>
    <w:rsid w:val="00320B5B"/>
    <w:rsid w:val="00320F65"/>
    <w:rsid w:val="00322CE5"/>
    <w:rsid w:val="00323232"/>
    <w:rsid w:val="0032399A"/>
    <w:rsid w:val="00324AC9"/>
    <w:rsid w:val="00325264"/>
    <w:rsid w:val="00326775"/>
    <w:rsid w:val="0032696E"/>
    <w:rsid w:val="003303E7"/>
    <w:rsid w:val="00330D88"/>
    <w:rsid w:val="00330FB3"/>
    <w:rsid w:val="003314C5"/>
    <w:rsid w:val="0033390C"/>
    <w:rsid w:val="0033461C"/>
    <w:rsid w:val="003346AC"/>
    <w:rsid w:val="00334D87"/>
    <w:rsid w:val="003353F9"/>
    <w:rsid w:val="00336FC9"/>
    <w:rsid w:val="00341017"/>
    <w:rsid w:val="003410C7"/>
    <w:rsid w:val="00344EFA"/>
    <w:rsid w:val="0034672B"/>
    <w:rsid w:val="00347718"/>
    <w:rsid w:val="003479ED"/>
    <w:rsid w:val="00347A62"/>
    <w:rsid w:val="00350384"/>
    <w:rsid w:val="00350415"/>
    <w:rsid w:val="003511E6"/>
    <w:rsid w:val="003525B0"/>
    <w:rsid w:val="003525CB"/>
    <w:rsid w:val="00352DBA"/>
    <w:rsid w:val="0035340C"/>
    <w:rsid w:val="0035462D"/>
    <w:rsid w:val="00355088"/>
    <w:rsid w:val="0035560B"/>
    <w:rsid w:val="00355740"/>
    <w:rsid w:val="00355BE4"/>
    <w:rsid w:val="0035616D"/>
    <w:rsid w:val="003561BD"/>
    <w:rsid w:val="00356321"/>
    <w:rsid w:val="003563EE"/>
    <w:rsid w:val="003564E1"/>
    <w:rsid w:val="00357B1B"/>
    <w:rsid w:val="0036009E"/>
    <w:rsid w:val="00360264"/>
    <w:rsid w:val="00360B72"/>
    <w:rsid w:val="0036118E"/>
    <w:rsid w:val="003611D5"/>
    <w:rsid w:val="0036133C"/>
    <w:rsid w:val="00361423"/>
    <w:rsid w:val="0036201D"/>
    <w:rsid w:val="00362AD6"/>
    <w:rsid w:val="003649A9"/>
    <w:rsid w:val="00364A9D"/>
    <w:rsid w:val="00364B26"/>
    <w:rsid w:val="00364DF3"/>
    <w:rsid w:val="00365AFA"/>
    <w:rsid w:val="00366139"/>
    <w:rsid w:val="0036645A"/>
    <w:rsid w:val="00366F72"/>
    <w:rsid w:val="003670A9"/>
    <w:rsid w:val="003701F9"/>
    <w:rsid w:val="0037032F"/>
    <w:rsid w:val="003703D3"/>
    <w:rsid w:val="00370835"/>
    <w:rsid w:val="00370D2C"/>
    <w:rsid w:val="00371AEC"/>
    <w:rsid w:val="00371C84"/>
    <w:rsid w:val="003722F4"/>
    <w:rsid w:val="00373559"/>
    <w:rsid w:val="0037361F"/>
    <w:rsid w:val="00373B50"/>
    <w:rsid w:val="00373F6D"/>
    <w:rsid w:val="003742AB"/>
    <w:rsid w:val="00374368"/>
    <w:rsid w:val="00375F52"/>
    <w:rsid w:val="0037622C"/>
    <w:rsid w:val="003762EB"/>
    <w:rsid w:val="00376AAF"/>
    <w:rsid w:val="00376BA0"/>
    <w:rsid w:val="0037725E"/>
    <w:rsid w:val="00377F46"/>
    <w:rsid w:val="00377FE7"/>
    <w:rsid w:val="00380230"/>
    <w:rsid w:val="003805D0"/>
    <w:rsid w:val="00380BD2"/>
    <w:rsid w:val="00380CCB"/>
    <w:rsid w:val="00381015"/>
    <w:rsid w:val="00381192"/>
    <w:rsid w:val="003818EF"/>
    <w:rsid w:val="00381E24"/>
    <w:rsid w:val="00384E2B"/>
    <w:rsid w:val="00384EE4"/>
    <w:rsid w:val="003858D1"/>
    <w:rsid w:val="00386091"/>
    <w:rsid w:val="00386708"/>
    <w:rsid w:val="00386C7C"/>
    <w:rsid w:val="003870E2"/>
    <w:rsid w:val="003876C9"/>
    <w:rsid w:val="0038783A"/>
    <w:rsid w:val="003903E5"/>
    <w:rsid w:val="00390EE1"/>
    <w:rsid w:val="00391DB3"/>
    <w:rsid w:val="00392760"/>
    <w:rsid w:val="00393C08"/>
    <w:rsid w:val="00393F5D"/>
    <w:rsid w:val="00394804"/>
    <w:rsid w:val="00395000"/>
    <w:rsid w:val="00395415"/>
    <w:rsid w:val="0039691E"/>
    <w:rsid w:val="003969FB"/>
    <w:rsid w:val="00396C0E"/>
    <w:rsid w:val="003972A5"/>
    <w:rsid w:val="003A0DEB"/>
    <w:rsid w:val="003A1CC7"/>
    <w:rsid w:val="003A1E01"/>
    <w:rsid w:val="003A2C40"/>
    <w:rsid w:val="003A305E"/>
    <w:rsid w:val="003A40FA"/>
    <w:rsid w:val="003A45C4"/>
    <w:rsid w:val="003A50DE"/>
    <w:rsid w:val="003A5A33"/>
    <w:rsid w:val="003A76CD"/>
    <w:rsid w:val="003A7CEC"/>
    <w:rsid w:val="003B00A8"/>
    <w:rsid w:val="003B011A"/>
    <w:rsid w:val="003B0324"/>
    <w:rsid w:val="003B13A1"/>
    <w:rsid w:val="003B1A4A"/>
    <w:rsid w:val="003B32FE"/>
    <w:rsid w:val="003B369F"/>
    <w:rsid w:val="003B38FD"/>
    <w:rsid w:val="003B3D4A"/>
    <w:rsid w:val="003B42DB"/>
    <w:rsid w:val="003B4A81"/>
    <w:rsid w:val="003B4BB3"/>
    <w:rsid w:val="003B512F"/>
    <w:rsid w:val="003B513C"/>
    <w:rsid w:val="003B57A9"/>
    <w:rsid w:val="003B5B45"/>
    <w:rsid w:val="003B5F96"/>
    <w:rsid w:val="003B6234"/>
    <w:rsid w:val="003B64AC"/>
    <w:rsid w:val="003B6DBF"/>
    <w:rsid w:val="003B7799"/>
    <w:rsid w:val="003C0101"/>
    <w:rsid w:val="003C125E"/>
    <w:rsid w:val="003C1B41"/>
    <w:rsid w:val="003C2744"/>
    <w:rsid w:val="003C32ED"/>
    <w:rsid w:val="003C4406"/>
    <w:rsid w:val="003C4FCA"/>
    <w:rsid w:val="003C5306"/>
    <w:rsid w:val="003C6582"/>
    <w:rsid w:val="003D0A20"/>
    <w:rsid w:val="003D0B97"/>
    <w:rsid w:val="003D2057"/>
    <w:rsid w:val="003D20EA"/>
    <w:rsid w:val="003D21A3"/>
    <w:rsid w:val="003D2E78"/>
    <w:rsid w:val="003D3814"/>
    <w:rsid w:val="003D3A0F"/>
    <w:rsid w:val="003D432F"/>
    <w:rsid w:val="003D49BE"/>
    <w:rsid w:val="003D4BE4"/>
    <w:rsid w:val="003D4BEE"/>
    <w:rsid w:val="003D4F7B"/>
    <w:rsid w:val="003D5D33"/>
    <w:rsid w:val="003D615D"/>
    <w:rsid w:val="003D65B0"/>
    <w:rsid w:val="003D6CAE"/>
    <w:rsid w:val="003E045E"/>
    <w:rsid w:val="003E1615"/>
    <w:rsid w:val="003E19F2"/>
    <w:rsid w:val="003E25DD"/>
    <w:rsid w:val="003E39E8"/>
    <w:rsid w:val="003E3B0C"/>
    <w:rsid w:val="003E4643"/>
    <w:rsid w:val="003E490C"/>
    <w:rsid w:val="003E4B1D"/>
    <w:rsid w:val="003E4E5E"/>
    <w:rsid w:val="003E5172"/>
    <w:rsid w:val="003E5219"/>
    <w:rsid w:val="003E5978"/>
    <w:rsid w:val="003E5C1C"/>
    <w:rsid w:val="003E5DD9"/>
    <w:rsid w:val="003E77C6"/>
    <w:rsid w:val="003E798C"/>
    <w:rsid w:val="003F0CC0"/>
    <w:rsid w:val="003F1352"/>
    <w:rsid w:val="003F17B6"/>
    <w:rsid w:val="003F2A8C"/>
    <w:rsid w:val="003F371E"/>
    <w:rsid w:val="003F432A"/>
    <w:rsid w:val="003F4984"/>
    <w:rsid w:val="003F5ACC"/>
    <w:rsid w:val="003F5B57"/>
    <w:rsid w:val="003F5FA7"/>
    <w:rsid w:val="003F772B"/>
    <w:rsid w:val="003F79A2"/>
    <w:rsid w:val="004003F1"/>
    <w:rsid w:val="0040289E"/>
    <w:rsid w:val="00402D02"/>
    <w:rsid w:val="00403239"/>
    <w:rsid w:val="00404579"/>
    <w:rsid w:val="00404A4D"/>
    <w:rsid w:val="0040536D"/>
    <w:rsid w:val="00406C07"/>
    <w:rsid w:val="0040750E"/>
    <w:rsid w:val="004078C9"/>
    <w:rsid w:val="00407B23"/>
    <w:rsid w:val="004101B1"/>
    <w:rsid w:val="0041243C"/>
    <w:rsid w:val="00412CF6"/>
    <w:rsid w:val="0041389C"/>
    <w:rsid w:val="004145DA"/>
    <w:rsid w:val="00414F00"/>
    <w:rsid w:val="00415F40"/>
    <w:rsid w:val="0041639D"/>
    <w:rsid w:val="00416B77"/>
    <w:rsid w:val="0041716D"/>
    <w:rsid w:val="004171C3"/>
    <w:rsid w:val="004179D6"/>
    <w:rsid w:val="004212F7"/>
    <w:rsid w:val="004217F8"/>
    <w:rsid w:val="00421D30"/>
    <w:rsid w:val="00422431"/>
    <w:rsid w:val="00423132"/>
    <w:rsid w:val="0042371B"/>
    <w:rsid w:val="0042393F"/>
    <w:rsid w:val="004250F3"/>
    <w:rsid w:val="004251A9"/>
    <w:rsid w:val="00425320"/>
    <w:rsid w:val="0042582A"/>
    <w:rsid w:val="004268FE"/>
    <w:rsid w:val="004269F2"/>
    <w:rsid w:val="00426D2F"/>
    <w:rsid w:val="004270B7"/>
    <w:rsid w:val="004271B3"/>
    <w:rsid w:val="00427CE5"/>
    <w:rsid w:val="004307F2"/>
    <w:rsid w:val="00430F8C"/>
    <w:rsid w:val="00433354"/>
    <w:rsid w:val="004333F2"/>
    <w:rsid w:val="00433DFC"/>
    <w:rsid w:val="00436DCC"/>
    <w:rsid w:val="00437048"/>
    <w:rsid w:val="004373DD"/>
    <w:rsid w:val="0044217A"/>
    <w:rsid w:val="00443860"/>
    <w:rsid w:val="00443BE7"/>
    <w:rsid w:val="00444D22"/>
    <w:rsid w:val="004450A7"/>
    <w:rsid w:val="00446E6E"/>
    <w:rsid w:val="004478AC"/>
    <w:rsid w:val="00450ACD"/>
    <w:rsid w:val="00450B97"/>
    <w:rsid w:val="00451A8E"/>
    <w:rsid w:val="00451D0A"/>
    <w:rsid w:val="00453776"/>
    <w:rsid w:val="00453879"/>
    <w:rsid w:val="0045611C"/>
    <w:rsid w:val="00457155"/>
    <w:rsid w:val="00457E29"/>
    <w:rsid w:val="00457EDF"/>
    <w:rsid w:val="004622DB"/>
    <w:rsid w:val="00462A99"/>
    <w:rsid w:val="00463589"/>
    <w:rsid w:val="00464A7D"/>
    <w:rsid w:val="00464F42"/>
    <w:rsid w:val="004658C4"/>
    <w:rsid w:val="00465D2C"/>
    <w:rsid w:val="00465F3F"/>
    <w:rsid w:val="004660C3"/>
    <w:rsid w:val="00467150"/>
    <w:rsid w:val="004672DA"/>
    <w:rsid w:val="00467B8C"/>
    <w:rsid w:val="00467E31"/>
    <w:rsid w:val="00470388"/>
    <w:rsid w:val="00470CD7"/>
    <w:rsid w:val="00470F40"/>
    <w:rsid w:val="00471468"/>
    <w:rsid w:val="00471668"/>
    <w:rsid w:val="00471692"/>
    <w:rsid w:val="0047197F"/>
    <w:rsid w:val="00471BBA"/>
    <w:rsid w:val="00471E7C"/>
    <w:rsid w:val="004724DA"/>
    <w:rsid w:val="00472732"/>
    <w:rsid w:val="00472FF3"/>
    <w:rsid w:val="00473349"/>
    <w:rsid w:val="004733BA"/>
    <w:rsid w:val="00473553"/>
    <w:rsid w:val="00473799"/>
    <w:rsid w:val="004743B2"/>
    <w:rsid w:val="00475421"/>
    <w:rsid w:val="00475422"/>
    <w:rsid w:val="004758E7"/>
    <w:rsid w:val="00476147"/>
    <w:rsid w:val="004767D3"/>
    <w:rsid w:val="00476DA0"/>
    <w:rsid w:val="004774DB"/>
    <w:rsid w:val="004779FC"/>
    <w:rsid w:val="0048020E"/>
    <w:rsid w:val="00480FDD"/>
    <w:rsid w:val="004815CC"/>
    <w:rsid w:val="00481C03"/>
    <w:rsid w:val="0048256B"/>
    <w:rsid w:val="0048287F"/>
    <w:rsid w:val="0048342E"/>
    <w:rsid w:val="00483659"/>
    <w:rsid w:val="00483B75"/>
    <w:rsid w:val="00484344"/>
    <w:rsid w:val="0048563C"/>
    <w:rsid w:val="00485A3A"/>
    <w:rsid w:val="0048659E"/>
    <w:rsid w:val="00486DF6"/>
    <w:rsid w:val="00487E91"/>
    <w:rsid w:val="00490ABA"/>
    <w:rsid w:val="00491ADD"/>
    <w:rsid w:val="004922FB"/>
    <w:rsid w:val="00492505"/>
    <w:rsid w:val="00492EA1"/>
    <w:rsid w:val="00492FEF"/>
    <w:rsid w:val="0049400C"/>
    <w:rsid w:val="0049448E"/>
    <w:rsid w:val="0049475D"/>
    <w:rsid w:val="00494DF5"/>
    <w:rsid w:val="00495217"/>
    <w:rsid w:val="00495DE1"/>
    <w:rsid w:val="004970C4"/>
    <w:rsid w:val="00497AC0"/>
    <w:rsid w:val="004A000D"/>
    <w:rsid w:val="004A0357"/>
    <w:rsid w:val="004A0613"/>
    <w:rsid w:val="004A08B1"/>
    <w:rsid w:val="004A0A64"/>
    <w:rsid w:val="004A1235"/>
    <w:rsid w:val="004A209E"/>
    <w:rsid w:val="004A32E4"/>
    <w:rsid w:val="004A3FC3"/>
    <w:rsid w:val="004A5DCF"/>
    <w:rsid w:val="004A6132"/>
    <w:rsid w:val="004A61BC"/>
    <w:rsid w:val="004A657E"/>
    <w:rsid w:val="004A74AA"/>
    <w:rsid w:val="004B006A"/>
    <w:rsid w:val="004B04AF"/>
    <w:rsid w:val="004B1769"/>
    <w:rsid w:val="004B189D"/>
    <w:rsid w:val="004B1933"/>
    <w:rsid w:val="004B1EEB"/>
    <w:rsid w:val="004B1F3D"/>
    <w:rsid w:val="004B203C"/>
    <w:rsid w:val="004B3A66"/>
    <w:rsid w:val="004B3BA1"/>
    <w:rsid w:val="004B3F90"/>
    <w:rsid w:val="004B4D8D"/>
    <w:rsid w:val="004B5D45"/>
    <w:rsid w:val="004B6AF7"/>
    <w:rsid w:val="004B6F6E"/>
    <w:rsid w:val="004C0397"/>
    <w:rsid w:val="004C06A9"/>
    <w:rsid w:val="004C06AA"/>
    <w:rsid w:val="004C0A86"/>
    <w:rsid w:val="004C21DC"/>
    <w:rsid w:val="004C2943"/>
    <w:rsid w:val="004C2BF1"/>
    <w:rsid w:val="004C2F61"/>
    <w:rsid w:val="004C3E10"/>
    <w:rsid w:val="004C493E"/>
    <w:rsid w:val="004C651D"/>
    <w:rsid w:val="004C6D64"/>
    <w:rsid w:val="004D0117"/>
    <w:rsid w:val="004D05E0"/>
    <w:rsid w:val="004D0681"/>
    <w:rsid w:val="004D0C2F"/>
    <w:rsid w:val="004D1044"/>
    <w:rsid w:val="004D16A9"/>
    <w:rsid w:val="004D231F"/>
    <w:rsid w:val="004D23FF"/>
    <w:rsid w:val="004D2F3A"/>
    <w:rsid w:val="004D35EB"/>
    <w:rsid w:val="004D3D64"/>
    <w:rsid w:val="004D4A7C"/>
    <w:rsid w:val="004D6077"/>
    <w:rsid w:val="004D6B05"/>
    <w:rsid w:val="004D7393"/>
    <w:rsid w:val="004E0436"/>
    <w:rsid w:val="004E153F"/>
    <w:rsid w:val="004E231F"/>
    <w:rsid w:val="004E3C52"/>
    <w:rsid w:val="004E46D6"/>
    <w:rsid w:val="004E4D7F"/>
    <w:rsid w:val="004E5279"/>
    <w:rsid w:val="004E5671"/>
    <w:rsid w:val="004E7310"/>
    <w:rsid w:val="004E73BD"/>
    <w:rsid w:val="004E76A4"/>
    <w:rsid w:val="004F047F"/>
    <w:rsid w:val="004F136C"/>
    <w:rsid w:val="004F1A08"/>
    <w:rsid w:val="004F1C5C"/>
    <w:rsid w:val="004F253B"/>
    <w:rsid w:val="004F2BB2"/>
    <w:rsid w:val="004F3538"/>
    <w:rsid w:val="004F3F14"/>
    <w:rsid w:val="004F4044"/>
    <w:rsid w:val="004F473F"/>
    <w:rsid w:val="004F534E"/>
    <w:rsid w:val="004F54C2"/>
    <w:rsid w:val="004F6166"/>
    <w:rsid w:val="004F6225"/>
    <w:rsid w:val="004F78A8"/>
    <w:rsid w:val="005006DD"/>
    <w:rsid w:val="00500799"/>
    <w:rsid w:val="005015E5"/>
    <w:rsid w:val="0050281D"/>
    <w:rsid w:val="00502902"/>
    <w:rsid w:val="00503400"/>
    <w:rsid w:val="00503E0A"/>
    <w:rsid w:val="005043A5"/>
    <w:rsid w:val="005044C7"/>
    <w:rsid w:val="005044D9"/>
    <w:rsid w:val="00505446"/>
    <w:rsid w:val="005060C2"/>
    <w:rsid w:val="00506200"/>
    <w:rsid w:val="0050637C"/>
    <w:rsid w:val="00507080"/>
    <w:rsid w:val="005107BC"/>
    <w:rsid w:val="005107D7"/>
    <w:rsid w:val="00510DE0"/>
    <w:rsid w:val="00511417"/>
    <w:rsid w:val="00511568"/>
    <w:rsid w:val="005126CB"/>
    <w:rsid w:val="00514CD7"/>
    <w:rsid w:val="00516562"/>
    <w:rsid w:val="005169F5"/>
    <w:rsid w:val="00520096"/>
    <w:rsid w:val="005202D3"/>
    <w:rsid w:val="00520353"/>
    <w:rsid w:val="00521604"/>
    <w:rsid w:val="00521C36"/>
    <w:rsid w:val="00522235"/>
    <w:rsid w:val="0052295F"/>
    <w:rsid w:val="00524489"/>
    <w:rsid w:val="00524C21"/>
    <w:rsid w:val="00524F42"/>
    <w:rsid w:val="005251F1"/>
    <w:rsid w:val="0052529F"/>
    <w:rsid w:val="005256CC"/>
    <w:rsid w:val="005269E4"/>
    <w:rsid w:val="00527B08"/>
    <w:rsid w:val="00527CE8"/>
    <w:rsid w:val="005305E2"/>
    <w:rsid w:val="00530B04"/>
    <w:rsid w:val="00531236"/>
    <w:rsid w:val="0053142B"/>
    <w:rsid w:val="005329A3"/>
    <w:rsid w:val="005330F0"/>
    <w:rsid w:val="00533C25"/>
    <w:rsid w:val="00533D12"/>
    <w:rsid w:val="00533FD7"/>
    <w:rsid w:val="00534017"/>
    <w:rsid w:val="0053508B"/>
    <w:rsid w:val="005367AD"/>
    <w:rsid w:val="00537070"/>
    <w:rsid w:val="00537461"/>
    <w:rsid w:val="005403B2"/>
    <w:rsid w:val="00540BE4"/>
    <w:rsid w:val="0054136F"/>
    <w:rsid w:val="00541FED"/>
    <w:rsid w:val="005429EC"/>
    <w:rsid w:val="00542FEA"/>
    <w:rsid w:val="0054521F"/>
    <w:rsid w:val="00545385"/>
    <w:rsid w:val="005461C4"/>
    <w:rsid w:val="005467D3"/>
    <w:rsid w:val="00547450"/>
    <w:rsid w:val="005477CB"/>
    <w:rsid w:val="00550224"/>
    <w:rsid w:val="00550C91"/>
    <w:rsid w:val="005511FA"/>
    <w:rsid w:val="005519F9"/>
    <w:rsid w:val="00551A51"/>
    <w:rsid w:val="00552127"/>
    <w:rsid w:val="00552719"/>
    <w:rsid w:val="00554098"/>
    <w:rsid w:val="00554570"/>
    <w:rsid w:val="00554ECF"/>
    <w:rsid w:val="00555035"/>
    <w:rsid w:val="00556ABF"/>
    <w:rsid w:val="00561B66"/>
    <w:rsid w:val="00561F1E"/>
    <w:rsid w:val="0056271D"/>
    <w:rsid w:val="005635A4"/>
    <w:rsid w:val="005642C9"/>
    <w:rsid w:val="00564756"/>
    <w:rsid w:val="0056664C"/>
    <w:rsid w:val="00566D2A"/>
    <w:rsid w:val="005677F4"/>
    <w:rsid w:val="00567F75"/>
    <w:rsid w:val="00570AC3"/>
    <w:rsid w:val="00571B99"/>
    <w:rsid w:val="00571FE7"/>
    <w:rsid w:val="00572686"/>
    <w:rsid w:val="0057427B"/>
    <w:rsid w:val="0057483E"/>
    <w:rsid w:val="00574DDB"/>
    <w:rsid w:val="00575815"/>
    <w:rsid w:val="00575CBD"/>
    <w:rsid w:val="00575F62"/>
    <w:rsid w:val="00575F78"/>
    <w:rsid w:val="005774E5"/>
    <w:rsid w:val="00577E51"/>
    <w:rsid w:val="005800B3"/>
    <w:rsid w:val="00580511"/>
    <w:rsid w:val="00580599"/>
    <w:rsid w:val="0058059D"/>
    <w:rsid w:val="005805DA"/>
    <w:rsid w:val="00580C8F"/>
    <w:rsid w:val="005810BD"/>
    <w:rsid w:val="005813AB"/>
    <w:rsid w:val="00582CED"/>
    <w:rsid w:val="00585016"/>
    <w:rsid w:val="005854EB"/>
    <w:rsid w:val="00585A9B"/>
    <w:rsid w:val="00585E36"/>
    <w:rsid w:val="00585F0F"/>
    <w:rsid w:val="00586390"/>
    <w:rsid w:val="005863B8"/>
    <w:rsid w:val="00587EA1"/>
    <w:rsid w:val="005915AC"/>
    <w:rsid w:val="0059190A"/>
    <w:rsid w:val="00591BEE"/>
    <w:rsid w:val="005929D0"/>
    <w:rsid w:val="00592A9F"/>
    <w:rsid w:val="00593B32"/>
    <w:rsid w:val="00594048"/>
    <w:rsid w:val="005943BF"/>
    <w:rsid w:val="00595250"/>
    <w:rsid w:val="00596036"/>
    <w:rsid w:val="005967F5"/>
    <w:rsid w:val="005A07A6"/>
    <w:rsid w:val="005A16F1"/>
    <w:rsid w:val="005A2C84"/>
    <w:rsid w:val="005A31FB"/>
    <w:rsid w:val="005A4127"/>
    <w:rsid w:val="005A47F8"/>
    <w:rsid w:val="005A485D"/>
    <w:rsid w:val="005A5FDD"/>
    <w:rsid w:val="005A62CE"/>
    <w:rsid w:val="005A62DE"/>
    <w:rsid w:val="005B0618"/>
    <w:rsid w:val="005B23B2"/>
    <w:rsid w:val="005B2E54"/>
    <w:rsid w:val="005B370C"/>
    <w:rsid w:val="005B4379"/>
    <w:rsid w:val="005B4C96"/>
    <w:rsid w:val="005B51A8"/>
    <w:rsid w:val="005B5B01"/>
    <w:rsid w:val="005B5B84"/>
    <w:rsid w:val="005B5F99"/>
    <w:rsid w:val="005B671C"/>
    <w:rsid w:val="005B7194"/>
    <w:rsid w:val="005C0DB0"/>
    <w:rsid w:val="005C12E3"/>
    <w:rsid w:val="005C1C03"/>
    <w:rsid w:val="005C26B9"/>
    <w:rsid w:val="005C3B9C"/>
    <w:rsid w:val="005C3E29"/>
    <w:rsid w:val="005C5271"/>
    <w:rsid w:val="005C695F"/>
    <w:rsid w:val="005C701B"/>
    <w:rsid w:val="005C7F33"/>
    <w:rsid w:val="005D0696"/>
    <w:rsid w:val="005D19DA"/>
    <w:rsid w:val="005D20A5"/>
    <w:rsid w:val="005D21AF"/>
    <w:rsid w:val="005D2960"/>
    <w:rsid w:val="005D30E5"/>
    <w:rsid w:val="005D3AF6"/>
    <w:rsid w:val="005D3B5B"/>
    <w:rsid w:val="005D3EE7"/>
    <w:rsid w:val="005D45A3"/>
    <w:rsid w:val="005D4F16"/>
    <w:rsid w:val="005D61CF"/>
    <w:rsid w:val="005D6205"/>
    <w:rsid w:val="005D703E"/>
    <w:rsid w:val="005D7C19"/>
    <w:rsid w:val="005E04CD"/>
    <w:rsid w:val="005E0FB2"/>
    <w:rsid w:val="005E1699"/>
    <w:rsid w:val="005E19AF"/>
    <w:rsid w:val="005E3746"/>
    <w:rsid w:val="005E3A88"/>
    <w:rsid w:val="005E4770"/>
    <w:rsid w:val="005E4A38"/>
    <w:rsid w:val="005E5044"/>
    <w:rsid w:val="005E5997"/>
    <w:rsid w:val="005E5C5D"/>
    <w:rsid w:val="005F1F65"/>
    <w:rsid w:val="005F2147"/>
    <w:rsid w:val="005F2DBE"/>
    <w:rsid w:val="005F3225"/>
    <w:rsid w:val="005F352B"/>
    <w:rsid w:val="005F36C0"/>
    <w:rsid w:val="005F3832"/>
    <w:rsid w:val="005F3D60"/>
    <w:rsid w:val="005F57CA"/>
    <w:rsid w:val="005F5916"/>
    <w:rsid w:val="005F63EB"/>
    <w:rsid w:val="005F743A"/>
    <w:rsid w:val="005F7778"/>
    <w:rsid w:val="00600B69"/>
    <w:rsid w:val="00601F2C"/>
    <w:rsid w:val="006031A2"/>
    <w:rsid w:val="00603A9C"/>
    <w:rsid w:val="00603BE3"/>
    <w:rsid w:val="00603CE5"/>
    <w:rsid w:val="0060401B"/>
    <w:rsid w:val="0060438E"/>
    <w:rsid w:val="00604A70"/>
    <w:rsid w:val="00604C3C"/>
    <w:rsid w:val="006064F8"/>
    <w:rsid w:val="00606522"/>
    <w:rsid w:val="006067EE"/>
    <w:rsid w:val="006113AC"/>
    <w:rsid w:val="006123D2"/>
    <w:rsid w:val="00612661"/>
    <w:rsid w:val="00612741"/>
    <w:rsid w:val="00613059"/>
    <w:rsid w:val="0061395B"/>
    <w:rsid w:val="0061450F"/>
    <w:rsid w:val="00614810"/>
    <w:rsid w:val="00614AB4"/>
    <w:rsid w:val="00615B81"/>
    <w:rsid w:val="00616833"/>
    <w:rsid w:val="006168B0"/>
    <w:rsid w:val="00616B8D"/>
    <w:rsid w:val="00616F4C"/>
    <w:rsid w:val="00617233"/>
    <w:rsid w:val="006207AF"/>
    <w:rsid w:val="006208C4"/>
    <w:rsid w:val="00620A1C"/>
    <w:rsid w:val="00621489"/>
    <w:rsid w:val="0062426C"/>
    <w:rsid w:val="0062450E"/>
    <w:rsid w:val="00624A8D"/>
    <w:rsid w:val="006252D3"/>
    <w:rsid w:val="00625FC0"/>
    <w:rsid w:val="006266EF"/>
    <w:rsid w:val="00626A3A"/>
    <w:rsid w:val="00627884"/>
    <w:rsid w:val="00630137"/>
    <w:rsid w:val="00631F77"/>
    <w:rsid w:val="006325FB"/>
    <w:rsid w:val="006327CC"/>
    <w:rsid w:val="006328EF"/>
    <w:rsid w:val="00632AE4"/>
    <w:rsid w:val="00633D47"/>
    <w:rsid w:val="00633F13"/>
    <w:rsid w:val="00634547"/>
    <w:rsid w:val="006345B3"/>
    <w:rsid w:val="00634619"/>
    <w:rsid w:val="00634F2C"/>
    <w:rsid w:val="00635464"/>
    <w:rsid w:val="00637D9E"/>
    <w:rsid w:val="0064008C"/>
    <w:rsid w:val="00640CE2"/>
    <w:rsid w:val="00640D43"/>
    <w:rsid w:val="00641382"/>
    <w:rsid w:val="00642E6D"/>
    <w:rsid w:val="006443BF"/>
    <w:rsid w:val="006447CD"/>
    <w:rsid w:val="006449B0"/>
    <w:rsid w:val="006457FE"/>
    <w:rsid w:val="00645B4E"/>
    <w:rsid w:val="0064601F"/>
    <w:rsid w:val="006469FF"/>
    <w:rsid w:val="00646E0F"/>
    <w:rsid w:val="00647286"/>
    <w:rsid w:val="0064749D"/>
    <w:rsid w:val="0064762B"/>
    <w:rsid w:val="006500CF"/>
    <w:rsid w:val="00650282"/>
    <w:rsid w:val="00650457"/>
    <w:rsid w:val="0065069F"/>
    <w:rsid w:val="006511CB"/>
    <w:rsid w:val="006512E3"/>
    <w:rsid w:val="00651FDD"/>
    <w:rsid w:val="00652106"/>
    <w:rsid w:val="006526DE"/>
    <w:rsid w:val="006539AB"/>
    <w:rsid w:val="00653B06"/>
    <w:rsid w:val="00654294"/>
    <w:rsid w:val="00654456"/>
    <w:rsid w:val="00654F5A"/>
    <w:rsid w:val="00655883"/>
    <w:rsid w:val="00656074"/>
    <w:rsid w:val="006563C9"/>
    <w:rsid w:val="00656771"/>
    <w:rsid w:val="00656C10"/>
    <w:rsid w:val="006571C1"/>
    <w:rsid w:val="00657586"/>
    <w:rsid w:val="006577A7"/>
    <w:rsid w:val="006577AB"/>
    <w:rsid w:val="0066026B"/>
    <w:rsid w:val="00663FC1"/>
    <w:rsid w:val="00664AF2"/>
    <w:rsid w:val="006654D0"/>
    <w:rsid w:val="00667753"/>
    <w:rsid w:val="00667FF1"/>
    <w:rsid w:val="006707F3"/>
    <w:rsid w:val="00670BC5"/>
    <w:rsid w:val="00671609"/>
    <w:rsid w:val="00672792"/>
    <w:rsid w:val="00672949"/>
    <w:rsid w:val="00673043"/>
    <w:rsid w:val="00673811"/>
    <w:rsid w:val="0067403F"/>
    <w:rsid w:val="00674603"/>
    <w:rsid w:val="006746B3"/>
    <w:rsid w:val="0067494D"/>
    <w:rsid w:val="0067536B"/>
    <w:rsid w:val="00676110"/>
    <w:rsid w:val="00676AB8"/>
    <w:rsid w:val="00676D24"/>
    <w:rsid w:val="00677518"/>
    <w:rsid w:val="00677D55"/>
    <w:rsid w:val="00682A50"/>
    <w:rsid w:val="00682C6F"/>
    <w:rsid w:val="00682D11"/>
    <w:rsid w:val="00684448"/>
    <w:rsid w:val="00685487"/>
    <w:rsid w:val="00686389"/>
    <w:rsid w:val="00686BE3"/>
    <w:rsid w:val="00686ED0"/>
    <w:rsid w:val="006879D4"/>
    <w:rsid w:val="00690A6C"/>
    <w:rsid w:val="00691C1F"/>
    <w:rsid w:val="006932C8"/>
    <w:rsid w:val="00693567"/>
    <w:rsid w:val="006943B9"/>
    <w:rsid w:val="006945D7"/>
    <w:rsid w:val="0069476A"/>
    <w:rsid w:val="006955CB"/>
    <w:rsid w:val="0069628B"/>
    <w:rsid w:val="00697157"/>
    <w:rsid w:val="00697300"/>
    <w:rsid w:val="00697F65"/>
    <w:rsid w:val="006A0085"/>
    <w:rsid w:val="006A040E"/>
    <w:rsid w:val="006A0E24"/>
    <w:rsid w:val="006A1F15"/>
    <w:rsid w:val="006A28C5"/>
    <w:rsid w:val="006A37CB"/>
    <w:rsid w:val="006A424E"/>
    <w:rsid w:val="006A434F"/>
    <w:rsid w:val="006A50E2"/>
    <w:rsid w:val="006A5391"/>
    <w:rsid w:val="006A63FF"/>
    <w:rsid w:val="006A67D1"/>
    <w:rsid w:val="006A699D"/>
    <w:rsid w:val="006A6FB7"/>
    <w:rsid w:val="006B0C16"/>
    <w:rsid w:val="006B0F17"/>
    <w:rsid w:val="006B376F"/>
    <w:rsid w:val="006B3E05"/>
    <w:rsid w:val="006B4156"/>
    <w:rsid w:val="006B5497"/>
    <w:rsid w:val="006B56A9"/>
    <w:rsid w:val="006B6EF0"/>
    <w:rsid w:val="006B789D"/>
    <w:rsid w:val="006B7E00"/>
    <w:rsid w:val="006B7E0F"/>
    <w:rsid w:val="006C11D3"/>
    <w:rsid w:val="006C1883"/>
    <w:rsid w:val="006C21AE"/>
    <w:rsid w:val="006C2473"/>
    <w:rsid w:val="006C24BB"/>
    <w:rsid w:val="006C33DD"/>
    <w:rsid w:val="006C37D1"/>
    <w:rsid w:val="006C398A"/>
    <w:rsid w:val="006C3CA0"/>
    <w:rsid w:val="006C3F99"/>
    <w:rsid w:val="006C5ECC"/>
    <w:rsid w:val="006C6355"/>
    <w:rsid w:val="006C67C1"/>
    <w:rsid w:val="006C693A"/>
    <w:rsid w:val="006C6C39"/>
    <w:rsid w:val="006C6EC6"/>
    <w:rsid w:val="006C7027"/>
    <w:rsid w:val="006D0084"/>
    <w:rsid w:val="006D0406"/>
    <w:rsid w:val="006D3C6E"/>
    <w:rsid w:val="006D439F"/>
    <w:rsid w:val="006D4890"/>
    <w:rsid w:val="006D5622"/>
    <w:rsid w:val="006D6D32"/>
    <w:rsid w:val="006D731C"/>
    <w:rsid w:val="006D7646"/>
    <w:rsid w:val="006E06ED"/>
    <w:rsid w:val="006E091E"/>
    <w:rsid w:val="006E0962"/>
    <w:rsid w:val="006E0A93"/>
    <w:rsid w:val="006E0B12"/>
    <w:rsid w:val="006E102D"/>
    <w:rsid w:val="006E1A90"/>
    <w:rsid w:val="006E217C"/>
    <w:rsid w:val="006E2913"/>
    <w:rsid w:val="006E3422"/>
    <w:rsid w:val="006E371A"/>
    <w:rsid w:val="006E495A"/>
    <w:rsid w:val="006E52C1"/>
    <w:rsid w:val="006E5DCE"/>
    <w:rsid w:val="006E5EB2"/>
    <w:rsid w:val="006E5FCE"/>
    <w:rsid w:val="006E7401"/>
    <w:rsid w:val="006F06CE"/>
    <w:rsid w:val="006F09B4"/>
    <w:rsid w:val="006F0E8A"/>
    <w:rsid w:val="006F3742"/>
    <w:rsid w:val="006F518F"/>
    <w:rsid w:val="006F5307"/>
    <w:rsid w:val="006F546E"/>
    <w:rsid w:val="006F5703"/>
    <w:rsid w:val="006F5C12"/>
    <w:rsid w:val="006F6454"/>
    <w:rsid w:val="006F69E3"/>
    <w:rsid w:val="006F7CB2"/>
    <w:rsid w:val="00701A73"/>
    <w:rsid w:val="007052DC"/>
    <w:rsid w:val="0070715F"/>
    <w:rsid w:val="00707BA2"/>
    <w:rsid w:val="00707D1D"/>
    <w:rsid w:val="007102C0"/>
    <w:rsid w:val="00710350"/>
    <w:rsid w:val="00711154"/>
    <w:rsid w:val="00711281"/>
    <w:rsid w:val="0071193F"/>
    <w:rsid w:val="00711A46"/>
    <w:rsid w:val="00712078"/>
    <w:rsid w:val="00712674"/>
    <w:rsid w:val="007132A9"/>
    <w:rsid w:val="007145D8"/>
    <w:rsid w:val="00714624"/>
    <w:rsid w:val="007156D7"/>
    <w:rsid w:val="00715933"/>
    <w:rsid w:val="00715CD5"/>
    <w:rsid w:val="00715FF1"/>
    <w:rsid w:val="0071620A"/>
    <w:rsid w:val="00716504"/>
    <w:rsid w:val="00716AC8"/>
    <w:rsid w:val="0071767D"/>
    <w:rsid w:val="00717EC5"/>
    <w:rsid w:val="00720111"/>
    <w:rsid w:val="00721441"/>
    <w:rsid w:val="00721589"/>
    <w:rsid w:val="00721737"/>
    <w:rsid w:val="00721DFF"/>
    <w:rsid w:val="007221EB"/>
    <w:rsid w:val="00722586"/>
    <w:rsid w:val="007226CB"/>
    <w:rsid w:val="00723752"/>
    <w:rsid w:val="00724F11"/>
    <w:rsid w:val="007258AD"/>
    <w:rsid w:val="00726C45"/>
    <w:rsid w:val="00726DB7"/>
    <w:rsid w:val="00727BC8"/>
    <w:rsid w:val="00730A30"/>
    <w:rsid w:val="007312C8"/>
    <w:rsid w:val="00731CA4"/>
    <w:rsid w:val="00731D64"/>
    <w:rsid w:val="00732135"/>
    <w:rsid w:val="007326EC"/>
    <w:rsid w:val="0073297B"/>
    <w:rsid w:val="00732D59"/>
    <w:rsid w:val="00733711"/>
    <w:rsid w:val="0073404D"/>
    <w:rsid w:val="007345DF"/>
    <w:rsid w:val="0073484A"/>
    <w:rsid w:val="007349D1"/>
    <w:rsid w:val="00735A82"/>
    <w:rsid w:val="00735C6E"/>
    <w:rsid w:val="00736720"/>
    <w:rsid w:val="007372FB"/>
    <w:rsid w:val="0073734D"/>
    <w:rsid w:val="00737397"/>
    <w:rsid w:val="0073757D"/>
    <w:rsid w:val="00740B07"/>
    <w:rsid w:val="00740C1B"/>
    <w:rsid w:val="007413C0"/>
    <w:rsid w:val="007422EA"/>
    <w:rsid w:val="007424ED"/>
    <w:rsid w:val="00742F1E"/>
    <w:rsid w:val="007435CC"/>
    <w:rsid w:val="007447C3"/>
    <w:rsid w:val="00744BDC"/>
    <w:rsid w:val="00745808"/>
    <w:rsid w:val="00746285"/>
    <w:rsid w:val="00747FA2"/>
    <w:rsid w:val="007511DF"/>
    <w:rsid w:val="00752947"/>
    <w:rsid w:val="00755594"/>
    <w:rsid w:val="007556B7"/>
    <w:rsid w:val="00755DA2"/>
    <w:rsid w:val="00756471"/>
    <w:rsid w:val="00756F16"/>
    <w:rsid w:val="00757411"/>
    <w:rsid w:val="0076011D"/>
    <w:rsid w:val="00761CA0"/>
    <w:rsid w:val="00761FFC"/>
    <w:rsid w:val="0076276B"/>
    <w:rsid w:val="007629E5"/>
    <w:rsid w:val="00763B24"/>
    <w:rsid w:val="007642B2"/>
    <w:rsid w:val="00764966"/>
    <w:rsid w:val="00766472"/>
    <w:rsid w:val="007666AC"/>
    <w:rsid w:val="00766717"/>
    <w:rsid w:val="00767369"/>
    <w:rsid w:val="007709DD"/>
    <w:rsid w:val="0077112B"/>
    <w:rsid w:val="00771ED7"/>
    <w:rsid w:val="00772A89"/>
    <w:rsid w:val="00772CB3"/>
    <w:rsid w:val="00772E56"/>
    <w:rsid w:val="00772EB7"/>
    <w:rsid w:val="007748A8"/>
    <w:rsid w:val="007753A3"/>
    <w:rsid w:val="007760CA"/>
    <w:rsid w:val="007765CC"/>
    <w:rsid w:val="00776818"/>
    <w:rsid w:val="00776AD7"/>
    <w:rsid w:val="007774CF"/>
    <w:rsid w:val="00777F00"/>
    <w:rsid w:val="00781468"/>
    <w:rsid w:val="0078172F"/>
    <w:rsid w:val="00782746"/>
    <w:rsid w:val="0078301B"/>
    <w:rsid w:val="0078371A"/>
    <w:rsid w:val="00784E82"/>
    <w:rsid w:val="0078507D"/>
    <w:rsid w:val="00785290"/>
    <w:rsid w:val="0078686B"/>
    <w:rsid w:val="0078696F"/>
    <w:rsid w:val="0078782B"/>
    <w:rsid w:val="00787958"/>
    <w:rsid w:val="00787ACB"/>
    <w:rsid w:val="00787C43"/>
    <w:rsid w:val="00790C76"/>
    <w:rsid w:val="00790D3E"/>
    <w:rsid w:val="007924AF"/>
    <w:rsid w:val="00792809"/>
    <w:rsid w:val="00794218"/>
    <w:rsid w:val="00794E40"/>
    <w:rsid w:val="00795195"/>
    <w:rsid w:val="0079534B"/>
    <w:rsid w:val="00795544"/>
    <w:rsid w:val="00795862"/>
    <w:rsid w:val="00795F5F"/>
    <w:rsid w:val="00795FB8"/>
    <w:rsid w:val="007A01B4"/>
    <w:rsid w:val="007A0F8F"/>
    <w:rsid w:val="007A11C2"/>
    <w:rsid w:val="007A1D19"/>
    <w:rsid w:val="007A1E67"/>
    <w:rsid w:val="007A2393"/>
    <w:rsid w:val="007A2893"/>
    <w:rsid w:val="007A2ED5"/>
    <w:rsid w:val="007A3EFE"/>
    <w:rsid w:val="007A431E"/>
    <w:rsid w:val="007A624A"/>
    <w:rsid w:val="007A65B8"/>
    <w:rsid w:val="007A784C"/>
    <w:rsid w:val="007A7B1A"/>
    <w:rsid w:val="007A7B43"/>
    <w:rsid w:val="007B01EC"/>
    <w:rsid w:val="007B0B08"/>
    <w:rsid w:val="007B1A8D"/>
    <w:rsid w:val="007B1FBC"/>
    <w:rsid w:val="007B2B0B"/>
    <w:rsid w:val="007B345D"/>
    <w:rsid w:val="007B364B"/>
    <w:rsid w:val="007B3DC4"/>
    <w:rsid w:val="007B4157"/>
    <w:rsid w:val="007B4D6B"/>
    <w:rsid w:val="007B5B7E"/>
    <w:rsid w:val="007B6F39"/>
    <w:rsid w:val="007C0410"/>
    <w:rsid w:val="007C07C3"/>
    <w:rsid w:val="007C0EFA"/>
    <w:rsid w:val="007C2B76"/>
    <w:rsid w:val="007C3A7F"/>
    <w:rsid w:val="007C3C6B"/>
    <w:rsid w:val="007C47A3"/>
    <w:rsid w:val="007C4B73"/>
    <w:rsid w:val="007C5476"/>
    <w:rsid w:val="007C5FA7"/>
    <w:rsid w:val="007C6967"/>
    <w:rsid w:val="007C6A3D"/>
    <w:rsid w:val="007C7175"/>
    <w:rsid w:val="007C7616"/>
    <w:rsid w:val="007D013D"/>
    <w:rsid w:val="007D02BB"/>
    <w:rsid w:val="007D1161"/>
    <w:rsid w:val="007D1825"/>
    <w:rsid w:val="007D1CB1"/>
    <w:rsid w:val="007D32FC"/>
    <w:rsid w:val="007D3A25"/>
    <w:rsid w:val="007D40EA"/>
    <w:rsid w:val="007D4471"/>
    <w:rsid w:val="007D5073"/>
    <w:rsid w:val="007D50CB"/>
    <w:rsid w:val="007D5284"/>
    <w:rsid w:val="007D5475"/>
    <w:rsid w:val="007D5DC3"/>
    <w:rsid w:val="007D60EE"/>
    <w:rsid w:val="007D694F"/>
    <w:rsid w:val="007D71FC"/>
    <w:rsid w:val="007D7851"/>
    <w:rsid w:val="007E0E77"/>
    <w:rsid w:val="007E1490"/>
    <w:rsid w:val="007E2B92"/>
    <w:rsid w:val="007E328C"/>
    <w:rsid w:val="007E4E30"/>
    <w:rsid w:val="007E545B"/>
    <w:rsid w:val="007E59D4"/>
    <w:rsid w:val="007E5A7A"/>
    <w:rsid w:val="007E7230"/>
    <w:rsid w:val="007F0442"/>
    <w:rsid w:val="007F0C83"/>
    <w:rsid w:val="007F128C"/>
    <w:rsid w:val="007F170C"/>
    <w:rsid w:val="007F2D36"/>
    <w:rsid w:val="007F32B7"/>
    <w:rsid w:val="007F3731"/>
    <w:rsid w:val="007F3F6C"/>
    <w:rsid w:val="007F3FC7"/>
    <w:rsid w:val="007F41EA"/>
    <w:rsid w:val="007F4416"/>
    <w:rsid w:val="007F45E2"/>
    <w:rsid w:val="007F48E8"/>
    <w:rsid w:val="007F4B30"/>
    <w:rsid w:val="007F4CD0"/>
    <w:rsid w:val="007F5657"/>
    <w:rsid w:val="007F71AE"/>
    <w:rsid w:val="007F76FD"/>
    <w:rsid w:val="007F799D"/>
    <w:rsid w:val="008017F5"/>
    <w:rsid w:val="00801AE6"/>
    <w:rsid w:val="0080294C"/>
    <w:rsid w:val="00802E82"/>
    <w:rsid w:val="008030A3"/>
    <w:rsid w:val="00803217"/>
    <w:rsid w:val="008035C3"/>
    <w:rsid w:val="0080364B"/>
    <w:rsid w:val="00803EC3"/>
    <w:rsid w:val="00803FAD"/>
    <w:rsid w:val="00805313"/>
    <w:rsid w:val="008062C2"/>
    <w:rsid w:val="008064DE"/>
    <w:rsid w:val="00806F68"/>
    <w:rsid w:val="008071BD"/>
    <w:rsid w:val="008073CF"/>
    <w:rsid w:val="0080761D"/>
    <w:rsid w:val="00810381"/>
    <w:rsid w:val="008106B6"/>
    <w:rsid w:val="00810D87"/>
    <w:rsid w:val="008117E1"/>
    <w:rsid w:val="00811B7A"/>
    <w:rsid w:val="0081232A"/>
    <w:rsid w:val="00812AE9"/>
    <w:rsid w:val="00812E0E"/>
    <w:rsid w:val="0081454F"/>
    <w:rsid w:val="00814625"/>
    <w:rsid w:val="00815513"/>
    <w:rsid w:val="0081589F"/>
    <w:rsid w:val="008158E2"/>
    <w:rsid w:val="00816010"/>
    <w:rsid w:val="00816CC8"/>
    <w:rsid w:val="0081708F"/>
    <w:rsid w:val="00817E2D"/>
    <w:rsid w:val="00820D2C"/>
    <w:rsid w:val="0082148A"/>
    <w:rsid w:val="00821909"/>
    <w:rsid w:val="0082211A"/>
    <w:rsid w:val="00823738"/>
    <w:rsid w:val="00824C52"/>
    <w:rsid w:val="00825BC1"/>
    <w:rsid w:val="0082614A"/>
    <w:rsid w:val="008277A5"/>
    <w:rsid w:val="008316AD"/>
    <w:rsid w:val="008324E7"/>
    <w:rsid w:val="008326EB"/>
    <w:rsid w:val="00832FD5"/>
    <w:rsid w:val="008348B2"/>
    <w:rsid w:val="00836700"/>
    <w:rsid w:val="00836749"/>
    <w:rsid w:val="008367B4"/>
    <w:rsid w:val="00837B1E"/>
    <w:rsid w:val="00840137"/>
    <w:rsid w:val="00840E47"/>
    <w:rsid w:val="00842D36"/>
    <w:rsid w:val="00843399"/>
    <w:rsid w:val="00844965"/>
    <w:rsid w:val="0085002C"/>
    <w:rsid w:val="00850AA3"/>
    <w:rsid w:val="0085125D"/>
    <w:rsid w:val="00851F47"/>
    <w:rsid w:val="008523DB"/>
    <w:rsid w:val="0085299E"/>
    <w:rsid w:val="0085320B"/>
    <w:rsid w:val="008532FD"/>
    <w:rsid w:val="008550ED"/>
    <w:rsid w:val="008555C0"/>
    <w:rsid w:val="008556BB"/>
    <w:rsid w:val="00855AA2"/>
    <w:rsid w:val="00855C64"/>
    <w:rsid w:val="00856560"/>
    <w:rsid w:val="00860787"/>
    <w:rsid w:val="008607EF"/>
    <w:rsid w:val="00860DD8"/>
    <w:rsid w:val="00860FD1"/>
    <w:rsid w:val="0086277D"/>
    <w:rsid w:val="00862FEC"/>
    <w:rsid w:val="00863CD1"/>
    <w:rsid w:val="00863FD1"/>
    <w:rsid w:val="00864975"/>
    <w:rsid w:val="00864B5A"/>
    <w:rsid w:val="0086608E"/>
    <w:rsid w:val="00866577"/>
    <w:rsid w:val="00866A41"/>
    <w:rsid w:val="00866BF8"/>
    <w:rsid w:val="00867026"/>
    <w:rsid w:val="008672C7"/>
    <w:rsid w:val="00867421"/>
    <w:rsid w:val="008704E3"/>
    <w:rsid w:val="0087065A"/>
    <w:rsid w:val="00871406"/>
    <w:rsid w:val="008729FB"/>
    <w:rsid w:val="0087633B"/>
    <w:rsid w:val="00876FB9"/>
    <w:rsid w:val="00876FD0"/>
    <w:rsid w:val="008805A1"/>
    <w:rsid w:val="00880773"/>
    <w:rsid w:val="00881793"/>
    <w:rsid w:val="00881A56"/>
    <w:rsid w:val="00881F30"/>
    <w:rsid w:val="0088217C"/>
    <w:rsid w:val="0088349C"/>
    <w:rsid w:val="0088385D"/>
    <w:rsid w:val="00883ADE"/>
    <w:rsid w:val="00883D5B"/>
    <w:rsid w:val="00885003"/>
    <w:rsid w:val="00885CAF"/>
    <w:rsid w:val="00886AFA"/>
    <w:rsid w:val="00886C1C"/>
    <w:rsid w:val="00887C94"/>
    <w:rsid w:val="00890439"/>
    <w:rsid w:val="008913EB"/>
    <w:rsid w:val="00892D26"/>
    <w:rsid w:val="00892F92"/>
    <w:rsid w:val="00893B72"/>
    <w:rsid w:val="00895077"/>
    <w:rsid w:val="00895C69"/>
    <w:rsid w:val="00895EF0"/>
    <w:rsid w:val="008964AC"/>
    <w:rsid w:val="008973BA"/>
    <w:rsid w:val="008A20E7"/>
    <w:rsid w:val="008A3551"/>
    <w:rsid w:val="008A368E"/>
    <w:rsid w:val="008A374A"/>
    <w:rsid w:val="008A5268"/>
    <w:rsid w:val="008A5E54"/>
    <w:rsid w:val="008A5EC8"/>
    <w:rsid w:val="008A7BE2"/>
    <w:rsid w:val="008B0297"/>
    <w:rsid w:val="008B0B7B"/>
    <w:rsid w:val="008B0C97"/>
    <w:rsid w:val="008B1E4F"/>
    <w:rsid w:val="008B24FC"/>
    <w:rsid w:val="008B28EF"/>
    <w:rsid w:val="008B2D74"/>
    <w:rsid w:val="008B333E"/>
    <w:rsid w:val="008B3CEF"/>
    <w:rsid w:val="008B4EF7"/>
    <w:rsid w:val="008B5585"/>
    <w:rsid w:val="008B592F"/>
    <w:rsid w:val="008B6742"/>
    <w:rsid w:val="008B7194"/>
    <w:rsid w:val="008B7273"/>
    <w:rsid w:val="008B7DC2"/>
    <w:rsid w:val="008C206C"/>
    <w:rsid w:val="008C295C"/>
    <w:rsid w:val="008C301C"/>
    <w:rsid w:val="008C3055"/>
    <w:rsid w:val="008C5A14"/>
    <w:rsid w:val="008C5AAD"/>
    <w:rsid w:val="008C5C0D"/>
    <w:rsid w:val="008C6B4D"/>
    <w:rsid w:val="008C77DE"/>
    <w:rsid w:val="008C7953"/>
    <w:rsid w:val="008D4177"/>
    <w:rsid w:val="008D41B2"/>
    <w:rsid w:val="008D4833"/>
    <w:rsid w:val="008D5121"/>
    <w:rsid w:val="008D641B"/>
    <w:rsid w:val="008D6EAE"/>
    <w:rsid w:val="008D6F24"/>
    <w:rsid w:val="008D705D"/>
    <w:rsid w:val="008D78A1"/>
    <w:rsid w:val="008E1555"/>
    <w:rsid w:val="008E20D1"/>
    <w:rsid w:val="008E2C64"/>
    <w:rsid w:val="008E495C"/>
    <w:rsid w:val="008E4BF3"/>
    <w:rsid w:val="008E4CB7"/>
    <w:rsid w:val="008E4EA8"/>
    <w:rsid w:val="008E558A"/>
    <w:rsid w:val="008E5B2D"/>
    <w:rsid w:val="008E6FE0"/>
    <w:rsid w:val="008E71A5"/>
    <w:rsid w:val="008E74CA"/>
    <w:rsid w:val="008E75CD"/>
    <w:rsid w:val="008F13A7"/>
    <w:rsid w:val="008F1906"/>
    <w:rsid w:val="008F20D3"/>
    <w:rsid w:val="008F2FB1"/>
    <w:rsid w:val="008F3702"/>
    <w:rsid w:val="008F39D4"/>
    <w:rsid w:val="008F4C0E"/>
    <w:rsid w:val="008F4FBA"/>
    <w:rsid w:val="008F5197"/>
    <w:rsid w:val="008F5F1B"/>
    <w:rsid w:val="008F6271"/>
    <w:rsid w:val="008F79E2"/>
    <w:rsid w:val="00900DA4"/>
    <w:rsid w:val="0090107D"/>
    <w:rsid w:val="0090147B"/>
    <w:rsid w:val="00901536"/>
    <w:rsid w:val="00901704"/>
    <w:rsid w:val="00902F90"/>
    <w:rsid w:val="00903A7D"/>
    <w:rsid w:val="0090447C"/>
    <w:rsid w:val="00904AB6"/>
    <w:rsid w:val="009055E5"/>
    <w:rsid w:val="00906168"/>
    <w:rsid w:val="009068E0"/>
    <w:rsid w:val="00906F16"/>
    <w:rsid w:val="009071E0"/>
    <w:rsid w:val="00907CCD"/>
    <w:rsid w:val="009101AC"/>
    <w:rsid w:val="0091160E"/>
    <w:rsid w:val="00911947"/>
    <w:rsid w:val="009122E7"/>
    <w:rsid w:val="00912AF2"/>
    <w:rsid w:val="009137FF"/>
    <w:rsid w:val="00914A2E"/>
    <w:rsid w:val="0091597C"/>
    <w:rsid w:val="00916112"/>
    <w:rsid w:val="00916282"/>
    <w:rsid w:val="00917770"/>
    <w:rsid w:val="009213AA"/>
    <w:rsid w:val="00921CCF"/>
    <w:rsid w:val="009223CF"/>
    <w:rsid w:val="00922D69"/>
    <w:rsid w:val="009231A7"/>
    <w:rsid w:val="00923BC3"/>
    <w:rsid w:val="00924A86"/>
    <w:rsid w:val="009250FD"/>
    <w:rsid w:val="009252D6"/>
    <w:rsid w:val="00925856"/>
    <w:rsid w:val="00925B54"/>
    <w:rsid w:val="00925FD3"/>
    <w:rsid w:val="009261CF"/>
    <w:rsid w:val="00926A52"/>
    <w:rsid w:val="00926FB3"/>
    <w:rsid w:val="00931157"/>
    <w:rsid w:val="00931F15"/>
    <w:rsid w:val="00932B45"/>
    <w:rsid w:val="0093300A"/>
    <w:rsid w:val="00933074"/>
    <w:rsid w:val="00933B65"/>
    <w:rsid w:val="00933F48"/>
    <w:rsid w:val="00934735"/>
    <w:rsid w:val="00934AD2"/>
    <w:rsid w:val="00935C62"/>
    <w:rsid w:val="00936CC6"/>
    <w:rsid w:val="00937482"/>
    <w:rsid w:val="00937B2E"/>
    <w:rsid w:val="00940D3F"/>
    <w:rsid w:val="0094234C"/>
    <w:rsid w:val="00944D0F"/>
    <w:rsid w:val="00945021"/>
    <w:rsid w:val="00945190"/>
    <w:rsid w:val="009451D4"/>
    <w:rsid w:val="009452DB"/>
    <w:rsid w:val="009469AD"/>
    <w:rsid w:val="00946A6F"/>
    <w:rsid w:val="00947817"/>
    <w:rsid w:val="00947878"/>
    <w:rsid w:val="00947C30"/>
    <w:rsid w:val="00947C5D"/>
    <w:rsid w:val="00950254"/>
    <w:rsid w:val="00950C4F"/>
    <w:rsid w:val="009517B5"/>
    <w:rsid w:val="0095189E"/>
    <w:rsid w:val="00951A75"/>
    <w:rsid w:val="00951A7D"/>
    <w:rsid w:val="00951E96"/>
    <w:rsid w:val="00952140"/>
    <w:rsid w:val="009534A7"/>
    <w:rsid w:val="009546DD"/>
    <w:rsid w:val="009548EA"/>
    <w:rsid w:val="00954C74"/>
    <w:rsid w:val="0095559D"/>
    <w:rsid w:val="009561A1"/>
    <w:rsid w:val="0095761B"/>
    <w:rsid w:val="00957755"/>
    <w:rsid w:val="00957846"/>
    <w:rsid w:val="00957D05"/>
    <w:rsid w:val="00962CE5"/>
    <w:rsid w:val="00963752"/>
    <w:rsid w:val="00963886"/>
    <w:rsid w:val="00964364"/>
    <w:rsid w:val="0096523D"/>
    <w:rsid w:val="00965651"/>
    <w:rsid w:val="0096580E"/>
    <w:rsid w:val="00965AC7"/>
    <w:rsid w:val="00965FA3"/>
    <w:rsid w:val="00966A9B"/>
    <w:rsid w:val="009676D1"/>
    <w:rsid w:val="009702F4"/>
    <w:rsid w:val="0097045D"/>
    <w:rsid w:val="00971442"/>
    <w:rsid w:val="00971F8E"/>
    <w:rsid w:val="009720D1"/>
    <w:rsid w:val="009738CB"/>
    <w:rsid w:val="00973F99"/>
    <w:rsid w:val="00974379"/>
    <w:rsid w:val="00975CF9"/>
    <w:rsid w:val="00975DEE"/>
    <w:rsid w:val="0097609A"/>
    <w:rsid w:val="00977387"/>
    <w:rsid w:val="00977EA0"/>
    <w:rsid w:val="0098034C"/>
    <w:rsid w:val="00980CAD"/>
    <w:rsid w:val="00980FEF"/>
    <w:rsid w:val="009817AE"/>
    <w:rsid w:val="00982612"/>
    <w:rsid w:val="00983116"/>
    <w:rsid w:val="00984A17"/>
    <w:rsid w:val="009858F5"/>
    <w:rsid w:val="00986207"/>
    <w:rsid w:val="00986660"/>
    <w:rsid w:val="00986AAE"/>
    <w:rsid w:val="00987C7A"/>
    <w:rsid w:val="00990156"/>
    <w:rsid w:val="009905FF"/>
    <w:rsid w:val="009917EE"/>
    <w:rsid w:val="00991A44"/>
    <w:rsid w:val="00993E1B"/>
    <w:rsid w:val="00994DB0"/>
    <w:rsid w:val="00995027"/>
    <w:rsid w:val="00996270"/>
    <w:rsid w:val="009969EC"/>
    <w:rsid w:val="0099712A"/>
    <w:rsid w:val="00997C32"/>
    <w:rsid w:val="009A0AF2"/>
    <w:rsid w:val="009A0ECA"/>
    <w:rsid w:val="009A17C5"/>
    <w:rsid w:val="009A1DFF"/>
    <w:rsid w:val="009A21C6"/>
    <w:rsid w:val="009A22FD"/>
    <w:rsid w:val="009A24C4"/>
    <w:rsid w:val="009A2731"/>
    <w:rsid w:val="009A45EF"/>
    <w:rsid w:val="009A4E41"/>
    <w:rsid w:val="009A4F56"/>
    <w:rsid w:val="009A523C"/>
    <w:rsid w:val="009A56ED"/>
    <w:rsid w:val="009A5BD0"/>
    <w:rsid w:val="009A65BC"/>
    <w:rsid w:val="009A6BF4"/>
    <w:rsid w:val="009B061D"/>
    <w:rsid w:val="009B06B6"/>
    <w:rsid w:val="009B08EB"/>
    <w:rsid w:val="009B0F10"/>
    <w:rsid w:val="009B2DFE"/>
    <w:rsid w:val="009B33C4"/>
    <w:rsid w:val="009B3BF0"/>
    <w:rsid w:val="009B4FF3"/>
    <w:rsid w:val="009B53C7"/>
    <w:rsid w:val="009B565F"/>
    <w:rsid w:val="009B5F83"/>
    <w:rsid w:val="009B6628"/>
    <w:rsid w:val="009B69E5"/>
    <w:rsid w:val="009B6C0C"/>
    <w:rsid w:val="009C0DE6"/>
    <w:rsid w:val="009C1DD1"/>
    <w:rsid w:val="009C2351"/>
    <w:rsid w:val="009C2F4F"/>
    <w:rsid w:val="009C3BD0"/>
    <w:rsid w:val="009C3E50"/>
    <w:rsid w:val="009C646F"/>
    <w:rsid w:val="009C6A76"/>
    <w:rsid w:val="009C6E26"/>
    <w:rsid w:val="009D08DF"/>
    <w:rsid w:val="009D0C78"/>
    <w:rsid w:val="009D1B54"/>
    <w:rsid w:val="009D1EFB"/>
    <w:rsid w:val="009D223D"/>
    <w:rsid w:val="009D3AA0"/>
    <w:rsid w:val="009D3B12"/>
    <w:rsid w:val="009D4F0D"/>
    <w:rsid w:val="009D5037"/>
    <w:rsid w:val="009D506A"/>
    <w:rsid w:val="009D58C1"/>
    <w:rsid w:val="009D6191"/>
    <w:rsid w:val="009D699C"/>
    <w:rsid w:val="009D7305"/>
    <w:rsid w:val="009D74FD"/>
    <w:rsid w:val="009D7624"/>
    <w:rsid w:val="009E1123"/>
    <w:rsid w:val="009E2B04"/>
    <w:rsid w:val="009E2DC5"/>
    <w:rsid w:val="009E305F"/>
    <w:rsid w:val="009E34F1"/>
    <w:rsid w:val="009E3A83"/>
    <w:rsid w:val="009E3E64"/>
    <w:rsid w:val="009E3F0B"/>
    <w:rsid w:val="009E40F4"/>
    <w:rsid w:val="009E57BE"/>
    <w:rsid w:val="009E5F0C"/>
    <w:rsid w:val="009E64AB"/>
    <w:rsid w:val="009E6E78"/>
    <w:rsid w:val="009E70BE"/>
    <w:rsid w:val="009E7905"/>
    <w:rsid w:val="009E79EF"/>
    <w:rsid w:val="009E7C76"/>
    <w:rsid w:val="009E7F91"/>
    <w:rsid w:val="009F0461"/>
    <w:rsid w:val="009F0D1B"/>
    <w:rsid w:val="009F1679"/>
    <w:rsid w:val="009F1C56"/>
    <w:rsid w:val="009F1D70"/>
    <w:rsid w:val="009F202F"/>
    <w:rsid w:val="009F2049"/>
    <w:rsid w:val="009F3293"/>
    <w:rsid w:val="009F32AE"/>
    <w:rsid w:val="009F40B5"/>
    <w:rsid w:val="009F6012"/>
    <w:rsid w:val="009F66C7"/>
    <w:rsid w:val="009F74A1"/>
    <w:rsid w:val="00A00B83"/>
    <w:rsid w:val="00A01415"/>
    <w:rsid w:val="00A02914"/>
    <w:rsid w:val="00A02D16"/>
    <w:rsid w:val="00A02E9A"/>
    <w:rsid w:val="00A03C39"/>
    <w:rsid w:val="00A0417B"/>
    <w:rsid w:val="00A04A16"/>
    <w:rsid w:val="00A05297"/>
    <w:rsid w:val="00A05FE4"/>
    <w:rsid w:val="00A10037"/>
    <w:rsid w:val="00A1011F"/>
    <w:rsid w:val="00A10191"/>
    <w:rsid w:val="00A11C5E"/>
    <w:rsid w:val="00A12123"/>
    <w:rsid w:val="00A124BB"/>
    <w:rsid w:val="00A12620"/>
    <w:rsid w:val="00A155F9"/>
    <w:rsid w:val="00A157BA"/>
    <w:rsid w:val="00A15C5F"/>
    <w:rsid w:val="00A16BF9"/>
    <w:rsid w:val="00A16F9D"/>
    <w:rsid w:val="00A204AB"/>
    <w:rsid w:val="00A208D3"/>
    <w:rsid w:val="00A21683"/>
    <w:rsid w:val="00A21C02"/>
    <w:rsid w:val="00A21C32"/>
    <w:rsid w:val="00A21F84"/>
    <w:rsid w:val="00A228CB"/>
    <w:rsid w:val="00A23803"/>
    <w:rsid w:val="00A244B1"/>
    <w:rsid w:val="00A24BC3"/>
    <w:rsid w:val="00A24ECE"/>
    <w:rsid w:val="00A25004"/>
    <w:rsid w:val="00A25AA5"/>
    <w:rsid w:val="00A25C1C"/>
    <w:rsid w:val="00A261B2"/>
    <w:rsid w:val="00A2732F"/>
    <w:rsid w:val="00A30AA8"/>
    <w:rsid w:val="00A31277"/>
    <w:rsid w:val="00A34418"/>
    <w:rsid w:val="00A34DC5"/>
    <w:rsid w:val="00A35BB4"/>
    <w:rsid w:val="00A36DC0"/>
    <w:rsid w:val="00A37ECA"/>
    <w:rsid w:val="00A40866"/>
    <w:rsid w:val="00A40B7B"/>
    <w:rsid w:val="00A40D39"/>
    <w:rsid w:val="00A42719"/>
    <w:rsid w:val="00A42AF9"/>
    <w:rsid w:val="00A42FB1"/>
    <w:rsid w:val="00A438FB"/>
    <w:rsid w:val="00A44A99"/>
    <w:rsid w:val="00A45234"/>
    <w:rsid w:val="00A455BE"/>
    <w:rsid w:val="00A45F76"/>
    <w:rsid w:val="00A463DB"/>
    <w:rsid w:val="00A46A3D"/>
    <w:rsid w:val="00A46B37"/>
    <w:rsid w:val="00A47553"/>
    <w:rsid w:val="00A50C77"/>
    <w:rsid w:val="00A5182B"/>
    <w:rsid w:val="00A52B60"/>
    <w:rsid w:val="00A5431C"/>
    <w:rsid w:val="00A543CE"/>
    <w:rsid w:val="00A54520"/>
    <w:rsid w:val="00A547ED"/>
    <w:rsid w:val="00A5482A"/>
    <w:rsid w:val="00A55905"/>
    <w:rsid w:val="00A57656"/>
    <w:rsid w:val="00A57657"/>
    <w:rsid w:val="00A57839"/>
    <w:rsid w:val="00A57A2F"/>
    <w:rsid w:val="00A6049E"/>
    <w:rsid w:val="00A61173"/>
    <w:rsid w:val="00A62116"/>
    <w:rsid w:val="00A63075"/>
    <w:rsid w:val="00A63B54"/>
    <w:rsid w:val="00A64C53"/>
    <w:rsid w:val="00A64E1E"/>
    <w:rsid w:val="00A651CA"/>
    <w:rsid w:val="00A65657"/>
    <w:rsid w:val="00A65F41"/>
    <w:rsid w:val="00A65F7C"/>
    <w:rsid w:val="00A66DCB"/>
    <w:rsid w:val="00A66FAF"/>
    <w:rsid w:val="00A6722E"/>
    <w:rsid w:val="00A67711"/>
    <w:rsid w:val="00A70125"/>
    <w:rsid w:val="00A702B1"/>
    <w:rsid w:val="00A70E38"/>
    <w:rsid w:val="00A75FEA"/>
    <w:rsid w:val="00A76C97"/>
    <w:rsid w:val="00A77226"/>
    <w:rsid w:val="00A822FA"/>
    <w:rsid w:val="00A82AAC"/>
    <w:rsid w:val="00A82DA5"/>
    <w:rsid w:val="00A83E7C"/>
    <w:rsid w:val="00A84070"/>
    <w:rsid w:val="00A840D7"/>
    <w:rsid w:val="00A845E9"/>
    <w:rsid w:val="00A85CD7"/>
    <w:rsid w:val="00A862CB"/>
    <w:rsid w:val="00A86DEA"/>
    <w:rsid w:val="00A8778F"/>
    <w:rsid w:val="00A8793B"/>
    <w:rsid w:val="00A912CC"/>
    <w:rsid w:val="00A91A8F"/>
    <w:rsid w:val="00A92283"/>
    <w:rsid w:val="00A92A5E"/>
    <w:rsid w:val="00A93030"/>
    <w:rsid w:val="00A930F5"/>
    <w:rsid w:val="00A93BED"/>
    <w:rsid w:val="00A93EB1"/>
    <w:rsid w:val="00A94055"/>
    <w:rsid w:val="00A9450D"/>
    <w:rsid w:val="00A95343"/>
    <w:rsid w:val="00A95927"/>
    <w:rsid w:val="00A95D3F"/>
    <w:rsid w:val="00A95D9D"/>
    <w:rsid w:val="00A96A56"/>
    <w:rsid w:val="00A96DBF"/>
    <w:rsid w:val="00A972C4"/>
    <w:rsid w:val="00AA0E94"/>
    <w:rsid w:val="00AA17B8"/>
    <w:rsid w:val="00AA18A0"/>
    <w:rsid w:val="00AA2FB2"/>
    <w:rsid w:val="00AA3381"/>
    <w:rsid w:val="00AA3454"/>
    <w:rsid w:val="00AA361C"/>
    <w:rsid w:val="00AA3F7A"/>
    <w:rsid w:val="00AA426B"/>
    <w:rsid w:val="00AA54EC"/>
    <w:rsid w:val="00AA5FD5"/>
    <w:rsid w:val="00AA794C"/>
    <w:rsid w:val="00AB023E"/>
    <w:rsid w:val="00AB238E"/>
    <w:rsid w:val="00AB3931"/>
    <w:rsid w:val="00AB4189"/>
    <w:rsid w:val="00AB45B6"/>
    <w:rsid w:val="00AB47FF"/>
    <w:rsid w:val="00AB4EFF"/>
    <w:rsid w:val="00AB5375"/>
    <w:rsid w:val="00AB6420"/>
    <w:rsid w:val="00AB6463"/>
    <w:rsid w:val="00AB6F9B"/>
    <w:rsid w:val="00AB7678"/>
    <w:rsid w:val="00AC083B"/>
    <w:rsid w:val="00AC09E6"/>
    <w:rsid w:val="00AC1390"/>
    <w:rsid w:val="00AC4296"/>
    <w:rsid w:val="00AC54C5"/>
    <w:rsid w:val="00AC562E"/>
    <w:rsid w:val="00AC5DE2"/>
    <w:rsid w:val="00AC737C"/>
    <w:rsid w:val="00AC770A"/>
    <w:rsid w:val="00AC7D54"/>
    <w:rsid w:val="00AC7F03"/>
    <w:rsid w:val="00AD0464"/>
    <w:rsid w:val="00AD08CB"/>
    <w:rsid w:val="00AD0BFD"/>
    <w:rsid w:val="00AD11E2"/>
    <w:rsid w:val="00AD1ECE"/>
    <w:rsid w:val="00AD20E1"/>
    <w:rsid w:val="00AD29B0"/>
    <w:rsid w:val="00AD2E7A"/>
    <w:rsid w:val="00AD348D"/>
    <w:rsid w:val="00AD37D6"/>
    <w:rsid w:val="00AD3BD7"/>
    <w:rsid w:val="00AD4171"/>
    <w:rsid w:val="00AD43E4"/>
    <w:rsid w:val="00AD4E22"/>
    <w:rsid w:val="00AD6038"/>
    <w:rsid w:val="00AD67D5"/>
    <w:rsid w:val="00AD6954"/>
    <w:rsid w:val="00AD69C6"/>
    <w:rsid w:val="00AD7248"/>
    <w:rsid w:val="00AD7612"/>
    <w:rsid w:val="00AE0D4A"/>
    <w:rsid w:val="00AE14CA"/>
    <w:rsid w:val="00AE174A"/>
    <w:rsid w:val="00AE1E0F"/>
    <w:rsid w:val="00AE247D"/>
    <w:rsid w:val="00AE335C"/>
    <w:rsid w:val="00AE44C4"/>
    <w:rsid w:val="00AE457F"/>
    <w:rsid w:val="00AE4690"/>
    <w:rsid w:val="00AE49AC"/>
    <w:rsid w:val="00AE49F0"/>
    <w:rsid w:val="00AE7980"/>
    <w:rsid w:val="00AE7D37"/>
    <w:rsid w:val="00AF028E"/>
    <w:rsid w:val="00AF0353"/>
    <w:rsid w:val="00AF05DF"/>
    <w:rsid w:val="00AF16EA"/>
    <w:rsid w:val="00AF1872"/>
    <w:rsid w:val="00AF21F3"/>
    <w:rsid w:val="00AF2DDC"/>
    <w:rsid w:val="00AF54EF"/>
    <w:rsid w:val="00AF63E2"/>
    <w:rsid w:val="00AF64C7"/>
    <w:rsid w:val="00AF6645"/>
    <w:rsid w:val="00AF6DEC"/>
    <w:rsid w:val="00AF7296"/>
    <w:rsid w:val="00B00408"/>
    <w:rsid w:val="00B00515"/>
    <w:rsid w:val="00B007CB"/>
    <w:rsid w:val="00B00D7D"/>
    <w:rsid w:val="00B01321"/>
    <w:rsid w:val="00B018D0"/>
    <w:rsid w:val="00B02097"/>
    <w:rsid w:val="00B02337"/>
    <w:rsid w:val="00B024D1"/>
    <w:rsid w:val="00B04043"/>
    <w:rsid w:val="00B049C0"/>
    <w:rsid w:val="00B04F34"/>
    <w:rsid w:val="00B06228"/>
    <w:rsid w:val="00B067D0"/>
    <w:rsid w:val="00B07501"/>
    <w:rsid w:val="00B07665"/>
    <w:rsid w:val="00B07993"/>
    <w:rsid w:val="00B10434"/>
    <w:rsid w:val="00B10E23"/>
    <w:rsid w:val="00B11778"/>
    <w:rsid w:val="00B11794"/>
    <w:rsid w:val="00B11BCD"/>
    <w:rsid w:val="00B12710"/>
    <w:rsid w:val="00B12798"/>
    <w:rsid w:val="00B12DC9"/>
    <w:rsid w:val="00B13799"/>
    <w:rsid w:val="00B14A0E"/>
    <w:rsid w:val="00B14D77"/>
    <w:rsid w:val="00B14EAE"/>
    <w:rsid w:val="00B14EEC"/>
    <w:rsid w:val="00B1502F"/>
    <w:rsid w:val="00B16B97"/>
    <w:rsid w:val="00B16F27"/>
    <w:rsid w:val="00B17345"/>
    <w:rsid w:val="00B2005C"/>
    <w:rsid w:val="00B204AD"/>
    <w:rsid w:val="00B20582"/>
    <w:rsid w:val="00B2075E"/>
    <w:rsid w:val="00B22FC9"/>
    <w:rsid w:val="00B24728"/>
    <w:rsid w:val="00B24B69"/>
    <w:rsid w:val="00B256B8"/>
    <w:rsid w:val="00B25DAF"/>
    <w:rsid w:val="00B25E62"/>
    <w:rsid w:val="00B27279"/>
    <w:rsid w:val="00B27A37"/>
    <w:rsid w:val="00B27B31"/>
    <w:rsid w:val="00B3096D"/>
    <w:rsid w:val="00B321E3"/>
    <w:rsid w:val="00B3371D"/>
    <w:rsid w:val="00B33B54"/>
    <w:rsid w:val="00B35AE5"/>
    <w:rsid w:val="00B36720"/>
    <w:rsid w:val="00B367B1"/>
    <w:rsid w:val="00B37E0C"/>
    <w:rsid w:val="00B37FB9"/>
    <w:rsid w:val="00B400EF"/>
    <w:rsid w:val="00B409CB"/>
    <w:rsid w:val="00B413F9"/>
    <w:rsid w:val="00B4173D"/>
    <w:rsid w:val="00B422F5"/>
    <w:rsid w:val="00B42E8B"/>
    <w:rsid w:val="00B43313"/>
    <w:rsid w:val="00B43445"/>
    <w:rsid w:val="00B44567"/>
    <w:rsid w:val="00B4502D"/>
    <w:rsid w:val="00B451E5"/>
    <w:rsid w:val="00B45982"/>
    <w:rsid w:val="00B459AD"/>
    <w:rsid w:val="00B45E91"/>
    <w:rsid w:val="00B45F01"/>
    <w:rsid w:val="00B46CA6"/>
    <w:rsid w:val="00B46E0B"/>
    <w:rsid w:val="00B50160"/>
    <w:rsid w:val="00B5025B"/>
    <w:rsid w:val="00B50D18"/>
    <w:rsid w:val="00B51559"/>
    <w:rsid w:val="00B51D32"/>
    <w:rsid w:val="00B5214C"/>
    <w:rsid w:val="00B56037"/>
    <w:rsid w:val="00B56C77"/>
    <w:rsid w:val="00B5749E"/>
    <w:rsid w:val="00B606FA"/>
    <w:rsid w:val="00B60CB3"/>
    <w:rsid w:val="00B60CE2"/>
    <w:rsid w:val="00B610CE"/>
    <w:rsid w:val="00B610E3"/>
    <w:rsid w:val="00B612F7"/>
    <w:rsid w:val="00B615A4"/>
    <w:rsid w:val="00B61625"/>
    <w:rsid w:val="00B63959"/>
    <w:rsid w:val="00B63EAA"/>
    <w:rsid w:val="00B64B5F"/>
    <w:rsid w:val="00B64DDA"/>
    <w:rsid w:val="00B654B5"/>
    <w:rsid w:val="00B66154"/>
    <w:rsid w:val="00B6660D"/>
    <w:rsid w:val="00B70204"/>
    <w:rsid w:val="00B703B9"/>
    <w:rsid w:val="00B7090F"/>
    <w:rsid w:val="00B70962"/>
    <w:rsid w:val="00B70DF6"/>
    <w:rsid w:val="00B72B05"/>
    <w:rsid w:val="00B735D9"/>
    <w:rsid w:val="00B7375C"/>
    <w:rsid w:val="00B7406A"/>
    <w:rsid w:val="00B748EC"/>
    <w:rsid w:val="00B75419"/>
    <w:rsid w:val="00B75FC7"/>
    <w:rsid w:val="00B80C66"/>
    <w:rsid w:val="00B81483"/>
    <w:rsid w:val="00B81934"/>
    <w:rsid w:val="00B81957"/>
    <w:rsid w:val="00B81EB6"/>
    <w:rsid w:val="00B821CC"/>
    <w:rsid w:val="00B8293D"/>
    <w:rsid w:val="00B83086"/>
    <w:rsid w:val="00B839EF"/>
    <w:rsid w:val="00B83B55"/>
    <w:rsid w:val="00B846CF"/>
    <w:rsid w:val="00B849CE"/>
    <w:rsid w:val="00B84D1E"/>
    <w:rsid w:val="00B85642"/>
    <w:rsid w:val="00B85F18"/>
    <w:rsid w:val="00B86DF3"/>
    <w:rsid w:val="00B87F6E"/>
    <w:rsid w:val="00B90093"/>
    <w:rsid w:val="00B91880"/>
    <w:rsid w:val="00B91C95"/>
    <w:rsid w:val="00B91DE9"/>
    <w:rsid w:val="00B921D8"/>
    <w:rsid w:val="00B945E3"/>
    <w:rsid w:val="00B946D7"/>
    <w:rsid w:val="00B94A35"/>
    <w:rsid w:val="00B95E48"/>
    <w:rsid w:val="00B96152"/>
    <w:rsid w:val="00B96A88"/>
    <w:rsid w:val="00B96EC5"/>
    <w:rsid w:val="00B97240"/>
    <w:rsid w:val="00B973EF"/>
    <w:rsid w:val="00B97C16"/>
    <w:rsid w:val="00BA00CF"/>
    <w:rsid w:val="00BA08D5"/>
    <w:rsid w:val="00BA0BF5"/>
    <w:rsid w:val="00BA0CEA"/>
    <w:rsid w:val="00BA200B"/>
    <w:rsid w:val="00BA26CA"/>
    <w:rsid w:val="00BA29DE"/>
    <w:rsid w:val="00BA3153"/>
    <w:rsid w:val="00BA325F"/>
    <w:rsid w:val="00BA3491"/>
    <w:rsid w:val="00BA3641"/>
    <w:rsid w:val="00BA4D73"/>
    <w:rsid w:val="00BA55D3"/>
    <w:rsid w:val="00BA641B"/>
    <w:rsid w:val="00BA664F"/>
    <w:rsid w:val="00BA6E41"/>
    <w:rsid w:val="00BA7950"/>
    <w:rsid w:val="00BB1818"/>
    <w:rsid w:val="00BB1CA7"/>
    <w:rsid w:val="00BB27F1"/>
    <w:rsid w:val="00BB2E5E"/>
    <w:rsid w:val="00BB3DAA"/>
    <w:rsid w:val="00BB4D7A"/>
    <w:rsid w:val="00BB551A"/>
    <w:rsid w:val="00BB5C45"/>
    <w:rsid w:val="00BB6124"/>
    <w:rsid w:val="00BB6353"/>
    <w:rsid w:val="00BB6732"/>
    <w:rsid w:val="00BB6C24"/>
    <w:rsid w:val="00BB6C76"/>
    <w:rsid w:val="00BB6E1B"/>
    <w:rsid w:val="00BB6FEC"/>
    <w:rsid w:val="00BB76B9"/>
    <w:rsid w:val="00BC07F8"/>
    <w:rsid w:val="00BC138B"/>
    <w:rsid w:val="00BC1396"/>
    <w:rsid w:val="00BC272C"/>
    <w:rsid w:val="00BC2906"/>
    <w:rsid w:val="00BC3994"/>
    <w:rsid w:val="00BC3EA2"/>
    <w:rsid w:val="00BC4D43"/>
    <w:rsid w:val="00BC4D8C"/>
    <w:rsid w:val="00BC4F83"/>
    <w:rsid w:val="00BC5545"/>
    <w:rsid w:val="00BC5582"/>
    <w:rsid w:val="00BC5B48"/>
    <w:rsid w:val="00BC6241"/>
    <w:rsid w:val="00BC7511"/>
    <w:rsid w:val="00BD064A"/>
    <w:rsid w:val="00BD1A0C"/>
    <w:rsid w:val="00BD227E"/>
    <w:rsid w:val="00BD24AC"/>
    <w:rsid w:val="00BD2DA6"/>
    <w:rsid w:val="00BD34BA"/>
    <w:rsid w:val="00BD39D2"/>
    <w:rsid w:val="00BD45F6"/>
    <w:rsid w:val="00BD4E63"/>
    <w:rsid w:val="00BD541B"/>
    <w:rsid w:val="00BD5ED1"/>
    <w:rsid w:val="00BD6EA7"/>
    <w:rsid w:val="00BD7935"/>
    <w:rsid w:val="00BD7DFB"/>
    <w:rsid w:val="00BE03F0"/>
    <w:rsid w:val="00BE0A54"/>
    <w:rsid w:val="00BE1370"/>
    <w:rsid w:val="00BE168C"/>
    <w:rsid w:val="00BE26A1"/>
    <w:rsid w:val="00BE36E0"/>
    <w:rsid w:val="00BE3A48"/>
    <w:rsid w:val="00BE3BE8"/>
    <w:rsid w:val="00BE4B34"/>
    <w:rsid w:val="00BE6F89"/>
    <w:rsid w:val="00BF0965"/>
    <w:rsid w:val="00BF1591"/>
    <w:rsid w:val="00BF1A1B"/>
    <w:rsid w:val="00BF2DE4"/>
    <w:rsid w:val="00BF3238"/>
    <w:rsid w:val="00BF3514"/>
    <w:rsid w:val="00BF382D"/>
    <w:rsid w:val="00BF3E13"/>
    <w:rsid w:val="00BF3F54"/>
    <w:rsid w:val="00BF42D0"/>
    <w:rsid w:val="00BF4960"/>
    <w:rsid w:val="00BF4A92"/>
    <w:rsid w:val="00BF5A09"/>
    <w:rsid w:val="00BF5B4B"/>
    <w:rsid w:val="00BF6FDF"/>
    <w:rsid w:val="00C01706"/>
    <w:rsid w:val="00C018E0"/>
    <w:rsid w:val="00C01B16"/>
    <w:rsid w:val="00C01EE3"/>
    <w:rsid w:val="00C02065"/>
    <w:rsid w:val="00C021A1"/>
    <w:rsid w:val="00C024F7"/>
    <w:rsid w:val="00C029B2"/>
    <w:rsid w:val="00C02C14"/>
    <w:rsid w:val="00C0398B"/>
    <w:rsid w:val="00C03E88"/>
    <w:rsid w:val="00C049EF"/>
    <w:rsid w:val="00C0507A"/>
    <w:rsid w:val="00C052E2"/>
    <w:rsid w:val="00C05A1E"/>
    <w:rsid w:val="00C069EA"/>
    <w:rsid w:val="00C06C3B"/>
    <w:rsid w:val="00C07546"/>
    <w:rsid w:val="00C0790B"/>
    <w:rsid w:val="00C07D9B"/>
    <w:rsid w:val="00C1022E"/>
    <w:rsid w:val="00C102B9"/>
    <w:rsid w:val="00C10B98"/>
    <w:rsid w:val="00C116AB"/>
    <w:rsid w:val="00C12312"/>
    <w:rsid w:val="00C12644"/>
    <w:rsid w:val="00C13349"/>
    <w:rsid w:val="00C13D18"/>
    <w:rsid w:val="00C1450E"/>
    <w:rsid w:val="00C14750"/>
    <w:rsid w:val="00C147E8"/>
    <w:rsid w:val="00C14EEA"/>
    <w:rsid w:val="00C151BF"/>
    <w:rsid w:val="00C1523D"/>
    <w:rsid w:val="00C15BC0"/>
    <w:rsid w:val="00C15C5D"/>
    <w:rsid w:val="00C15D78"/>
    <w:rsid w:val="00C15F93"/>
    <w:rsid w:val="00C1639B"/>
    <w:rsid w:val="00C168B0"/>
    <w:rsid w:val="00C174A0"/>
    <w:rsid w:val="00C174CC"/>
    <w:rsid w:val="00C17AEB"/>
    <w:rsid w:val="00C204F2"/>
    <w:rsid w:val="00C20519"/>
    <w:rsid w:val="00C20B40"/>
    <w:rsid w:val="00C210A4"/>
    <w:rsid w:val="00C21382"/>
    <w:rsid w:val="00C218B7"/>
    <w:rsid w:val="00C21CCB"/>
    <w:rsid w:val="00C231E4"/>
    <w:rsid w:val="00C234A8"/>
    <w:rsid w:val="00C2585F"/>
    <w:rsid w:val="00C263C5"/>
    <w:rsid w:val="00C270FB"/>
    <w:rsid w:val="00C276B1"/>
    <w:rsid w:val="00C27912"/>
    <w:rsid w:val="00C27CD6"/>
    <w:rsid w:val="00C30998"/>
    <w:rsid w:val="00C31A3D"/>
    <w:rsid w:val="00C31D28"/>
    <w:rsid w:val="00C32775"/>
    <w:rsid w:val="00C341B2"/>
    <w:rsid w:val="00C344B2"/>
    <w:rsid w:val="00C344F4"/>
    <w:rsid w:val="00C35A5B"/>
    <w:rsid w:val="00C35C54"/>
    <w:rsid w:val="00C36269"/>
    <w:rsid w:val="00C367C0"/>
    <w:rsid w:val="00C36AB1"/>
    <w:rsid w:val="00C37BE2"/>
    <w:rsid w:val="00C37C29"/>
    <w:rsid w:val="00C402C3"/>
    <w:rsid w:val="00C42BC0"/>
    <w:rsid w:val="00C42E31"/>
    <w:rsid w:val="00C43EE3"/>
    <w:rsid w:val="00C44CF5"/>
    <w:rsid w:val="00C44FA1"/>
    <w:rsid w:val="00C455BD"/>
    <w:rsid w:val="00C455DE"/>
    <w:rsid w:val="00C45CD0"/>
    <w:rsid w:val="00C465AA"/>
    <w:rsid w:val="00C467CB"/>
    <w:rsid w:val="00C46C78"/>
    <w:rsid w:val="00C47CE8"/>
    <w:rsid w:val="00C50F46"/>
    <w:rsid w:val="00C51687"/>
    <w:rsid w:val="00C51E32"/>
    <w:rsid w:val="00C522BC"/>
    <w:rsid w:val="00C53119"/>
    <w:rsid w:val="00C53B02"/>
    <w:rsid w:val="00C53D0C"/>
    <w:rsid w:val="00C5582E"/>
    <w:rsid w:val="00C55B8B"/>
    <w:rsid w:val="00C56BFE"/>
    <w:rsid w:val="00C5714B"/>
    <w:rsid w:val="00C57C0D"/>
    <w:rsid w:val="00C57C22"/>
    <w:rsid w:val="00C57C70"/>
    <w:rsid w:val="00C57F39"/>
    <w:rsid w:val="00C6108A"/>
    <w:rsid w:val="00C62658"/>
    <w:rsid w:val="00C63B9E"/>
    <w:rsid w:val="00C63E1F"/>
    <w:rsid w:val="00C66CF8"/>
    <w:rsid w:val="00C66FB1"/>
    <w:rsid w:val="00C67508"/>
    <w:rsid w:val="00C70B0A"/>
    <w:rsid w:val="00C70EFC"/>
    <w:rsid w:val="00C714CC"/>
    <w:rsid w:val="00C715C6"/>
    <w:rsid w:val="00C718A9"/>
    <w:rsid w:val="00C72295"/>
    <w:rsid w:val="00C723A9"/>
    <w:rsid w:val="00C73543"/>
    <w:rsid w:val="00C739FF"/>
    <w:rsid w:val="00C73AB2"/>
    <w:rsid w:val="00C74A0F"/>
    <w:rsid w:val="00C74F29"/>
    <w:rsid w:val="00C751B0"/>
    <w:rsid w:val="00C754EB"/>
    <w:rsid w:val="00C7574D"/>
    <w:rsid w:val="00C7632A"/>
    <w:rsid w:val="00C77270"/>
    <w:rsid w:val="00C7737F"/>
    <w:rsid w:val="00C804BB"/>
    <w:rsid w:val="00C806B2"/>
    <w:rsid w:val="00C80D6E"/>
    <w:rsid w:val="00C815B3"/>
    <w:rsid w:val="00C82049"/>
    <w:rsid w:val="00C825D8"/>
    <w:rsid w:val="00C8408E"/>
    <w:rsid w:val="00C84164"/>
    <w:rsid w:val="00C841FA"/>
    <w:rsid w:val="00C85C11"/>
    <w:rsid w:val="00C869DA"/>
    <w:rsid w:val="00C86B68"/>
    <w:rsid w:val="00C87BB2"/>
    <w:rsid w:val="00C90003"/>
    <w:rsid w:val="00C90827"/>
    <w:rsid w:val="00C90CB8"/>
    <w:rsid w:val="00C9138D"/>
    <w:rsid w:val="00C917F3"/>
    <w:rsid w:val="00C91BCD"/>
    <w:rsid w:val="00C91CE5"/>
    <w:rsid w:val="00C92013"/>
    <w:rsid w:val="00C924DC"/>
    <w:rsid w:val="00C92701"/>
    <w:rsid w:val="00C9307D"/>
    <w:rsid w:val="00C94392"/>
    <w:rsid w:val="00C96E03"/>
    <w:rsid w:val="00C97149"/>
    <w:rsid w:val="00C97AE4"/>
    <w:rsid w:val="00CA002C"/>
    <w:rsid w:val="00CA00F7"/>
    <w:rsid w:val="00CA0230"/>
    <w:rsid w:val="00CA0C50"/>
    <w:rsid w:val="00CA173B"/>
    <w:rsid w:val="00CA17D1"/>
    <w:rsid w:val="00CA2346"/>
    <w:rsid w:val="00CA2F24"/>
    <w:rsid w:val="00CA3D57"/>
    <w:rsid w:val="00CA4874"/>
    <w:rsid w:val="00CA504E"/>
    <w:rsid w:val="00CA5D90"/>
    <w:rsid w:val="00CA65C6"/>
    <w:rsid w:val="00CA763C"/>
    <w:rsid w:val="00CA78CE"/>
    <w:rsid w:val="00CA79FA"/>
    <w:rsid w:val="00CA7DE0"/>
    <w:rsid w:val="00CB136F"/>
    <w:rsid w:val="00CB17DB"/>
    <w:rsid w:val="00CB1E14"/>
    <w:rsid w:val="00CB2183"/>
    <w:rsid w:val="00CB21B6"/>
    <w:rsid w:val="00CB294D"/>
    <w:rsid w:val="00CB2EC1"/>
    <w:rsid w:val="00CB37C4"/>
    <w:rsid w:val="00CB4392"/>
    <w:rsid w:val="00CB5420"/>
    <w:rsid w:val="00CB54FA"/>
    <w:rsid w:val="00CB620D"/>
    <w:rsid w:val="00CC012E"/>
    <w:rsid w:val="00CC02E5"/>
    <w:rsid w:val="00CC0524"/>
    <w:rsid w:val="00CC08DE"/>
    <w:rsid w:val="00CC1359"/>
    <w:rsid w:val="00CC136A"/>
    <w:rsid w:val="00CC1A47"/>
    <w:rsid w:val="00CC1AD8"/>
    <w:rsid w:val="00CC1B32"/>
    <w:rsid w:val="00CC2234"/>
    <w:rsid w:val="00CC29E6"/>
    <w:rsid w:val="00CC3F43"/>
    <w:rsid w:val="00CC4B11"/>
    <w:rsid w:val="00CC57B1"/>
    <w:rsid w:val="00CC57E5"/>
    <w:rsid w:val="00CC61DF"/>
    <w:rsid w:val="00CC6348"/>
    <w:rsid w:val="00CC63D8"/>
    <w:rsid w:val="00CC7050"/>
    <w:rsid w:val="00CC792A"/>
    <w:rsid w:val="00CD23AD"/>
    <w:rsid w:val="00CD243A"/>
    <w:rsid w:val="00CD2BE9"/>
    <w:rsid w:val="00CD3AAA"/>
    <w:rsid w:val="00CD40F1"/>
    <w:rsid w:val="00CD490F"/>
    <w:rsid w:val="00CD5464"/>
    <w:rsid w:val="00CD7001"/>
    <w:rsid w:val="00CD7872"/>
    <w:rsid w:val="00CD78B2"/>
    <w:rsid w:val="00CE21D4"/>
    <w:rsid w:val="00CE261B"/>
    <w:rsid w:val="00CE2C30"/>
    <w:rsid w:val="00CE31F4"/>
    <w:rsid w:val="00CE387C"/>
    <w:rsid w:val="00CE4164"/>
    <w:rsid w:val="00CE6C23"/>
    <w:rsid w:val="00CE7BDB"/>
    <w:rsid w:val="00CE7EFB"/>
    <w:rsid w:val="00CF0A0C"/>
    <w:rsid w:val="00CF0F1F"/>
    <w:rsid w:val="00CF11DF"/>
    <w:rsid w:val="00CF143F"/>
    <w:rsid w:val="00CF1966"/>
    <w:rsid w:val="00CF1B59"/>
    <w:rsid w:val="00CF2062"/>
    <w:rsid w:val="00CF2D90"/>
    <w:rsid w:val="00CF5478"/>
    <w:rsid w:val="00CF5615"/>
    <w:rsid w:val="00CF5C46"/>
    <w:rsid w:val="00CF5EB1"/>
    <w:rsid w:val="00CF5F0E"/>
    <w:rsid w:val="00CF6161"/>
    <w:rsid w:val="00CF6188"/>
    <w:rsid w:val="00CF65F3"/>
    <w:rsid w:val="00CF6AF1"/>
    <w:rsid w:val="00CF7A11"/>
    <w:rsid w:val="00D003C4"/>
    <w:rsid w:val="00D005ED"/>
    <w:rsid w:val="00D012BB"/>
    <w:rsid w:val="00D01EE3"/>
    <w:rsid w:val="00D0278F"/>
    <w:rsid w:val="00D04644"/>
    <w:rsid w:val="00D0497B"/>
    <w:rsid w:val="00D04B5D"/>
    <w:rsid w:val="00D04D99"/>
    <w:rsid w:val="00D04F56"/>
    <w:rsid w:val="00D05262"/>
    <w:rsid w:val="00D05D98"/>
    <w:rsid w:val="00D0600B"/>
    <w:rsid w:val="00D0622F"/>
    <w:rsid w:val="00D068CB"/>
    <w:rsid w:val="00D06E01"/>
    <w:rsid w:val="00D07144"/>
    <w:rsid w:val="00D0773A"/>
    <w:rsid w:val="00D07D8B"/>
    <w:rsid w:val="00D117A3"/>
    <w:rsid w:val="00D117F2"/>
    <w:rsid w:val="00D11C36"/>
    <w:rsid w:val="00D12050"/>
    <w:rsid w:val="00D12460"/>
    <w:rsid w:val="00D13385"/>
    <w:rsid w:val="00D14530"/>
    <w:rsid w:val="00D14762"/>
    <w:rsid w:val="00D14E11"/>
    <w:rsid w:val="00D15C43"/>
    <w:rsid w:val="00D16312"/>
    <w:rsid w:val="00D1640F"/>
    <w:rsid w:val="00D17081"/>
    <w:rsid w:val="00D1713C"/>
    <w:rsid w:val="00D176D8"/>
    <w:rsid w:val="00D17BF3"/>
    <w:rsid w:val="00D205AA"/>
    <w:rsid w:val="00D21677"/>
    <w:rsid w:val="00D22124"/>
    <w:rsid w:val="00D22C23"/>
    <w:rsid w:val="00D23045"/>
    <w:rsid w:val="00D23182"/>
    <w:rsid w:val="00D238EF"/>
    <w:rsid w:val="00D270AD"/>
    <w:rsid w:val="00D2764C"/>
    <w:rsid w:val="00D27B4B"/>
    <w:rsid w:val="00D27B75"/>
    <w:rsid w:val="00D308E0"/>
    <w:rsid w:val="00D32EA1"/>
    <w:rsid w:val="00D35A9F"/>
    <w:rsid w:val="00D35D4A"/>
    <w:rsid w:val="00D35F36"/>
    <w:rsid w:val="00D36A17"/>
    <w:rsid w:val="00D36DD8"/>
    <w:rsid w:val="00D3726E"/>
    <w:rsid w:val="00D37F7D"/>
    <w:rsid w:val="00D4021A"/>
    <w:rsid w:val="00D40A4C"/>
    <w:rsid w:val="00D42AD1"/>
    <w:rsid w:val="00D42C09"/>
    <w:rsid w:val="00D42E31"/>
    <w:rsid w:val="00D436A4"/>
    <w:rsid w:val="00D44951"/>
    <w:rsid w:val="00D452AA"/>
    <w:rsid w:val="00D4635A"/>
    <w:rsid w:val="00D47136"/>
    <w:rsid w:val="00D475F0"/>
    <w:rsid w:val="00D504CD"/>
    <w:rsid w:val="00D50F27"/>
    <w:rsid w:val="00D51754"/>
    <w:rsid w:val="00D518AC"/>
    <w:rsid w:val="00D51F9E"/>
    <w:rsid w:val="00D5236B"/>
    <w:rsid w:val="00D52EE1"/>
    <w:rsid w:val="00D53407"/>
    <w:rsid w:val="00D53687"/>
    <w:rsid w:val="00D54187"/>
    <w:rsid w:val="00D54624"/>
    <w:rsid w:val="00D54651"/>
    <w:rsid w:val="00D54DDB"/>
    <w:rsid w:val="00D55EB2"/>
    <w:rsid w:val="00D5609A"/>
    <w:rsid w:val="00D562E7"/>
    <w:rsid w:val="00D56E6C"/>
    <w:rsid w:val="00D570D1"/>
    <w:rsid w:val="00D57309"/>
    <w:rsid w:val="00D6255B"/>
    <w:rsid w:val="00D6368D"/>
    <w:rsid w:val="00D645B9"/>
    <w:rsid w:val="00D6495C"/>
    <w:rsid w:val="00D64AF4"/>
    <w:rsid w:val="00D66342"/>
    <w:rsid w:val="00D66B9B"/>
    <w:rsid w:val="00D66C37"/>
    <w:rsid w:val="00D709C4"/>
    <w:rsid w:val="00D70D0D"/>
    <w:rsid w:val="00D71715"/>
    <w:rsid w:val="00D717D3"/>
    <w:rsid w:val="00D7186A"/>
    <w:rsid w:val="00D71EAC"/>
    <w:rsid w:val="00D71EE5"/>
    <w:rsid w:val="00D72950"/>
    <w:rsid w:val="00D72A60"/>
    <w:rsid w:val="00D73E00"/>
    <w:rsid w:val="00D74F79"/>
    <w:rsid w:val="00D76C45"/>
    <w:rsid w:val="00D76D81"/>
    <w:rsid w:val="00D76F24"/>
    <w:rsid w:val="00D776F4"/>
    <w:rsid w:val="00D806E3"/>
    <w:rsid w:val="00D80A13"/>
    <w:rsid w:val="00D8197C"/>
    <w:rsid w:val="00D8282F"/>
    <w:rsid w:val="00D843FF"/>
    <w:rsid w:val="00D849B9"/>
    <w:rsid w:val="00D850E2"/>
    <w:rsid w:val="00D86079"/>
    <w:rsid w:val="00D8687A"/>
    <w:rsid w:val="00D86887"/>
    <w:rsid w:val="00D86DFF"/>
    <w:rsid w:val="00D871ED"/>
    <w:rsid w:val="00D9046E"/>
    <w:rsid w:val="00D90E0C"/>
    <w:rsid w:val="00D90FB7"/>
    <w:rsid w:val="00D915F1"/>
    <w:rsid w:val="00D91654"/>
    <w:rsid w:val="00D917AF"/>
    <w:rsid w:val="00D91C54"/>
    <w:rsid w:val="00D92F58"/>
    <w:rsid w:val="00D93962"/>
    <w:rsid w:val="00D944DB"/>
    <w:rsid w:val="00D945C8"/>
    <w:rsid w:val="00D96411"/>
    <w:rsid w:val="00D970D6"/>
    <w:rsid w:val="00D97B53"/>
    <w:rsid w:val="00DA0CB5"/>
    <w:rsid w:val="00DA2C76"/>
    <w:rsid w:val="00DA2FDE"/>
    <w:rsid w:val="00DA5BD6"/>
    <w:rsid w:val="00DA6147"/>
    <w:rsid w:val="00DA648B"/>
    <w:rsid w:val="00DA65EB"/>
    <w:rsid w:val="00DA7504"/>
    <w:rsid w:val="00DA7861"/>
    <w:rsid w:val="00DA7A3B"/>
    <w:rsid w:val="00DB042E"/>
    <w:rsid w:val="00DB140F"/>
    <w:rsid w:val="00DB1FE7"/>
    <w:rsid w:val="00DB27C2"/>
    <w:rsid w:val="00DB28DE"/>
    <w:rsid w:val="00DB2DF9"/>
    <w:rsid w:val="00DB3A4A"/>
    <w:rsid w:val="00DB3E61"/>
    <w:rsid w:val="00DB3E8B"/>
    <w:rsid w:val="00DB5948"/>
    <w:rsid w:val="00DB6017"/>
    <w:rsid w:val="00DB66DE"/>
    <w:rsid w:val="00DB6B62"/>
    <w:rsid w:val="00DB6E45"/>
    <w:rsid w:val="00DC02FE"/>
    <w:rsid w:val="00DC191E"/>
    <w:rsid w:val="00DC3A53"/>
    <w:rsid w:val="00DC3A85"/>
    <w:rsid w:val="00DC3DCC"/>
    <w:rsid w:val="00DC51DB"/>
    <w:rsid w:val="00DC614C"/>
    <w:rsid w:val="00DC644E"/>
    <w:rsid w:val="00DC6F5C"/>
    <w:rsid w:val="00DC7F9C"/>
    <w:rsid w:val="00DD1404"/>
    <w:rsid w:val="00DD191E"/>
    <w:rsid w:val="00DD1F8D"/>
    <w:rsid w:val="00DD26BE"/>
    <w:rsid w:val="00DD2817"/>
    <w:rsid w:val="00DD2C62"/>
    <w:rsid w:val="00DD3EA4"/>
    <w:rsid w:val="00DD560E"/>
    <w:rsid w:val="00DD5FC3"/>
    <w:rsid w:val="00DD6562"/>
    <w:rsid w:val="00DD69C6"/>
    <w:rsid w:val="00DD7878"/>
    <w:rsid w:val="00DD7F25"/>
    <w:rsid w:val="00DE06F4"/>
    <w:rsid w:val="00DE0945"/>
    <w:rsid w:val="00DE0CE7"/>
    <w:rsid w:val="00DE0D5E"/>
    <w:rsid w:val="00DE0DAD"/>
    <w:rsid w:val="00DE1E8B"/>
    <w:rsid w:val="00DE2772"/>
    <w:rsid w:val="00DE2EBC"/>
    <w:rsid w:val="00DE3666"/>
    <w:rsid w:val="00DE3895"/>
    <w:rsid w:val="00DE46A8"/>
    <w:rsid w:val="00DE52EE"/>
    <w:rsid w:val="00DE6364"/>
    <w:rsid w:val="00DE7434"/>
    <w:rsid w:val="00DF0BDB"/>
    <w:rsid w:val="00DF1645"/>
    <w:rsid w:val="00DF1782"/>
    <w:rsid w:val="00DF343B"/>
    <w:rsid w:val="00DF4E5A"/>
    <w:rsid w:val="00DF5015"/>
    <w:rsid w:val="00DF50D2"/>
    <w:rsid w:val="00DF5B19"/>
    <w:rsid w:val="00DF5C81"/>
    <w:rsid w:val="00DF5EF9"/>
    <w:rsid w:val="00DF6A82"/>
    <w:rsid w:val="00DF791F"/>
    <w:rsid w:val="00DF7E6B"/>
    <w:rsid w:val="00E00160"/>
    <w:rsid w:val="00E00290"/>
    <w:rsid w:val="00E010EC"/>
    <w:rsid w:val="00E02ACC"/>
    <w:rsid w:val="00E03599"/>
    <w:rsid w:val="00E04199"/>
    <w:rsid w:val="00E04610"/>
    <w:rsid w:val="00E048AB"/>
    <w:rsid w:val="00E04993"/>
    <w:rsid w:val="00E049BA"/>
    <w:rsid w:val="00E05202"/>
    <w:rsid w:val="00E05C92"/>
    <w:rsid w:val="00E06338"/>
    <w:rsid w:val="00E063EA"/>
    <w:rsid w:val="00E064D4"/>
    <w:rsid w:val="00E065A2"/>
    <w:rsid w:val="00E06DF4"/>
    <w:rsid w:val="00E07DD1"/>
    <w:rsid w:val="00E101C5"/>
    <w:rsid w:val="00E1134C"/>
    <w:rsid w:val="00E1144B"/>
    <w:rsid w:val="00E12465"/>
    <w:rsid w:val="00E129A8"/>
    <w:rsid w:val="00E1331D"/>
    <w:rsid w:val="00E14104"/>
    <w:rsid w:val="00E14947"/>
    <w:rsid w:val="00E14AC0"/>
    <w:rsid w:val="00E15C4E"/>
    <w:rsid w:val="00E1690B"/>
    <w:rsid w:val="00E17330"/>
    <w:rsid w:val="00E211BA"/>
    <w:rsid w:val="00E21C83"/>
    <w:rsid w:val="00E222AA"/>
    <w:rsid w:val="00E22D56"/>
    <w:rsid w:val="00E232F9"/>
    <w:rsid w:val="00E2389B"/>
    <w:rsid w:val="00E23AEB"/>
    <w:rsid w:val="00E259C0"/>
    <w:rsid w:val="00E25D32"/>
    <w:rsid w:val="00E2640C"/>
    <w:rsid w:val="00E26999"/>
    <w:rsid w:val="00E26C21"/>
    <w:rsid w:val="00E26C3E"/>
    <w:rsid w:val="00E278CA"/>
    <w:rsid w:val="00E27B6A"/>
    <w:rsid w:val="00E27EB7"/>
    <w:rsid w:val="00E30057"/>
    <w:rsid w:val="00E3048D"/>
    <w:rsid w:val="00E30C21"/>
    <w:rsid w:val="00E31C12"/>
    <w:rsid w:val="00E321E8"/>
    <w:rsid w:val="00E32515"/>
    <w:rsid w:val="00E333DE"/>
    <w:rsid w:val="00E33DE7"/>
    <w:rsid w:val="00E345F5"/>
    <w:rsid w:val="00E34928"/>
    <w:rsid w:val="00E34D90"/>
    <w:rsid w:val="00E35487"/>
    <w:rsid w:val="00E35D39"/>
    <w:rsid w:val="00E35FDA"/>
    <w:rsid w:val="00E3601A"/>
    <w:rsid w:val="00E36D94"/>
    <w:rsid w:val="00E3738B"/>
    <w:rsid w:val="00E401D6"/>
    <w:rsid w:val="00E40272"/>
    <w:rsid w:val="00E40BEE"/>
    <w:rsid w:val="00E412A4"/>
    <w:rsid w:val="00E414FD"/>
    <w:rsid w:val="00E41C6C"/>
    <w:rsid w:val="00E43649"/>
    <w:rsid w:val="00E440F6"/>
    <w:rsid w:val="00E44758"/>
    <w:rsid w:val="00E44785"/>
    <w:rsid w:val="00E448D8"/>
    <w:rsid w:val="00E44F98"/>
    <w:rsid w:val="00E44FD4"/>
    <w:rsid w:val="00E46C3D"/>
    <w:rsid w:val="00E470C8"/>
    <w:rsid w:val="00E478AD"/>
    <w:rsid w:val="00E5017B"/>
    <w:rsid w:val="00E50BE6"/>
    <w:rsid w:val="00E50F31"/>
    <w:rsid w:val="00E51882"/>
    <w:rsid w:val="00E51A0F"/>
    <w:rsid w:val="00E51BF4"/>
    <w:rsid w:val="00E51DF8"/>
    <w:rsid w:val="00E52B0C"/>
    <w:rsid w:val="00E52F0D"/>
    <w:rsid w:val="00E53A86"/>
    <w:rsid w:val="00E54C1E"/>
    <w:rsid w:val="00E55791"/>
    <w:rsid w:val="00E6013C"/>
    <w:rsid w:val="00E606C4"/>
    <w:rsid w:val="00E60BAA"/>
    <w:rsid w:val="00E610D9"/>
    <w:rsid w:val="00E63361"/>
    <w:rsid w:val="00E64D91"/>
    <w:rsid w:val="00E64D95"/>
    <w:rsid w:val="00E658B6"/>
    <w:rsid w:val="00E65A46"/>
    <w:rsid w:val="00E6603B"/>
    <w:rsid w:val="00E66C43"/>
    <w:rsid w:val="00E67C91"/>
    <w:rsid w:val="00E718EC"/>
    <w:rsid w:val="00E71A86"/>
    <w:rsid w:val="00E73EB1"/>
    <w:rsid w:val="00E74321"/>
    <w:rsid w:val="00E749A8"/>
    <w:rsid w:val="00E753FE"/>
    <w:rsid w:val="00E7565F"/>
    <w:rsid w:val="00E76740"/>
    <w:rsid w:val="00E76EFA"/>
    <w:rsid w:val="00E7786D"/>
    <w:rsid w:val="00E80059"/>
    <w:rsid w:val="00E80CA9"/>
    <w:rsid w:val="00E816FA"/>
    <w:rsid w:val="00E81DEB"/>
    <w:rsid w:val="00E82A94"/>
    <w:rsid w:val="00E82AF2"/>
    <w:rsid w:val="00E83912"/>
    <w:rsid w:val="00E83CE8"/>
    <w:rsid w:val="00E83F8C"/>
    <w:rsid w:val="00E84B45"/>
    <w:rsid w:val="00E857EE"/>
    <w:rsid w:val="00E85B11"/>
    <w:rsid w:val="00E86565"/>
    <w:rsid w:val="00E869F2"/>
    <w:rsid w:val="00E87851"/>
    <w:rsid w:val="00E879DE"/>
    <w:rsid w:val="00E87EAE"/>
    <w:rsid w:val="00E90D8A"/>
    <w:rsid w:val="00E9132B"/>
    <w:rsid w:val="00E91644"/>
    <w:rsid w:val="00E92611"/>
    <w:rsid w:val="00E92F7D"/>
    <w:rsid w:val="00E9359F"/>
    <w:rsid w:val="00E93E60"/>
    <w:rsid w:val="00E942E3"/>
    <w:rsid w:val="00E94F73"/>
    <w:rsid w:val="00E95C7A"/>
    <w:rsid w:val="00E95E6A"/>
    <w:rsid w:val="00E9604D"/>
    <w:rsid w:val="00E96445"/>
    <w:rsid w:val="00E966DD"/>
    <w:rsid w:val="00E97C15"/>
    <w:rsid w:val="00EA097E"/>
    <w:rsid w:val="00EA17CB"/>
    <w:rsid w:val="00EA1C1B"/>
    <w:rsid w:val="00EA231F"/>
    <w:rsid w:val="00EA28DF"/>
    <w:rsid w:val="00EA37F6"/>
    <w:rsid w:val="00EA3D43"/>
    <w:rsid w:val="00EA494B"/>
    <w:rsid w:val="00EA4A5C"/>
    <w:rsid w:val="00EA5237"/>
    <w:rsid w:val="00EA670A"/>
    <w:rsid w:val="00EA696A"/>
    <w:rsid w:val="00EA7C70"/>
    <w:rsid w:val="00EB0A8B"/>
    <w:rsid w:val="00EB0D61"/>
    <w:rsid w:val="00EB14D0"/>
    <w:rsid w:val="00EB1D83"/>
    <w:rsid w:val="00EB2125"/>
    <w:rsid w:val="00EB3148"/>
    <w:rsid w:val="00EB360F"/>
    <w:rsid w:val="00EB374B"/>
    <w:rsid w:val="00EB3774"/>
    <w:rsid w:val="00EB3BD6"/>
    <w:rsid w:val="00EB498B"/>
    <w:rsid w:val="00EB4992"/>
    <w:rsid w:val="00EB500A"/>
    <w:rsid w:val="00EB55EF"/>
    <w:rsid w:val="00EB771D"/>
    <w:rsid w:val="00EC1317"/>
    <w:rsid w:val="00EC1407"/>
    <w:rsid w:val="00EC3905"/>
    <w:rsid w:val="00EC4250"/>
    <w:rsid w:val="00EC581B"/>
    <w:rsid w:val="00EC5B9A"/>
    <w:rsid w:val="00EC7165"/>
    <w:rsid w:val="00EC7C4E"/>
    <w:rsid w:val="00EC7CF0"/>
    <w:rsid w:val="00ED056E"/>
    <w:rsid w:val="00ED1832"/>
    <w:rsid w:val="00ED1DE3"/>
    <w:rsid w:val="00ED1F06"/>
    <w:rsid w:val="00ED319F"/>
    <w:rsid w:val="00ED3871"/>
    <w:rsid w:val="00ED3BDF"/>
    <w:rsid w:val="00ED3DE4"/>
    <w:rsid w:val="00ED51C8"/>
    <w:rsid w:val="00ED6173"/>
    <w:rsid w:val="00ED67EA"/>
    <w:rsid w:val="00ED6A9C"/>
    <w:rsid w:val="00ED6DD7"/>
    <w:rsid w:val="00EE06E3"/>
    <w:rsid w:val="00EE0EA8"/>
    <w:rsid w:val="00EE1C99"/>
    <w:rsid w:val="00EE2E20"/>
    <w:rsid w:val="00EE311C"/>
    <w:rsid w:val="00EE3BFD"/>
    <w:rsid w:val="00EE4426"/>
    <w:rsid w:val="00EE4623"/>
    <w:rsid w:val="00EE4AAB"/>
    <w:rsid w:val="00EE4E50"/>
    <w:rsid w:val="00EE55FE"/>
    <w:rsid w:val="00EE5BC8"/>
    <w:rsid w:val="00EE62AA"/>
    <w:rsid w:val="00EE62BC"/>
    <w:rsid w:val="00EE6667"/>
    <w:rsid w:val="00EE67AE"/>
    <w:rsid w:val="00EE7842"/>
    <w:rsid w:val="00EE7DE2"/>
    <w:rsid w:val="00EF0388"/>
    <w:rsid w:val="00EF03EF"/>
    <w:rsid w:val="00EF03F7"/>
    <w:rsid w:val="00EF0603"/>
    <w:rsid w:val="00EF3655"/>
    <w:rsid w:val="00EF5C1C"/>
    <w:rsid w:val="00EF5DC1"/>
    <w:rsid w:val="00EF68A2"/>
    <w:rsid w:val="00EF6E4D"/>
    <w:rsid w:val="00EF70F1"/>
    <w:rsid w:val="00EF7273"/>
    <w:rsid w:val="00EF72B2"/>
    <w:rsid w:val="00EF74C8"/>
    <w:rsid w:val="00EF7656"/>
    <w:rsid w:val="00EF78E6"/>
    <w:rsid w:val="00F00700"/>
    <w:rsid w:val="00F0089C"/>
    <w:rsid w:val="00F01048"/>
    <w:rsid w:val="00F02F57"/>
    <w:rsid w:val="00F0416E"/>
    <w:rsid w:val="00F04F40"/>
    <w:rsid w:val="00F05812"/>
    <w:rsid w:val="00F06147"/>
    <w:rsid w:val="00F07E9E"/>
    <w:rsid w:val="00F10F88"/>
    <w:rsid w:val="00F11AF1"/>
    <w:rsid w:val="00F12AEB"/>
    <w:rsid w:val="00F130E7"/>
    <w:rsid w:val="00F13969"/>
    <w:rsid w:val="00F13F5C"/>
    <w:rsid w:val="00F16674"/>
    <w:rsid w:val="00F17E1F"/>
    <w:rsid w:val="00F21337"/>
    <w:rsid w:val="00F21E5B"/>
    <w:rsid w:val="00F2232C"/>
    <w:rsid w:val="00F225FF"/>
    <w:rsid w:val="00F23046"/>
    <w:rsid w:val="00F23BD6"/>
    <w:rsid w:val="00F24967"/>
    <w:rsid w:val="00F24A68"/>
    <w:rsid w:val="00F260CC"/>
    <w:rsid w:val="00F266E7"/>
    <w:rsid w:val="00F2678D"/>
    <w:rsid w:val="00F2725B"/>
    <w:rsid w:val="00F27635"/>
    <w:rsid w:val="00F30121"/>
    <w:rsid w:val="00F32445"/>
    <w:rsid w:val="00F33174"/>
    <w:rsid w:val="00F33C3A"/>
    <w:rsid w:val="00F3465E"/>
    <w:rsid w:val="00F34B33"/>
    <w:rsid w:val="00F34D54"/>
    <w:rsid w:val="00F359FE"/>
    <w:rsid w:val="00F36120"/>
    <w:rsid w:val="00F37E2A"/>
    <w:rsid w:val="00F40DBC"/>
    <w:rsid w:val="00F415CC"/>
    <w:rsid w:val="00F4168C"/>
    <w:rsid w:val="00F41BE2"/>
    <w:rsid w:val="00F4200E"/>
    <w:rsid w:val="00F42C00"/>
    <w:rsid w:val="00F43305"/>
    <w:rsid w:val="00F43373"/>
    <w:rsid w:val="00F436B7"/>
    <w:rsid w:val="00F4441A"/>
    <w:rsid w:val="00F45009"/>
    <w:rsid w:val="00F45177"/>
    <w:rsid w:val="00F45482"/>
    <w:rsid w:val="00F4577B"/>
    <w:rsid w:val="00F457BE"/>
    <w:rsid w:val="00F4635C"/>
    <w:rsid w:val="00F46503"/>
    <w:rsid w:val="00F46C7E"/>
    <w:rsid w:val="00F47461"/>
    <w:rsid w:val="00F4750D"/>
    <w:rsid w:val="00F47871"/>
    <w:rsid w:val="00F479DD"/>
    <w:rsid w:val="00F47D20"/>
    <w:rsid w:val="00F50B8A"/>
    <w:rsid w:val="00F51A47"/>
    <w:rsid w:val="00F52870"/>
    <w:rsid w:val="00F536ED"/>
    <w:rsid w:val="00F53A32"/>
    <w:rsid w:val="00F53ECE"/>
    <w:rsid w:val="00F5463E"/>
    <w:rsid w:val="00F54889"/>
    <w:rsid w:val="00F54977"/>
    <w:rsid w:val="00F54E94"/>
    <w:rsid w:val="00F60BF8"/>
    <w:rsid w:val="00F60C86"/>
    <w:rsid w:val="00F60F35"/>
    <w:rsid w:val="00F613D5"/>
    <w:rsid w:val="00F6295E"/>
    <w:rsid w:val="00F63895"/>
    <w:rsid w:val="00F63BDE"/>
    <w:rsid w:val="00F63C14"/>
    <w:rsid w:val="00F65618"/>
    <w:rsid w:val="00F657C7"/>
    <w:rsid w:val="00F665C0"/>
    <w:rsid w:val="00F6664E"/>
    <w:rsid w:val="00F66D2E"/>
    <w:rsid w:val="00F67C9F"/>
    <w:rsid w:val="00F7155D"/>
    <w:rsid w:val="00F71ACD"/>
    <w:rsid w:val="00F730F1"/>
    <w:rsid w:val="00F73326"/>
    <w:rsid w:val="00F74EDE"/>
    <w:rsid w:val="00F7525D"/>
    <w:rsid w:val="00F75D45"/>
    <w:rsid w:val="00F760C0"/>
    <w:rsid w:val="00F76327"/>
    <w:rsid w:val="00F7695F"/>
    <w:rsid w:val="00F77117"/>
    <w:rsid w:val="00F775BB"/>
    <w:rsid w:val="00F77780"/>
    <w:rsid w:val="00F7787C"/>
    <w:rsid w:val="00F7863C"/>
    <w:rsid w:val="00F804CC"/>
    <w:rsid w:val="00F81200"/>
    <w:rsid w:val="00F81A45"/>
    <w:rsid w:val="00F820C1"/>
    <w:rsid w:val="00F828D1"/>
    <w:rsid w:val="00F82E42"/>
    <w:rsid w:val="00F82F8E"/>
    <w:rsid w:val="00F831AC"/>
    <w:rsid w:val="00F83306"/>
    <w:rsid w:val="00F83D67"/>
    <w:rsid w:val="00F8438B"/>
    <w:rsid w:val="00F843A3"/>
    <w:rsid w:val="00F845F9"/>
    <w:rsid w:val="00F8492B"/>
    <w:rsid w:val="00F852E2"/>
    <w:rsid w:val="00F85E3D"/>
    <w:rsid w:val="00F85EAA"/>
    <w:rsid w:val="00F87604"/>
    <w:rsid w:val="00F900D8"/>
    <w:rsid w:val="00F9077D"/>
    <w:rsid w:val="00F908D4"/>
    <w:rsid w:val="00F90A66"/>
    <w:rsid w:val="00F90C3E"/>
    <w:rsid w:val="00F90F97"/>
    <w:rsid w:val="00F916BA"/>
    <w:rsid w:val="00F918BF"/>
    <w:rsid w:val="00F92645"/>
    <w:rsid w:val="00F92997"/>
    <w:rsid w:val="00F92CCD"/>
    <w:rsid w:val="00F932BA"/>
    <w:rsid w:val="00F936E7"/>
    <w:rsid w:val="00F94823"/>
    <w:rsid w:val="00F94912"/>
    <w:rsid w:val="00F97425"/>
    <w:rsid w:val="00F97F5A"/>
    <w:rsid w:val="00FA0086"/>
    <w:rsid w:val="00FA033A"/>
    <w:rsid w:val="00FA0B6D"/>
    <w:rsid w:val="00FA1691"/>
    <w:rsid w:val="00FA239F"/>
    <w:rsid w:val="00FA2C36"/>
    <w:rsid w:val="00FA3373"/>
    <w:rsid w:val="00FA4DAD"/>
    <w:rsid w:val="00FA4DD7"/>
    <w:rsid w:val="00FA5BBD"/>
    <w:rsid w:val="00FA5FD5"/>
    <w:rsid w:val="00FA677D"/>
    <w:rsid w:val="00FA70D4"/>
    <w:rsid w:val="00FA7189"/>
    <w:rsid w:val="00FA7530"/>
    <w:rsid w:val="00FA77F0"/>
    <w:rsid w:val="00FB016D"/>
    <w:rsid w:val="00FB0737"/>
    <w:rsid w:val="00FB0918"/>
    <w:rsid w:val="00FB1050"/>
    <w:rsid w:val="00FB119C"/>
    <w:rsid w:val="00FB23B7"/>
    <w:rsid w:val="00FB3727"/>
    <w:rsid w:val="00FB3A55"/>
    <w:rsid w:val="00FB3EFA"/>
    <w:rsid w:val="00FB57FC"/>
    <w:rsid w:val="00FB6C13"/>
    <w:rsid w:val="00FB6DED"/>
    <w:rsid w:val="00FB7B1E"/>
    <w:rsid w:val="00FC07AE"/>
    <w:rsid w:val="00FC08F8"/>
    <w:rsid w:val="00FC0F7D"/>
    <w:rsid w:val="00FC121F"/>
    <w:rsid w:val="00FC4C36"/>
    <w:rsid w:val="00FC6788"/>
    <w:rsid w:val="00FC68B8"/>
    <w:rsid w:val="00FC6DA2"/>
    <w:rsid w:val="00FC75DF"/>
    <w:rsid w:val="00FC7C17"/>
    <w:rsid w:val="00FD26AE"/>
    <w:rsid w:val="00FD2E7E"/>
    <w:rsid w:val="00FD2EF5"/>
    <w:rsid w:val="00FD3239"/>
    <w:rsid w:val="00FD3CCA"/>
    <w:rsid w:val="00FD3E12"/>
    <w:rsid w:val="00FD499A"/>
    <w:rsid w:val="00FD4A59"/>
    <w:rsid w:val="00FD5F70"/>
    <w:rsid w:val="00FD6BE7"/>
    <w:rsid w:val="00FD78C7"/>
    <w:rsid w:val="00FE0B1E"/>
    <w:rsid w:val="00FE0E64"/>
    <w:rsid w:val="00FE1028"/>
    <w:rsid w:val="00FE12B6"/>
    <w:rsid w:val="00FE2154"/>
    <w:rsid w:val="00FE2385"/>
    <w:rsid w:val="00FE2D0D"/>
    <w:rsid w:val="00FE2D26"/>
    <w:rsid w:val="00FE355D"/>
    <w:rsid w:val="00FE3C33"/>
    <w:rsid w:val="00FE3F68"/>
    <w:rsid w:val="00FE4F8E"/>
    <w:rsid w:val="00FE5138"/>
    <w:rsid w:val="00FE67EB"/>
    <w:rsid w:val="00FE69DD"/>
    <w:rsid w:val="00FE6DD4"/>
    <w:rsid w:val="00FE733E"/>
    <w:rsid w:val="00FE737D"/>
    <w:rsid w:val="00FE7E30"/>
    <w:rsid w:val="00FE7EF4"/>
    <w:rsid w:val="00FF0156"/>
    <w:rsid w:val="00FF2960"/>
    <w:rsid w:val="00FF34D2"/>
    <w:rsid w:val="00FF3C7D"/>
    <w:rsid w:val="00FF3E96"/>
    <w:rsid w:val="00FF3F14"/>
    <w:rsid w:val="00FF42F4"/>
    <w:rsid w:val="00FF4C8B"/>
    <w:rsid w:val="00FF5096"/>
    <w:rsid w:val="00FF55D0"/>
    <w:rsid w:val="00FF62D1"/>
    <w:rsid w:val="00FF63A0"/>
    <w:rsid w:val="00FF69AD"/>
    <w:rsid w:val="00FF6C79"/>
    <w:rsid w:val="00FF719F"/>
    <w:rsid w:val="014505F9"/>
    <w:rsid w:val="01DB6488"/>
    <w:rsid w:val="020CFC60"/>
    <w:rsid w:val="032B2E97"/>
    <w:rsid w:val="032C06D2"/>
    <w:rsid w:val="0341C2B8"/>
    <w:rsid w:val="040275B9"/>
    <w:rsid w:val="044664EB"/>
    <w:rsid w:val="0461BB45"/>
    <w:rsid w:val="04894AFA"/>
    <w:rsid w:val="04E56A32"/>
    <w:rsid w:val="04ECF780"/>
    <w:rsid w:val="052F2C90"/>
    <w:rsid w:val="05BEB4C5"/>
    <w:rsid w:val="05C91339"/>
    <w:rsid w:val="05E919ED"/>
    <w:rsid w:val="061427D5"/>
    <w:rsid w:val="0647801B"/>
    <w:rsid w:val="06674E28"/>
    <w:rsid w:val="067AE0CB"/>
    <w:rsid w:val="0680F806"/>
    <w:rsid w:val="06B07749"/>
    <w:rsid w:val="06ECEEA0"/>
    <w:rsid w:val="0705A372"/>
    <w:rsid w:val="071F2140"/>
    <w:rsid w:val="0762338A"/>
    <w:rsid w:val="0763F660"/>
    <w:rsid w:val="07CC6CA1"/>
    <w:rsid w:val="08244A18"/>
    <w:rsid w:val="0844F87B"/>
    <w:rsid w:val="088B929F"/>
    <w:rsid w:val="0893AC5E"/>
    <w:rsid w:val="08E2DA5F"/>
    <w:rsid w:val="08EB0207"/>
    <w:rsid w:val="08F49341"/>
    <w:rsid w:val="08FF6694"/>
    <w:rsid w:val="09AC0501"/>
    <w:rsid w:val="09C2030C"/>
    <w:rsid w:val="09CDC705"/>
    <w:rsid w:val="09D2AE5D"/>
    <w:rsid w:val="09FC59B8"/>
    <w:rsid w:val="09FFDEFC"/>
    <w:rsid w:val="0A791A07"/>
    <w:rsid w:val="0A7FDA00"/>
    <w:rsid w:val="0ACB09F6"/>
    <w:rsid w:val="0AD27460"/>
    <w:rsid w:val="0AE225CE"/>
    <w:rsid w:val="0B1DA3BF"/>
    <w:rsid w:val="0B6CC8F7"/>
    <w:rsid w:val="0BA6766E"/>
    <w:rsid w:val="0C5FFD7A"/>
    <w:rsid w:val="0C8C87FB"/>
    <w:rsid w:val="0CCCB580"/>
    <w:rsid w:val="0D080FB6"/>
    <w:rsid w:val="0D08F423"/>
    <w:rsid w:val="0D518419"/>
    <w:rsid w:val="0DC1888F"/>
    <w:rsid w:val="0E3C7E98"/>
    <w:rsid w:val="0E476588"/>
    <w:rsid w:val="0E5E67BA"/>
    <w:rsid w:val="0EE23EED"/>
    <w:rsid w:val="0EE8C8DD"/>
    <w:rsid w:val="0EF15307"/>
    <w:rsid w:val="0EF5220D"/>
    <w:rsid w:val="0F08F629"/>
    <w:rsid w:val="0F31019E"/>
    <w:rsid w:val="0F44ED78"/>
    <w:rsid w:val="0F4DD190"/>
    <w:rsid w:val="0F619DFB"/>
    <w:rsid w:val="0F755D21"/>
    <w:rsid w:val="0F79059E"/>
    <w:rsid w:val="0FC30689"/>
    <w:rsid w:val="0FC53B02"/>
    <w:rsid w:val="100C0EF9"/>
    <w:rsid w:val="100DC045"/>
    <w:rsid w:val="104C6CD6"/>
    <w:rsid w:val="1065B0EB"/>
    <w:rsid w:val="1065C4F1"/>
    <w:rsid w:val="10845CE4"/>
    <w:rsid w:val="1090C76C"/>
    <w:rsid w:val="11264E41"/>
    <w:rsid w:val="11500766"/>
    <w:rsid w:val="115FD078"/>
    <w:rsid w:val="11782797"/>
    <w:rsid w:val="117EF1E0"/>
    <w:rsid w:val="11A0126A"/>
    <w:rsid w:val="11B5F90E"/>
    <w:rsid w:val="11D4C37C"/>
    <w:rsid w:val="12135569"/>
    <w:rsid w:val="126CA2B9"/>
    <w:rsid w:val="12767126"/>
    <w:rsid w:val="129F92BF"/>
    <w:rsid w:val="12A9DDBA"/>
    <w:rsid w:val="12F12957"/>
    <w:rsid w:val="1308B26F"/>
    <w:rsid w:val="130EA4EC"/>
    <w:rsid w:val="13240578"/>
    <w:rsid w:val="134738B2"/>
    <w:rsid w:val="134A7F11"/>
    <w:rsid w:val="1351EB28"/>
    <w:rsid w:val="135ABA51"/>
    <w:rsid w:val="13789B7B"/>
    <w:rsid w:val="13E3E3AC"/>
    <w:rsid w:val="13EFAB1A"/>
    <w:rsid w:val="13F3DF69"/>
    <w:rsid w:val="141504FD"/>
    <w:rsid w:val="1430D213"/>
    <w:rsid w:val="14351554"/>
    <w:rsid w:val="14A4AC6C"/>
    <w:rsid w:val="14A78C4B"/>
    <w:rsid w:val="14D730AA"/>
    <w:rsid w:val="14D829AE"/>
    <w:rsid w:val="152480F6"/>
    <w:rsid w:val="15495B52"/>
    <w:rsid w:val="154E960A"/>
    <w:rsid w:val="1583A658"/>
    <w:rsid w:val="159DB67D"/>
    <w:rsid w:val="15D0E5B5"/>
    <w:rsid w:val="15F0299D"/>
    <w:rsid w:val="160AC495"/>
    <w:rsid w:val="1671307A"/>
    <w:rsid w:val="16AD419E"/>
    <w:rsid w:val="16C9CC39"/>
    <w:rsid w:val="17C2F51D"/>
    <w:rsid w:val="17CE0BB2"/>
    <w:rsid w:val="17CE67FF"/>
    <w:rsid w:val="17FFE7E6"/>
    <w:rsid w:val="18144AD6"/>
    <w:rsid w:val="1843A8B8"/>
    <w:rsid w:val="188E3B75"/>
    <w:rsid w:val="1899A63A"/>
    <w:rsid w:val="18A57F33"/>
    <w:rsid w:val="1913FFD2"/>
    <w:rsid w:val="19356A9B"/>
    <w:rsid w:val="1950A119"/>
    <w:rsid w:val="1962678F"/>
    <w:rsid w:val="197AFD6E"/>
    <w:rsid w:val="19E1B8AD"/>
    <w:rsid w:val="1A56867A"/>
    <w:rsid w:val="1A58FB62"/>
    <w:rsid w:val="1A8F5E5C"/>
    <w:rsid w:val="1AB4EF9F"/>
    <w:rsid w:val="1AEA54EA"/>
    <w:rsid w:val="1AFC1E93"/>
    <w:rsid w:val="1B4C5016"/>
    <w:rsid w:val="1B8300C4"/>
    <w:rsid w:val="1BA3CDB8"/>
    <w:rsid w:val="1BA7AA46"/>
    <w:rsid w:val="1BE8953D"/>
    <w:rsid w:val="1C4D9C02"/>
    <w:rsid w:val="1C575DE7"/>
    <w:rsid w:val="1C66A083"/>
    <w:rsid w:val="1C7467AC"/>
    <w:rsid w:val="1C883BF7"/>
    <w:rsid w:val="1CA4C375"/>
    <w:rsid w:val="1CBABC03"/>
    <w:rsid w:val="1CF8CBC1"/>
    <w:rsid w:val="1CFA541F"/>
    <w:rsid w:val="1D1A629F"/>
    <w:rsid w:val="1D6C3080"/>
    <w:rsid w:val="1DD5BCB2"/>
    <w:rsid w:val="1DEF4F02"/>
    <w:rsid w:val="1DF190F6"/>
    <w:rsid w:val="1E28EB4A"/>
    <w:rsid w:val="1E5D0158"/>
    <w:rsid w:val="1E88CFEA"/>
    <w:rsid w:val="1EB1B7E1"/>
    <w:rsid w:val="1F06C449"/>
    <w:rsid w:val="1F12000B"/>
    <w:rsid w:val="1F44672B"/>
    <w:rsid w:val="1F6314C3"/>
    <w:rsid w:val="1F6D4789"/>
    <w:rsid w:val="1F7DE386"/>
    <w:rsid w:val="1FCF9785"/>
    <w:rsid w:val="2023C337"/>
    <w:rsid w:val="202B724F"/>
    <w:rsid w:val="2064FAB0"/>
    <w:rsid w:val="20673C94"/>
    <w:rsid w:val="20F7A663"/>
    <w:rsid w:val="2126367C"/>
    <w:rsid w:val="2156F385"/>
    <w:rsid w:val="21C2BFA8"/>
    <w:rsid w:val="21CE5EF8"/>
    <w:rsid w:val="22239B44"/>
    <w:rsid w:val="222E3153"/>
    <w:rsid w:val="22456B5B"/>
    <w:rsid w:val="22556B95"/>
    <w:rsid w:val="22641461"/>
    <w:rsid w:val="22EA5197"/>
    <w:rsid w:val="23093849"/>
    <w:rsid w:val="23183C9E"/>
    <w:rsid w:val="238D8F28"/>
    <w:rsid w:val="23BB7703"/>
    <w:rsid w:val="23D8E354"/>
    <w:rsid w:val="2419E7DC"/>
    <w:rsid w:val="24516799"/>
    <w:rsid w:val="2456C95F"/>
    <w:rsid w:val="24BED0D6"/>
    <w:rsid w:val="250BA132"/>
    <w:rsid w:val="251E4073"/>
    <w:rsid w:val="2525D3B4"/>
    <w:rsid w:val="2532C399"/>
    <w:rsid w:val="253E8B2A"/>
    <w:rsid w:val="258D2D9F"/>
    <w:rsid w:val="25AA8286"/>
    <w:rsid w:val="25D03E7C"/>
    <w:rsid w:val="25FC92EA"/>
    <w:rsid w:val="26C0062D"/>
    <w:rsid w:val="26CCF2AE"/>
    <w:rsid w:val="26F317C5"/>
    <w:rsid w:val="26FB4569"/>
    <w:rsid w:val="26FF0284"/>
    <w:rsid w:val="27455D2C"/>
    <w:rsid w:val="276651F0"/>
    <w:rsid w:val="276B6DEB"/>
    <w:rsid w:val="27A28989"/>
    <w:rsid w:val="27F19A73"/>
    <w:rsid w:val="28013B0F"/>
    <w:rsid w:val="287103CE"/>
    <w:rsid w:val="2880F957"/>
    <w:rsid w:val="295A3697"/>
    <w:rsid w:val="29B072E3"/>
    <w:rsid w:val="29B3DA9D"/>
    <w:rsid w:val="29E9BD4B"/>
    <w:rsid w:val="2A0299BE"/>
    <w:rsid w:val="2A2760B8"/>
    <w:rsid w:val="2A41B8A4"/>
    <w:rsid w:val="2A47A81E"/>
    <w:rsid w:val="2A4BED26"/>
    <w:rsid w:val="2A863177"/>
    <w:rsid w:val="2AA37DE4"/>
    <w:rsid w:val="2AA900C1"/>
    <w:rsid w:val="2AE3B144"/>
    <w:rsid w:val="2AEF4377"/>
    <w:rsid w:val="2B0A175B"/>
    <w:rsid w:val="2B12468E"/>
    <w:rsid w:val="2B55652F"/>
    <w:rsid w:val="2B6D6A62"/>
    <w:rsid w:val="2B951538"/>
    <w:rsid w:val="2B99A8BF"/>
    <w:rsid w:val="2BF2DE6F"/>
    <w:rsid w:val="2BFBB923"/>
    <w:rsid w:val="2BFE3215"/>
    <w:rsid w:val="2C80CE13"/>
    <w:rsid w:val="2C84A5CD"/>
    <w:rsid w:val="2CA0A44C"/>
    <w:rsid w:val="2CA2F420"/>
    <w:rsid w:val="2CAD71B4"/>
    <w:rsid w:val="2D12297C"/>
    <w:rsid w:val="2D21DBC3"/>
    <w:rsid w:val="2DCDFA25"/>
    <w:rsid w:val="2DD5EAB3"/>
    <w:rsid w:val="2DE14AB9"/>
    <w:rsid w:val="2E38A2B7"/>
    <w:rsid w:val="2E4EA87C"/>
    <w:rsid w:val="2E5C64D0"/>
    <w:rsid w:val="2E789557"/>
    <w:rsid w:val="2EA0FBB2"/>
    <w:rsid w:val="2EBAD3E6"/>
    <w:rsid w:val="2EE1E307"/>
    <w:rsid w:val="2F38AC21"/>
    <w:rsid w:val="2F3CA997"/>
    <w:rsid w:val="2F4C6E9C"/>
    <w:rsid w:val="2FCEFCF3"/>
    <w:rsid w:val="2FF8C657"/>
    <w:rsid w:val="300DC3B6"/>
    <w:rsid w:val="303037B7"/>
    <w:rsid w:val="309874BC"/>
    <w:rsid w:val="30BDBE60"/>
    <w:rsid w:val="317100A6"/>
    <w:rsid w:val="31744230"/>
    <w:rsid w:val="31938CC2"/>
    <w:rsid w:val="31E04E6F"/>
    <w:rsid w:val="31F72B3B"/>
    <w:rsid w:val="3208A37B"/>
    <w:rsid w:val="3210CE94"/>
    <w:rsid w:val="32606A0E"/>
    <w:rsid w:val="327694CB"/>
    <w:rsid w:val="328C6446"/>
    <w:rsid w:val="32965A89"/>
    <w:rsid w:val="329E7ED9"/>
    <w:rsid w:val="32E60860"/>
    <w:rsid w:val="33320598"/>
    <w:rsid w:val="333938BC"/>
    <w:rsid w:val="335B3B6D"/>
    <w:rsid w:val="335F6FDC"/>
    <w:rsid w:val="3384F02E"/>
    <w:rsid w:val="339EDADB"/>
    <w:rsid w:val="33B9DE89"/>
    <w:rsid w:val="33F30469"/>
    <w:rsid w:val="34605C50"/>
    <w:rsid w:val="3488B041"/>
    <w:rsid w:val="34EF9FE9"/>
    <w:rsid w:val="350DD091"/>
    <w:rsid w:val="351EBAF1"/>
    <w:rsid w:val="3588CF26"/>
    <w:rsid w:val="359C5B26"/>
    <w:rsid w:val="35D0AEE3"/>
    <w:rsid w:val="35EA7320"/>
    <w:rsid w:val="35FE486F"/>
    <w:rsid w:val="360FC9DF"/>
    <w:rsid w:val="36333450"/>
    <w:rsid w:val="3670D97E"/>
    <w:rsid w:val="36754FBA"/>
    <w:rsid w:val="367CA370"/>
    <w:rsid w:val="36C95514"/>
    <w:rsid w:val="36D22EDA"/>
    <w:rsid w:val="36EBC184"/>
    <w:rsid w:val="36F2F1C0"/>
    <w:rsid w:val="3717A5B1"/>
    <w:rsid w:val="3739402F"/>
    <w:rsid w:val="373D9D67"/>
    <w:rsid w:val="374A9A22"/>
    <w:rsid w:val="37C5DEF5"/>
    <w:rsid w:val="3808638F"/>
    <w:rsid w:val="38387315"/>
    <w:rsid w:val="387AA97C"/>
    <w:rsid w:val="3898D134"/>
    <w:rsid w:val="38D32E50"/>
    <w:rsid w:val="39285216"/>
    <w:rsid w:val="3958ECCA"/>
    <w:rsid w:val="39641C3B"/>
    <w:rsid w:val="396F1998"/>
    <w:rsid w:val="3A544D6E"/>
    <w:rsid w:val="3A66DEC0"/>
    <w:rsid w:val="3A85DBE0"/>
    <w:rsid w:val="3B1B76E7"/>
    <w:rsid w:val="3BB32688"/>
    <w:rsid w:val="3BBA110B"/>
    <w:rsid w:val="3BD4BF2C"/>
    <w:rsid w:val="3C000589"/>
    <w:rsid w:val="3C015BA8"/>
    <w:rsid w:val="3C37F2E9"/>
    <w:rsid w:val="3C471836"/>
    <w:rsid w:val="3C55C460"/>
    <w:rsid w:val="3C5779BA"/>
    <w:rsid w:val="3C7C0FEC"/>
    <w:rsid w:val="3C812BFB"/>
    <w:rsid w:val="3C815F18"/>
    <w:rsid w:val="3CB019A0"/>
    <w:rsid w:val="3CFE14C2"/>
    <w:rsid w:val="3D129B8E"/>
    <w:rsid w:val="3D303E60"/>
    <w:rsid w:val="3D30CB8F"/>
    <w:rsid w:val="3DBB8A0C"/>
    <w:rsid w:val="3DCF3B0A"/>
    <w:rsid w:val="3E47BDFD"/>
    <w:rsid w:val="3E77774C"/>
    <w:rsid w:val="3E9648CF"/>
    <w:rsid w:val="3EB1FF3A"/>
    <w:rsid w:val="3EE23C21"/>
    <w:rsid w:val="3EEBAC5E"/>
    <w:rsid w:val="3EF49792"/>
    <w:rsid w:val="3EFF6798"/>
    <w:rsid w:val="3F127F88"/>
    <w:rsid w:val="3F2E8F49"/>
    <w:rsid w:val="3F574BE4"/>
    <w:rsid w:val="3FBBD889"/>
    <w:rsid w:val="40044D13"/>
    <w:rsid w:val="40068B18"/>
    <w:rsid w:val="403BC9B4"/>
    <w:rsid w:val="40C30523"/>
    <w:rsid w:val="40D36C81"/>
    <w:rsid w:val="4106FD30"/>
    <w:rsid w:val="411C72AD"/>
    <w:rsid w:val="41486F0D"/>
    <w:rsid w:val="41D99790"/>
    <w:rsid w:val="41FB2A10"/>
    <w:rsid w:val="42018E07"/>
    <w:rsid w:val="4269B9FB"/>
    <w:rsid w:val="426B3B58"/>
    <w:rsid w:val="42B52ACA"/>
    <w:rsid w:val="42B599DC"/>
    <w:rsid w:val="42E276F8"/>
    <w:rsid w:val="42FFD3D0"/>
    <w:rsid w:val="4344F05C"/>
    <w:rsid w:val="434E2AB9"/>
    <w:rsid w:val="434E76F5"/>
    <w:rsid w:val="435484B7"/>
    <w:rsid w:val="437EA644"/>
    <w:rsid w:val="438601B3"/>
    <w:rsid w:val="43D5E333"/>
    <w:rsid w:val="441F34F3"/>
    <w:rsid w:val="444853EC"/>
    <w:rsid w:val="448400C4"/>
    <w:rsid w:val="44974F1F"/>
    <w:rsid w:val="44E20446"/>
    <w:rsid w:val="454E0D69"/>
    <w:rsid w:val="459BB056"/>
    <w:rsid w:val="45A16AAE"/>
    <w:rsid w:val="45C93D16"/>
    <w:rsid w:val="45CDA152"/>
    <w:rsid w:val="468FA288"/>
    <w:rsid w:val="469E3C95"/>
    <w:rsid w:val="46AA7DB9"/>
    <w:rsid w:val="46B98F85"/>
    <w:rsid w:val="46F837E5"/>
    <w:rsid w:val="4701636F"/>
    <w:rsid w:val="4711B21F"/>
    <w:rsid w:val="472F321C"/>
    <w:rsid w:val="47365F19"/>
    <w:rsid w:val="473B631D"/>
    <w:rsid w:val="4787D177"/>
    <w:rsid w:val="4790379B"/>
    <w:rsid w:val="47B7BD72"/>
    <w:rsid w:val="47BBA186"/>
    <w:rsid w:val="47E4A457"/>
    <w:rsid w:val="47E57A38"/>
    <w:rsid w:val="481589C1"/>
    <w:rsid w:val="4824BC4B"/>
    <w:rsid w:val="48381BF9"/>
    <w:rsid w:val="484551FB"/>
    <w:rsid w:val="484DDD18"/>
    <w:rsid w:val="48788133"/>
    <w:rsid w:val="4897109B"/>
    <w:rsid w:val="48B55645"/>
    <w:rsid w:val="48C59D03"/>
    <w:rsid w:val="48F20D38"/>
    <w:rsid w:val="49224665"/>
    <w:rsid w:val="495AE01A"/>
    <w:rsid w:val="49A9E08E"/>
    <w:rsid w:val="49E54B52"/>
    <w:rsid w:val="4A0CA53D"/>
    <w:rsid w:val="4A14EBD4"/>
    <w:rsid w:val="4A18C7C2"/>
    <w:rsid w:val="4A33957C"/>
    <w:rsid w:val="4A537145"/>
    <w:rsid w:val="4A7B5D56"/>
    <w:rsid w:val="4A9532AC"/>
    <w:rsid w:val="4AC88ACB"/>
    <w:rsid w:val="4ACCF7C9"/>
    <w:rsid w:val="4AE97569"/>
    <w:rsid w:val="4B11431B"/>
    <w:rsid w:val="4B61DD68"/>
    <w:rsid w:val="4B641344"/>
    <w:rsid w:val="4B66D4D4"/>
    <w:rsid w:val="4B935EB2"/>
    <w:rsid w:val="4B936589"/>
    <w:rsid w:val="4B97C19B"/>
    <w:rsid w:val="4BA6E5BA"/>
    <w:rsid w:val="4BA812A4"/>
    <w:rsid w:val="4BCF65DD"/>
    <w:rsid w:val="4C31030D"/>
    <w:rsid w:val="4C74DC5D"/>
    <w:rsid w:val="4C775846"/>
    <w:rsid w:val="4C864709"/>
    <w:rsid w:val="4CDB4FD4"/>
    <w:rsid w:val="4CDBA12C"/>
    <w:rsid w:val="4CE820CC"/>
    <w:rsid w:val="4CFA1D07"/>
    <w:rsid w:val="4CFC19D2"/>
    <w:rsid w:val="4D09E21B"/>
    <w:rsid w:val="4D81A4BC"/>
    <w:rsid w:val="4D8A8550"/>
    <w:rsid w:val="4D9DDA34"/>
    <w:rsid w:val="4E147248"/>
    <w:rsid w:val="4E365FCF"/>
    <w:rsid w:val="4E459A20"/>
    <w:rsid w:val="4E6AD2E0"/>
    <w:rsid w:val="4E7A4962"/>
    <w:rsid w:val="4E7DF83A"/>
    <w:rsid w:val="4F40420E"/>
    <w:rsid w:val="4FCE288E"/>
    <w:rsid w:val="4FD8582B"/>
    <w:rsid w:val="4FE4EBDD"/>
    <w:rsid w:val="5063572E"/>
    <w:rsid w:val="507700FE"/>
    <w:rsid w:val="507AAEF8"/>
    <w:rsid w:val="51336F8D"/>
    <w:rsid w:val="51CB17CF"/>
    <w:rsid w:val="51DF25A0"/>
    <w:rsid w:val="51FDAEDF"/>
    <w:rsid w:val="51FE55BC"/>
    <w:rsid w:val="522F0640"/>
    <w:rsid w:val="524C825A"/>
    <w:rsid w:val="5258DC89"/>
    <w:rsid w:val="52A31684"/>
    <w:rsid w:val="52B46F68"/>
    <w:rsid w:val="52BE9CFA"/>
    <w:rsid w:val="52BFC865"/>
    <w:rsid w:val="52CD4811"/>
    <w:rsid w:val="53320197"/>
    <w:rsid w:val="533452E5"/>
    <w:rsid w:val="536B7830"/>
    <w:rsid w:val="539AEDC5"/>
    <w:rsid w:val="54101984"/>
    <w:rsid w:val="54297251"/>
    <w:rsid w:val="54371821"/>
    <w:rsid w:val="546BE289"/>
    <w:rsid w:val="550E6315"/>
    <w:rsid w:val="551ABFA7"/>
    <w:rsid w:val="5523D503"/>
    <w:rsid w:val="5542B24E"/>
    <w:rsid w:val="5575F399"/>
    <w:rsid w:val="5596D1E1"/>
    <w:rsid w:val="55D0991B"/>
    <w:rsid w:val="55D83529"/>
    <w:rsid w:val="56980087"/>
    <w:rsid w:val="56A67D07"/>
    <w:rsid w:val="56AD3B41"/>
    <w:rsid w:val="56BAA87A"/>
    <w:rsid w:val="56CCC700"/>
    <w:rsid w:val="56F86875"/>
    <w:rsid w:val="56FA2AAA"/>
    <w:rsid w:val="571B5723"/>
    <w:rsid w:val="5731C599"/>
    <w:rsid w:val="573FC25F"/>
    <w:rsid w:val="57818974"/>
    <w:rsid w:val="5781A78B"/>
    <w:rsid w:val="57A05A03"/>
    <w:rsid w:val="5821899F"/>
    <w:rsid w:val="5835DA81"/>
    <w:rsid w:val="58434987"/>
    <w:rsid w:val="5856FDA5"/>
    <w:rsid w:val="58E19325"/>
    <w:rsid w:val="5961DEED"/>
    <w:rsid w:val="598458BD"/>
    <w:rsid w:val="59B62B00"/>
    <w:rsid w:val="5A4ED184"/>
    <w:rsid w:val="5A8C8A04"/>
    <w:rsid w:val="5A8D7A6E"/>
    <w:rsid w:val="5AAD3175"/>
    <w:rsid w:val="5B11EC73"/>
    <w:rsid w:val="5B270D31"/>
    <w:rsid w:val="5B581A8C"/>
    <w:rsid w:val="5B809437"/>
    <w:rsid w:val="5B9C4795"/>
    <w:rsid w:val="5BAF4216"/>
    <w:rsid w:val="5BBD39F4"/>
    <w:rsid w:val="5BBF69F9"/>
    <w:rsid w:val="5BD86F0C"/>
    <w:rsid w:val="5C4F145D"/>
    <w:rsid w:val="5C749E78"/>
    <w:rsid w:val="5C7D26B2"/>
    <w:rsid w:val="5C8D6678"/>
    <w:rsid w:val="5CB57AA2"/>
    <w:rsid w:val="5CC10954"/>
    <w:rsid w:val="5CEE52AB"/>
    <w:rsid w:val="5D1C6498"/>
    <w:rsid w:val="5D768842"/>
    <w:rsid w:val="5D847C7A"/>
    <w:rsid w:val="5DCCF8B6"/>
    <w:rsid w:val="5E57A3AE"/>
    <w:rsid w:val="5EC8C52A"/>
    <w:rsid w:val="5ED27ACA"/>
    <w:rsid w:val="5F16D9B1"/>
    <w:rsid w:val="5F34832C"/>
    <w:rsid w:val="60094675"/>
    <w:rsid w:val="60273EEF"/>
    <w:rsid w:val="6064AA8C"/>
    <w:rsid w:val="607CD4BB"/>
    <w:rsid w:val="607CE44E"/>
    <w:rsid w:val="6082EBDF"/>
    <w:rsid w:val="608BB89D"/>
    <w:rsid w:val="608F1D18"/>
    <w:rsid w:val="60F0A6F1"/>
    <w:rsid w:val="60F33353"/>
    <w:rsid w:val="6114DBD9"/>
    <w:rsid w:val="615850E5"/>
    <w:rsid w:val="61D8C9E5"/>
    <w:rsid w:val="623AB6CC"/>
    <w:rsid w:val="62585A96"/>
    <w:rsid w:val="625A2FF7"/>
    <w:rsid w:val="6262804C"/>
    <w:rsid w:val="62A39FB5"/>
    <w:rsid w:val="62D201EB"/>
    <w:rsid w:val="62D32221"/>
    <w:rsid w:val="62D5D0F4"/>
    <w:rsid w:val="62EB3F3A"/>
    <w:rsid w:val="630F4A4E"/>
    <w:rsid w:val="63146E98"/>
    <w:rsid w:val="6333C0B0"/>
    <w:rsid w:val="638AC286"/>
    <w:rsid w:val="63A0DA0C"/>
    <w:rsid w:val="63D56B5B"/>
    <w:rsid w:val="641497F7"/>
    <w:rsid w:val="6432E081"/>
    <w:rsid w:val="6495FCE4"/>
    <w:rsid w:val="65C40E0B"/>
    <w:rsid w:val="65D3A084"/>
    <w:rsid w:val="65E2C07C"/>
    <w:rsid w:val="661C92E3"/>
    <w:rsid w:val="666259FC"/>
    <w:rsid w:val="667C6DE9"/>
    <w:rsid w:val="66F998A1"/>
    <w:rsid w:val="67517005"/>
    <w:rsid w:val="676A9ED2"/>
    <w:rsid w:val="6772A516"/>
    <w:rsid w:val="679234B7"/>
    <w:rsid w:val="67E4C771"/>
    <w:rsid w:val="683A4B0A"/>
    <w:rsid w:val="684BFCB3"/>
    <w:rsid w:val="686A494D"/>
    <w:rsid w:val="68BB4746"/>
    <w:rsid w:val="69146F08"/>
    <w:rsid w:val="69277923"/>
    <w:rsid w:val="694C3425"/>
    <w:rsid w:val="696AF449"/>
    <w:rsid w:val="69756558"/>
    <w:rsid w:val="6977B408"/>
    <w:rsid w:val="6992D253"/>
    <w:rsid w:val="69A7F97F"/>
    <w:rsid w:val="6A44DCB4"/>
    <w:rsid w:val="6A6B3E4F"/>
    <w:rsid w:val="6A766E75"/>
    <w:rsid w:val="6A9B6B32"/>
    <w:rsid w:val="6AB9AC5D"/>
    <w:rsid w:val="6ABCFA86"/>
    <w:rsid w:val="6AD32A10"/>
    <w:rsid w:val="6AE793F5"/>
    <w:rsid w:val="6AF6511F"/>
    <w:rsid w:val="6B3B57F4"/>
    <w:rsid w:val="6B891E77"/>
    <w:rsid w:val="6B967202"/>
    <w:rsid w:val="6B971805"/>
    <w:rsid w:val="6BDDBD9D"/>
    <w:rsid w:val="6BE52F70"/>
    <w:rsid w:val="6C01525D"/>
    <w:rsid w:val="6C07F7A1"/>
    <w:rsid w:val="6C64E1DC"/>
    <w:rsid w:val="6C7A8031"/>
    <w:rsid w:val="6CB5E4B7"/>
    <w:rsid w:val="6CE3044D"/>
    <w:rsid w:val="6D49452F"/>
    <w:rsid w:val="6D6B4BD2"/>
    <w:rsid w:val="6D756CCB"/>
    <w:rsid w:val="6D871363"/>
    <w:rsid w:val="6D9466C1"/>
    <w:rsid w:val="6D981D28"/>
    <w:rsid w:val="6DE30D66"/>
    <w:rsid w:val="6DF43184"/>
    <w:rsid w:val="6DF87A5A"/>
    <w:rsid w:val="6E1476E0"/>
    <w:rsid w:val="6E27460F"/>
    <w:rsid w:val="6E2B83D6"/>
    <w:rsid w:val="6EDA50CA"/>
    <w:rsid w:val="6EDD1686"/>
    <w:rsid w:val="6F2F1CB6"/>
    <w:rsid w:val="6F5DCF1E"/>
    <w:rsid w:val="6F65DB5B"/>
    <w:rsid w:val="6F96062D"/>
    <w:rsid w:val="6FB45986"/>
    <w:rsid w:val="6FDB2FEA"/>
    <w:rsid w:val="6FE9B51F"/>
    <w:rsid w:val="7046E854"/>
    <w:rsid w:val="705533A4"/>
    <w:rsid w:val="7063C739"/>
    <w:rsid w:val="7078B6EC"/>
    <w:rsid w:val="70846762"/>
    <w:rsid w:val="70F84FEA"/>
    <w:rsid w:val="71897D80"/>
    <w:rsid w:val="71AC49E0"/>
    <w:rsid w:val="71B94B09"/>
    <w:rsid w:val="71C57CF9"/>
    <w:rsid w:val="71D28C4C"/>
    <w:rsid w:val="71D4B43F"/>
    <w:rsid w:val="71D9E8E7"/>
    <w:rsid w:val="71DD89E0"/>
    <w:rsid w:val="71DE36FE"/>
    <w:rsid w:val="72014444"/>
    <w:rsid w:val="7207D2EF"/>
    <w:rsid w:val="721E021C"/>
    <w:rsid w:val="7221E841"/>
    <w:rsid w:val="7232B4E2"/>
    <w:rsid w:val="723FF88B"/>
    <w:rsid w:val="72547C23"/>
    <w:rsid w:val="72895AAB"/>
    <w:rsid w:val="72C42AAD"/>
    <w:rsid w:val="7331BEFE"/>
    <w:rsid w:val="73404698"/>
    <w:rsid w:val="73430E48"/>
    <w:rsid w:val="735CE221"/>
    <w:rsid w:val="7397EF10"/>
    <w:rsid w:val="73B84FAB"/>
    <w:rsid w:val="73CB02B9"/>
    <w:rsid w:val="73CB222D"/>
    <w:rsid w:val="73E47DB3"/>
    <w:rsid w:val="73F9857F"/>
    <w:rsid w:val="740607F0"/>
    <w:rsid w:val="74300E4F"/>
    <w:rsid w:val="746B0009"/>
    <w:rsid w:val="746B12A0"/>
    <w:rsid w:val="74E513D6"/>
    <w:rsid w:val="751DDCF5"/>
    <w:rsid w:val="7537607D"/>
    <w:rsid w:val="757E4EB8"/>
    <w:rsid w:val="769BE86F"/>
    <w:rsid w:val="76CFF026"/>
    <w:rsid w:val="76E2BEB8"/>
    <w:rsid w:val="76F5B779"/>
    <w:rsid w:val="772A565B"/>
    <w:rsid w:val="772E31C5"/>
    <w:rsid w:val="7740D8C5"/>
    <w:rsid w:val="775D0EE9"/>
    <w:rsid w:val="7778E599"/>
    <w:rsid w:val="77AC2551"/>
    <w:rsid w:val="77D68B3E"/>
    <w:rsid w:val="780F86BA"/>
    <w:rsid w:val="781F9E64"/>
    <w:rsid w:val="786D4E7E"/>
    <w:rsid w:val="78A12224"/>
    <w:rsid w:val="78A13370"/>
    <w:rsid w:val="7905B01C"/>
    <w:rsid w:val="79394D60"/>
    <w:rsid w:val="7966B906"/>
    <w:rsid w:val="796B4194"/>
    <w:rsid w:val="796B6D8D"/>
    <w:rsid w:val="796F5AD6"/>
    <w:rsid w:val="797CCF16"/>
    <w:rsid w:val="798916D8"/>
    <w:rsid w:val="79A31C3D"/>
    <w:rsid w:val="79FA01C5"/>
    <w:rsid w:val="7A091EDF"/>
    <w:rsid w:val="7A213FA9"/>
    <w:rsid w:val="7A606312"/>
    <w:rsid w:val="7A71E3AC"/>
    <w:rsid w:val="7A9039A6"/>
    <w:rsid w:val="7ACC3A30"/>
    <w:rsid w:val="7AEAC26A"/>
    <w:rsid w:val="7B278AA9"/>
    <w:rsid w:val="7B282859"/>
    <w:rsid w:val="7B29ABEA"/>
    <w:rsid w:val="7B439A11"/>
    <w:rsid w:val="7B543536"/>
    <w:rsid w:val="7B5CC48C"/>
    <w:rsid w:val="7B8C90D1"/>
    <w:rsid w:val="7BA6AA31"/>
    <w:rsid w:val="7BACA4E1"/>
    <w:rsid w:val="7C437D12"/>
    <w:rsid w:val="7C5678E2"/>
    <w:rsid w:val="7CDB029C"/>
    <w:rsid w:val="7DA6FED4"/>
    <w:rsid w:val="7DC036D5"/>
    <w:rsid w:val="7DCED139"/>
    <w:rsid w:val="7E77E672"/>
    <w:rsid w:val="7E8A3113"/>
    <w:rsid w:val="7EB2A26C"/>
    <w:rsid w:val="7EF0E6C4"/>
    <w:rsid w:val="7F03621B"/>
    <w:rsid w:val="7F1406EB"/>
    <w:rsid w:val="7F1D8B4F"/>
    <w:rsid w:val="7F2E8A52"/>
    <w:rsid w:val="7F2F7111"/>
    <w:rsid w:val="7F309216"/>
    <w:rsid w:val="7FABE51D"/>
    <w:rsid w:val="7FDE052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7F878C"/>
  <w15:chartTrackingRefBased/>
  <w15:docId w15:val="{7FDD58E5-A736-444A-85F7-778791AC8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4A92"/>
    <w:pPr>
      <w:jc w:val="both"/>
    </w:pPr>
    <w:rPr>
      <w:rFonts w:asciiTheme="minorBidi" w:hAnsiTheme="minorBidi"/>
      <w:sz w:val="20"/>
      <w:lang w:val="en-AU"/>
    </w:rPr>
  </w:style>
  <w:style w:type="paragraph" w:styleId="Heading1">
    <w:name w:val="heading 1"/>
    <w:basedOn w:val="Normal"/>
    <w:next w:val="Normal"/>
    <w:link w:val="Heading1Char"/>
    <w:uiPriority w:val="9"/>
    <w:qFormat/>
    <w:rsid w:val="00FC4C36"/>
    <w:pPr>
      <w:keepNext/>
      <w:keepLines/>
      <w:numPr>
        <w:numId w:val="1"/>
      </w:numPr>
      <w:spacing w:before="240" w:after="0"/>
      <w:ind w:left="0" w:firstLine="0"/>
      <w:outlineLvl w:val="0"/>
    </w:pPr>
    <w:rPr>
      <w:rFonts w:asciiTheme="majorHAnsi" w:eastAsiaTheme="majorEastAsia" w:hAnsiTheme="majorHAnsi" w:cstheme="majorBidi"/>
      <w:color w:val="A5A5A5" w:themeColor="accent1" w:themeShade="BF"/>
      <w:sz w:val="32"/>
      <w:szCs w:val="32"/>
    </w:rPr>
  </w:style>
  <w:style w:type="paragraph" w:styleId="Heading2">
    <w:name w:val="heading 2"/>
    <w:basedOn w:val="Normal"/>
    <w:next w:val="Normal"/>
    <w:link w:val="Heading2Char"/>
    <w:uiPriority w:val="9"/>
    <w:unhideWhenUsed/>
    <w:qFormat/>
    <w:rsid w:val="00027861"/>
    <w:pPr>
      <w:keepNext/>
      <w:keepLines/>
      <w:numPr>
        <w:ilvl w:val="1"/>
        <w:numId w:val="1"/>
      </w:numPr>
      <w:spacing w:before="40" w:after="0"/>
      <w:outlineLvl w:val="1"/>
    </w:pPr>
    <w:rPr>
      <w:rFonts w:asciiTheme="majorHAnsi" w:eastAsiaTheme="majorEastAsia" w:hAnsiTheme="majorHAnsi" w:cstheme="majorBidi"/>
      <w:color w:val="A5A5A5" w:themeColor="accent1" w:themeShade="BF"/>
      <w:sz w:val="26"/>
      <w:szCs w:val="26"/>
    </w:rPr>
  </w:style>
  <w:style w:type="paragraph" w:styleId="Heading3">
    <w:name w:val="heading 3"/>
    <w:basedOn w:val="Heading2"/>
    <w:next w:val="Normal"/>
    <w:link w:val="Heading3Char"/>
    <w:uiPriority w:val="9"/>
    <w:unhideWhenUsed/>
    <w:qFormat/>
    <w:rsid w:val="002D5DFC"/>
    <w:pPr>
      <w:numPr>
        <w:ilvl w:val="2"/>
      </w:numPr>
      <w:ind w:left="0" w:firstLine="0"/>
      <w:outlineLvl w:val="2"/>
    </w:pPr>
    <w:rPr>
      <w:sz w:val="24"/>
      <w:szCs w:val="24"/>
    </w:rPr>
  </w:style>
  <w:style w:type="paragraph" w:styleId="Heading4">
    <w:name w:val="heading 4"/>
    <w:basedOn w:val="Normal"/>
    <w:next w:val="Normal"/>
    <w:link w:val="Heading4Char"/>
    <w:uiPriority w:val="9"/>
    <w:semiHidden/>
    <w:unhideWhenUsed/>
    <w:qFormat/>
    <w:rsid w:val="00A93030"/>
    <w:pPr>
      <w:keepNext/>
      <w:keepLines/>
      <w:spacing w:before="40" w:after="0"/>
      <w:outlineLvl w:val="3"/>
    </w:pPr>
    <w:rPr>
      <w:rFonts w:asciiTheme="majorHAnsi" w:eastAsiaTheme="majorEastAsia" w:hAnsiTheme="majorHAnsi" w:cstheme="majorBidi"/>
      <w:i/>
      <w:iCs/>
      <w:color w:val="A5A5A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4C36"/>
    <w:rPr>
      <w:rFonts w:asciiTheme="majorHAnsi" w:eastAsiaTheme="majorEastAsia" w:hAnsiTheme="majorHAnsi" w:cstheme="majorBidi"/>
      <w:color w:val="A5A5A5" w:themeColor="accent1" w:themeShade="BF"/>
      <w:sz w:val="32"/>
      <w:szCs w:val="32"/>
      <w:lang w:val="en-AU"/>
    </w:rPr>
  </w:style>
  <w:style w:type="paragraph" w:styleId="Title">
    <w:name w:val="Title"/>
    <w:basedOn w:val="Normal"/>
    <w:next w:val="Normal"/>
    <w:link w:val="TitleChar"/>
    <w:uiPriority w:val="10"/>
    <w:qFormat/>
    <w:rsid w:val="0025087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5087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5087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250879"/>
    <w:rPr>
      <w:rFonts w:eastAsiaTheme="minorEastAsia"/>
      <w:color w:val="5A5A5A" w:themeColor="text1" w:themeTint="A5"/>
      <w:spacing w:val="15"/>
    </w:rPr>
  </w:style>
  <w:style w:type="paragraph" w:styleId="ListParagraph">
    <w:name w:val="List Paragraph"/>
    <w:basedOn w:val="Normal"/>
    <w:uiPriority w:val="34"/>
    <w:qFormat/>
    <w:rsid w:val="00210B9E"/>
    <w:pPr>
      <w:ind w:left="720"/>
      <w:contextualSpacing/>
    </w:pPr>
  </w:style>
  <w:style w:type="character" w:customStyle="1" w:styleId="Heading2Char">
    <w:name w:val="Heading 2 Char"/>
    <w:basedOn w:val="DefaultParagraphFont"/>
    <w:link w:val="Heading2"/>
    <w:uiPriority w:val="9"/>
    <w:rsid w:val="00027861"/>
    <w:rPr>
      <w:rFonts w:asciiTheme="majorHAnsi" w:eastAsiaTheme="majorEastAsia" w:hAnsiTheme="majorHAnsi" w:cstheme="majorBidi"/>
      <w:color w:val="A5A5A5" w:themeColor="accent1" w:themeShade="BF"/>
      <w:sz w:val="26"/>
      <w:szCs w:val="26"/>
      <w:lang w:val="en-AU"/>
    </w:rPr>
  </w:style>
  <w:style w:type="paragraph" w:styleId="NormalWeb">
    <w:name w:val="Normal (Web)"/>
    <w:basedOn w:val="Normal"/>
    <w:uiPriority w:val="99"/>
    <w:semiHidden/>
    <w:unhideWhenUsed/>
    <w:rsid w:val="002B2F46"/>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3E77C6"/>
    <w:rPr>
      <w:sz w:val="16"/>
      <w:szCs w:val="16"/>
    </w:rPr>
  </w:style>
  <w:style w:type="paragraph" w:styleId="CommentText">
    <w:name w:val="annotation text"/>
    <w:basedOn w:val="Normal"/>
    <w:link w:val="CommentTextChar"/>
    <w:uiPriority w:val="99"/>
    <w:unhideWhenUsed/>
    <w:rsid w:val="003E77C6"/>
    <w:pPr>
      <w:spacing w:line="240" w:lineRule="auto"/>
    </w:pPr>
    <w:rPr>
      <w:szCs w:val="20"/>
    </w:rPr>
  </w:style>
  <w:style w:type="character" w:customStyle="1" w:styleId="CommentTextChar">
    <w:name w:val="Comment Text Char"/>
    <w:basedOn w:val="DefaultParagraphFont"/>
    <w:link w:val="CommentText"/>
    <w:uiPriority w:val="99"/>
    <w:rsid w:val="003E77C6"/>
    <w:rPr>
      <w:rFonts w:asciiTheme="minorBidi" w:hAnsiTheme="minorBidi"/>
      <w:sz w:val="20"/>
      <w:szCs w:val="20"/>
      <w:lang w:val="en-AU"/>
    </w:rPr>
  </w:style>
  <w:style w:type="paragraph" w:styleId="CommentSubject">
    <w:name w:val="annotation subject"/>
    <w:basedOn w:val="CommentText"/>
    <w:next w:val="CommentText"/>
    <w:link w:val="CommentSubjectChar"/>
    <w:uiPriority w:val="99"/>
    <w:semiHidden/>
    <w:unhideWhenUsed/>
    <w:rsid w:val="003E77C6"/>
    <w:rPr>
      <w:b/>
      <w:bCs/>
    </w:rPr>
  </w:style>
  <w:style w:type="character" w:customStyle="1" w:styleId="CommentSubjectChar">
    <w:name w:val="Comment Subject Char"/>
    <w:basedOn w:val="CommentTextChar"/>
    <w:link w:val="CommentSubject"/>
    <w:uiPriority w:val="99"/>
    <w:semiHidden/>
    <w:rsid w:val="003E77C6"/>
    <w:rPr>
      <w:rFonts w:asciiTheme="minorBidi" w:hAnsiTheme="minorBidi"/>
      <w:b/>
      <w:bCs/>
      <w:sz w:val="20"/>
      <w:szCs w:val="20"/>
      <w:lang w:val="en-AU"/>
    </w:rPr>
  </w:style>
  <w:style w:type="character" w:styleId="UnresolvedMention">
    <w:name w:val="Unresolved Mention"/>
    <w:basedOn w:val="DefaultParagraphFont"/>
    <w:uiPriority w:val="99"/>
    <w:unhideWhenUsed/>
    <w:rsid w:val="00467B8C"/>
    <w:rPr>
      <w:color w:val="605E5C"/>
      <w:shd w:val="clear" w:color="auto" w:fill="E1DFDD"/>
    </w:rPr>
  </w:style>
  <w:style w:type="character" w:styleId="Mention">
    <w:name w:val="Mention"/>
    <w:basedOn w:val="DefaultParagraphFont"/>
    <w:uiPriority w:val="99"/>
    <w:unhideWhenUsed/>
    <w:rsid w:val="00467B8C"/>
    <w:rPr>
      <w:color w:val="2B579A"/>
      <w:shd w:val="clear" w:color="auto" w:fill="E1DFDD"/>
    </w:rPr>
  </w:style>
  <w:style w:type="paragraph" w:styleId="Revision">
    <w:name w:val="Revision"/>
    <w:hidden/>
    <w:uiPriority w:val="99"/>
    <w:semiHidden/>
    <w:rsid w:val="003701F9"/>
    <w:pPr>
      <w:spacing w:after="0" w:line="240" w:lineRule="auto"/>
    </w:pPr>
    <w:rPr>
      <w:lang w:val="en-AU"/>
    </w:rPr>
  </w:style>
  <w:style w:type="paragraph" w:styleId="Header">
    <w:name w:val="header"/>
    <w:basedOn w:val="Normal"/>
    <w:link w:val="HeaderChar"/>
    <w:uiPriority w:val="99"/>
    <w:unhideWhenUsed/>
    <w:rsid w:val="009C64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646F"/>
    <w:rPr>
      <w:lang w:val="en-AU"/>
    </w:rPr>
  </w:style>
  <w:style w:type="paragraph" w:styleId="Footer">
    <w:name w:val="footer"/>
    <w:basedOn w:val="Normal"/>
    <w:link w:val="FooterChar"/>
    <w:uiPriority w:val="99"/>
    <w:unhideWhenUsed/>
    <w:rsid w:val="009C64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646F"/>
    <w:rPr>
      <w:lang w:val="en-AU"/>
    </w:rPr>
  </w:style>
  <w:style w:type="character" w:styleId="Emphasis">
    <w:name w:val="Emphasis"/>
    <w:basedOn w:val="DefaultParagraphFont"/>
    <w:uiPriority w:val="20"/>
    <w:qFormat/>
    <w:rsid w:val="00FD6BE7"/>
    <w:rPr>
      <w:i/>
      <w:iCs/>
    </w:rPr>
  </w:style>
  <w:style w:type="character" w:styleId="SubtleEmphasis">
    <w:name w:val="Subtle Emphasis"/>
    <w:basedOn w:val="DefaultParagraphFont"/>
    <w:uiPriority w:val="19"/>
    <w:qFormat/>
    <w:rsid w:val="00191685"/>
    <w:rPr>
      <w:i/>
      <w:iCs/>
      <w:color w:val="404040" w:themeColor="text1" w:themeTint="BF"/>
    </w:rPr>
  </w:style>
  <w:style w:type="character" w:customStyle="1" w:styleId="Heading3Char">
    <w:name w:val="Heading 3 Char"/>
    <w:basedOn w:val="DefaultParagraphFont"/>
    <w:link w:val="Heading3"/>
    <w:uiPriority w:val="9"/>
    <w:rsid w:val="002D5DFC"/>
    <w:rPr>
      <w:rFonts w:asciiTheme="majorHAnsi" w:eastAsiaTheme="majorEastAsia" w:hAnsiTheme="majorHAnsi" w:cstheme="majorBidi"/>
      <w:color w:val="A5A5A5" w:themeColor="accent1" w:themeShade="BF"/>
      <w:sz w:val="24"/>
      <w:szCs w:val="24"/>
      <w:lang w:val="en-AU"/>
    </w:rPr>
  </w:style>
  <w:style w:type="paragraph" w:styleId="TOCHeading">
    <w:name w:val="TOC Heading"/>
    <w:basedOn w:val="Heading1"/>
    <w:next w:val="Normal"/>
    <w:uiPriority w:val="39"/>
    <w:unhideWhenUsed/>
    <w:qFormat/>
    <w:rsid w:val="00E50F31"/>
    <w:pPr>
      <w:numPr>
        <w:numId w:val="0"/>
      </w:numPr>
      <w:outlineLvl w:val="9"/>
    </w:pPr>
    <w:rPr>
      <w:lang w:val="en-US"/>
    </w:rPr>
  </w:style>
  <w:style w:type="paragraph" w:styleId="TOC1">
    <w:name w:val="toc 1"/>
    <w:basedOn w:val="Normal"/>
    <w:next w:val="Normal"/>
    <w:autoRedefine/>
    <w:uiPriority w:val="39"/>
    <w:unhideWhenUsed/>
    <w:rsid w:val="009B565F"/>
    <w:pPr>
      <w:tabs>
        <w:tab w:val="right" w:leader="dot" w:pos="9016"/>
      </w:tabs>
      <w:spacing w:after="100"/>
      <w:ind w:left="709" w:hanging="709"/>
    </w:pPr>
  </w:style>
  <w:style w:type="paragraph" w:styleId="TOC2">
    <w:name w:val="toc 2"/>
    <w:basedOn w:val="Normal"/>
    <w:next w:val="Normal"/>
    <w:autoRedefine/>
    <w:uiPriority w:val="39"/>
    <w:unhideWhenUsed/>
    <w:rsid w:val="00E50F31"/>
    <w:pPr>
      <w:spacing w:after="100"/>
      <w:ind w:left="220"/>
    </w:pPr>
  </w:style>
  <w:style w:type="character" w:styleId="Hyperlink">
    <w:name w:val="Hyperlink"/>
    <w:basedOn w:val="DefaultParagraphFont"/>
    <w:uiPriority w:val="99"/>
    <w:unhideWhenUsed/>
    <w:rsid w:val="00195960"/>
    <w:rPr>
      <w:rFonts w:asciiTheme="minorBidi" w:hAnsiTheme="minorBidi"/>
      <w:color w:val="5F5F5F" w:themeColor="hyperlink"/>
      <w:sz w:val="18"/>
      <w:u w:val="single"/>
    </w:rPr>
  </w:style>
  <w:style w:type="paragraph" w:customStyle="1" w:styleId="EndNoteBibliography">
    <w:name w:val="EndNote Bibliography"/>
    <w:basedOn w:val="Normal"/>
    <w:link w:val="EndNoteBibliographyChar"/>
    <w:rsid w:val="006E3422"/>
    <w:pPr>
      <w:spacing w:after="0" w:line="240" w:lineRule="auto"/>
    </w:pPr>
    <w:rPr>
      <w:rFonts w:ascii="Calibri" w:hAnsi="Calibri" w:cs="Calibri"/>
      <w:noProof/>
      <w:sz w:val="22"/>
      <w:lang w:val="en-US"/>
    </w:rPr>
  </w:style>
  <w:style w:type="character" w:customStyle="1" w:styleId="EndNoteBibliographyChar">
    <w:name w:val="EndNote Bibliography Char"/>
    <w:basedOn w:val="DefaultParagraphFont"/>
    <w:link w:val="EndNoteBibliography"/>
    <w:rsid w:val="006E3422"/>
    <w:rPr>
      <w:rFonts w:ascii="Calibri" w:hAnsi="Calibri" w:cs="Calibri"/>
      <w:noProof/>
    </w:rPr>
  </w:style>
  <w:style w:type="paragraph" w:styleId="FootnoteText">
    <w:name w:val="footnote text"/>
    <w:basedOn w:val="Normal"/>
    <w:link w:val="FootnoteTextChar"/>
    <w:uiPriority w:val="99"/>
    <w:semiHidden/>
    <w:unhideWhenUsed/>
    <w:rsid w:val="00DE0D5E"/>
    <w:pPr>
      <w:spacing w:after="0" w:line="240" w:lineRule="auto"/>
    </w:pPr>
    <w:rPr>
      <w:szCs w:val="20"/>
    </w:rPr>
  </w:style>
  <w:style w:type="character" w:customStyle="1" w:styleId="FootnoteTextChar">
    <w:name w:val="Footnote Text Char"/>
    <w:basedOn w:val="DefaultParagraphFont"/>
    <w:link w:val="FootnoteText"/>
    <w:uiPriority w:val="99"/>
    <w:semiHidden/>
    <w:rsid w:val="00DE0D5E"/>
    <w:rPr>
      <w:rFonts w:asciiTheme="minorBidi" w:hAnsiTheme="minorBidi"/>
      <w:sz w:val="20"/>
      <w:szCs w:val="20"/>
      <w:lang w:val="en-AU"/>
    </w:rPr>
  </w:style>
  <w:style w:type="character" w:styleId="FootnoteReference">
    <w:name w:val="footnote reference"/>
    <w:basedOn w:val="DefaultParagraphFont"/>
    <w:uiPriority w:val="99"/>
    <w:semiHidden/>
    <w:unhideWhenUsed/>
    <w:rsid w:val="00DE0D5E"/>
    <w:rPr>
      <w:vertAlign w:val="superscript"/>
    </w:rPr>
  </w:style>
  <w:style w:type="table" w:styleId="TableGrid">
    <w:name w:val="Table Grid"/>
    <w:basedOn w:val="TableNormal"/>
    <w:uiPriority w:val="39"/>
    <w:rsid w:val="007F2D36"/>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A93030"/>
    <w:rPr>
      <w:rFonts w:asciiTheme="majorHAnsi" w:eastAsiaTheme="majorEastAsia" w:hAnsiTheme="majorHAnsi" w:cstheme="majorBidi"/>
      <w:i/>
      <w:iCs/>
      <w:color w:val="A5A5A5" w:themeColor="accent1" w:themeShade="BF"/>
      <w:lang w:val="en-AU"/>
    </w:rPr>
  </w:style>
  <w:style w:type="paragraph" w:styleId="BalloonText">
    <w:name w:val="Balloon Text"/>
    <w:basedOn w:val="Normal"/>
    <w:link w:val="BalloonTextChar"/>
    <w:uiPriority w:val="99"/>
    <w:semiHidden/>
    <w:unhideWhenUsed/>
    <w:rsid w:val="00CF5F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5F0E"/>
    <w:rPr>
      <w:rFonts w:ascii="Segoe UI" w:hAnsi="Segoe UI" w:cs="Segoe UI"/>
      <w:sz w:val="18"/>
      <w:szCs w:val="18"/>
      <w:lang w:val="en-AU"/>
    </w:rPr>
  </w:style>
  <w:style w:type="paragraph" w:customStyle="1" w:styleId="EndNoteBibliographyTitle">
    <w:name w:val="EndNote Bibliography Title"/>
    <w:basedOn w:val="Normal"/>
    <w:link w:val="EndNoteBibliographyTitleChar"/>
    <w:rsid w:val="009738CB"/>
    <w:pPr>
      <w:spacing w:after="0"/>
      <w:jc w:val="center"/>
    </w:pPr>
    <w:rPr>
      <w:rFonts w:ascii="Calibri" w:hAnsi="Calibri" w:cs="Calibri"/>
      <w:noProof/>
      <w:sz w:val="22"/>
      <w:lang w:val="en-US"/>
    </w:rPr>
  </w:style>
  <w:style w:type="character" w:customStyle="1" w:styleId="EndNoteBibliographyTitleChar">
    <w:name w:val="EndNote Bibliography Title Char"/>
    <w:basedOn w:val="DefaultParagraphFont"/>
    <w:link w:val="EndNoteBibliographyTitle"/>
    <w:rsid w:val="009738CB"/>
    <w:rPr>
      <w:rFonts w:ascii="Calibri" w:hAnsi="Calibri" w:cs="Calibri"/>
      <w:noProof/>
    </w:rPr>
  </w:style>
  <w:style w:type="character" w:styleId="FollowedHyperlink">
    <w:name w:val="FollowedHyperlink"/>
    <w:basedOn w:val="DefaultParagraphFont"/>
    <w:uiPriority w:val="99"/>
    <w:semiHidden/>
    <w:unhideWhenUsed/>
    <w:rsid w:val="00AB6F9B"/>
    <w:rPr>
      <w:color w:val="919191" w:themeColor="followedHyperlink"/>
      <w:u w:val="single"/>
    </w:rPr>
  </w:style>
  <w:style w:type="paragraph" w:customStyle="1" w:styleId="Default">
    <w:name w:val="Default"/>
    <w:rsid w:val="000E2F6D"/>
    <w:pPr>
      <w:autoSpaceDE w:val="0"/>
      <w:autoSpaceDN w:val="0"/>
      <w:adjustRightInd w:val="0"/>
      <w:spacing w:after="0" w:line="240" w:lineRule="auto"/>
    </w:pPr>
    <w:rPr>
      <w:rFonts w:ascii="Arial" w:hAnsi="Arial" w:cs="Arial"/>
      <w:color w:val="000000"/>
      <w:sz w:val="24"/>
      <w:szCs w:val="24"/>
      <w:lang w:val="en-AU"/>
    </w:rPr>
  </w:style>
  <w:style w:type="paragraph" w:styleId="TOC3">
    <w:name w:val="toc 3"/>
    <w:basedOn w:val="Normal"/>
    <w:next w:val="Normal"/>
    <w:autoRedefine/>
    <w:uiPriority w:val="39"/>
    <w:unhideWhenUsed/>
    <w:rsid w:val="00D04D99"/>
    <w:pPr>
      <w:spacing w:after="100"/>
      <w:ind w:left="440"/>
    </w:pPr>
  </w:style>
  <w:style w:type="paragraph" w:customStyle="1" w:styleId="TableCaption">
    <w:name w:val="Table Caption"/>
    <w:basedOn w:val="Normal"/>
    <w:qFormat/>
    <w:rsid w:val="008B7194"/>
    <w:pPr>
      <w:jc w:val="center"/>
    </w:pPr>
    <w:rPr>
      <w:b/>
      <w:bCs/>
      <w:sz w:val="16"/>
      <w:szCs w:val="18"/>
    </w:rPr>
  </w:style>
  <w:style w:type="paragraph" w:customStyle="1" w:styleId="FigureCaption">
    <w:name w:val="Figure Caption"/>
    <w:basedOn w:val="Normal"/>
    <w:qFormat/>
    <w:rsid w:val="005251F1"/>
    <w:pPr>
      <w:jc w:val="center"/>
    </w:pPr>
    <w:rPr>
      <w:b/>
      <w:bCs/>
      <w:sz w:val="16"/>
      <w:szCs w:val="16"/>
    </w:rPr>
  </w:style>
  <w:style w:type="paragraph" w:customStyle="1" w:styleId="FigureCapext">
    <w:name w:val="Figure Cap ext"/>
    <w:basedOn w:val="FigureCaption"/>
    <w:qFormat/>
    <w:rsid w:val="009B53C7"/>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08623">
      <w:bodyDiv w:val="1"/>
      <w:marLeft w:val="0"/>
      <w:marRight w:val="0"/>
      <w:marTop w:val="0"/>
      <w:marBottom w:val="0"/>
      <w:divBdr>
        <w:top w:val="none" w:sz="0" w:space="0" w:color="auto"/>
        <w:left w:val="none" w:sz="0" w:space="0" w:color="auto"/>
        <w:bottom w:val="none" w:sz="0" w:space="0" w:color="auto"/>
        <w:right w:val="none" w:sz="0" w:space="0" w:color="auto"/>
      </w:divBdr>
    </w:div>
    <w:div w:id="22558245">
      <w:bodyDiv w:val="1"/>
      <w:marLeft w:val="0"/>
      <w:marRight w:val="0"/>
      <w:marTop w:val="0"/>
      <w:marBottom w:val="0"/>
      <w:divBdr>
        <w:top w:val="none" w:sz="0" w:space="0" w:color="auto"/>
        <w:left w:val="none" w:sz="0" w:space="0" w:color="auto"/>
        <w:bottom w:val="none" w:sz="0" w:space="0" w:color="auto"/>
        <w:right w:val="none" w:sz="0" w:space="0" w:color="auto"/>
      </w:divBdr>
    </w:div>
    <w:div w:id="65342800">
      <w:bodyDiv w:val="1"/>
      <w:marLeft w:val="0"/>
      <w:marRight w:val="0"/>
      <w:marTop w:val="0"/>
      <w:marBottom w:val="0"/>
      <w:divBdr>
        <w:top w:val="none" w:sz="0" w:space="0" w:color="auto"/>
        <w:left w:val="none" w:sz="0" w:space="0" w:color="auto"/>
        <w:bottom w:val="none" w:sz="0" w:space="0" w:color="auto"/>
        <w:right w:val="none" w:sz="0" w:space="0" w:color="auto"/>
      </w:divBdr>
    </w:div>
    <w:div w:id="72896563">
      <w:bodyDiv w:val="1"/>
      <w:marLeft w:val="0"/>
      <w:marRight w:val="0"/>
      <w:marTop w:val="0"/>
      <w:marBottom w:val="0"/>
      <w:divBdr>
        <w:top w:val="none" w:sz="0" w:space="0" w:color="auto"/>
        <w:left w:val="none" w:sz="0" w:space="0" w:color="auto"/>
        <w:bottom w:val="none" w:sz="0" w:space="0" w:color="auto"/>
        <w:right w:val="none" w:sz="0" w:space="0" w:color="auto"/>
      </w:divBdr>
    </w:div>
    <w:div w:id="90243802">
      <w:bodyDiv w:val="1"/>
      <w:marLeft w:val="0"/>
      <w:marRight w:val="0"/>
      <w:marTop w:val="0"/>
      <w:marBottom w:val="0"/>
      <w:divBdr>
        <w:top w:val="none" w:sz="0" w:space="0" w:color="auto"/>
        <w:left w:val="none" w:sz="0" w:space="0" w:color="auto"/>
        <w:bottom w:val="none" w:sz="0" w:space="0" w:color="auto"/>
        <w:right w:val="none" w:sz="0" w:space="0" w:color="auto"/>
      </w:divBdr>
    </w:div>
    <w:div w:id="250435039">
      <w:bodyDiv w:val="1"/>
      <w:marLeft w:val="0"/>
      <w:marRight w:val="0"/>
      <w:marTop w:val="0"/>
      <w:marBottom w:val="0"/>
      <w:divBdr>
        <w:top w:val="none" w:sz="0" w:space="0" w:color="auto"/>
        <w:left w:val="none" w:sz="0" w:space="0" w:color="auto"/>
        <w:bottom w:val="none" w:sz="0" w:space="0" w:color="auto"/>
        <w:right w:val="none" w:sz="0" w:space="0" w:color="auto"/>
      </w:divBdr>
      <w:divsChild>
        <w:div w:id="27681229">
          <w:marLeft w:val="446"/>
          <w:marRight w:val="0"/>
          <w:marTop w:val="0"/>
          <w:marBottom w:val="0"/>
          <w:divBdr>
            <w:top w:val="none" w:sz="0" w:space="0" w:color="auto"/>
            <w:left w:val="none" w:sz="0" w:space="0" w:color="auto"/>
            <w:bottom w:val="none" w:sz="0" w:space="0" w:color="auto"/>
            <w:right w:val="none" w:sz="0" w:space="0" w:color="auto"/>
          </w:divBdr>
        </w:div>
      </w:divsChild>
    </w:div>
    <w:div w:id="273178238">
      <w:bodyDiv w:val="1"/>
      <w:marLeft w:val="0"/>
      <w:marRight w:val="0"/>
      <w:marTop w:val="0"/>
      <w:marBottom w:val="0"/>
      <w:divBdr>
        <w:top w:val="none" w:sz="0" w:space="0" w:color="auto"/>
        <w:left w:val="none" w:sz="0" w:space="0" w:color="auto"/>
        <w:bottom w:val="none" w:sz="0" w:space="0" w:color="auto"/>
        <w:right w:val="none" w:sz="0" w:space="0" w:color="auto"/>
      </w:divBdr>
    </w:div>
    <w:div w:id="383019790">
      <w:bodyDiv w:val="1"/>
      <w:marLeft w:val="0"/>
      <w:marRight w:val="0"/>
      <w:marTop w:val="0"/>
      <w:marBottom w:val="0"/>
      <w:divBdr>
        <w:top w:val="none" w:sz="0" w:space="0" w:color="auto"/>
        <w:left w:val="none" w:sz="0" w:space="0" w:color="auto"/>
        <w:bottom w:val="none" w:sz="0" w:space="0" w:color="auto"/>
        <w:right w:val="none" w:sz="0" w:space="0" w:color="auto"/>
      </w:divBdr>
    </w:div>
    <w:div w:id="533615216">
      <w:bodyDiv w:val="1"/>
      <w:marLeft w:val="0"/>
      <w:marRight w:val="0"/>
      <w:marTop w:val="0"/>
      <w:marBottom w:val="0"/>
      <w:divBdr>
        <w:top w:val="none" w:sz="0" w:space="0" w:color="auto"/>
        <w:left w:val="none" w:sz="0" w:space="0" w:color="auto"/>
        <w:bottom w:val="none" w:sz="0" w:space="0" w:color="auto"/>
        <w:right w:val="none" w:sz="0" w:space="0" w:color="auto"/>
      </w:divBdr>
    </w:div>
    <w:div w:id="583220109">
      <w:bodyDiv w:val="1"/>
      <w:marLeft w:val="0"/>
      <w:marRight w:val="0"/>
      <w:marTop w:val="0"/>
      <w:marBottom w:val="0"/>
      <w:divBdr>
        <w:top w:val="none" w:sz="0" w:space="0" w:color="auto"/>
        <w:left w:val="none" w:sz="0" w:space="0" w:color="auto"/>
        <w:bottom w:val="none" w:sz="0" w:space="0" w:color="auto"/>
        <w:right w:val="none" w:sz="0" w:space="0" w:color="auto"/>
      </w:divBdr>
      <w:divsChild>
        <w:div w:id="616525943">
          <w:marLeft w:val="446"/>
          <w:marRight w:val="0"/>
          <w:marTop w:val="0"/>
          <w:marBottom w:val="0"/>
          <w:divBdr>
            <w:top w:val="none" w:sz="0" w:space="0" w:color="auto"/>
            <w:left w:val="none" w:sz="0" w:space="0" w:color="auto"/>
            <w:bottom w:val="none" w:sz="0" w:space="0" w:color="auto"/>
            <w:right w:val="none" w:sz="0" w:space="0" w:color="auto"/>
          </w:divBdr>
        </w:div>
      </w:divsChild>
    </w:div>
    <w:div w:id="698286584">
      <w:bodyDiv w:val="1"/>
      <w:marLeft w:val="0"/>
      <w:marRight w:val="0"/>
      <w:marTop w:val="0"/>
      <w:marBottom w:val="0"/>
      <w:divBdr>
        <w:top w:val="none" w:sz="0" w:space="0" w:color="auto"/>
        <w:left w:val="none" w:sz="0" w:space="0" w:color="auto"/>
        <w:bottom w:val="none" w:sz="0" w:space="0" w:color="auto"/>
        <w:right w:val="none" w:sz="0" w:space="0" w:color="auto"/>
      </w:divBdr>
    </w:div>
    <w:div w:id="810755804">
      <w:bodyDiv w:val="1"/>
      <w:marLeft w:val="0"/>
      <w:marRight w:val="0"/>
      <w:marTop w:val="0"/>
      <w:marBottom w:val="0"/>
      <w:divBdr>
        <w:top w:val="none" w:sz="0" w:space="0" w:color="auto"/>
        <w:left w:val="none" w:sz="0" w:space="0" w:color="auto"/>
        <w:bottom w:val="none" w:sz="0" w:space="0" w:color="auto"/>
        <w:right w:val="none" w:sz="0" w:space="0" w:color="auto"/>
      </w:divBdr>
    </w:div>
    <w:div w:id="1015154703">
      <w:bodyDiv w:val="1"/>
      <w:marLeft w:val="0"/>
      <w:marRight w:val="0"/>
      <w:marTop w:val="0"/>
      <w:marBottom w:val="0"/>
      <w:divBdr>
        <w:top w:val="none" w:sz="0" w:space="0" w:color="auto"/>
        <w:left w:val="none" w:sz="0" w:space="0" w:color="auto"/>
        <w:bottom w:val="none" w:sz="0" w:space="0" w:color="auto"/>
        <w:right w:val="none" w:sz="0" w:space="0" w:color="auto"/>
      </w:divBdr>
    </w:div>
    <w:div w:id="1028605422">
      <w:bodyDiv w:val="1"/>
      <w:marLeft w:val="0"/>
      <w:marRight w:val="0"/>
      <w:marTop w:val="0"/>
      <w:marBottom w:val="0"/>
      <w:divBdr>
        <w:top w:val="none" w:sz="0" w:space="0" w:color="auto"/>
        <w:left w:val="none" w:sz="0" w:space="0" w:color="auto"/>
        <w:bottom w:val="none" w:sz="0" w:space="0" w:color="auto"/>
        <w:right w:val="none" w:sz="0" w:space="0" w:color="auto"/>
      </w:divBdr>
      <w:divsChild>
        <w:div w:id="113600291">
          <w:marLeft w:val="446"/>
          <w:marRight w:val="0"/>
          <w:marTop w:val="0"/>
          <w:marBottom w:val="0"/>
          <w:divBdr>
            <w:top w:val="none" w:sz="0" w:space="0" w:color="auto"/>
            <w:left w:val="none" w:sz="0" w:space="0" w:color="auto"/>
            <w:bottom w:val="none" w:sz="0" w:space="0" w:color="auto"/>
            <w:right w:val="none" w:sz="0" w:space="0" w:color="auto"/>
          </w:divBdr>
        </w:div>
        <w:div w:id="1318145235">
          <w:marLeft w:val="446"/>
          <w:marRight w:val="0"/>
          <w:marTop w:val="0"/>
          <w:marBottom w:val="0"/>
          <w:divBdr>
            <w:top w:val="none" w:sz="0" w:space="0" w:color="auto"/>
            <w:left w:val="none" w:sz="0" w:space="0" w:color="auto"/>
            <w:bottom w:val="none" w:sz="0" w:space="0" w:color="auto"/>
            <w:right w:val="none" w:sz="0" w:space="0" w:color="auto"/>
          </w:divBdr>
        </w:div>
      </w:divsChild>
    </w:div>
    <w:div w:id="1115709335">
      <w:bodyDiv w:val="1"/>
      <w:marLeft w:val="0"/>
      <w:marRight w:val="0"/>
      <w:marTop w:val="0"/>
      <w:marBottom w:val="0"/>
      <w:divBdr>
        <w:top w:val="none" w:sz="0" w:space="0" w:color="auto"/>
        <w:left w:val="none" w:sz="0" w:space="0" w:color="auto"/>
        <w:bottom w:val="none" w:sz="0" w:space="0" w:color="auto"/>
        <w:right w:val="none" w:sz="0" w:space="0" w:color="auto"/>
      </w:divBdr>
      <w:divsChild>
        <w:div w:id="536623926">
          <w:marLeft w:val="706"/>
          <w:marRight w:val="0"/>
          <w:marTop w:val="0"/>
          <w:marBottom w:val="0"/>
          <w:divBdr>
            <w:top w:val="none" w:sz="0" w:space="0" w:color="auto"/>
            <w:left w:val="none" w:sz="0" w:space="0" w:color="auto"/>
            <w:bottom w:val="none" w:sz="0" w:space="0" w:color="auto"/>
            <w:right w:val="none" w:sz="0" w:space="0" w:color="auto"/>
          </w:divBdr>
        </w:div>
        <w:div w:id="965935422">
          <w:marLeft w:val="706"/>
          <w:marRight w:val="0"/>
          <w:marTop w:val="0"/>
          <w:marBottom w:val="0"/>
          <w:divBdr>
            <w:top w:val="none" w:sz="0" w:space="0" w:color="auto"/>
            <w:left w:val="none" w:sz="0" w:space="0" w:color="auto"/>
            <w:bottom w:val="none" w:sz="0" w:space="0" w:color="auto"/>
            <w:right w:val="none" w:sz="0" w:space="0" w:color="auto"/>
          </w:divBdr>
        </w:div>
        <w:div w:id="979964120">
          <w:marLeft w:val="706"/>
          <w:marRight w:val="0"/>
          <w:marTop w:val="0"/>
          <w:marBottom w:val="0"/>
          <w:divBdr>
            <w:top w:val="none" w:sz="0" w:space="0" w:color="auto"/>
            <w:left w:val="none" w:sz="0" w:space="0" w:color="auto"/>
            <w:bottom w:val="none" w:sz="0" w:space="0" w:color="auto"/>
            <w:right w:val="none" w:sz="0" w:space="0" w:color="auto"/>
          </w:divBdr>
        </w:div>
      </w:divsChild>
    </w:div>
    <w:div w:id="1133215685">
      <w:bodyDiv w:val="1"/>
      <w:marLeft w:val="0"/>
      <w:marRight w:val="0"/>
      <w:marTop w:val="0"/>
      <w:marBottom w:val="0"/>
      <w:divBdr>
        <w:top w:val="none" w:sz="0" w:space="0" w:color="auto"/>
        <w:left w:val="none" w:sz="0" w:space="0" w:color="auto"/>
        <w:bottom w:val="none" w:sz="0" w:space="0" w:color="auto"/>
        <w:right w:val="none" w:sz="0" w:space="0" w:color="auto"/>
      </w:divBdr>
    </w:div>
    <w:div w:id="1155991734">
      <w:bodyDiv w:val="1"/>
      <w:marLeft w:val="0"/>
      <w:marRight w:val="0"/>
      <w:marTop w:val="0"/>
      <w:marBottom w:val="0"/>
      <w:divBdr>
        <w:top w:val="none" w:sz="0" w:space="0" w:color="auto"/>
        <w:left w:val="none" w:sz="0" w:space="0" w:color="auto"/>
        <w:bottom w:val="none" w:sz="0" w:space="0" w:color="auto"/>
        <w:right w:val="none" w:sz="0" w:space="0" w:color="auto"/>
      </w:divBdr>
    </w:div>
    <w:div w:id="1223755654">
      <w:bodyDiv w:val="1"/>
      <w:marLeft w:val="0"/>
      <w:marRight w:val="0"/>
      <w:marTop w:val="0"/>
      <w:marBottom w:val="0"/>
      <w:divBdr>
        <w:top w:val="none" w:sz="0" w:space="0" w:color="auto"/>
        <w:left w:val="none" w:sz="0" w:space="0" w:color="auto"/>
        <w:bottom w:val="none" w:sz="0" w:space="0" w:color="auto"/>
        <w:right w:val="none" w:sz="0" w:space="0" w:color="auto"/>
      </w:divBdr>
    </w:div>
    <w:div w:id="1234584326">
      <w:bodyDiv w:val="1"/>
      <w:marLeft w:val="0"/>
      <w:marRight w:val="0"/>
      <w:marTop w:val="0"/>
      <w:marBottom w:val="0"/>
      <w:divBdr>
        <w:top w:val="none" w:sz="0" w:space="0" w:color="auto"/>
        <w:left w:val="none" w:sz="0" w:space="0" w:color="auto"/>
        <w:bottom w:val="none" w:sz="0" w:space="0" w:color="auto"/>
        <w:right w:val="none" w:sz="0" w:space="0" w:color="auto"/>
      </w:divBdr>
      <w:divsChild>
        <w:div w:id="1534612815">
          <w:marLeft w:val="446"/>
          <w:marRight w:val="0"/>
          <w:marTop w:val="0"/>
          <w:marBottom w:val="0"/>
          <w:divBdr>
            <w:top w:val="none" w:sz="0" w:space="0" w:color="auto"/>
            <w:left w:val="none" w:sz="0" w:space="0" w:color="auto"/>
            <w:bottom w:val="none" w:sz="0" w:space="0" w:color="auto"/>
            <w:right w:val="none" w:sz="0" w:space="0" w:color="auto"/>
          </w:divBdr>
        </w:div>
      </w:divsChild>
    </w:div>
    <w:div w:id="1370954813">
      <w:bodyDiv w:val="1"/>
      <w:marLeft w:val="0"/>
      <w:marRight w:val="0"/>
      <w:marTop w:val="0"/>
      <w:marBottom w:val="0"/>
      <w:divBdr>
        <w:top w:val="none" w:sz="0" w:space="0" w:color="auto"/>
        <w:left w:val="none" w:sz="0" w:space="0" w:color="auto"/>
        <w:bottom w:val="none" w:sz="0" w:space="0" w:color="auto"/>
        <w:right w:val="none" w:sz="0" w:space="0" w:color="auto"/>
      </w:divBdr>
    </w:div>
    <w:div w:id="1686323370">
      <w:bodyDiv w:val="1"/>
      <w:marLeft w:val="0"/>
      <w:marRight w:val="0"/>
      <w:marTop w:val="0"/>
      <w:marBottom w:val="0"/>
      <w:divBdr>
        <w:top w:val="none" w:sz="0" w:space="0" w:color="auto"/>
        <w:left w:val="none" w:sz="0" w:space="0" w:color="auto"/>
        <w:bottom w:val="none" w:sz="0" w:space="0" w:color="auto"/>
        <w:right w:val="none" w:sz="0" w:space="0" w:color="auto"/>
      </w:divBdr>
    </w:div>
    <w:div w:id="1801990840">
      <w:bodyDiv w:val="1"/>
      <w:marLeft w:val="0"/>
      <w:marRight w:val="0"/>
      <w:marTop w:val="0"/>
      <w:marBottom w:val="0"/>
      <w:divBdr>
        <w:top w:val="none" w:sz="0" w:space="0" w:color="auto"/>
        <w:left w:val="none" w:sz="0" w:space="0" w:color="auto"/>
        <w:bottom w:val="none" w:sz="0" w:space="0" w:color="auto"/>
        <w:right w:val="none" w:sz="0" w:space="0" w:color="auto"/>
      </w:divBdr>
      <w:divsChild>
        <w:div w:id="90205214">
          <w:marLeft w:val="446"/>
          <w:marRight w:val="0"/>
          <w:marTop w:val="0"/>
          <w:marBottom w:val="0"/>
          <w:divBdr>
            <w:top w:val="none" w:sz="0" w:space="0" w:color="auto"/>
            <w:left w:val="none" w:sz="0" w:space="0" w:color="auto"/>
            <w:bottom w:val="none" w:sz="0" w:space="0" w:color="auto"/>
            <w:right w:val="none" w:sz="0" w:space="0" w:color="auto"/>
          </w:divBdr>
        </w:div>
      </w:divsChild>
    </w:div>
    <w:div w:id="1842968446">
      <w:bodyDiv w:val="1"/>
      <w:marLeft w:val="0"/>
      <w:marRight w:val="0"/>
      <w:marTop w:val="0"/>
      <w:marBottom w:val="0"/>
      <w:divBdr>
        <w:top w:val="none" w:sz="0" w:space="0" w:color="auto"/>
        <w:left w:val="none" w:sz="0" w:space="0" w:color="auto"/>
        <w:bottom w:val="none" w:sz="0" w:space="0" w:color="auto"/>
        <w:right w:val="none" w:sz="0" w:space="0" w:color="auto"/>
      </w:divBdr>
    </w:div>
    <w:div w:id="1996108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emf"/><Relationship Id="rId21" Type="http://schemas.openxmlformats.org/officeDocument/2006/relationships/image" Target="media/image3.emf"/><Relationship Id="rId42" Type="http://schemas.openxmlformats.org/officeDocument/2006/relationships/package" Target="embeddings/Microsoft_Visio_Drawing7.vsdx"/><Relationship Id="rId47" Type="http://schemas.openxmlformats.org/officeDocument/2006/relationships/hyperlink" Target="https://www.aemc.gov.au/rule-changes/removal-disincentives-primary-frequency-response" TargetMode="External"/><Relationship Id="rId63" Type="http://schemas.openxmlformats.org/officeDocument/2006/relationships/image" Target="media/image18.emf"/><Relationship Id="rId68"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package" Target="embeddings/Microsoft_Visio_Drawing3.vsdx"/><Relationship Id="rId11" Type="http://schemas.openxmlformats.org/officeDocument/2006/relationships/endnotes" Target="endnotes.xml"/><Relationship Id="rId24" Type="http://schemas.openxmlformats.org/officeDocument/2006/relationships/footer" Target="footer5.xml"/><Relationship Id="rId32" Type="http://schemas.openxmlformats.org/officeDocument/2006/relationships/image" Target="media/image9.png"/><Relationship Id="rId37" Type="http://schemas.openxmlformats.org/officeDocument/2006/relationships/image" Target="media/image13.emf"/><Relationship Id="rId40" Type="http://schemas.openxmlformats.org/officeDocument/2006/relationships/package" Target="embeddings/Microsoft_Visio_Drawing6.vsdx"/><Relationship Id="rId45" Type="http://schemas.openxmlformats.org/officeDocument/2006/relationships/hyperlink" Target="https://www.aemc.gov.au/rule-changes/fast-frequency-response-market-ancillary-service" TargetMode="External"/><Relationship Id="rId53" Type="http://schemas.openxmlformats.org/officeDocument/2006/relationships/hyperlink" Target="https://www.aemc.gov.au/rule-changes/introduction-ramping-services" TargetMode="External"/><Relationship Id="rId58" Type="http://schemas.openxmlformats.org/officeDocument/2006/relationships/hyperlink" Target="https://www.aemc.gov.au/rule-changes/synchronous-services-markets" TargetMode="External"/><Relationship Id="rId66" Type="http://schemas.openxmlformats.org/officeDocument/2006/relationships/image" Target="media/image19.png"/><Relationship Id="rId5" Type="http://schemas.openxmlformats.org/officeDocument/2006/relationships/customXml" Target="../customXml/item5.xml"/><Relationship Id="rId61" Type="http://schemas.openxmlformats.org/officeDocument/2006/relationships/footer" Target="footer6.xml"/><Relationship Id="rId19" Type="http://schemas.openxmlformats.org/officeDocument/2006/relationships/header" Target="header3.xml"/><Relationship Id="rId14" Type="http://schemas.openxmlformats.org/officeDocument/2006/relationships/package" Target="embeddings/Microsoft_Visio_Drawing.vsdx"/><Relationship Id="rId22" Type="http://schemas.openxmlformats.org/officeDocument/2006/relationships/package" Target="embeddings/Microsoft_Visio_Drawing1.vsdx"/><Relationship Id="rId27" Type="http://schemas.openxmlformats.org/officeDocument/2006/relationships/package" Target="embeddings/Microsoft_Visio_Drawing2.vsdx"/><Relationship Id="rId30" Type="http://schemas.openxmlformats.org/officeDocument/2006/relationships/image" Target="media/image7.emf"/><Relationship Id="rId35" Type="http://schemas.openxmlformats.org/officeDocument/2006/relationships/image" Target="media/image12.emf"/><Relationship Id="rId43" Type="http://schemas.openxmlformats.org/officeDocument/2006/relationships/image" Target="media/image16.emf"/><Relationship Id="rId48" Type="http://schemas.openxmlformats.org/officeDocument/2006/relationships/hyperlink" Target="https://www.aemc.gov.au/rule-changes/removal-disincentives-primary-frequency-response" TargetMode="External"/><Relationship Id="rId56" Type="http://schemas.openxmlformats.org/officeDocument/2006/relationships/hyperlink" Target="https://www.aemc.gov.au/rule-changes/efficient-management-system-strength-power-system" TargetMode="External"/><Relationship Id="rId64" Type="http://schemas.openxmlformats.org/officeDocument/2006/relationships/package" Target="embeddings/Microsoft_Visio_Drawing10.vsdx"/><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www.aemc.gov.au/rule-changes/capacity-commitment-mechanism-system-security-and-reliability-services"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image" Target="media/image4.png"/><Relationship Id="rId33" Type="http://schemas.openxmlformats.org/officeDocument/2006/relationships/image" Target="media/image10.png"/><Relationship Id="rId38" Type="http://schemas.openxmlformats.org/officeDocument/2006/relationships/package" Target="embeddings/Microsoft_Visio_Drawing5.vsdx"/><Relationship Id="rId46" Type="http://schemas.openxmlformats.org/officeDocument/2006/relationships/hyperlink" Target="https://www.aemc.gov.au/rule-changes/fast-frequency-response-market-ancillary-service" TargetMode="External"/><Relationship Id="rId59" Type="http://schemas.openxmlformats.org/officeDocument/2006/relationships/image" Target="media/image17.emf"/><Relationship Id="rId67" Type="http://schemas.openxmlformats.org/officeDocument/2006/relationships/footer" Target="footer9.xml"/><Relationship Id="rId20" Type="http://schemas.openxmlformats.org/officeDocument/2006/relationships/footer" Target="footer3.xml"/><Relationship Id="rId41" Type="http://schemas.openxmlformats.org/officeDocument/2006/relationships/image" Target="media/image15.emf"/><Relationship Id="rId54" Type="http://schemas.openxmlformats.org/officeDocument/2006/relationships/hyperlink" Target="https://www.aemc.gov.au/rule-changes/introduction-ramping-services" TargetMode="External"/><Relationship Id="rId62"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image" Target="media/image6.emf"/><Relationship Id="rId36" Type="http://schemas.openxmlformats.org/officeDocument/2006/relationships/package" Target="embeddings/Microsoft_Visio_Drawing4.vsdx"/><Relationship Id="rId49" Type="http://schemas.openxmlformats.org/officeDocument/2006/relationships/hyperlink" Target="https://www.aemc.gov.au/rule-changes/operating-reserve-market" TargetMode="External"/><Relationship Id="rId57" Type="http://schemas.openxmlformats.org/officeDocument/2006/relationships/hyperlink" Target="https://www.aemc.gov.au/rule-changes/synchronous-services-markets" TargetMode="External"/><Relationship Id="rId10" Type="http://schemas.openxmlformats.org/officeDocument/2006/relationships/footnotes" Target="footnotes.xml"/><Relationship Id="rId31" Type="http://schemas.openxmlformats.org/officeDocument/2006/relationships/image" Target="media/image8.png"/><Relationship Id="rId44" Type="http://schemas.openxmlformats.org/officeDocument/2006/relationships/package" Target="embeddings/Microsoft_Visio_Drawing8.vsdx"/><Relationship Id="rId52" Type="http://schemas.openxmlformats.org/officeDocument/2006/relationships/hyperlink" Target="https://www.aemc.gov.au/rule-changes/capacity-commitment-mechanism-system-security-and-reliability-services" TargetMode="External"/><Relationship Id="rId60" Type="http://schemas.openxmlformats.org/officeDocument/2006/relationships/package" Target="embeddings/Microsoft_Visio_Drawing9.vsdx"/><Relationship Id="rId65"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footer" Target="footer2.xml"/><Relationship Id="rId39" Type="http://schemas.openxmlformats.org/officeDocument/2006/relationships/image" Target="media/image14.emf"/><Relationship Id="rId34" Type="http://schemas.openxmlformats.org/officeDocument/2006/relationships/image" Target="media/image11.emf"/><Relationship Id="rId50" Type="http://schemas.openxmlformats.org/officeDocument/2006/relationships/hyperlink" Target="https://www.aemc.gov.au/rule-changes/operating-reserve-market" TargetMode="External"/><Relationship Id="rId55" Type="http://schemas.openxmlformats.org/officeDocument/2006/relationships/hyperlink" Target="https://www.aemc.gov.au/rule-changes/efficient-management-system-strength-power-syste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cleanenergycouncil.org.au/"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842501ad-6d77-4896-aadd-80604e9d2edf">RKKTKPDRVDYX-1483110583-257</_dlc_DocId>
    <_dlc_DocIdUrl xmlns="842501ad-6d77-4896-aadd-80604e9d2edf">
      <Url>https://csiroau.sharepoint.com/sites/G-PSTResearchPlansCo-ordination/_layouts/15/DocIdRedir.aspx?ID=RKKTKPDRVDYX-1483110583-257</Url>
      <Description>RKKTKPDRVDYX-1483110583-257</Description>
    </_dlc_DocIdUrl>
  </documentManagement>
</p:properties>
</file>

<file path=customXml/item4.xml><?xml version="1.0" encoding="utf-8"?>
<b:Sources xmlns:b="http://schemas.openxmlformats.org/officeDocument/2006/bibliography" xmlns="http://schemas.openxmlformats.org/officeDocument/2006/bibliography" SelectedStyle="\IEEE2006OfficeOnline.xsl" StyleName="IEEE" Version="2006">
  <b:Source>
    <b:Tag>AEM17</b:Tag>
    <b:SourceType>Book</b:SourceType>
    <b:Guid>{332B844A-56E2-4BD2-847B-CE0B5D3CA9DC}</b:Guid>
    <b:Author>
      <b:Author>
        <b:NameList>
          <b:Person>
            <b:Last>AEMO</b:Last>
          </b:Person>
        </b:NameList>
      </b:Author>
    </b:Author>
    <b:Title>Fact sheet National Electricity Market</b:Title>
    <b:Year>2017</b:Year>
    <b:RefOrder>1</b:RefOrder>
  </b:Source>
</b:Sources>
</file>

<file path=customXml/item5.xml><?xml version="1.0" encoding="utf-8"?>
<ct:contentTypeSchema xmlns:ct="http://schemas.microsoft.com/office/2006/metadata/contentType" xmlns:ma="http://schemas.microsoft.com/office/2006/metadata/properties/metaAttributes" ct:_="" ma:_="" ma:contentTypeName="Document" ma:contentTypeID="0x010100BA93AC918ADCC64EA21EAF11DC52FC20" ma:contentTypeVersion="8" ma:contentTypeDescription="Create a new document." ma:contentTypeScope="" ma:versionID="1d11238c0946105c22f13df5ee3a8b67">
  <xsd:schema xmlns:xsd="http://www.w3.org/2001/XMLSchema" xmlns:xs="http://www.w3.org/2001/XMLSchema" xmlns:p="http://schemas.microsoft.com/office/2006/metadata/properties" xmlns:ns2="32587c1e-3ed6-4d3c-8724-736487d0c9bd" xmlns:ns3="842501ad-6d77-4896-aadd-80604e9d2edf" targetNamespace="http://schemas.microsoft.com/office/2006/metadata/properties" ma:root="true" ma:fieldsID="9e14f384f33184b468119ff09cd8bb4d" ns2:_="" ns3:_="">
    <xsd:import namespace="32587c1e-3ed6-4d3c-8724-736487d0c9bd"/>
    <xsd:import namespace="842501ad-6d77-4896-aadd-80604e9d2ed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_dlc_DocId" minOccurs="0"/>
                <xsd:element ref="ns3:_dlc_DocIdUrl" minOccurs="0"/>
                <xsd:element ref="ns3:_dlc_DocIdPersistId"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587c1e-3ed6-4d3c-8724-736487d0c9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42501ad-6d77-4896-aadd-80604e9d2edf" elementFormDefault="qualified">
    <xsd:import namespace="http://schemas.microsoft.com/office/2006/documentManagement/types"/>
    <xsd:import namespace="http://schemas.microsoft.com/office/infopath/2007/PartnerControls"/>
    <xsd:element name="_dlc_DocId" ma:index="12" nillable="true" ma:displayName="Document ID Value" ma:description="The value of the document ID assigned to this item."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B8F6B6A-6EFE-4545-B838-CFD4A70FC30D}">
  <ds:schemaRefs>
    <ds:schemaRef ds:uri="http://schemas.microsoft.com/sharepoint/v3/contenttype/forms"/>
  </ds:schemaRefs>
</ds:datastoreItem>
</file>

<file path=customXml/itemProps2.xml><?xml version="1.0" encoding="utf-8"?>
<ds:datastoreItem xmlns:ds="http://schemas.openxmlformats.org/officeDocument/2006/customXml" ds:itemID="{CE8148FA-E292-49B4-B666-B21995DD69EA}">
  <ds:schemaRefs>
    <ds:schemaRef ds:uri="http://schemas.microsoft.com/sharepoint/events"/>
  </ds:schemaRefs>
</ds:datastoreItem>
</file>

<file path=customXml/itemProps3.xml><?xml version="1.0" encoding="utf-8"?>
<ds:datastoreItem xmlns:ds="http://schemas.openxmlformats.org/officeDocument/2006/customXml" ds:itemID="{BE4A3D90-806C-4153-9426-BC4370522369}">
  <ds:schemaRefs>
    <ds:schemaRef ds:uri="http://schemas.microsoft.com/office/2006/metadata/properties"/>
    <ds:schemaRef ds:uri="http://schemas.microsoft.com/office/infopath/2007/PartnerControls"/>
    <ds:schemaRef ds:uri="842501ad-6d77-4896-aadd-80604e9d2edf"/>
  </ds:schemaRefs>
</ds:datastoreItem>
</file>

<file path=customXml/itemProps4.xml><?xml version="1.0" encoding="utf-8"?>
<ds:datastoreItem xmlns:ds="http://schemas.openxmlformats.org/officeDocument/2006/customXml" ds:itemID="{CDC6DDEE-DFE3-4E9A-9FFC-849F3513E095}">
  <ds:schemaRefs>
    <ds:schemaRef ds:uri="http://schemas.openxmlformats.org/officeDocument/2006/bibliography"/>
  </ds:schemaRefs>
</ds:datastoreItem>
</file>

<file path=customXml/itemProps5.xml><?xml version="1.0" encoding="utf-8"?>
<ds:datastoreItem xmlns:ds="http://schemas.openxmlformats.org/officeDocument/2006/customXml" ds:itemID="{5F48DC61-5E26-4778-9669-1BC43C897B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587c1e-3ed6-4d3c-8724-736487d0c9bd"/>
    <ds:schemaRef ds:uri="842501ad-6d77-4896-aadd-80604e9d2e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2220</TotalTime>
  <Pages>34</Pages>
  <Words>20077</Words>
  <Characters>114444</Characters>
  <Application>Microsoft Office Word</Application>
  <DocSecurity>0</DocSecurity>
  <Lines>953</Lines>
  <Paragraphs>268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134253</CharactersWithSpaces>
  <SharedDoc>false</SharedDoc>
  <HLinks>
    <vt:vector size="318" baseType="variant">
      <vt:variant>
        <vt:i4>5177358</vt:i4>
      </vt:variant>
      <vt:variant>
        <vt:i4>491</vt:i4>
      </vt:variant>
      <vt:variant>
        <vt:i4>0</vt:i4>
      </vt:variant>
      <vt:variant>
        <vt:i4>5</vt:i4>
      </vt:variant>
      <vt:variant>
        <vt:lpwstr>https://www.aemc.gov.au/rule-changes/synchronous-services-markets</vt:lpwstr>
      </vt:variant>
      <vt:variant>
        <vt:lpwstr/>
      </vt:variant>
      <vt:variant>
        <vt:i4>5177358</vt:i4>
      </vt:variant>
      <vt:variant>
        <vt:i4>488</vt:i4>
      </vt:variant>
      <vt:variant>
        <vt:i4>0</vt:i4>
      </vt:variant>
      <vt:variant>
        <vt:i4>5</vt:i4>
      </vt:variant>
      <vt:variant>
        <vt:lpwstr>https://www.aemc.gov.au/rule-changes/synchronous-services-markets</vt:lpwstr>
      </vt:variant>
      <vt:variant>
        <vt:lpwstr/>
      </vt:variant>
      <vt:variant>
        <vt:i4>3997758</vt:i4>
      </vt:variant>
      <vt:variant>
        <vt:i4>485</vt:i4>
      </vt:variant>
      <vt:variant>
        <vt:i4>0</vt:i4>
      </vt:variant>
      <vt:variant>
        <vt:i4>5</vt:i4>
      </vt:variant>
      <vt:variant>
        <vt:lpwstr>https://www.aemc.gov.au/rule-changes/efficient-management-system-strength-power-system</vt:lpwstr>
      </vt:variant>
      <vt:variant>
        <vt:lpwstr/>
      </vt:variant>
      <vt:variant>
        <vt:i4>3997758</vt:i4>
      </vt:variant>
      <vt:variant>
        <vt:i4>482</vt:i4>
      </vt:variant>
      <vt:variant>
        <vt:i4>0</vt:i4>
      </vt:variant>
      <vt:variant>
        <vt:i4>5</vt:i4>
      </vt:variant>
      <vt:variant>
        <vt:lpwstr>https://www.aemc.gov.au/rule-changes/efficient-management-system-strength-power-system</vt:lpwstr>
      </vt:variant>
      <vt:variant>
        <vt:lpwstr/>
      </vt:variant>
      <vt:variant>
        <vt:i4>7798825</vt:i4>
      </vt:variant>
      <vt:variant>
        <vt:i4>479</vt:i4>
      </vt:variant>
      <vt:variant>
        <vt:i4>0</vt:i4>
      </vt:variant>
      <vt:variant>
        <vt:i4>5</vt:i4>
      </vt:variant>
      <vt:variant>
        <vt:lpwstr>https://www.aemc.gov.au/rule-changes/introduction-ramping-services</vt:lpwstr>
      </vt:variant>
      <vt:variant>
        <vt:lpwstr/>
      </vt:variant>
      <vt:variant>
        <vt:i4>7798825</vt:i4>
      </vt:variant>
      <vt:variant>
        <vt:i4>476</vt:i4>
      </vt:variant>
      <vt:variant>
        <vt:i4>0</vt:i4>
      </vt:variant>
      <vt:variant>
        <vt:i4>5</vt:i4>
      </vt:variant>
      <vt:variant>
        <vt:lpwstr>https://www.aemc.gov.au/rule-changes/introduction-ramping-services</vt:lpwstr>
      </vt:variant>
      <vt:variant>
        <vt:lpwstr/>
      </vt:variant>
      <vt:variant>
        <vt:i4>7602302</vt:i4>
      </vt:variant>
      <vt:variant>
        <vt:i4>473</vt:i4>
      </vt:variant>
      <vt:variant>
        <vt:i4>0</vt:i4>
      </vt:variant>
      <vt:variant>
        <vt:i4>5</vt:i4>
      </vt:variant>
      <vt:variant>
        <vt:lpwstr>https://www.aemc.gov.au/rule-changes/capacity-commitment-mechanism-system-security-and-reliability-services</vt:lpwstr>
      </vt:variant>
      <vt:variant>
        <vt:lpwstr/>
      </vt:variant>
      <vt:variant>
        <vt:i4>7602302</vt:i4>
      </vt:variant>
      <vt:variant>
        <vt:i4>470</vt:i4>
      </vt:variant>
      <vt:variant>
        <vt:i4>0</vt:i4>
      </vt:variant>
      <vt:variant>
        <vt:i4>5</vt:i4>
      </vt:variant>
      <vt:variant>
        <vt:lpwstr>https://www.aemc.gov.au/rule-changes/capacity-commitment-mechanism-system-security-and-reliability-services</vt:lpwstr>
      </vt:variant>
      <vt:variant>
        <vt:lpwstr/>
      </vt:variant>
      <vt:variant>
        <vt:i4>1966157</vt:i4>
      </vt:variant>
      <vt:variant>
        <vt:i4>467</vt:i4>
      </vt:variant>
      <vt:variant>
        <vt:i4>0</vt:i4>
      </vt:variant>
      <vt:variant>
        <vt:i4>5</vt:i4>
      </vt:variant>
      <vt:variant>
        <vt:lpwstr>https://www.aemc.gov.au/rule-changes/operating-reserve-market</vt:lpwstr>
      </vt:variant>
      <vt:variant>
        <vt:lpwstr/>
      </vt:variant>
      <vt:variant>
        <vt:i4>1966157</vt:i4>
      </vt:variant>
      <vt:variant>
        <vt:i4>464</vt:i4>
      </vt:variant>
      <vt:variant>
        <vt:i4>0</vt:i4>
      </vt:variant>
      <vt:variant>
        <vt:i4>5</vt:i4>
      </vt:variant>
      <vt:variant>
        <vt:lpwstr>https://www.aemc.gov.au/rule-changes/operating-reserve-market</vt:lpwstr>
      </vt:variant>
      <vt:variant>
        <vt:lpwstr/>
      </vt:variant>
      <vt:variant>
        <vt:i4>131152</vt:i4>
      </vt:variant>
      <vt:variant>
        <vt:i4>461</vt:i4>
      </vt:variant>
      <vt:variant>
        <vt:i4>0</vt:i4>
      </vt:variant>
      <vt:variant>
        <vt:i4>5</vt:i4>
      </vt:variant>
      <vt:variant>
        <vt:lpwstr>https://www.aemc.gov.au/rule-changes/removal-disincentives-primary-frequency-response</vt:lpwstr>
      </vt:variant>
      <vt:variant>
        <vt:lpwstr/>
      </vt:variant>
      <vt:variant>
        <vt:i4>131152</vt:i4>
      </vt:variant>
      <vt:variant>
        <vt:i4>458</vt:i4>
      </vt:variant>
      <vt:variant>
        <vt:i4>0</vt:i4>
      </vt:variant>
      <vt:variant>
        <vt:i4>5</vt:i4>
      </vt:variant>
      <vt:variant>
        <vt:lpwstr>https://www.aemc.gov.au/rule-changes/removal-disincentives-primary-frequency-response</vt:lpwstr>
      </vt:variant>
      <vt:variant>
        <vt:lpwstr/>
      </vt:variant>
      <vt:variant>
        <vt:i4>655373</vt:i4>
      </vt:variant>
      <vt:variant>
        <vt:i4>455</vt:i4>
      </vt:variant>
      <vt:variant>
        <vt:i4>0</vt:i4>
      </vt:variant>
      <vt:variant>
        <vt:i4>5</vt:i4>
      </vt:variant>
      <vt:variant>
        <vt:lpwstr>https://www.aemc.gov.au/rule-changes/fast-frequency-response-market-ancillary-service</vt:lpwstr>
      </vt:variant>
      <vt:variant>
        <vt:lpwstr/>
      </vt:variant>
      <vt:variant>
        <vt:i4>655373</vt:i4>
      </vt:variant>
      <vt:variant>
        <vt:i4>452</vt:i4>
      </vt:variant>
      <vt:variant>
        <vt:i4>0</vt:i4>
      </vt:variant>
      <vt:variant>
        <vt:i4>5</vt:i4>
      </vt:variant>
      <vt:variant>
        <vt:lpwstr>https://www.aemc.gov.au/rule-changes/fast-frequency-response-market-ancillary-service</vt:lpwstr>
      </vt:variant>
      <vt:variant>
        <vt:lpwstr/>
      </vt:variant>
      <vt:variant>
        <vt:i4>1769525</vt:i4>
      </vt:variant>
      <vt:variant>
        <vt:i4>242</vt:i4>
      </vt:variant>
      <vt:variant>
        <vt:i4>0</vt:i4>
      </vt:variant>
      <vt:variant>
        <vt:i4>5</vt:i4>
      </vt:variant>
      <vt:variant>
        <vt:lpwstr/>
      </vt:variant>
      <vt:variant>
        <vt:lpwstr>_Toc81571892</vt:lpwstr>
      </vt:variant>
      <vt:variant>
        <vt:i4>1572917</vt:i4>
      </vt:variant>
      <vt:variant>
        <vt:i4>236</vt:i4>
      </vt:variant>
      <vt:variant>
        <vt:i4>0</vt:i4>
      </vt:variant>
      <vt:variant>
        <vt:i4>5</vt:i4>
      </vt:variant>
      <vt:variant>
        <vt:lpwstr/>
      </vt:variant>
      <vt:variant>
        <vt:lpwstr>_Toc81571891</vt:lpwstr>
      </vt:variant>
      <vt:variant>
        <vt:i4>1638453</vt:i4>
      </vt:variant>
      <vt:variant>
        <vt:i4>230</vt:i4>
      </vt:variant>
      <vt:variant>
        <vt:i4>0</vt:i4>
      </vt:variant>
      <vt:variant>
        <vt:i4>5</vt:i4>
      </vt:variant>
      <vt:variant>
        <vt:lpwstr/>
      </vt:variant>
      <vt:variant>
        <vt:lpwstr>_Toc81571890</vt:lpwstr>
      </vt:variant>
      <vt:variant>
        <vt:i4>1048628</vt:i4>
      </vt:variant>
      <vt:variant>
        <vt:i4>224</vt:i4>
      </vt:variant>
      <vt:variant>
        <vt:i4>0</vt:i4>
      </vt:variant>
      <vt:variant>
        <vt:i4>5</vt:i4>
      </vt:variant>
      <vt:variant>
        <vt:lpwstr/>
      </vt:variant>
      <vt:variant>
        <vt:lpwstr>_Toc81571889</vt:lpwstr>
      </vt:variant>
      <vt:variant>
        <vt:i4>1114164</vt:i4>
      </vt:variant>
      <vt:variant>
        <vt:i4>218</vt:i4>
      </vt:variant>
      <vt:variant>
        <vt:i4>0</vt:i4>
      </vt:variant>
      <vt:variant>
        <vt:i4>5</vt:i4>
      </vt:variant>
      <vt:variant>
        <vt:lpwstr/>
      </vt:variant>
      <vt:variant>
        <vt:lpwstr>_Toc81571888</vt:lpwstr>
      </vt:variant>
      <vt:variant>
        <vt:i4>1966132</vt:i4>
      </vt:variant>
      <vt:variant>
        <vt:i4>212</vt:i4>
      </vt:variant>
      <vt:variant>
        <vt:i4>0</vt:i4>
      </vt:variant>
      <vt:variant>
        <vt:i4>5</vt:i4>
      </vt:variant>
      <vt:variant>
        <vt:lpwstr/>
      </vt:variant>
      <vt:variant>
        <vt:lpwstr>_Toc81571887</vt:lpwstr>
      </vt:variant>
      <vt:variant>
        <vt:i4>2031668</vt:i4>
      </vt:variant>
      <vt:variant>
        <vt:i4>206</vt:i4>
      </vt:variant>
      <vt:variant>
        <vt:i4>0</vt:i4>
      </vt:variant>
      <vt:variant>
        <vt:i4>5</vt:i4>
      </vt:variant>
      <vt:variant>
        <vt:lpwstr/>
      </vt:variant>
      <vt:variant>
        <vt:lpwstr>_Toc81571886</vt:lpwstr>
      </vt:variant>
      <vt:variant>
        <vt:i4>1835060</vt:i4>
      </vt:variant>
      <vt:variant>
        <vt:i4>200</vt:i4>
      </vt:variant>
      <vt:variant>
        <vt:i4>0</vt:i4>
      </vt:variant>
      <vt:variant>
        <vt:i4>5</vt:i4>
      </vt:variant>
      <vt:variant>
        <vt:lpwstr/>
      </vt:variant>
      <vt:variant>
        <vt:lpwstr>_Toc81571885</vt:lpwstr>
      </vt:variant>
      <vt:variant>
        <vt:i4>1310782</vt:i4>
      </vt:variant>
      <vt:variant>
        <vt:i4>191</vt:i4>
      </vt:variant>
      <vt:variant>
        <vt:i4>0</vt:i4>
      </vt:variant>
      <vt:variant>
        <vt:i4>5</vt:i4>
      </vt:variant>
      <vt:variant>
        <vt:lpwstr/>
      </vt:variant>
      <vt:variant>
        <vt:lpwstr>_Toc81571326</vt:lpwstr>
      </vt:variant>
      <vt:variant>
        <vt:i4>1507390</vt:i4>
      </vt:variant>
      <vt:variant>
        <vt:i4>185</vt:i4>
      </vt:variant>
      <vt:variant>
        <vt:i4>0</vt:i4>
      </vt:variant>
      <vt:variant>
        <vt:i4>5</vt:i4>
      </vt:variant>
      <vt:variant>
        <vt:lpwstr/>
      </vt:variant>
      <vt:variant>
        <vt:lpwstr>_Toc81571325</vt:lpwstr>
      </vt:variant>
      <vt:variant>
        <vt:i4>1441854</vt:i4>
      </vt:variant>
      <vt:variant>
        <vt:i4>179</vt:i4>
      </vt:variant>
      <vt:variant>
        <vt:i4>0</vt:i4>
      </vt:variant>
      <vt:variant>
        <vt:i4>5</vt:i4>
      </vt:variant>
      <vt:variant>
        <vt:lpwstr/>
      </vt:variant>
      <vt:variant>
        <vt:lpwstr>_Toc81571324</vt:lpwstr>
      </vt:variant>
      <vt:variant>
        <vt:i4>1114174</vt:i4>
      </vt:variant>
      <vt:variant>
        <vt:i4>173</vt:i4>
      </vt:variant>
      <vt:variant>
        <vt:i4>0</vt:i4>
      </vt:variant>
      <vt:variant>
        <vt:i4>5</vt:i4>
      </vt:variant>
      <vt:variant>
        <vt:lpwstr/>
      </vt:variant>
      <vt:variant>
        <vt:lpwstr>_Toc81571323</vt:lpwstr>
      </vt:variant>
      <vt:variant>
        <vt:i4>1048638</vt:i4>
      </vt:variant>
      <vt:variant>
        <vt:i4>167</vt:i4>
      </vt:variant>
      <vt:variant>
        <vt:i4>0</vt:i4>
      </vt:variant>
      <vt:variant>
        <vt:i4>5</vt:i4>
      </vt:variant>
      <vt:variant>
        <vt:lpwstr/>
      </vt:variant>
      <vt:variant>
        <vt:lpwstr>_Toc81571322</vt:lpwstr>
      </vt:variant>
      <vt:variant>
        <vt:i4>1245246</vt:i4>
      </vt:variant>
      <vt:variant>
        <vt:i4>161</vt:i4>
      </vt:variant>
      <vt:variant>
        <vt:i4>0</vt:i4>
      </vt:variant>
      <vt:variant>
        <vt:i4>5</vt:i4>
      </vt:variant>
      <vt:variant>
        <vt:lpwstr/>
      </vt:variant>
      <vt:variant>
        <vt:lpwstr>_Toc81571321</vt:lpwstr>
      </vt:variant>
      <vt:variant>
        <vt:i4>1179710</vt:i4>
      </vt:variant>
      <vt:variant>
        <vt:i4>155</vt:i4>
      </vt:variant>
      <vt:variant>
        <vt:i4>0</vt:i4>
      </vt:variant>
      <vt:variant>
        <vt:i4>5</vt:i4>
      </vt:variant>
      <vt:variant>
        <vt:lpwstr/>
      </vt:variant>
      <vt:variant>
        <vt:lpwstr>_Toc81571320</vt:lpwstr>
      </vt:variant>
      <vt:variant>
        <vt:i4>1769533</vt:i4>
      </vt:variant>
      <vt:variant>
        <vt:i4>149</vt:i4>
      </vt:variant>
      <vt:variant>
        <vt:i4>0</vt:i4>
      </vt:variant>
      <vt:variant>
        <vt:i4>5</vt:i4>
      </vt:variant>
      <vt:variant>
        <vt:lpwstr/>
      </vt:variant>
      <vt:variant>
        <vt:lpwstr>_Toc81571319</vt:lpwstr>
      </vt:variant>
      <vt:variant>
        <vt:i4>1048626</vt:i4>
      </vt:variant>
      <vt:variant>
        <vt:i4>140</vt:i4>
      </vt:variant>
      <vt:variant>
        <vt:i4>0</vt:i4>
      </vt:variant>
      <vt:variant>
        <vt:i4>5</vt:i4>
      </vt:variant>
      <vt:variant>
        <vt:lpwstr/>
      </vt:variant>
      <vt:variant>
        <vt:lpwstr>_Toc81576697</vt:lpwstr>
      </vt:variant>
      <vt:variant>
        <vt:i4>1114162</vt:i4>
      </vt:variant>
      <vt:variant>
        <vt:i4>134</vt:i4>
      </vt:variant>
      <vt:variant>
        <vt:i4>0</vt:i4>
      </vt:variant>
      <vt:variant>
        <vt:i4>5</vt:i4>
      </vt:variant>
      <vt:variant>
        <vt:lpwstr/>
      </vt:variant>
      <vt:variant>
        <vt:lpwstr>_Toc81576696</vt:lpwstr>
      </vt:variant>
      <vt:variant>
        <vt:i4>1179698</vt:i4>
      </vt:variant>
      <vt:variant>
        <vt:i4>128</vt:i4>
      </vt:variant>
      <vt:variant>
        <vt:i4>0</vt:i4>
      </vt:variant>
      <vt:variant>
        <vt:i4>5</vt:i4>
      </vt:variant>
      <vt:variant>
        <vt:lpwstr/>
      </vt:variant>
      <vt:variant>
        <vt:lpwstr>_Toc81576695</vt:lpwstr>
      </vt:variant>
      <vt:variant>
        <vt:i4>1245234</vt:i4>
      </vt:variant>
      <vt:variant>
        <vt:i4>122</vt:i4>
      </vt:variant>
      <vt:variant>
        <vt:i4>0</vt:i4>
      </vt:variant>
      <vt:variant>
        <vt:i4>5</vt:i4>
      </vt:variant>
      <vt:variant>
        <vt:lpwstr/>
      </vt:variant>
      <vt:variant>
        <vt:lpwstr>_Toc81576694</vt:lpwstr>
      </vt:variant>
      <vt:variant>
        <vt:i4>1310770</vt:i4>
      </vt:variant>
      <vt:variant>
        <vt:i4>116</vt:i4>
      </vt:variant>
      <vt:variant>
        <vt:i4>0</vt:i4>
      </vt:variant>
      <vt:variant>
        <vt:i4>5</vt:i4>
      </vt:variant>
      <vt:variant>
        <vt:lpwstr/>
      </vt:variant>
      <vt:variant>
        <vt:lpwstr>_Toc81576693</vt:lpwstr>
      </vt:variant>
      <vt:variant>
        <vt:i4>1376306</vt:i4>
      </vt:variant>
      <vt:variant>
        <vt:i4>110</vt:i4>
      </vt:variant>
      <vt:variant>
        <vt:i4>0</vt:i4>
      </vt:variant>
      <vt:variant>
        <vt:i4>5</vt:i4>
      </vt:variant>
      <vt:variant>
        <vt:lpwstr/>
      </vt:variant>
      <vt:variant>
        <vt:lpwstr>_Toc81576692</vt:lpwstr>
      </vt:variant>
      <vt:variant>
        <vt:i4>1441842</vt:i4>
      </vt:variant>
      <vt:variant>
        <vt:i4>104</vt:i4>
      </vt:variant>
      <vt:variant>
        <vt:i4>0</vt:i4>
      </vt:variant>
      <vt:variant>
        <vt:i4>5</vt:i4>
      </vt:variant>
      <vt:variant>
        <vt:lpwstr/>
      </vt:variant>
      <vt:variant>
        <vt:lpwstr>_Toc81576691</vt:lpwstr>
      </vt:variant>
      <vt:variant>
        <vt:i4>1507378</vt:i4>
      </vt:variant>
      <vt:variant>
        <vt:i4>98</vt:i4>
      </vt:variant>
      <vt:variant>
        <vt:i4>0</vt:i4>
      </vt:variant>
      <vt:variant>
        <vt:i4>5</vt:i4>
      </vt:variant>
      <vt:variant>
        <vt:lpwstr/>
      </vt:variant>
      <vt:variant>
        <vt:lpwstr>_Toc81576690</vt:lpwstr>
      </vt:variant>
      <vt:variant>
        <vt:i4>1966131</vt:i4>
      </vt:variant>
      <vt:variant>
        <vt:i4>92</vt:i4>
      </vt:variant>
      <vt:variant>
        <vt:i4>0</vt:i4>
      </vt:variant>
      <vt:variant>
        <vt:i4>5</vt:i4>
      </vt:variant>
      <vt:variant>
        <vt:lpwstr/>
      </vt:variant>
      <vt:variant>
        <vt:lpwstr>_Toc81576689</vt:lpwstr>
      </vt:variant>
      <vt:variant>
        <vt:i4>2031667</vt:i4>
      </vt:variant>
      <vt:variant>
        <vt:i4>86</vt:i4>
      </vt:variant>
      <vt:variant>
        <vt:i4>0</vt:i4>
      </vt:variant>
      <vt:variant>
        <vt:i4>5</vt:i4>
      </vt:variant>
      <vt:variant>
        <vt:lpwstr/>
      </vt:variant>
      <vt:variant>
        <vt:lpwstr>_Toc81576688</vt:lpwstr>
      </vt:variant>
      <vt:variant>
        <vt:i4>1048627</vt:i4>
      </vt:variant>
      <vt:variant>
        <vt:i4>80</vt:i4>
      </vt:variant>
      <vt:variant>
        <vt:i4>0</vt:i4>
      </vt:variant>
      <vt:variant>
        <vt:i4>5</vt:i4>
      </vt:variant>
      <vt:variant>
        <vt:lpwstr/>
      </vt:variant>
      <vt:variant>
        <vt:lpwstr>_Toc81576687</vt:lpwstr>
      </vt:variant>
      <vt:variant>
        <vt:i4>1114163</vt:i4>
      </vt:variant>
      <vt:variant>
        <vt:i4>74</vt:i4>
      </vt:variant>
      <vt:variant>
        <vt:i4>0</vt:i4>
      </vt:variant>
      <vt:variant>
        <vt:i4>5</vt:i4>
      </vt:variant>
      <vt:variant>
        <vt:lpwstr/>
      </vt:variant>
      <vt:variant>
        <vt:lpwstr>_Toc81576686</vt:lpwstr>
      </vt:variant>
      <vt:variant>
        <vt:i4>1179699</vt:i4>
      </vt:variant>
      <vt:variant>
        <vt:i4>68</vt:i4>
      </vt:variant>
      <vt:variant>
        <vt:i4>0</vt:i4>
      </vt:variant>
      <vt:variant>
        <vt:i4>5</vt:i4>
      </vt:variant>
      <vt:variant>
        <vt:lpwstr/>
      </vt:variant>
      <vt:variant>
        <vt:lpwstr>_Toc81576685</vt:lpwstr>
      </vt:variant>
      <vt:variant>
        <vt:i4>1245235</vt:i4>
      </vt:variant>
      <vt:variant>
        <vt:i4>62</vt:i4>
      </vt:variant>
      <vt:variant>
        <vt:i4>0</vt:i4>
      </vt:variant>
      <vt:variant>
        <vt:i4>5</vt:i4>
      </vt:variant>
      <vt:variant>
        <vt:lpwstr/>
      </vt:variant>
      <vt:variant>
        <vt:lpwstr>_Toc81576684</vt:lpwstr>
      </vt:variant>
      <vt:variant>
        <vt:i4>1310771</vt:i4>
      </vt:variant>
      <vt:variant>
        <vt:i4>56</vt:i4>
      </vt:variant>
      <vt:variant>
        <vt:i4>0</vt:i4>
      </vt:variant>
      <vt:variant>
        <vt:i4>5</vt:i4>
      </vt:variant>
      <vt:variant>
        <vt:lpwstr/>
      </vt:variant>
      <vt:variant>
        <vt:lpwstr>_Toc81576683</vt:lpwstr>
      </vt:variant>
      <vt:variant>
        <vt:i4>1376307</vt:i4>
      </vt:variant>
      <vt:variant>
        <vt:i4>50</vt:i4>
      </vt:variant>
      <vt:variant>
        <vt:i4>0</vt:i4>
      </vt:variant>
      <vt:variant>
        <vt:i4>5</vt:i4>
      </vt:variant>
      <vt:variant>
        <vt:lpwstr/>
      </vt:variant>
      <vt:variant>
        <vt:lpwstr>_Toc81576682</vt:lpwstr>
      </vt:variant>
      <vt:variant>
        <vt:i4>1441843</vt:i4>
      </vt:variant>
      <vt:variant>
        <vt:i4>44</vt:i4>
      </vt:variant>
      <vt:variant>
        <vt:i4>0</vt:i4>
      </vt:variant>
      <vt:variant>
        <vt:i4>5</vt:i4>
      </vt:variant>
      <vt:variant>
        <vt:lpwstr/>
      </vt:variant>
      <vt:variant>
        <vt:lpwstr>_Toc81576681</vt:lpwstr>
      </vt:variant>
      <vt:variant>
        <vt:i4>1507379</vt:i4>
      </vt:variant>
      <vt:variant>
        <vt:i4>38</vt:i4>
      </vt:variant>
      <vt:variant>
        <vt:i4>0</vt:i4>
      </vt:variant>
      <vt:variant>
        <vt:i4>5</vt:i4>
      </vt:variant>
      <vt:variant>
        <vt:lpwstr/>
      </vt:variant>
      <vt:variant>
        <vt:lpwstr>_Toc81576680</vt:lpwstr>
      </vt:variant>
      <vt:variant>
        <vt:i4>1966140</vt:i4>
      </vt:variant>
      <vt:variant>
        <vt:i4>32</vt:i4>
      </vt:variant>
      <vt:variant>
        <vt:i4>0</vt:i4>
      </vt:variant>
      <vt:variant>
        <vt:i4>5</vt:i4>
      </vt:variant>
      <vt:variant>
        <vt:lpwstr/>
      </vt:variant>
      <vt:variant>
        <vt:lpwstr>_Toc81576679</vt:lpwstr>
      </vt:variant>
      <vt:variant>
        <vt:i4>2031676</vt:i4>
      </vt:variant>
      <vt:variant>
        <vt:i4>26</vt:i4>
      </vt:variant>
      <vt:variant>
        <vt:i4>0</vt:i4>
      </vt:variant>
      <vt:variant>
        <vt:i4>5</vt:i4>
      </vt:variant>
      <vt:variant>
        <vt:lpwstr/>
      </vt:variant>
      <vt:variant>
        <vt:lpwstr>_Toc81576678</vt:lpwstr>
      </vt:variant>
      <vt:variant>
        <vt:i4>1048636</vt:i4>
      </vt:variant>
      <vt:variant>
        <vt:i4>20</vt:i4>
      </vt:variant>
      <vt:variant>
        <vt:i4>0</vt:i4>
      </vt:variant>
      <vt:variant>
        <vt:i4>5</vt:i4>
      </vt:variant>
      <vt:variant>
        <vt:lpwstr/>
      </vt:variant>
      <vt:variant>
        <vt:lpwstr>_Toc81576677</vt:lpwstr>
      </vt:variant>
      <vt:variant>
        <vt:i4>1114172</vt:i4>
      </vt:variant>
      <vt:variant>
        <vt:i4>14</vt:i4>
      </vt:variant>
      <vt:variant>
        <vt:i4>0</vt:i4>
      </vt:variant>
      <vt:variant>
        <vt:i4>5</vt:i4>
      </vt:variant>
      <vt:variant>
        <vt:lpwstr/>
      </vt:variant>
      <vt:variant>
        <vt:lpwstr>_Toc81576676</vt:lpwstr>
      </vt:variant>
      <vt:variant>
        <vt:i4>8192034</vt:i4>
      </vt:variant>
      <vt:variant>
        <vt:i4>0</vt:i4>
      </vt:variant>
      <vt:variant>
        <vt:i4>0</vt:i4>
      </vt:variant>
      <vt:variant>
        <vt:i4>5</vt:i4>
      </vt:variant>
      <vt:variant>
        <vt:lpwstr>https://www.cleanenergycouncil.org.au/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Nichol</dc:creator>
  <cp:keywords/>
  <dc:description/>
  <cp:lastModifiedBy>Brown, Fiona (CorpAffairs, Black Mountain)</cp:lastModifiedBy>
  <cp:revision>1897</cp:revision>
  <cp:lastPrinted>2021-11-05T06:09:00Z</cp:lastPrinted>
  <dcterms:created xsi:type="dcterms:W3CDTF">2021-08-18T01:44:00Z</dcterms:created>
  <dcterms:modified xsi:type="dcterms:W3CDTF">2022-03-22T04:28:00Z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0x010100BA93AC918ADCC64EA21EAF11DC52FC20</vt:lpwstr>
  </property>
  <property fmtid="{D5CDD505-2E9C-101B-9397-08002B2CF9AE}" pid="3" name="_dlc_DocIdItemGuid">
    <vt:lpwstr>306ea10c-5ef3-4f5c-b064-b6117b47ace5</vt:lpwstr>
  </property>
  <property fmtid="{D5CDD505-2E9C-101B-9397-08002B2CF9AE}" pid="4" name="MSIP_Label_1b52b3a1-dbcb-41fb-a452-370cf542753f_Enabled">
    <vt:lpwstr>true</vt:lpwstr>
  </property>
  <property fmtid="{D5CDD505-2E9C-101B-9397-08002B2CF9AE}" pid="5" name="MSIP_Label_1b52b3a1-dbcb-41fb-a452-370cf542753f_SetDate">
    <vt:lpwstr>2021-08-30T07:00:52Z</vt:lpwstr>
  </property>
  <property fmtid="{D5CDD505-2E9C-101B-9397-08002B2CF9AE}" pid="6" name="MSIP_Label_1b52b3a1-dbcb-41fb-a452-370cf542753f_Method">
    <vt:lpwstr>Privileged</vt:lpwstr>
  </property>
  <property fmtid="{D5CDD505-2E9C-101B-9397-08002B2CF9AE}" pid="7" name="MSIP_Label_1b52b3a1-dbcb-41fb-a452-370cf542753f_Name">
    <vt:lpwstr>Public</vt:lpwstr>
  </property>
  <property fmtid="{D5CDD505-2E9C-101B-9397-08002B2CF9AE}" pid="8" name="MSIP_Label_1b52b3a1-dbcb-41fb-a452-370cf542753f_SiteId">
    <vt:lpwstr>d1323671-cdbe-4417-b4d4-bdb24b51316b</vt:lpwstr>
  </property>
  <property fmtid="{D5CDD505-2E9C-101B-9397-08002B2CF9AE}" pid="9" name="MSIP_Label_1b52b3a1-dbcb-41fb-a452-370cf542753f_ActionId">
    <vt:lpwstr>d2cb05b4-881f-42d2-8c38-4a8be67258d6</vt:lpwstr>
  </property>
  <property fmtid="{D5CDD505-2E9C-101B-9397-08002B2CF9AE}" pid="10" name="MSIP_Label_1b52b3a1-dbcb-41fb-a452-370cf542753f_ContentBits">
    <vt:lpwstr>0</vt:lpwstr>
  </property>
</Properties>
</file>