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3BD69" w14:textId="77777777" w:rsidR="003D59C3" w:rsidRPr="00B45C9A" w:rsidRDefault="00DE624B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 w:rsidRPr="00DE624B">
        <w:rPr>
          <w:rFonts w:ascii="Calibri" w:hAnsi="Calibri"/>
          <w:sz w:val="36"/>
          <w:szCs w:val="22"/>
          <w:lang w:val="en-US"/>
        </w:rPr>
        <w:t>Administrative Services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863E9E">
        <w:rPr>
          <w:rFonts w:ascii="Calibri" w:hAnsi="Calibri"/>
          <w:sz w:val="36"/>
          <w:szCs w:val="22"/>
          <w:lang w:val="en-US"/>
        </w:rPr>
        <w:t>5</w:t>
      </w:r>
    </w:p>
    <w:p w14:paraId="35E642F5" w14:textId="77777777"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0"/>
        <w:gridCol w:w="7135"/>
      </w:tblGrid>
      <w:tr w:rsidR="008901D6" w:rsidRPr="00E641DA" w14:paraId="2D61F145" w14:textId="77777777" w:rsidTr="004151C7">
        <w:trPr>
          <w:trHeight w:val="485"/>
        </w:trPr>
        <w:tc>
          <w:tcPr>
            <w:tcW w:w="2900" w:type="dxa"/>
            <w:shd w:val="clear" w:color="auto" w:fill="F2F2F2"/>
            <w:vAlign w:val="center"/>
          </w:tcPr>
          <w:p w14:paraId="5DA3745D" w14:textId="77777777" w:rsidR="008901D6" w:rsidRPr="00E641DA" w:rsidRDefault="008901D6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</w:tcPr>
          <w:p w14:paraId="62B3F8F0" w14:textId="77777777" w:rsidR="008901D6" w:rsidRPr="008901D6" w:rsidRDefault="008901D6" w:rsidP="00A33104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titile for the job. "/>
                  <w:statusText w:type="text" w:val="Enter the titile for the job."/>
                  <w:textInput>
                    <w:default w:val="Administrative Services Position (also includes Finance, HR, Legal and Records)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sz w:val="22"/>
                <w:szCs w:val="22"/>
              </w:rPr>
              <w:t>Global HR Mobility Specialist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901D6" w:rsidRPr="00E641DA" w14:paraId="06B3B70C" w14:textId="77777777" w:rsidTr="004151C7">
        <w:trPr>
          <w:trHeight w:val="420"/>
        </w:trPr>
        <w:tc>
          <w:tcPr>
            <w:tcW w:w="2900" w:type="dxa"/>
            <w:shd w:val="clear" w:color="auto" w:fill="F2F2F2"/>
            <w:vAlign w:val="center"/>
          </w:tcPr>
          <w:p w14:paraId="2171B4FE" w14:textId="77777777" w:rsidR="008901D6" w:rsidRPr="00E641DA" w:rsidRDefault="008901D6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14:paraId="22392E58" w14:textId="77777777" w:rsidR="008901D6" w:rsidRPr="008901D6" w:rsidRDefault="008901D6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52453</w:t>
            </w:r>
          </w:p>
        </w:tc>
      </w:tr>
      <w:tr w:rsidR="008901D6" w:rsidRPr="00E641DA" w14:paraId="2F460AEC" w14:textId="77777777" w:rsidTr="004151C7">
        <w:trPr>
          <w:trHeight w:val="412"/>
        </w:trPr>
        <w:tc>
          <w:tcPr>
            <w:tcW w:w="2900" w:type="dxa"/>
            <w:shd w:val="clear" w:color="auto" w:fill="F2F2F2"/>
            <w:vAlign w:val="center"/>
          </w:tcPr>
          <w:p w14:paraId="3781E901" w14:textId="77777777" w:rsidR="008901D6" w:rsidRPr="00E641DA" w:rsidRDefault="008901D6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14:paraId="0DD49432" w14:textId="77777777" w:rsidR="008901D6" w:rsidRPr="008901D6" w:rsidRDefault="008901D6" w:rsidP="00863E9E">
            <w:pPr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t>CSOF5</w:t>
            </w:r>
          </w:p>
        </w:tc>
      </w:tr>
      <w:tr w:rsidR="008901D6" w:rsidRPr="00E641DA" w14:paraId="39482164" w14:textId="77777777" w:rsidTr="004151C7">
        <w:trPr>
          <w:trHeight w:val="404"/>
        </w:trPr>
        <w:tc>
          <w:tcPr>
            <w:tcW w:w="2900" w:type="dxa"/>
            <w:shd w:val="clear" w:color="auto" w:fill="F2F2F2"/>
            <w:vAlign w:val="center"/>
          </w:tcPr>
          <w:p w14:paraId="2D1DC186" w14:textId="77777777" w:rsidR="008901D6" w:rsidRPr="00D8313E" w:rsidRDefault="008901D6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7135" w:type="dxa"/>
            <w:vAlign w:val="center"/>
          </w:tcPr>
          <w:p w14:paraId="6995F796" w14:textId="77777777" w:rsidR="008901D6" w:rsidRPr="008901D6" w:rsidRDefault="008901D6" w:rsidP="008901D6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 w:rsidRPr="008901D6">
              <w:rPr>
                <w:rFonts w:ascii="Calibri" w:hAnsi="Calibri"/>
                <w:sz w:val="22"/>
                <w:szCs w:val="22"/>
              </w:rPr>
              <w:t xml:space="preserve">AU </w:t>
            </w:r>
            <w:r>
              <w:rPr>
                <w:rFonts w:ascii="Calibri" w:hAnsi="Calibri"/>
                <w:sz w:val="22"/>
                <w:szCs w:val="22"/>
              </w:rPr>
              <w:t>$95K</w:t>
            </w:r>
            <w:r w:rsidRPr="008901D6">
              <w:rPr>
                <w:rFonts w:ascii="Calibri" w:hAnsi="Calibri"/>
                <w:sz w:val="22"/>
                <w:szCs w:val="22"/>
              </w:rPr>
              <w:t xml:space="preserve"> to </w:t>
            </w:r>
            <w:r>
              <w:rPr>
                <w:rFonts w:ascii="Calibri" w:hAnsi="Calibri"/>
                <w:sz w:val="22"/>
                <w:szCs w:val="22"/>
              </w:rPr>
              <w:t>AU $103K</w:t>
            </w:r>
            <w:r w:rsidRPr="008901D6">
              <w:rPr>
                <w:rFonts w:ascii="Calibri" w:hAnsi="Calibri"/>
                <w:sz w:val="22"/>
                <w:szCs w:val="22"/>
              </w:rPr>
              <w:t xml:space="preserve"> plus up to 15.4% superannuation</w:t>
            </w:r>
            <w:bookmarkEnd w:id="0"/>
          </w:p>
        </w:tc>
      </w:tr>
      <w:tr w:rsidR="008901D6" w:rsidRPr="00E641DA" w14:paraId="7A767120" w14:textId="77777777" w:rsidTr="004151C7">
        <w:trPr>
          <w:trHeight w:val="429"/>
        </w:trPr>
        <w:tc>
          <w:tcPr>
            <w:tcW w:w="2900" w:type="dxa"/>
            <w:shd w:val="clear" w:color="auto" w:fill="F2F2F2"/>
            <w:vAlign w:val="center"/>
          </w:tcPr>
          <w:p w14:paraId="1F35C263" w14:textId="77777777" w:rsidR="008901D6" w:rsidRPr="00E641DA" w:rsidRDefault="008901D6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14:paraId="6C6F0742" w14:textId="30565A10" w:rsidR="008901D6" w:rsidRPr="008901D6" w:rsidRDefault="00A139C3" w:rsidP="00A33104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Black Mountain ACT or Clayton VIC</w:t>
            </w:r>
            <w:bookmarkStart w:id="1" w:name="_GoBack"/>
            <w:bookmarkEnd w:id="1"/>
          </w:p>
        </w:tc>
      </w:tr>
      <w:tr w:rsidR="008901D6" w:rsidRPr="00E641DA" w14:paraId="504CC688" w14:textId="77777777" w:rsidTr="004151C7">
        <w:trPr>
          <w:trHeight w:val="402"/>
        </w:trPr>
        <w:tc>
          <w:tcPr>
            <w:tcW w:w="2900" w:type="dxa"/>
            <w:shd w:val="clear" w:color="auto" w:fill="F2F2F2"/>
            <w:vAlign w:val="center"/>
          </w:tcPr>
          <w:p w14:paraId="2CDEC619" w14:textId="77777777" w:rsidR="008901D6" w:rsidRPr="00D8313E" w:rsidRDefault="008901D6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135" w:type="dxa"/>
            <w:vAlign w:val="center"/>
          </w:tcPr>
          <w:p w14:paraId="79626F17" w14:textId="77777777" w:rsidR="008901D6" w:rsidRPr="008901D6" w:rsidRDefault="008901D6" w:rsidP="008901D6">
            <w:pPr>
              <w:rPr>
                <w:rFonts w:ascii="Calibri" w:hAnsi="Calibri"/>
                <w:sz w:val="22"/>
                <w:szCs w:val="22"/>
              </w:rPr>
            </w:pPr>
            <w:bookmarkStart w:id="2" w:name="Tenure"/>
            <w:r w:rsidRPr="008901D6">
              <w:rPr>
                <w:rFonts w:ascii="Calibri" w:hAnsi="Calibri"/>
                <w:sz w:val="22"/>
                <w:szCs w:val="22"/>
              </w:rPr>
              <w:t xml:space="preserve">Specified Term of  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number of months being offered in addition to the yeas."/>
                  <w:statusText w:type="text" w:val="Enter the number of months being offered in addition to the yeas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sz w:val="22"/>
                <w:szCs w:val="22"/>
              </w:rPr>
              <w:t>18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901D6">
              <w:rPr>
                <w:rFonts w:ascii="Calibri" w:hAnsi="Calibri"/>
                <w:sz w:val="22"/>
                <w:szCs w:val="22"/>
              </w:rPr>
              <w:t xml:space="preserve"> months</w:t>
            </w:r>
            <w:bookmarkEnd w:id="2"/>
          </w:p>
        </w:tc>
      </w:tr>
      <w:tr w:rsidR="008901D6" w:rsidRPr="00E641DA" w14:paraId="15C1E208" w14:textId="77777777" w:rsidTr="004151C7">
        <w:trPr>
          <w:trHeight w:val="425"/>
        </w:trPr>
        <w:tc>
          <w:tcPr>
            <w:tcW w:w="2900" w:type="dxa"/>
            <w:shd w:val="clear" w:color="auto" w:fill="F2F2F2"/>
            <w:vAlign w:val="center"/>
          </w:tcPr>
          <w:p w14:paraId="2C692EF1" w14:textId="77777777" w:rsidR="008901D6" w:rsidRPr="00E641DA" w:rsidRDefault="008901D6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14:paraId="5A3A9DBB" w14:textId="77777777" w:rsidR="008901D6" w:rsidRPr="008901D6" w:rsidRDefault="008901D6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901D6" w:rsidRPr="00E641DA" w14:paraId="4A7615AE" w14:textId="77777777" w:rsidTr="004151C7">
        <w:trPr>
          <w:trHeight w:val="964"/>
        </w:trPr>
        <w:tc>
          <w:tcPr>
            <w:tcW w:w="2900" w:type="dxa"/>
            <w:shd w:val="clear" w:color="auto" w:fill="F2F2F2"/>
            <w:vAlign w:val="center"/>
          </w:tcPr>
          <w:p w14:paraId="4A09113E" w14:textId="77777777" w:rsidR="008901D6" w:rsidRPr="00D8313E" w:rsidRDefault="008901D6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7135" w:type="dxa"/>
            <w:vAlign w:val="center"/>
          </w:tcPr>
          <w:p w14:paraId="3B2F4538" w14:textId="287C57C1" w:rsidR="008901D6" w:rsidRPr="008901D6" w:rsidRDefault="008901D6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3" w:name="Citizenship"/>
            <w:r w:rsidRPr="008901D6">
              <w:rPr>
                <w:rFonts w:ascii="Calibri" w:hAnsi="Calibri"/>
                <w:sz w:val="22"/>
                <w:szCs w:val="22"/>
              </w:rPr>
              <w:t>Australian Citizens and Permanent Residents Only</w:t>
            </w:r>
          </w:p>
          <w:bookmarkEnd w:id="3"/>
          <w:p w14:paraId="717256BA" w14:textId="77777777" w:rsidR="008901D6" w:rsidRPr="00D515BF" w:rsidRDefault="008901D6" w:rsidP="00D515B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r w:rsidRPr="00D515BF">
              <w:rPr>
                <w:i/>
                <w:iCs/>
                <w:color w:val="1F497D"/>
                <w:sz w:val="16"/>
                <w:szCs w:val="16"/>
              </w:rPr>
              <w:t>For Specified Term positions, we will accept applications from Temporary Residents with working rights for the length of the term, who do not require sponsorship.</w:t>
            </w:r>
          </w:p>
        </w:tc>
      </w:tr>
      <w:tr w:rsidR="008901D6" w:rsidRPr="00E641DA" w14:paraId="6E051475" w14:textId="77777777" w:rsidTr="004151C7">
        <w:trPr>
          <w:trHeight w:val="425"/>
        </w:trPr>
        <w:tc>
          <w:tcPr>
            <w:tcW w:w="2900" w:type="dxa"/>
            <w:shd w:val="clear" w:color="auto" w:fill="F2F2F2"/>
            <w:vAlign w:val="center"/>
          </w:tcPr>
          <w:p w14:paraId="2F2A94A5" w14:textId="77777777" w:rsidR="008901D6" w:rsidRPr="00E641DA" w:rsidRDefault="008901D6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14:paraId="0F954F04" w14:textId="77777777" w:rsidR="008901D6" w:rsidRPr="008901D6" w:rsidRDefault="008901D6" w:rsidP="00CA071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t>Administrative Services</w:t>
            </w:r>
          </w:p>
        </w:tc>
      </w:tr>
      <w:tr w:rsidR="008901D6" w:rsidRPr="00E641DA" w14:paraId="051002CF" w14:textId="77777777" w:rsidTr="004151C7">
        <w:trPr>
          <w:trHeight w:val="418"/>
        </w:trPr>
        <w:tc>
          <w:tcPr>
            <w:tcW w:w="2900" w:type="dxa"/>
            <w:shd w:val="clear" w:color="auto" w:fill="F2F2F2"/>
            <w:vAlign w:val="center"/>
          </w:tcPr>
          <w:p w14:paraId="53EEBBB2" w14:textId="77777777" w:rsidR="008901D6" w:rsidRPr="00D8313E" w:rsidRDefault="008901D6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bookmarkStart w:id="4" w:name="InternalFocus"/>
        <w:tc>
          <w:tcPr>
            <w:tcW w:w="7135" w:type="dxa"/>
            <w:vAlign w:val="center"/>
          </w:tcPr>
          <w:p w14:paraId="08A38AC9" w14:textId="77777777" w:rsidR="008901D6" w:rsidRPr="008901D6" w:rsidRDefault="008901D6" w:rsidP="00A331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internal clients."/>
                  <w:statusText w:type="text" w:val="Enter the percentage of effort that will be allocated to internal clients."/>
                  <w:textInput>
                    <w:type w:val="number"/>
                    <w:default w:val="0%"/>
                    <w:format w:val="0%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noProof/>
                <w:sz w:val="22"/>
                <w:szCs w:val="22"/>
              </w:rPr>
              <w:t>70%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8901D6" w:rsidRPr="00E641DA" w14:paraId="551D10CF" w14:textId="77777777" w:rsidTr="004151C7">
        <w:trPr>
          <w:trHeight w:val="410"/>
        </w:trPr>
        <w:tc>
          <w:tcPr>
            <w:tcW w:w="2900" w:type="dxa"/>
            <w:shd w:val="clear" w:color="auto" w:fill="F2F2F2"/>
            <w:vAlign w:val="center"/>
          </w:tcPr>
          <w:p w14:paraId="5248851B" w14:textId="77777777" w:rsidR="008901D6" w:rsidRPr="00D8313E" w:rsidRDefault="008901D6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bookmarkStart w:id="5" w:name="ExternalFocus"/>
        <w:tc>
          <w:tcPr>
            <w:tcW w:w="7135" w:type="dxa"/>
            <w:vAlign w:val="center"/>
          </w:tcPr>
          <w:p w14:paraId="432748B5" w14:textId="77777777" w:rsidR="008901D6" w:rsidRPr="008901D6" w:rsidRDefault="008901D6" w:rsidP="00A331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external clients."/>
                  <w:statusText w:type="text" w:val="Enter the percentage of effort that will be allocated to external clients."/>
                  <w:textInput>
                    <w:type w:val="number"/>
                    <w:default w:val="0%"/>
                    <w:format w:val="0%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noProof/>
                <w:sz w:val="22"/>
                <w:szCs w:val="22"/>
              </w:rPr>
              <w:t>30%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8901D6" w:rsidRPr="00E641DA" w14:paraId="2F7F7627" w14:textId="77777777" w:rsidTr="004151C7">
        <w:trPr>
          <w:trHeight w:val="417"/>
        </w:trPr>
        <w:tc>
          <w:tcPr>
            <w:tcW w:w="2900" w:type="dxa"/>
            <w:shd w:val="clear" w:color="auto" w:fill="F2F2F2"/>
            <w:vAlign w:val="center"/>
          </w:tcPr>
          <w:p w14:paraId="571AB2DC" w14:textId="77777777" w:rsidR="008901D6" w:rsidRPr="00D8313E" w:rsidRDefault="008901D6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135" w:type="dxa"/>
            <w:vAlign w:val="center"/>
          </w:tcPr>
          <w:p w14:paraId="364C7DB6" w14:textId="77777777" w:rsidR="008901D6" w:rsidRPr="008901D6" w:rsidRDefault="008901D6" w:rsidP="00A331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job title for the supervisor of this position."/>
                  <w:statusText w:type="text" w:val="Enter the job title for the supervisor of this position."/>
                  <w:textInput>
                    <w:default w:val="(The job title for the line manager of this position)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noProof/>
                <w:sz w:val="22"/>
                <w:szCs w:val="22"/>
              </w:rPr>
              <w:t>Executive HR Manager - Enterprise Services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901D6" w:rsidRPr="00E641DA" w14:paraId="08C6AD7F" w14:textId="77777777" w:rsidTr="004151C7">
        <w:trPr>
          <w:trHeight w:val="408"/>
        </w:trPr>
        <w:tc>
          <w:tcPr>
            <w:tcW w:w="2900" w:type="dxa"/>
            <w:shd w:val="clear" w:color="auto" w:fill="F2F2F2"/>
            <w:vAlign w:val="center"/>
          </w:tcPr>
          <w:p w14:paraId="47E47123" w14:textId="77777777" w:rsidR="008901D6" w:rsidRPr="00D8313E" w:rsidRDefault="008901D6" w:rsidP="00DA60FC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bookmarkStart w:id="6" w:name="DirectReports"/>
        <w:tc>
          <w:tcPr>
            <w:tcW w:w="7135" w:type="dxa"/>
            <w:vAlign w:val="center"/>
          </w:tcPr>
          <w:p w14:paraId="21D523AF" w14:textId="77777777" w:rsidR="008901D6" w:rsidRPr="008901D6" w:rsidRDefault="008901D6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flects the size of the team reporting to the new appointment. Enter the number of officers who will report to this position."/>
                  <w:statusText w:type="text" w:val="Enter the number of officers who will report to this position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8901D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901D6">
              <w:rPr>
                <w:rFonts w:ascii="Calibri" w:hAnsi="Calibri"/>
                <w:sz w:val="22"/>
                <w:szCs w:val="22"/>
              </w:rPr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901D6">
              <w:rPr>
                <w:rFonts w:ascii="Calibri" w:hAnsi="Calibri"/>
                <w:noProof/>
                <w:sz w:val="22"/>
                <w:szCs w:val="22"/>
              </w:rPr>
              <w:t>0</w:t>
            </w:r>
            <w:r w:rsidRPr="008901D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8FA8819" w14:textId="77777777"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4E44124E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4"/>
      </w:tblGrid>
      <w:tr w:rsidR="00502363" w:rsidRPr="00E641DA" w14:paraId="39CB78CE" w14:textId="77777777" w:rsidTr="00B5254D">
        <w:trPr>
          <w:trHeight w:val="619"/>
        </w:trPr>
        <w:tc>
          <w:tcPr>
            <w:tcW w:w="10024" w:type="dxa"/>
            <w:shd w:val="clear" w:color="auto" w:fill="F2F2F2"/>
            <w:vAlign w:val="center"/>
          </w:tcPr>
          <w:p w14:paraId="247F1168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14:paraId="0A01CB01" w14:textId="77777777" w:rsidTr="008901D6">
        <w:trPr>
          <w:trHeight w:val="3355"/>
        </w:trPr>
        <w:tc>
          <w:tcPr>
            <w:tcW w:w="10024" w:type="dxa"/>
          </w:tcPr>
          <w:p w14:paraId="4DE64F40" w14:textId="77777777" w:rsidR="00671BCE" w:rsidRDefault="00825D94" w:rsidP="00F844B1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Fonts w:ascii="Calibri" w:hAnsi="Calibri"/>
                <w:sz w:val="22"/>
                <w:szCs w:val="22"/>
              </w:rPr>
              <w:t xml:space="preserve">The role of </w:t>
            </w:r>
            <w:r w:rsidR="00671BCE">
              <w:rPr>
                <w:rFonts w:ascii="Calibri" w:hAnsi="Calibri"/>
                <w:sz w:val="22"/>
                <w:szCs w:val="22"/>
              </w:rPr>
              <w:t xml:space="preserve">the Global HR Mobility Specialist will assist with the human resources aspects of international mobility. The incumbent will serve as the point of contact for moves inbound to a number of regions and manage a portfolio of assignments including short and long term international assignments and local engagements. </w:t>
            </w:r>
          </w:p>
          <w:p w14:paraId="177B30FB" w14:textId="4FB28BF0" w:rsidR="00671BCE" w:rsidRDefault="00671BCE" w:rsidP="00F844B1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Global HR Mobility Specialist is the main point of contact for the employee, ensuring a high quality experience that is compliant with country</w:t>
            </w:r>
            <w:r w:rsidR="00002FD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and CSIRO requirements.</w:t>
            </w:r>
          </w:p>
          <w:p w14:paraId="26A10321" w14:textId="1A25ED10" w:rsidR="00502363" w:rsidRPr="00D515BF" w:rsidRDefault="00671BCE" w:rsidP="00D515BF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role will collaborate with internal functions such as Global, Legal, HSE, Contracts, Governance, Information Management &amp; Technology, Security, Human Resources and other relevant functions. The incumbent will manage and coordinate day-to-day operations and relationships with external vendors e.g. tax specialists, visa advisory services etc.</w:t>
            </w:r>
          </w:p>
        </w:tc>
      </w:tr>
    </w:tbl>
    <w:p w14:paraId="76D65983" w14:textId="77777777" w:rsidR="008901D6" w:rsidRDefault="008901D6" w:rsidP="00502363">
      <w:pPr>
        <w:rPr>
          <w:rFonts w:ascii="Calibri" w:hAnsi="Calibri"/>
          <w:sz w:val="22"/>
          <w:szCs w:val="22"/>
        </w:rPr>
      </w:pPr>
    </w:p>
    <w:p w14:paraId="3C042BFF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07189D6C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565BEC29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1F7FB604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0176781F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38EAE75F" w14:textId="77777777" w:rsidR="00D515BF" w:rsidRPr="00E641DA" w:rsidRDefault="00D515BF" w:rsidP="00502363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4"/>
      </w:tblGrid>
      <w:tr w:rsidR="00502363" w:rsidRPr="00E641DA" w14:paraId="3F632428" w14:textId="77777777" w:rsidTr="00B5254D">
        <w:trPr>
          <w:trHeight w:val="647"/>
        </w:trPr>
        <w:tc>
          <w:tcPr>
            <w:tcW w:w="10024" w:type="dxa"/>
            <w:shd w:val="clear" w:color="auto" w:fill="F2F2F2"/>
            <w:vAlign w:val="center"/>
          </w:tcPr>
          <w:p w14:paraId="1834DF31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Duties and Key Result Areas:</w:t>
            </w:r>
          </w:p>
        </w:tc>
      </w:tr>
      <w:tr w:rsidR="00502363" w:rsidRPr="00E641DA" w14:paraId="6FC18BA2" w14:textId="77777777" w:rsidTr="008901D6">
        <w:trPr>
          <w:trHeight w:val="11752"/>
        </w:trPr>
        <w:tc>
          <w:tcPr>
            <w:tcW w:w="10024" w:type="dxa"/>
          </w:tcPr>
          <w:p w14:paraId="596EE5B3" w14:textId="77777777" w:rsidR="005D7E89" w:rsidRPr="005D7E89" w:rsidRDefault="005D7E89" w:rsidP="005D7E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Global Mobility Lifecycle</w:t>
            </w:r>
          </w:p>
          <w:p w14:paraId="0E6EF5B2" w14:textId="103819FA" w:rsid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Overseeing the employee lifecycle as it relates to international assignments</w:t>
            </w:r>
            <w:r w:rsidR="00E16C3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, placements</w:t>
            </w: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and transfers, understanding end to end service model in order to anticipate employee needs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51D47632" w14:textId="53493B2D" w:rsidR="00002741" w:rsidRDefault="00002741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Partner with CSIRO Global </w:t>
            </w:r>
            <w:r w:rsidR="00E61E6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In-Business HR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on international assignments </w:t>
            </w:r>
            <w:r w:rsidR="00E16C3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placements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e.g. business case, approval for assignments, office arrangements, engagement with other Australian government and non-government entities abroad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5EC72F68" w14:textId="3B6FFF65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Ensuring adherence to CSIRO’s procedures and country requirements as it relates to international placements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1A72A16B" w14:textId="52A59B8F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Coordinate with HR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Recruitment, Workplace Relations and Policy </w:t>
            </w: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and CSIRO Global to determine individual transferee</w:t>
            </w:r>
            <w:r w:rsidR="00E61E6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or local remuneration</w:t>
            </w: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00274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packages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3AA74A48" w14:textId="364D9CEF" w:rsidR="00002741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Calculate financial aspects of moves including cost projections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3ED97FC7" w14:textId="5A8A4A73" w:rsidR="00002741" w:rsidRPr="00671BCE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Track and report mobility related costs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3907C40B" w14:textId="51A6D086" w:rsidR="00002741" w:rsidRPr="00671BCE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Manage non-CSIRO standard systems as </w:t>
            </w:r>
            <w:r w:rsidR="00A139C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required e.g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 TriNet administration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79F8B029" w14:textId="77777777" w:rsidR="005D7E89" w:rsidRDefault="005D7E89" w:rsidP="005D7E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548B10C0" w14:textId="77777777" w:rsidR="005D7E89" w:rsidRDefault="005D7E89" w:rsidP="005D7E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Collaboration</w:t>
            </w:r>
          </w:p>
          <w:p w14:paraId="760E7954" w14:textId="526EAE2C" w:rsidR="005D7E89" w:rsidRPr="00671BCE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Partner with CSIRO Global develop</w:t>
            </w:r>
            <w:r w:rsidR="00E16C3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and improve programs and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administration of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the international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mobility process to meet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CSIRO’s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business needs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245174B8" w14:textId="7B1CABDE" w:rsid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Collaborate with key functions such as </w:t>
            </w:r>
            <w:r w:rsidR="00E16C3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Human Resources, </w:t>
            </w:r>
            <w:r>
              <w:rPr>
                <w:rFonts w:ascii="Calibri" w:hAnsi="Calibri"/>
                <w:sz w:val="22"/>
                <w:szCs w:val="22"/>
              </w:rPr>
              <w:t xml:space="preserve">Legal, HSE, Contracts, Governance, Information Management &amp; Technology, Security, </w:t>
            </w:r>
            <w:r w:rsidR="00E16C3E">
              <w:rPr>
                <w:rFonts w:ascii="Calibri" w:hAnsi="Calibri"/>
                <w:sz w:val="22"/>
                <w:szCs w:val="22"/>
              </w:rPr>
              <w:t>Finance</w:t>
            </w:r>
            <w:r>
              <w:rPr>
                <w:rFonts w:ascii="Calibri" w:hAnsi="Calibri"/>
                <w:sz w:val="22"/>
                <w:szCs w:val="22"/>
              </w:rPr>
              <w:t xml:space="preserve"> and other relevant functions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and p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rovide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obility-related expertise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63F76B37" w14:textId="15FA5458" w:rsidR="00002741" w:rsidRPr="005D7E89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Work with HR In-business to maintain an up-to-date forecast of global mobility needs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(e.g. anticipate future needs)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25D91BE9" w14:textId="77777777" w:rsidR="005D7E89" w:rsidRDefault="005D7E89" w:rsidP="005D7E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151087F3" w14:textId="77777777" w:rsidR="005D7E89" w:rsidRPr="005D7E89" w:rsidRDefault="005D7E89" w:rsidP="005D7E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Subject Matter expert</w:t>
            </w:r>
          </w:p>
          <w:p w14:paraId="363C21A3" w14:textId="3F826EA3" w:rsidR="00671BCE" w:rsidRPr="00671BCE" w:rsidRDefault="00671BCE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Run education seminars on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Global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HR </w:t>
            </w:r>
            <w:r w:rsid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Mobility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procedures</w:t>
            </w:r>
            <w:r w:rsidR="005D7E8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and practices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3BE33212" w14:textId="09DB45AD" w:rsidR="00002741" w:rsidRPr="00671BCE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Capture and circulate best practices for the mobility life-cycle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1604BDCD" w14:textId="3C0CA4E3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D7E89">
              <w:rPr>
                <w:rFonts w:ascii="Calibri" w:hAnsi="Calibri"/>
                <w:sz w:val="22"/>
                <w:szCs w:val="22"/>
              </w:rPr>
              <w:t>Leveraging technology to ensure accurate and complete tracking of data, managing elements of assignment and working with vendors</w:t>
            </w:r>
            <w:r w:rsidR="00D515BF">
              <w:rPr>
                <w:rFonts w:ascii="Calibri" w:hAnsi="Calibri"/>
                <w:sz w:val="22"/>
                <w:szCs w:val="22"/>
              </w:rPr>
              <w:t>.</w:t>
            </w:r>
          </w:p>
          <w:p w14:paraId="4EF20C1B" w14:textId="4C1E644B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D7E89">
              <w:rPr>
                <w:rFonts w:ascii="Calibri" w:hAnsi="Calibri"/>
                <w:sz w:val="22"/>
                <w:szCs w:val="22"/>
              </w:rPr>
              <w:t>Keeping updated on industry best practices, trends, and latest thinking on international assignments and relocations</w:t>
            </w:r>
            <w:r w:rsidR="00D515BF">
              <w:rPr>
                <w:rFonts w:ascii="Calibri" w:hAnsi="Calibri"/>
                <w:sz w:val="22"/>
                <w:szCs w:val="22"/>
              </w:rPr>
              <w:t>.</w:t>
            </w:r>
          </w:p>
          <w:p w14:paraId="36C74F36" w14:textId="54E28890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D7E89">
              <w:rPr>
                <w:rFonts w:ascii="Calibri" w:hAnsi="Calibri"/>
                <w:sz w:val="22"/>
                <w:szCs w:val="22"/>
              </w:rPr>
              <w:t xml:space="preserve">Proactively identify </w:t>
            </w:r>
            <w:r w:rsidR="00E16C3E">
              <w:rPr>
                <w:rFonts w:ascii="Calibri" w:hAnsi="Calibri"/>
                <w:sz w:val="22"/>
                <w:szCs w:val="22"/>
              </w:rPr>
              <w:t>opportunities for improvements and/or efficiencies in procedures and processes</w:t>
            </w:r>
            <w:r w:rsidR="00D515BF">
              <w:rPr>
                <w:rFonts w:ascii="Calibri" w:hAnsi="Calibri"/>
                <w:sz w:val="22"/>
                <w:szCs w:val="22"/>
              </w:rPr>
              <w:t>.</w:t>
            </w:r>
          </w:p>
          <w:p w14:paraId="17369792" w14:textId="44FA6431" w:rsidR="005D7E89" w:rsidRPr="005D7E89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Monitor additional aspects of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CSIRO’s international placements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 identify opportunities for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improvement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2461846C" w14:textId="77777777" w:rsidR="00002741" w:rsidRPr="00671BCE" w:rsidRDefault="00002741" w:rsidP="000027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Maintain and improve the process for tracking transfers and producing metrics for key</w:t>
            </w:r>
          </w:p>
          <w:p w14:paraId="4C21E88B" w14:textId="4DCE2FB6" w:rsidR="00002741" w:rsidRDefault="00D515BF" w:rsidP="00002741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</w:t>
            </w:r>
            <w:r w:rsidR="00002741"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takeholders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  <w:r w:rsidR="00002741" w:rsidRPr="005D7E8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E2F702" w14:textId="77777777" w:rsidR="005D7E89" w:rsidRDefault="005D7E89" w:rsidP="005D7E8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5D2AF1C0" w14:textId="77777777" w:rsidR="00002741" w:rsidRPr="00002741" w:rsidRDefault="005D7E89" w:rsidP="000027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External vendor management</w:t>
            </w:r>
          </w:p>
          <w:p w14:paraId="53892D6A" w14:textId="4E452F0E" w:rsidR="00671BCE" w:rsidRDefault="00671BCE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671BC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Manage and coordinate day-to-day operations and relationships with external vendors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50A00D1B" w14:textId="7A09350D" w:rsidR="00002741" w:rsidRDefault="00002741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Seek approvals for engagement of vendors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2723973B" w14:textId="4F2B0553" w:rsidR="00002741" w:rsidRDefault="00002741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Develop a panel of vendors to maximise value and quality of service for CSIRO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538BB809" w14:textId="407827CE" w:rsidR="005D7E89" w:rsidRPr="00D515BF" w:rsidRDefault="005D7E89" w:rsidP="005D7E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Serving as primary contact for employee during decision making pha</w:t>
            </w:r>
            <w:r w:rsidR="00E16C3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 to answer questions on procedure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and process prior to handoff to vendors</w:t>
            </w:r>
            <w:r w:rsidR="00D515B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322000C5" w14:textId="77777777" w:rsidR="005D7E89" w:rsidRPr="005D7E89" w:rsidRDefault="005D7E89" w:rsidP="005D7E89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10CA54B2" w14:textId="77777777" w:rsidR="005D7E89" w:rsidRPr="00D515BF" w:rsidRDefault="008901D6" w:rsidP="005D7E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515BF">
              <w:rPr>
                <w:rFonts w:ascii="Calibri" w:hAnsi="Calibri"/>
                <w:sz w:val="22"/>
                <w:szCs w:val="22"/>
              </w:rPr>
              <w:t>Other duties as directed</w:t>
            </w:r>
          </w:p>
          <w:p w14:paraId="3D1FDCF2" w14:textId="77777777" w:rsidR="005D7E89" w:rsidRDefault="005D7E89" w:rsidP="005D7E89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0A6C172B" w14:textId="77777777" w:rsidR="005D7E89" w:rsidRPr="005D7E89" w:rsidRDefault="005D7E89" w:rsidP="005D7E89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6F16BCD6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477C8CF3" w14:textId="77777777" w:rsidR="00D515BF" w:rsidRDefault="00D515BF" w:rsidP="00502363">
      <w:pPr>
        <w:rPr>
          <w:rFonts w:ascii="Calibri" w:hAnsi="Calibri"/>
          <w:sz w:val="22"/>
          <w:szCs w:val="22"/>
        </w:rPr>
      </w:pPr>
    </w:p>
    <w:p w14:paraId="565748AA" w14:textId="77777777" w:rsidR="008901D6" w:rsidRPr="00E641DA" w:rsidRDefault="008901D6" w:rsidP="00502363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4"/>
      </w:tblGrid>
      <w:tr w:rsidR="00502363" w:rsidRPr="00E641DA" w14:paraId="1C3C60CE" w14:textId="77777777" w:rsidTr="00B5254D">
        <w:trPr>
          <w:trHeight w:val="703"/>
        </w:trPr>
        <w:tc>
          <w:tcPr>
            <w:tcW w:w="10024" w:type="dxa"/>
            <w:shd w:val="clear" w:color="auto" w:fill="F2F2F2"/>
            <w:vAlign w:val="center"/>
          </w:tcPr>
          <w:p w14:paraId="6D8B8363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Selection Criteria:</w:t>
            </w:r>
          </w:p>
        </w:tc>
      </w:tr>
      <w:tr w:rsidR="00502363" w:rsidRPr="00E641DA" w14:paraId="1DEDDA27" w14:textId="77777777" w:rsidTr="00B5254D">
        <w:trPr>
          <w:trHeight w:val="703"/>
        </w:trPr>
        <w:tc>
          <w:tcPr>
            <w:tcW w:w="10024" w:type="dxa"/>
            <w:shd w:val="clear" w:color="auto" w:fill="FFFFFF"/>
          </w:tcPr>
          <w:p w14:paraId="535A91C8" w14:textId="77777777"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14:paraId="5497826B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14:paraId="537317C4" w14:textId="48EFC53C" w:rsidR="00502363" w:rsidRPr="00520570" w:rsidRDefault="00502363" w:rsidP="00574379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="00D853A6" w:rsidRPr="00BE229F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825D94">
              <w:rPr>
                <w:rFonts w:ascii="Calibri" w:hAnsi="Calibri"/>
                <w:sz w:val="22"/>
                <w:szCs w:val="22"/>
              </w:rPr>
              <w:t xml:space="preserve">relevant </w:t>
            </w:r>
            <w:r w:rsidR="00D853A6" w:rsidRPr="00BE229F">
              <w:rPr>
                <w:rFonts w:ascii="Calibri" w:hAnsi="Calibri"/>
                <w:sz w:val="22"/>
                <w:szCs w:val="22"/>
              </w:rPr>
              <w:t>tertiary qualification such as</w:t>
            </w:r>
            <w:r w:rsidR="00FD59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2741">
              <w:rPr>
                <w:rFonts w:ascii="Calibri" w:hAnsi="Calibri"/>
                <w:sz w:val="22"/>
                <w:szCs w:val="22"/>
              </w:rPr>
              <w:t xml:space="preserve">Human Resources </w:t>
            </w:r>
            <w:r w:rsidR="00002741" w:rsidRPr="00002741">
              <w:rPr>
                <w:rFonts w:ascii="Calibri" w:hAnsi="Calibri"/>
                <w:sz w:val="22"/>
                <w:szCs w:val="22"/>
                <w:u w:val="single"/>
              </w:rPr>
              <w:t>and</w:t>
            </w:r>
            <w:r w:rsidR="00002741">
              <w:rPr>
                <w:rFonts w:ascii="Calibri" w:hAnsi="Calibri"/>
                <w:sz w:val="22"/>
                <w:szCs w:val="22"/>
              </w:rPr>
              <w:t xml:space="preserve"> global mobility related </w:t>
            </w:r>
            <w:r w:rsidR="00F25869" w:rsidRPr="00BE229F">
              <w:rPr>
                <w:rFonts w:ascii="Calibri" w:hAnsi="Calibri"/>
                <w:sz w:val="22"/>
                <w:szCs w:val="22"/>
              </w:rPr>
              <w:t>experience</w:t>
            </w:r>
            <w:r w:rsidR="00D515BF">
              <w:rPr>
                <w:rFonts w:ascii="Calibri" w:hAnsi="Calibri"/>
                <w:sz w:val="22"/>
                <w:szCs w:val="22"/>
              </w:rPr>
              <w:t>.</w:t>
            </w:r>
          </w:p>
          <w:p w14:paraId="01638C54" w14:textId="77777777" w:rsidR="00825D94" w:rsidRPr="00825D94" w:rsidRDefault="00825D94" w:rsidP="00574379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Communication:  </w:t>
            </w:r>
            <w:r w:rsidRPr="009B179C">
              <w:rPr>
                <w:rFonts w:ascii="Calibri" w:hAnsi="Calibri"/>
                <w:sz w:val="22"/>
                <w:szCs w:val="22"/>
              </w:rPr>
              <w:t>Excellent written and oral communication skills, including the ability to clearly and succinctly convey information and ideas to individuals and groups.</w:t>
            </w:r>
          </w:p>
          <w:p w14:paraId="630B28FD" w14:textId="77777777" w:rsidR="00825D94" w:rsidRPr="00825D94" w:rsidRDefault="00716F62" w:rsidP="00574379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jc w:val="both"/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="00825D94"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="00825D94" w:rsidRPr="009B179C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environment.</w:t>
            </w:r>
          </w:p>
          <w:p w14:paraId="3E304DC6" w14:textId="77777777" w:rsidR="00825D94" w:rsidRPr="00825D94" w:rsidRDefault="00825D94" w:rsidP="00574379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jc w:val="both"/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Adaptability:  </w:t>
            </w:r>
            <w:r w:rsidRPr="009B179C">
              <w:rPr>
                <w:rFonts w:ascii="Calibri" w:hAnsi="Calibri"/>
                <w:sz w:val="22"/>
                <w:szCs w:val="22"/>
              </w:rPr>
              <w:t>Demonstrated ability to deal with ambiguity and adapt to changing circumstances and new responsibilities.</w:t>
            </w:r>
          </w:p>
          <w:p w14:paraId="5E247E64" w14:textId="77777777" w:rsidR="00F844B1" w:rsidRPr="00954E4E" w:rsidRDefault="00825D94" w:rsidP="00574379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Problem Solving:  </w:t>
            </w:r>
            <w:r w:rsidRPr="009B179C">
              <w:rPr>
                <w:rFonts w:ascii="Calibri" w:hAnsi="Calibri"/>
                <w:sz w:val="22"/>
                <w:szCs w:val="22"/>
              </w:rPr>
              <w:t>Proven ability to investigate underlying issues of complex and ill-defined problems and develop appropriate responses through abstract thinking and using creative solutions</w:t>
            </w:r>
            <w:r w:rsidR="00954E4E" w:rsidRPr="0077604C">
              <w:rPr>
                <w:rFonts w:ascii="Calibri" w:hAnsi="Calibri"/>
                <w:sz w:val="22"/>
                <w:szCs w:val="22"/>
              </w:rPr>
              <w:t>.</w:t>
            </w:r>
          </w:p>
          <w:p w14:paraId="3911BDE3" w14:textId="77777777" w:rsidR="00502363" w:rsidRPr="00520570" w:rsidRDefault="00502363" w:rsidP="003E3D1B">
            <w:pPr>
              <w:spacing w:before="120"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14:paraId="78AE7518" w14:textId="316E662A" w:rsidR="00B5254D" w:rsidRPr="00B5254D" w:rsidRDefault="00B5254D" w:rsidP="00B5254D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Demonstrated experience working in global/international mobility in international placements and local engagements</w:t>
            </w:r>
            <w:r w:rsidR="00D515BF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57CF0C6F" w14:textId="77777777" w:rsidR="00B5254D" w:rsidRPr="00B5254D" w:rsidRDefault="00B5254D" w:rsidP="00B5254D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jc w:val="both"/>
              <w:rPr>
                <w:rStyle w:val="Emphasis"/>
                <w:rFonts w:asciiTheme="minorHAnsi" w:hAnsiTheme="minorHAnsi" w:cstheme="minorHAnsi"/>
                <w:iCs/>
                <w:sz w:val="22"/>
                <w:szCs w:val="22"/>
              </w:rPr>
            </w:pPr>
            <w:r w:rsidRPr="00B5254D">
              <w:rPr>
                <w:rFonts w:asciiTheme="minorHAnsi" w:hAnsiTheme="minorHAnsi" w:cstheme="minorHAnsi"/>
                <w:sz w:val="22"/>
                <w:szCs w:val="22"/>
              </w:rPr>
              <w:t>The ability to work effectively in a team environment, collaborate widely both internally and externally, and provide guidance to managers and staff.</w:t>
            </w:r>
          </w:p>
          <w:p w14:paraId="3D1CDBC3" w14:textId="73522B27" w:rsidR="00144D9B" w:rsidRPr="00B5254D" w:rsidRDefault="00B5254D" w:rsidP="00574379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jc w:val="both"/>
              <w:rPr>
                <w:rStyle w:val="Emphasis"/>
                <w:rFonts w:asciiTheme="minorHAnsi" w:hAnsiTheme="minorHAnsi" w:cstheme="minorHAnsi"/>
                <w:iCs/>
                <w:sz w:val="22"/>
                <w:szCs w:val="22"/>
              </w:rPr>
            </w:pPr>
            <w:r w:rsidRPr="00B5254D">
              <w:rPr>
                <w:rFonts w:asciiTheme="minorHAnsi" w:hAnsiTheme="minorHAnsi" w:cstheme="minorHAnsi"/>
                <w:sz w:val="22"/>
                <w:szCs w:val="22"/>
              </w:rPr>
              <w:t>Strong organisation skills and a</w:t>
            </w:r>
            <w:r w:rsidR="00002741" w:rsidRPr="00B5254D">
              <w:rPr>
                <w:rFonts w:asciiTheme="minorHAnsi" w:hAnsiTheme="minorHAnsi" w:cstheme="minorHAnsi"/>
                <w:sz w:val="22"/>
                <w:szCs w:val="22"/>
              </w:rPr>
              <w:t>bility to perform multiple complex tasks</w:t>
            </w:r>
            <w:r w:rsidR="00D515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278EBA" w14:textId="77777777" w:rsidR="00F844B1" w:rsidRPr="00B5254D" w:rsidRDefault="00262BD8" w:rsidP="00574379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120"/>
              <w:ind w:left="318" w:hanging="284"/>
              <w:jc w:val="both"/>
              <w:rPr>
                <w:rStyle w:val="Emphasis"/>
                <w:rFonts w:asciiTheme="minorHAnsi" w:hAnsiTheme="minorHAnsi" w:cstheme="minorHAnsi"/>
                <w:iCs/>
                <w:sz w:val="22"/>
                <w:szCs w:val="22"/>
              </w:rPr>
            </w:pPr>
            <w:r w:rsidRPr="00B5254D">
              <w:rPr>
                <w:rFonts w:asciiTheme="minorHAnsi" w:hAnsiTheme="minorHAnsi" w:cstheme="minorHAnsi"/>
                <w:sz w:val="22"/>
                <w:szCs w:val="22"/>
              </w:rPr>
              <w:t>Demonstrated ability and willingness to generate improved solutions to complex problems and resolve complaints using creativity, reasoning and past experience</w:t>
            </w:r>
            <w:r w:rsidR="00F844B1" w:rsidRPr="00B5254D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>.</w:t>
            </w:r>
          </w:p>
          <w:p w14:paraId="639B229A" w14:textId="324E6577" w:rsidR="008901D6" w:rsidRPr="008901D6" w:rsidRDefault="00B5254D" w:rsidP="008901D6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120"/>
              <w:ind w:left="318" w:hanging="284"/>
              <w:jc w:val="both"/>
              <w:rPr>
                <w:rStyle w:val="Emphasis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/>
                <w:sz w:val="22"/>
                <w:szCs w:val="22"/>
              </w:rPr>
              <w:t>Demonstrated experience in managing external vendors</w:t>
            </w:r>
            <w:r w:rsidR="00D515BF">
              <w:rPr>
                <w:rStyle w:val="Emphasis"/>
                <w:rFonts w:asciiTheme="minorHAnsi" w:hAnsiTheme="minorHAnsi" w:cstheme="minorHAnsi"/>
                <w:i w:val="0"/>
                <w:iCs/>
                <w:sz w:val="22"/>
                <w:szCs w:val="22"/>
              </w:rPr>
              <w:t>.</w:t>
            </w:r>
          </w:p>
          <w:p w14:paraId="518B4E27" w14:textId="77777777" w:rsidR="008901D6" w:rsidRPr="002B0EB7" w:rsidRDefault="008901D6" w:rsidP="008901D6">
            <w:p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2B0EB7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14:paraId="684210B2" w14:textId="77777777" w:rsidR="008901D6" w:rsidRPr="002B0EB7" w:rsidRDefault="008901D6" w:rsidP="008901D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14:paraId="49877765" w14:textId="77777777" w:rsidR="008901D6" w:rsidRPr="002B0EB7" w:rsidRDefault="008901D6" w:rsidP="008901D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14:paraId="6CFC4BC2" w14:textId="77777777" w:rsidR="008901D6" w:rsidRPr="002B0EB7" w:rsidRDefault="008901D6" w:rsidP="008901D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14:paraId="25F34B29" w14:textId="77777777" w:rsidR="008901D6" w:rsidRPr="002B0EB7" w:rsidRDefault="008901D6" w:rsidP="008901D6">
            <w:pPr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14:paraId="01973D23" w14:textId="77777777" w:rsidR="008901D6" w:rsidRPr="008901D6" w:rsidRDefault="008901D6" w:rsidP="008901D6">
            <w:pPr>
              <w:spacing w:after="240"/>
              <w:jc w:val="both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  <w:p w14:paraId="22112801" w14:textId="77777777" w:rsidR="00502363" w:rsidRPr="008901D6" w:rsidRDefault="004B76E8" w:rsidP="00CB7CA4">
            <w:pPr>
              <w:spacing w:after="60"/>
              <w:jc w:val="both"/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</w:pPr>
            <w:r w:rsidRPr="008901D6"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  <w:t>S</w:t>
            </w:r>
            <w:r w:rsidR="00502363" w:rsidRPr="008901D6"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  <w:t>pecial requirements:</w:t>
            </w:r>
          </w:p>
          <w:p w14:paraId="0738825D" w14:textId="77777777" w:rsidR="00502363" w:rsidRPr="004B76E8" w:rsidRDefault="00A00A9E" w:rsidP="00B5254D">
            <w:pPr>
              <w:spacing w:after="120"/>
              <w:jc w:val="both"/>
              <w:rPr>
                <w:rFonts w:ascii="Calibri" w:hAnsi="Calibri"/>
                <w:b/>
                <w:bCs/>
                <w:iCs/>
                <w:color w:val="FF0000"/>
                <w:sz w:val="22"/>
                <w:szCs w:val="22"/>
              </w:rPr>
            </w:pPr>
            <w:r w:rsidRPr="008901D6">
              <w:rPr>
                <w:rFonts w:ascii="Calibri" w:hAnsi="Calibri"/>
                <w:bCs/>
                <w:iCs/>
                <w:sz w:val="22"/>
                <w:szCs w:val="22"/>
              </w:rPr>
              <w:t xml:space="preserve">To be eligible for this position you must be willing and able to </w:t>
            </w:r>
            <w:r w:rsidR="00B5254D" w:rsidRPr="008901D6">
              <w:rPr>
                <w:rFonts w:ascii="Calibri" w:hAnsi="Calibri"/>
                <w:bCs/>
                <w:iCs/>
                <w:sz w:val="22"/>
                <w:szCs w:val="22"/>
              </w:rPr>
              <w:t>attend to calls to accommodate different time zones</w:t>
            </w:r>
            <w:r w:rsidR="00B5254D" w:rsidRPr="008901D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48D6DA61" w14:textId="77777777"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10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1"/>
      </w:tblGrid>
      <w:tr w:rsidR="00502363" w:rsidRPr="007344EE" w14:paraId="7A08E574" w14:textId="77777777" w:rsidTr="008901D6">
        <w:trPr>
          <w:trHeight w:val="703"/>
        </w:trPr>
        <w:tc>
          <w:tcPr>
            <w:tcW w:w="100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849304" w14:textId="77777777"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14:paraId="3C5CB3F2" w14:textId="77777777" w:rsidTr="008901D6">
        <w:trPr>
          <w:trHeight w:val="827"/>
        </w:trPr>
        <w:tc>
          <w:tcPr>
            <w:tcW w:w="10001" w:type="dxa"/>
            <w:shd w:val="clear" w:color="auto" w:fill="FFFFFF"/>
          </w:tcPr>
          <w:p w14:paraId="42578DA6" w14:textId="77777777" w:rsidR="00502363" w:rsidRPr="00520570" w:rsidRDefault="00502363" w:rsidP="00CB7CA4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14:paraId="33E1F28C" w14:textId="77777777" w:rsidR="008901D6" w:rsidRPr="004C1FD6" w:rsidRDefault="008901D6" w:rsidP="008901D6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4C1FD6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 and enter requisition number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52453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14:paraId="7E22A525" w14:textId="77777777" w:rsidR="008901D6" w:rsidRPr="004C1FD6" w:rsidRDefault="008901D6" w:rsidP="008901D6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load your CV (Maximum 2MB). </w:t>
            </w:r>
            <w:r w:rsidRPr="004C1FD6">
              <w:rPr>
                <w:rFonts w:ascii="Calibri" w:hAnsi="Calibri"/>
                <w:sz w:val="22"/>
                <w:szCs w:val="22"/>
              </w:rPr>
              <w:t>You may also be required to respond to some screening questions.  </w:t>
            </w:r>
          </w:p>
          <w:p w14:paraId="122676CD" w14:textId="77777777" w:rsidR="008901D6" w:rsidRPr="004C1FD6" w:rsidRDefault="008901D6" w:rsidP="008901D6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984 220 for assistance.  Outside Australian business hours please email:   </w:t>
            </w:r>
            <w:hyperlink r:id="rId10" w:history="1">
              <w:r w:rsidRPr="004C1FD6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68A861C6" w14:textId="77777777" w:rsidR="008901D6" w:rsidRPr="004C1FD6" w:rsidRDefault="008901D6" w:rsidP="008901D6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Referees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:  Please provide contact details of two previous supervisor or academic/professional referees in your resume/CV. We will ask your permission before making contact. </w:t>
            </w:r>
          </w:p>
          <w:p w14:paraId="1EBBD7D3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>:  If you do not already have the names and contact details of two previous supervisors or academic/ professional referees included in your resume/CV please add these before uploading your CV.</w:t>
            </w:r>
          </w:p>
          <w:p w14:paraId="27538CE6" w14:textId="77777777"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14:paraId="4B5125D3" w14:textId="77777777" w:rsidR="00502363" w:rsidRPr="00520570" w:rsidRDefault="00502363" w:rsidP="00CB7CA4">
            <w:pPr>
              <w:spacing w:after="120"/>
              <w:ind w:right="-10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26C73">
              <w:rPr>
                <w:rFonts w:ascii="Calibri" w:hAnsi="Calibri"/>
                <w:bCs/>
                <w:sz w:val="22"/>
                <w:szCs w:val="22"/>
              </w:rPr>
              <w:tab/>
            </w:r>
            <w:r w:rsidR="00B5254D">
              <w:rPr>
                <w:rFonts w:ascii="Calibri" w:hAnsi="Calibri"/>
                <w:sz w:val="22"/>
                <w:szCs w:val="22"/>
              </w:rPr>
              <w:t>Ricky Pena</w:t>
            </w:r>
            <w:r w:rsidR="00726C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B5254D">
              <w:rPr>
                <w:rFonts w:ascii="Calibri" w:hAnsi="Calibri"/>
                <w:sz w:val="22"/>
                <w:szCs w:val="22"/>
              </w:rPr>
              <w:t>ricky.pena@csiro.au</w:t>
            </w:r>
            <w:r w:rsidR="00726C7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or phone: </w:t>
            </w:r>
            <w:r w:rsidR="00B5254D">
              <w:rPr>
                <w:rFonts w:ascii="Calibri" w:hAnsi="Calibri"/>
                <w:sz w:val="22"/>
                <w:szCs w:val="22"/>
              </w:rPr>
              <w:t>+61 404 595 288</w:t>
            </w:r>
          </w:p>
          <w:p w14:paraId="0324FA6E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B5254D">
              <w:rPr>
                <w:rFonts w:ascii="Calibri" w:hAnsi="Calibri"/>
                <w:sz w:val="22"/>
                <w:szCs w:val="22"/>
              </w:rPr>
              <w:t>Ricky Pena.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Applications received via this method will not be considered.</w:t>
            </w:r>
          </w:p>
          <w:p w14:paraId="3CA7FB38" w14:textId="77777777"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14:paraId="135D6219" w14:textId="77777777"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00891FE5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520570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14:paraId="7AFBB3A2" w14:textId="77777777" w:rsidR="00502363" w:rsidRDefault="00502363" w:rsidP="008901D6">
            <w:pPr>
              <w:spacing w:after="180"/>
              <w:rPr>
                <w:rFonts w:ascii="Calibri" w:hAnsi="Calibri"/>
                <w:b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CSIRO</w:t>
            </w:r>
            <w:r w:rsidR="00726C73" w:rsidRPr="00254B2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901D6">
              <w:rPr>
                <w:rFonts w:ascii="Calibri" w:hAnsi="Calibri"/>
                <w:b/>
                <w:sz w:val="22"/>
                <w:szCs w:val="22"/>
              </w:rPr>
              <w:t xml:space="preserve">Global </w:t>
            </w:r>
          </w:p>
          <w:p w14:paraId="70C4B700" w14:textId="77777777" w:rsidR="002F26BA" w:rsidRDefault="002F26BA" w:rsidP="002F26BA">
            <w:pP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</w:pPr>
            <w:r w:rsidRPr="008F30B7"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>CSIRO Global plays</w:t>
            </w:r>
            <w:r w:rsidRPr="00584EEF"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 xml:space="preserve"> a central role in the development and implementation of CSIRO's strategy, including the development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 xml:space="preserve"> of CSIRO's presence overseas. </w:t>
            </w:r>
            <w:r w:rsidRPr="00584EEF"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>The team supports the full range of CSIRO’s international activities by working closely with staff from a range of areas within CSIRO, as well as collecting and sharing data on CSIRO’s pre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 xml:space="preserve">sence and engagement overseas.  </w:t>
            </w:r>
            <w:r w:rsidRPr="00584EEF"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 xml:space="preserve">The team also coordinates engagement with national and international partners that have an interest in CSIRO’s international activity. This includes Australian government departments and agencies, embassies, non-governmental agencies and international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>partner organisations.</w:t>
            </w:r>
          </w:p>
          <w:p w14:paraId="04974819" w14:textId="77777777" w:rsidR="00D515BF" w:rsidRDefault="00D515BF" w:rsidP="002F26BA">
            <w:pP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</w:pPr>
          </w:p>
          <w:p w14:paraId="27993A42" w14:textId="2B64EB53" w:rsidR="002F26BA" w:rsidRPr="00520570" w:rsidRDefault="002F26BA" w:rsidP="002F26BA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" w:eastAsia="en-AU"/>
              </w:rPr>
              <w:t xml:space="preserve">Find out more: </w:t>
            </w:r>
            <w:hyperlink r:id="rId12" w:history="1">
              <w:r w:rsidRPr="008F30B7">
                <w:rPr>
                  <w:rStyle w:val="Hyperlink"/>
                  <w:rFonts w:ascii="Calibri" w:eastAsia="Times New Roman" w:hAnsi="Calibri"/>
                  <w:sz w:val="22"/>
                  <w:szCs w:val="22"/>
                  <w:lang w:val="en" w:eastAsia="en-AU"/>
                </w:rPr>
                <w:t>CSIRO Global</w:t>
              </w:r>
            </w:hyperlink>
          </w:p>
        </w:tc>
      </w:tr>
    </w:tbl>
    <w:p w14:paraId="4B701235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p w14:paraId="257761C2" w14:textId="77777777"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F6685" w14:textId="77777777" w:rsidR="00B97011" w:rsidRDefault="00B97011">
      <w:r>
        <w:separator/>
      </w:r>
    </w:p>
  </w:endnote>
  <w:endnote w:type="continuationSeparator" w:id="0">
    <w:p w14:paraId="031017FB" w14:textId="77777777" w:rsidR="00B97011" w:rsidRDefault="00B9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91C50" w14:textId="77777777" w:rsidR="00B97011" w:rsidRDefault="00B97011">
      <w:r>
        <w:separator/>
      </w:r>
    </w:p>
  </w:footnote>
  <w:footnote w:type="continuationSeparator" w:id="0">
    <w:p w14:paraId="1F822566" w14:textId="77777777" w:rsidR="00B97011" w:rsidRDefault="00B9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B78E3" w14:textId="77777777" w:rsidR="00262BD8" w:rsidRPr="001E495E" w:rsidRDefault="00262BD8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A33104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 wp14:anchorId="308EFCB2" wp14:editId="788116C5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E47E4"/>
    <w:multiLevelType w:val="hybridMultilevel"/>
    <w:tmpl w:val="69A44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F46B9"/>
    <w:multiLevelType w:val="multilevel"/>
    <w:tmpl w:val="D7E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2741"/>
    <w:rsid w:val="00002FDA"/>
    <w:rsid w:val="00013109"/>
    <w:rsid w:val="000274EF"/>
    <w:rsid w:val="0003192D"/>
    <w:rsid w:val="00033249"/>
    <w:rsid w:val="000366D2"/>
    <w:rsid w:val="00040391"/>
    <w:rsid w:val="00045C91"/>
    <w:rsid w:val="00046A29"/>
    <w:rsid w:val="00054DDD"/>
    <w:rsid w:val="00055E9F"/>
    <w:rsid w:val="00060902"/>
    <w:rsid w:val="0006226B"/>
    <w:rsid w:val="000658F4"/>
    <w:rsid w:val="0006717F"/>
    <w:rsid w:val="0008212C"/>
    <w:rsid w:val="0008475A"/>
    <w:rsid w:val="00085BA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6EBC"/>
    <w:rsid w:val="000D72AF"/>
    <w:rsid w:val="000E5F46"/>
    <w:rsid w:val="000F1363"/>
    <w:rsid w:val="000F2F84"/>
    <w:rsid w:val="000F7BBF"/>
    <w:rsid w:val="00105008"/>
    <w:rsid w:val="001339DE"/>
    <w:rsid w:val="001364CB"/>
    <w:rsid w:val="0014142E"/>
    <w:rsid w:val="001448B6"/>
    <w:rsid w:val="00144D9B"/>
    <w:rsid w:val="001474C7"/>
    <w:rsid w:val="0015340E"/>
    <w:rsid w:val="0015558D"/>
    <w:rsid w:val="00155F81"/>
    <w:rsid w:val="00166319"/>
    <w:rsid w:val="001A0056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F2264"/>
    <w:rsid w:val="001F4404"/>
    <w:rsid w:val="00205A4A"/>
    <w:rsid w:val="00212958"/>
    <w:rsid w:val="00222800"/>
    <w:rsid w:val="002262DC"/>
    <w:rsid w:val="00230B6A"/>
    <w:rsid w:val="00235783"/>
    <w:rsid w:val="00240309"/>
    <w:rsid w:val="002407E7"/>
    <w:rsid w:val="00240A35"/>
    <w:rsid w:val="002415E6"/>
    <w:rsid w:val="00254313"/>
    <w:rsid w:val="00254B22"/>
    <w:rsid w:val="00257CA1"/>
    <w:rsid w:val="00262649"/>
    <w:rsid w:val="00262BD8"/>
    <w:rsid w:val="00262C46"/>
    <w:rsid w:val="00271E7F"/>
    <w:rsid w:val="00274A92"/>
    <w:rsid w:val="002848C3"/>
    <w:rsid w:val="00292FDB"/>
    <w:rsid w:val="00293F77"/>
    <w:rsid w:val="00294F90"/>
    <w:rsid w:val="00295F32"/>
    <w:rsid w:val="002A1520"/>
    <w:rsid w:val="002B060F"/>
    <w:rsid w:val="002B389F"/>
    <w:rsid w:val="002D204B"/>
    <w:rsid w:val="002D3829"/>
    <w:rsid w:val="002D5835"/>
    <w:rsid w:val="002D78C5"/>
    <w:rsid w:val="002F26BA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6B6D"/>
    <w:rsid w:val="0036422F"/>
    <w:rsid w:val="00375015"/>
    <w:rsid w:val="00375B41"/>
    <w:rsid w:val="00381D43"/>
    <w:rsid w:val="00381F39"/>
    <w:rsid w:val="0038234C"/>
    <w:rsid w:val="00382A5F"/>
    <w:rsid w:val="00382F58"/>
    <w:rsid w:val="00383634"/>
    <w:rsid w:val="003857D3"/>
    <w:rsid w:val="00395610"/>
    <w:rsid w:val="003A0030"/>
    <w:rsid w:val="003A0708"/>
    <w:rsid w:val="003A682C"/>
    <w:rsid w:val="003B17F4"/>
    <w:rsid w:val="003B2CB1"/>
    <w:rsid w:val="003B4A95"/>
    <w:rsid w:val="003C0B40"/>
    <w:rsid w:val="003C4810"/>
    <w:rsid w:val="003C7CA3"/>
    <w:rsid w:val="003D020A"/>
    <w:rsid w:val="003D4741"/>
    <w:rsid w:val="003D4C4C"/>
    <w:rsid w:val="003D5453"/>
    <w:rsid w:val="003D59C3"/>
    <w:rsid w:val="003D5C57"/>
    <w:rsid w:val="003D797B"/>
    <w:rsid w:val="003E3D1B"/>
    <w:rsid w:val="003E671F"/>
    <w:rsid w:val="003F1084"/>
    <w:rsid w:val="00400E4D"/>
    <w:rsid w:val="00401290"/>
    <w:rsid w:val="004111D3"/>
    <w:rsid w:val="00414BE7"/>
    <w:rsid w:val="004151C7"/>
    <w:rsid w:val="00424E93"/>
    <w:rsid w:val="00426642"/>
    <w:rsid w:val="00433A77"/>
    <w:rsid w:val="00435E0B"/>
    <w:rsid w:val="0043791C"/>
    <w:rsid w:val="004440A0"/>
    <w:rsid w:val="004501A0"/>
    <w:rsid w:val="004518BD"/>
    <w:rsid w:val="00462662"/>
    <w:rsid w:val="00474192"/>
    <w:rsid w:val="004804FC"/>
    <w:rsid w:val="004831FE"/>
    <w:rsid w:val="004918C7"/>
    <w:rsid w:val="004B76E8"/>
    <w:rsid w:val="004C18D1"/>
    <w:rsid w:val="004C2E35"/>
    <w:rsid w:val="004C5604"/>
    <w:rsid w:val="004D1800"/>
    <w:rsid w:val="004D6F3A"/>
    <w:rsid w:val="004D6F3C"/>
    <w:rsid w:val="004D6FCB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74379"/>
    <w:rsid w:val="00583303"/>
    <w:rsid w:val="00585169"/>
    <w:rsid w:val="00586F41"/>
    <w:rsid w:val="00587595"/>
    <w:rsid w:val="00587D7C"/>
    <w:rsid w:val="00592D3B"/>
    <w:rsid w:val="00592E42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D7E89"/>
    <w:rsid w:val="005E1E95"/>
    <w:rsid w:val="005E5161"/>
    <w:rsid w:val="005F35B0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71BCE"/>
    <w:rsid w:val="00672A7A"/>
    <w:rsid w:val="00674F5B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61B0"/>
    <w:rsid w:val="00716F62"/>
    <w:rsid w:val="00725E7F"/>
    <w:rsid w:val="00726C73"/>
    <w:rsid w:val="00726DF7"/>
    <w:rsid w:val="007344EE"/>
    <w:rsid w:val="00735767"/>
    <w:rsid w:val="007507C9"/>
    <w:rsid w:val="0075765F"/>
    <w:rsid w:val="0077604C"/>
    <w:rsid w:val="0077698D"/>
    <w:rsid w:val="00781499"/>
    <w:rsid w:val="007859C9"/>
    <w:rsid w:val="007A3843"/>
    <w:rsid w:val="007C024E"/>
    <w:rsid w:val="007C3398"/>
    <w:rsid w:val="007D5D08"/>
    <w:rsid w:val="007D689A"/>
    <w:rsid w:val="007E1693"/>
    <w:rsid w:val="007E2135"/>
    <w:rsid w:val="007E2796"/>
    <w:rsid w:val="007E753B"/>
    <w:rsid w:val="00802812"/>
    <w:rsid w:val="00804E9E"/>
    <w:rsid w:val="00804F48"/>
    <w:rsid w:val="00807901"/>
    <w:rsid w:val="00816F5F"/>
    <w:rsid w:val="008211C8"/>
    <w:rsid w:val="00821D3D"/>
    <w:rsid w:val="00822C33"/>
    <w:rsid w:val="008231D1"/>
    <w:rsid w:val="00825D94"/>
    <w:rsid w:val="00826067"/>
    <w:rsid w:val="0082681D"/>
    <w:rsid w:val="00833B3B"/>
    <w:rsid w:val="00837222"/>
    <w:rsid w:val="0084125F"/>
    <w:rsid w:val="00845781"/>
    <w:rsid w:val="0086185F"/>
    <w:rsid w:val="008638E0"/>
    <w:rsid w:val="00863E9E"/>
    <w:rsid w:val="0086574F"/>
    <w:rsid w:val="00867FD0"/>
    <w:rsid w:val="00870546"/>
    <w:rsid w:val="0087664F"/>
    <w:rsid w:val="00880C71"/>
    <w:rsid w:val="00882E6B"/>
    <w:rsid w:val="008863E0"/>
    <w:rsid w:val="008901D6"/>
    <w:rsid w:val="008A23FE"/>
    <w:rsid w:val="008A6ABD"/>
    <w:rsid w:val="008B4713"/>
    <w:rsid w:val="008B6C85"/>
    <w:rsid w:val="008C0B66"/>
    <w:rsid w:val="008C3715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4E4E"/>
    <w:rsid w:val="00955F65"/>
    <w:rsid w:val="00960A62"/>
    <w:rsid w:val="009629E2"/>
    <w:rsid w:val="00970B75"/>
    <w:rsid w:val="009753C7"/>
    <w:rsid w:val="00980915"/>
    <w:rsid w:val="009833D0"/>
    <w:rsid w:val="00983ACA"/>
    <w:rsid w:val="009A1510"/>
    <w:rsid w:val="009A33E8"/>
    <w:rsid w:val="009B4BFE"/>
    <w:rsid w:val="009C0DDA"/>
    <w:rsid w:val="009C70C6"/>
    <w:rsid w:val="009D04C6"/>
    <w:rsid w:val="009D5F90"/>
    <w:rsid w:val="009D68CE"/>
    <w:rsid w:val="009F05E3"/>
    <w:rsid w:val="009F24BD"/>
    <w:rsid w:val="009F43A9"/>
    <w:rsid w:val="009F541F"/>
    <w:rsid w:val="009F6731"/>
    <w:rsid w:val="00A00A9E"/>
    <w:rsid w:val="00A0184C"/>
    <w:rsid w:val="00A06799"/>
    <w:rsid w:val="00A12E7C"/>
    <w:rsid w:val="00A139C3"/>
    <w:rsid w:val="00A15548"/>
    <w:rsid w:val="00A2394F"/>
    <w:rsid w:val="00A27685"/>
    <w:rsid w:val="00A33104"/>
    <w:rsid w:val="00A41D82"/>
    <w:rsid w:val="00A42CF0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A6C72"/>
    <w:rsid w:val="00AC2A9E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AF4728"/>
    <w:rsid w:val="00AF7061"/>
    <w:rsid w:val="00B02549"/>
    <w:rsid w:val="00B04967"/>
    <w:rsid w:val="00B05FBF"/>
    <w:rsid w:val="00B07CE1"/>
    <w:rsid w:val="00B272E6"/>
    <w:rsid w:val="00B307D9"/>
    <w:rsid w:val="00B37B2C"/>
    <w:rsid w:val="00B42E58"/>
    <w:rsid w:val="00B43562"/>
    <w:rsid w:val="00B45C9A"/>
    <w:rsid w:val="00B50851"/>
    <w:rsid w:val="00B5254D"/>
    <w:rsid w:val="00B533F0"/>
    <w:rsid w:val="00B6536B"/>
    <w:rsid w:val="00B708BF"/>
    <w:rsid w:val="00B72C64"/>
    <w:rsid w:val="00B7359B"/>
    <w:rsid w:val="00B85A89"/>
    <w:rsid w:val="00B90330"/>
    <w:rsid w:val="00B95448"/>
    <w:rsid w:val="00B97011"/>
    <w:rsid w:val="00BA1680"/>
    <w:rsid w:val="00BA746B"/>
    <w:rsid w:val="00BC2345"/>
    <w:rsid w:val="00BC6348"/>
    <w:rsid w:val="00BE2D3C"/>
    <w:rsid w:val="00BE5CFF"/>
    <w:rsid w:val="00BE6C32"/>
    <w:rsid w:val="00BF06D3"/>
    <w:rsid w:val="00C01DF0"/>
    <w:rsid w:val="00C0719B"/>
    <w:rsid w:val="00C10A23"/>
    <w:rsid w:val="00C34CA6"/>
    <w:rsid w:val="00C40A38"/>
    <w:rsid w:val="00C41899"/>
    <w:rsid w:val="00C43943"/>
    <w:rsid w:val="00C46712"/>
    <w:rsid w:val="00C50222"/>
    <w:rsid w:val="00C55539"/>
    <w:rsid w:val="00C57D01"/>
    <w:rsid w:val="00C61A23"/>
    <w:rsid w:val="00C729C8"/>
    <w:rsid w:val="00C748EF"/>
    <w:rsid w:val="00C755F7"/>
    <w:rsid w:val="00C761AE"/>
    <w:rsid w:val="00C76499"/>
    <w:rsid w:val="00C779E0"/>
    <w:rsid w:val="00C9228A"/>
    <w:rsid w:val="00C96567"/>
    <w:rsid w:val="00CA00FC"/>
    <w:rsid w:val="00CA071D"/>
    <w:rsid w:val="00CA6B3B"/>
    <w:rsid w:val="00CA78EB"/>
    <w:rsid w:val="00CB19B5"/>
    <w:rsid w:val="00CB5A16"/>
    <w:rsid w:val="00CB653C"/>
    <w:rsid w:val="00CB6BCD"/>
    <w:rsid w:val="00CB7CA4"/>
    <w:rsid w:val="00CC5164"/>
    <w:rsid w:val="00CD2E83"/>
    <w:rsid w:val="00CE269D"/>
    <w:rsid w:val="00D00168"/>
    <w:rsid w:val="00D233BD"/>
    <w:rsid w:val="00D26220"/>
    <w:rsid w:val="00D32074"/>
    <w:rsid w:val="00D33B28"/>
    <w:rsid w:val="00D3447B"/>
    <w:rsid w:val="00D36371"/>
    <w:rsid w:val="00D40BFB"/>
    <w:rsid w:val="00D44B3B"/>
    <w:rsid w:val="00D45B26"/>
    <w:rsid w:val="00D468D5"/>
    <w:rsid w:val="00D515BF"/>
    <w:rsid w:val="00D706B3"/>
    <w:rsid w:val="00D707D5"/>
    <w:rsid w:val="00D8313E"/>
    <w:rsid w:val="00D83FA2"/>
    <w:rsid w:val="00D853A6"/>
    <w:rsid w:val="00D86691"/>
    <w:rsid w:val="00D8698A"/>
    <w:rsid w:val="00D90088"/>
    <w:rsid w:val="00D95263"/>
    <w:rsid w:val="00DA601C"/>
    <w:rsid w:val="00DA60FC"/>
    <w:rsid w:val="00DB3795"/>
    <w:rsid w:val="00DB7BD7"/>
    <w:rsid w:val="00DD042E"/>
    <w:rsid w:val="00DD1453"/>
    <w:rsid w:val="00DD23EE"/>
    <w:rsid w:val="00DD4B0C"/>
    <w:rsid w:val="00DE17E3"/>
    <w:rsid w:val="00DE48B1"/>
    <w:rsid w:val="00DE4E5E"/>
    <w:rsid w:val="00DE5E69"/>
    <w:rsid w:val="00DE624B"/>
    <w:rsid w:val="00DE64D5"/>
    <w:rsid w:val="00DE7C16"/>
    <w:rsid w:val="00DF66A8"/>
    <w:rsid w:val="00DF7204"/>
    <w:rsid w:val="00DF7B88"/>
    <w:rsid w:val="00E0534B"/>
    <w:rsid w:val="00E136C4"/>
    <w:rsid w:val="00E16C3E"/>
    <w:rsid w:val="00E220AE"/>
    <w:rsid w:val="00E248D5"/>
    <w:rsid w:val="00E36858"/>
    <w:rsid w:val="00E4407C"/>
    <w:rsid w:val="00E4530D"/>
    <w:rsid w:val="00E47DFE"/>
    <w:rsid w:val="00E54326"/>
    <w:rsid w:val="00E611CD"/>
    <w:rsid w:val="00E61E6F"/>
    <w:rsid w:val="00E641DA"/>
    <w:rsid w:val="00E6521E"/>
    <w:rsid w:val="00E70A23"/>
    <w:rsid w:val="00E76DAD"/>
    <w:rsid w:val="00E83C2B"/>
    <w:rsid w:val="00E8531C"/>
    <w:rsid w:val="00E91FFF"/>
    <w:rsid w:val="00EA51BB"/>
    <w:rsid w:val="00EA550A"/>
    <w:rsid w:val="00EB5DC7"/>
    <w:rsid w:val="00EF05A2"/>
    <w:rsid w:val="00EF0DF5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414B4"/>
    <w:rsid w:val="00F54B55"/>
    <w:rsid w:val="00F61B42"/>
    <w:rsid w:val="00F663C0"/>
    <w:rsid w:val="00F72D85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AD9"/>
    <w:rsid w:val="00FC2191"/>
    <w:rsid w:val="00FC402D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1EC1E501"/>
  <w15:chartTrackingRefBased/>
  <w15:docId w15:val="{0F7DBA89-4B0D-4559-9D22-1E75CE2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1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1D6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D6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D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.csiro.au/Business-Units/Science-Strategy-and-People/International-Development.aspxhttp:/my.csiro.au/Business-Units/Science-Strategy-and-People/International-Development/Contact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B5E0-1F8F-4DB5-9794-987DCCB6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 - CSOF5</vt:lpstr>
    </vt:vector>
  </TitlesOfParts>
  <Company>CSIRO</Company>
  <LinksUpToDate>false</LinksUpToDate>
  <CharactersWithSpaces>8714</CharactersWithSpaces>
  <SharedDoc>false</SharedDoc>
  <HLinks>
    <vt:vector size="96" baseType="variant">
      <vt:variant>
        <vt:i4>10</vt:i4>
      </vt:variant>
      <vt:variant>
        <vt:i4>127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112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109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393221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327687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1245195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1245195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8323179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3276853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administrative, administration, services, csof5</cp:keywords>
  <dc:description>Word document containing a Position Details (PD) form for a role summary on a Administrative Services – CSOF5 Position.</dc:description>
  <cp:lastModifiedBy>Kohle, Michelle (HR, Clayton North)</cp:lastModifiedBy>
  <cp:revision>3</cp:revision>
  <cp:lastPrinted>2014-02-06T04:28:00Z</cp:lastPrinted>
  <dcterms:created xsi:type="dcterms:W3CDTF">2017-11-22T00:09:00Z</dcterms:created>
  <dcterms:modified xsi:type="dcterms:W3CDTF">2017-11-22T01:03:00Z</dcterms:modified>
</cp:coreProperties>
</file>