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7D" w:rsidRDefault="00B60C7D">
      <w:pPr>
        <w:spacing w:after="0"/>
        <w:rPr>
          <w:rFonts w:eastAsiaTheme="majorEastAsia" w:cstheme="majorBidi"/>
          <w:b/>
          <w:bCs/>
          <w:color w:val="41B6E6" w:themeColor="accent1"/>
          <w:sz w:val="44"/>
          <w:szCs w:val="28"/>
        </w:rPr>
      </w:pPr>
      <w:bookmarkStart w:id="0" w:name="_Toc375322766"/>
      <w:r>
        <w:br w:type="page"/>
      </w:r>
    </w:p>
    <w:p w:rsidR="00A024A1" w:rsidRDefault="00A024A1" w:rsidP="00A024A1">
      <w:pPr>
        <w:pStyle w:val="Heading9"/>
      </w:pPr>
      <w:r>
        <w:lastRenderedPageBreak/>
        <w:t xml:space="preserve">  </w:t>
      </w:r>
    </w:p>
    <w:p w:rsidR="002E48CF" w:rsidRDefault="00217C34" w:rsidP="008E65E9">
      <w:pPr>
        <w:pStyle w:val="Heading2notnumbered"/>
      </w:pPr>
      <w:r>
        <w:t>List of figures</w:t>
      </w:r>
      <w:bookmarkEnd w:id="0"/>
    </w:p>
    <w:p w:rsidR="00EC05D5" w:rsidRDefault="009921B7" w:rsidP="00FF7B23">
      <w:pPr>
        <w:pStyle w:val="TableofFigures"/>
        <w:ind w:right="424"/>
        <w:rPr>
          <w:rFonts w:asciiTheme="minorHAnsi" w:eastAsiaTheme="minorEastAsia" w:hAnsiTheme="minorHAnsi" w:cstheme="minorBidi"/>
          <w:noProof/>
          <w:color w:val="auto"/>
        </w:rPr>
      </w:pPr>
      <w:r>
        <w:fldChar w:fldCharType="begin"/>
      </w:r>
      <w:r w:rsidR="003C65DC">
        <w:instrText xml:space="preserve"> TOC \h \z \c "Figure" </w:instrText>
      </w:r>
      <w:r>
        <w:fldChar w:fldCharType="separate"/>
      </w:r>
      <w:r w:rsidR="00EC05D5">
        <w:rPr>
          <w:noProof/>
        </w:rPr>
        <w:t>Figure 1.1 Major dams (greater than 500 GL capacity), large irrigation areas and selected drainage divisions across Australia</w:t>
      </w:r>
      <w:r w:rsidR="00EC05D5">
        <w:rPr>
          <w:noProof/>
          <w:webHidden/>
        </w:rPr>
        <w:tab/>
        <w:t>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1.2 Schematic diagram of key components and concepts in the establishment of a greenfield irrigation development</w:t>
      </w:r>
      <w:r>
        <w:rPr>
          <w:noProof/>
          <w:webHidden/>
        </w:rPr>
        <w:tab/>
        <w:t>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2.1 The Flinders and Gilbert catchments within the Gulf region of northern Australia</w:t>
      </w:r>
      <w:r>
        <w:rPr>
          <w:noProof/>
          <w:webHidden/>
        </w:rPr>
        <w:tab/>
        <w:t>10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2.2 The Flinders catchment</w:t>
      </w:r>
      <w:r>
        <w:rPr>
          <w:noProof/>
          <w:webHidden/>
        </w:rPr>
        <w:tab/>
        <w:t>11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2.3 Soil sampling sites and airborne geophysical survey flight lines of the Flinders catchment</w:t>
      </w:r>
      <w:r>
        <w:rPr>
          <w:noProof/>
          <w:webHidden/>
        </w:rPr>
        <w:tab/>
        <w:t>14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2.4 Schematic representation of digital soil mapping method</w:t>
      </w:r>
      <w:r>
        <w:rPr>
          <w:noProof/>
          <w:webHidden/>
        </w:rPr>
        <w:tab/>
        <w:t>15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2.5 Availability of rainfall data in the Flinders catchment</w:t>
      </w:r>
      <w:r>
        <w:rPr>
          <w:noProof/>
          <w:webHidden/>
        </w:rPr>
        <w:tab/>
        <w:t>16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2.6 Crop yield (rice) and applied irrigation water</w:t>
      </w:r>
      <w:r>
        <w:rPr>
          <w:noProof/>
          <w:webHidden/>
        </w:rPr>
        <w:tab/>
        <w:t>27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 Schematic diagram of key natural components and concepts in the establishment of a greenfield irrigation development</w:t>
      </w:r>
      <w:r>
        <w:rPr>
          <w:noProof/>
          <w:webHidden/>
        </w:rPr>
        <w:tab/>
        <w:t>34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 Simplified surface geology of the Flinders catchment</w:t>
      </w:r>
      <w:r>
        <w:rPr>
          <w:noProof/>
          <w:webHidden/>
        </w:rPr>
        <w:tab/>
        <w:t>37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 Soil generic group (SGG) classes for the Flinders catchment</w:t>
      </w:r>
      <w:r>
        <w:rPr>
          <w:noProof/>
          <w:webHidden/>
        </w:rPr>
        <w:tab/>
        <w:t>40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3.4 Surface soil pH of the Flinders catchment</w:t>
      </w:r>
      <w:r>
        <w:rPr>
          <w:noProof/>
          <w:webHidden/>
        </w:rPr>
        <w:tab/>
        <w:t>42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3.5 Minimum soil depth of the Flinders catchment</w:t>
      </w:r>
      <w:r>
        <w:rPr>
          <w:noProof/>
          <w:webHidden/>
        </w:rPr>
        <w:tab/>
        <w:t>42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3.6 Soil surface texture of the Flinders catchment</w:t>
      </w:r>
      <w:r>
        <w:rPr>
          <w:noProof/>
          <w:webHidden/>
        </w:rPr>
        <w:tab/>
        <w:t>43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3.7 Soil permeability of the Flinders catchment</w:t>
      </w:r>
      <w:r>
        <w:rPr>
          <w:noProof/>
          <w:webHidden/>
        </w:rPr>
        <w:tab/>
        <w:t>44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3.8 Plant available water capacity in the Flinders catchment</w:t>
      </w:r>
      <w:r>
        <w:rPr>
          <w:noProof/>
          <w:webHidden/>
        </w:rPr>
        <w:tab/>
        <w:t>45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3.9 Electrical conductivity in soils of the Flinders catchment</w:t>
      </w:r>
      <w:r>
        <w:rPr>
          <w:noProof/>
          <w:webHidden/>
        </w:rPr>
        <w:tab/>
        <w:t>46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3.10 Typical synoptic systems influencing the Flinders catchment</w:t>
      </w:r>
      <w:r>
        <w:rPr>
          <w:noProof/>
          <w:webHidden/>
        </w:rPr>
        <w:tab/>
        <w:t>47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3.11 Mean annual rainfall and mean annual potential evaporation under Scenario A</w:t>
      </w:r>
      <w:r>
        <w:rPr>
          <w:noProof/>
          <w:webHidden/>
        </w:rPr>
        <w:tab/>
        <w:t>48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3.12 Rainfall under Scenario A for the Flinders catchment</w:t>
      </w:r>
      <w:r>
        <w:rPr>
          <w:noProof/>
          <w:webHidden/>
        </w:rPr>
        <w:tab/>
        <w:t>49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3.13 Potential evaporation under Scenario A for the Flinders catchment</w:t>
      </w:r>
      <w:r>
        <w:rPr>
          <w:noProof/>
          <w:webHidden/>
        </w:rPr>
        <w:tab/>
        <w:t>49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3.14 Rainfall deficit under Scenario A for the Flinders catchment</w:t>
      </w:r>
      <w:r>
        <w:rPr>
          <w:noProof/>
          <w:webHidden/>
        </w:rPr>
        <w:tab/>
        <w:t>49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3.15 Rainfall and potential evaporation under Scenario A averaged across the Flinders catchment</w:t>
      </w:r>
      <w:r>
        <w:rPr>
          <w:noProof/>
          <w:webHidden/>
        </w:rPr>
        <w:tab/>
        <w:t>50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3.16 Mean annual rainfall and potential evaporation under Scenario A averaged over the Flinders catchment</w:t>
      </w:r>
      <w:r>
        <w:rPr>
          <w:noProof/>
          <w:webHidden/>
        </w:rPr>
        <w:tab/>
        <w:t>51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3.17 Rainfall variability around Australia under Scenario A</w:t>
      </w:r>
      <w:r>
        <w:rPr>
          <w:noProof/>
          <w:webHidden/>
        </w:rPr>
        <w:tab/>
        <w:t>52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3.18 Runs of wet and dry years in the Flinders catchment under Scenario A</w:t>
      </w:r>
      <w:r>
        <w:rPr>
          <w:noProof/>
          <w:webHidden/>
        </w:rPr>
        <w:tab/>
        <w:t>53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3.19 Percentage change in mean annual rainfall and potential evaporation under Scenario C relative to Scenario A</w:t>
      </w:r>
      <w:r>
        <w:rPr>
          <w:noProof/>
          <w:webHidden/>
        </w:rPr>
        <w:tab/>
        <w:t>54</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3.20 Spatial distribution of mean annual rainfall across the Flinders catchment under scenarios Cwet, Cmid and Cdry</w:t>
      </w:r>
      <w:r>
        <w:rPr>
          <w:noProof/>
          <w:webHidden/>
        </w:rPr>
        <w:tab/>
        <w:t>55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3.21 Mean monthly rainfall and potential evaporation for the Flinders catchment under scenarios A and C</w:t>
      </w:r>
      <w:r>
        <w:rPr>
          <w:noProof/>
          <w:webHidden/>
        </w:rPr>
        <w:tab/>
        <w:t>55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3.22 Schematic diagram of terrestrial water balance in the Flinders catchment</w:t>
      </w:r>
      <w:r>
        <w:rPr>
          <w:noProof/>
          <w:webHidden/>
        </w:rPr>
        <w:tab/>
        <w:t>56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3.23 Major aquifers of the Flinders catchment</w:t>
      </w:r>
      <w:r>
        <w:rPr>
          <w:noProof/>
          <w:webHidden/>
        </w:rPr>
        <w:tab/>
        <w:t>57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3.24 Schematic cross-section highlighting the connectivity between aquifers of the Carpentaria and Karumba basins of the Great Artesian Basin</w:t>
      </w:r>
      <w:r>
        <w:rPr>
          <w:noProof/>
          <w:webHidden/>
        </w:rPr>
        <w:tab/>
        <w:t>58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3.25 Groundwater salinity in the Flinders catchment with the recharge area of the Great Artesian Basin and the location of airborne electromagnetic flight lines shown in Figure 3.26 and Figure 3.27</w:t>
      </w:r>
      <w:r>
        <w:rPr>
          <w:noProof/>
          <w:webHidden/>
        </w:rPr>
        <w:tab/>
        <w:t>59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3.26 Satellite image and conductivity-depth section for flight line 10325</w:t>
      </w:r>
      <w:r>
        <w:rPr>
          <w:noProof/>
          <w:webHidden/>
        </w:rPr>
        <w:tab/>
        <w:t>60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3.27 Satellite image and conductivity-depth section for flight line 10211</w:t>
      </w:r>
      <w:r>
        <w:rPr>
          <w:noProof/>
          <w:webHidden/>
        </w:rPr>
        <w:tab/>
        <w:t>62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3.28 Map of mean annual groundwater recharge in the Flinders catchment under Scenario A</w:t>
      </w:r>
      <w:r>
        <w:rPr>
          <w:noProof/>
          <w:webHidden/>
        </w:rPr>
        <w:tab/>
        <w:t>63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3.29 Likelihood of groundwater inflow at river and waterhole sampling sites in the Flinders catchment</w:t>
      </w:r>
      <w:r>
        <w:rPr>
          <w:noProof/>
          <w:webHidden/>
        </w:rPr>
        <w:tab/>
        <w:t>65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3.30 Main rivers and streamflow gauging stations of the Flinders catchment</w:t>
      </w:r>
      <w:r>
        <w:rPr>
          <w:noProof/>
          <w:webHidden/>
        </w:rPr>
        <w:tab/>
        <w:t>66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3.31 Change in catchment area along the Flinders River from Glendower to Flinders river mouth</w:t>
      </w:r>
      <w:r>
        <w:rPr>
          <w:noProof/>
          <w:webHidden/>
        </w:rPr>
        <w:tab/>
        <w:t>67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3.32 Change in catchment area along the Cloncurry River from Agate Downs to confluence with Flinders River</w:t>
      </w:r>
      <w:r>
        <w:rPr>
          <w:noProof/>
          <w:webHidden/>
        </w:rPr>
        <w:tab/>
        <w:t>67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3.33 Mean annual rainfall and runoff across the Flinders catchment under Scenario A</w:t>
      </w:r>
      <w:r>
        <w:rPr>
          <w:noProof/>
          <w:webHidden/>
        </w:rPr>
        <w:tab/>
        <w:t>68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3.34 Maps showing 20%, 50% and 80% exceedance annual runoff across the Flinders catchment under Scenario A</w:t>
      </w:r>
      <w:r>
        <w:rPr>
          <w:noProof/>
          <w:webHidden/>
        </w:rPr>
        <w:tab/>
        <w:t>68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3.35 Runoff in the Flinders catchment under Scenario A</w:t>
      </w:r>
      <w:r>
        <w:rPr>
          <w:noProof/>
          <w:webHidden/>
        </w:rPr>
        <w:tab/>
        <w:t>69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3.36 Cloncurry River upstream of Cloncurry (January 2013)</w:t>
      </w:r>
      <w:r>
        <w:rPr>
          <w:noProof/>
          <w:webHidden/>
        </w:rPr>
        <w:tab/>
        <w:t>69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3.37 Median annual streamflow (i.e. 50% exceedance) in the Flinders catchment under Scenario A</w:t>
      </w:r>
      <w:r>
        <w:rPr>
          <w:noProof/>
          <w:webHidden/>
        </w:rPr>
        <w:tab/>
        <w:t>72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3.38 20% and 80% exceedance of annual streamflow in the Flinders catchment under Scenario A</w:t>
      </w:r>
      <w:r>
        <w:rPr>
          <w:noProof/>
          <w:webHidden/>
        </w:rPr>
        <w:tab/>
        <w:t>73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3.39 Flood inundation map of Flinders catchment</w:t>
      </w:r>
      <w:r>
        <w:rPr>
          <w:noProof/>
          <w:webHidden/>
        </w:rPr>
        <w:tab/>
        <w:t>74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3.40 Comparative spatial extent and temporal variation of inundation</w:t>
      </w:r>
      <w:r>
        <w:rPr>
          <w:noProof/>
          <w:webHidden/>
        </w:rPr>
        <w:tab/>
        <w:t>75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3.41 Instream waterhole evolution</w:t>
      </w:r>
      <w:r>
        <w:rPr>
          <w:noProof/>
          <w:webHidden/>
        </w:rPr>
        <w:tab/>
        <w:t>76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3.42 Location of key aquatic refugia identified in the Flinders catchment. Inset shows river reaches investigated</w:t>
      </w:r>
      <w:r>
        <w:rPr>
          <w:noProof/>
          <w:webHidden/>
        </w:rPr>
        <w:tab/>
        <w:t>77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 Schematic diagram of key components of the living and built environment to be considered in the establishment of a greenfield irrigation development</w:t>
      </w:r>
      <w:r>
        <w:rPr>
          <w:noProof/>
          <w:webHidden/>
        </w:rPr>
        <w:tab/>
        <w:t>82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4.2 Characteristics of the Flinders River</w:t>
      </w:r>
      <w:r>
        <w:rPr>
          <w:noProof/>
          <w:webHidden/>
        </w:rPr>
        <w:tab/>
        <w:t>85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4.3 Extent of fish surveys in Flinders catchment</w:t>
      </w:r>
      <w:r>
        <w:rPr>
          <w:noProof/>
          <w:webHidden/>
        </w:rPr>
        <w:tab/>
        <w:t>87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4.4 Saw-shelled turtle captured in the Gilbert catchment</w:t>
      </w:r>
      <w:r>
        <w:rPr>
          <w:noProof/>
          <w:webHidden/>
        </w:rPr>
        <w:tab/>
        <w:t>88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4.5 Example of a typical turbid waterhole in the Flinders River</w:t>
      </w:r>
      <w:r>
        <w:rPr>
          <w:noProof/>
          <w:webHidden/>
        </w:rPr>
        <w:tab/>
        <w:t>90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4.6 Status of regional ecosystem biodiversity status for the Flinders catchment</w:t>
      </w:r>
      <w:r>
        <w:rPr>
          <w:noProof/>
          <w:webHidden/>
        </w:rPr>
        <w:tab/>
        <w:t>93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4.7 Spatial representation of important ecological assets across the Flinders catchment</w:t>
      </w:r>
      <w:r>
        <w:rPr>
          <w:noProof/>
          <w:webHidden/>
        </w:rPr>
        <w:tab/>
        <w:t>94</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4.8 Diagram of Indigenous dam from the Flinders area</w:t>
      </w:r>
      <w:r>
        <w:rPr>
          <w:noProof/>
          <w:webHidden/>
        </w:rPr>
        <w:tab/>
        <w:t>96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4.9 Current native title determinations and applications in the Flinders catchment</w:t>
      </w:r>
      <w:r>
        <w:rPr>
          <w:noProof/>
          <w:webHidden/>
        </w:rPr>
        <w:tab/>
        <w:t>98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4.10 Indigenous land use agreements and Indigenous-controlled pastoral leases in the Flinders catchment</w:t>
      </w:r>
      <w:r>
        <w:rPr>
          <w:noProof/>
          <w:webHidden/>
        </w:rPr>
        <w:tab/>
        <w:t>99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4.11 Total live cattle export from Australia, September 1992 to September 2012</w:t>
      </w:r>
      <w:r>
        <w:rPr>
          <w:noProof/>
          <w:webHidden/>
        </w:rPr>
        <w:tab/>
        <w:t>112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4.12 Current mining and mineral exploration and development leases in the Flinders catchment</w:t>
      </w:r>
      <w:r>
        <w:rPr>
          <w:noProof/>
          <w:webHidden/>
        </w:rPr>
        <w:tab/>
        <w:t>114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4.13 Petroleum, geothermal and coal exploration licences and existing dams in the Flinders catchment</w:t>
      </w:r>
      <w:r>
        <w:rPr>
          <w:noProof/>
          <w:webHidden/>
        </w:rPr>
        <w:tab/>
        <w:t>115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4.14 Chinaman Creek Dam looking upstream</w:t>
      </w:r>
      <w:r>
        <w:rPr>
          <w:noProof/>
          <w:webHidden/>
        </w:rPr>
        <w:tab/>
        <w:t>117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4.15 Corella River Dam looking upstream</w:t>
      </w:r>
      <w:r>
        <w:rPr>
          <w:noProof/>
          <w:webHidden/>
        </w:rPr>
        <w:tab/>
        <w:t>118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4.16 Multi-combination vehicles</w:t>
      </w:r>
      <w:r>
        <w:rPr>
          <w:noProof/>
          <w:webHidden/>
        </w:rPr>
        <w:tab/>
        <w:t>119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4.17 Queensland infrastructure map showing accessibility of heavy vehicles, ports and railways in Queensland and the Flinders catchment</w:t>
      </w:r>
      <w:r>
        <w:rPr>
          <w:noProof/>
          <w:webHidden/>
        </w:rPr>
        <w:tab/>
        <w:t>120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4.18 Flinders catchment infrastructure map showing accessibility of heavy vehicles, ports, railways and high voltage powerlines</w:t>
      </w:r>
      <w:r>
        <w:rPr>
          <w:noProof/>
          <w:webHidden/>
        </w:rPr>
        <w:tab/>
        <w:t>121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 Schematic diagram of key engineering and agricultural components to be considered in the establishment of a greenfield irrigation development</w:t>
      </w:r>
      <w:r>
        <w:rPr>
          <w:noProof/>
          <w:webHidden/>
        </w:rPr>
        <w:tab/>
        <w:t>132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 Schematic diagram of an embankment dam</w:t>
      </w:r>
      <w:r>
        <w:rPr>
          <w:noProof/>
          <w:webHidden/>
        </w:rPr>
        <w:tab/>
        <w:t>135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 DamSite model results for the Flinders catchment overlain on transparent geology and shaded relief map</w:t>
      </w:r>
      <w:r>
        <w:rPr>
          <w:noProof/>
          <w:webHidden/>
        </w:rPr>
        <w:tab/>
        <w:t>138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 Cost of water in $/ML versus cumulative divertible yield at 85% annual time reliability</w:t>
      </w:r>
      <w:r>
        <w:rPr>
          <w:noProof/>
          <w:webHidden/>
        </w:rPr>
        <w:tab/>
        <w:t>143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5.5 Cave Hill dam site looking upstream</w:t>
      </w:r>
      <w:r>
        <w:rPr>
          <w:noProof/>
          <w:webHidden/>
        </w:rPr>
        <w:tab/>
        <w:t>145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5.6 Dam cross-section, height, volume and reservoir surface area for Cave Hill dam site</w:t>
      </w:r>
      <w:r>
        <w:rPr>
          <w:noProof/>
          <w:webHidden/>
        </w:rPr>
        <w:tab/>
        <w:t>145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5.7 Cave Hill Dam depth of inundation and property boundaries</w:t>
      </w:r>
      <w:r>
        <w:rPr>
          <w:noProof/>
          <w:webHidden/>
        </w:rPr>
        <w:tab/>
        <w:t>146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5.8 Annual time reliability and volumetric reliability for Cave Hill dam under scenarios A and C</w:t>
      </w:r>
      <w:r>
        <w:rPr>
          <w:noProof/>
          <w:webHidden/>
        </w:rPr>
        <w:tab/>
        <w:t>147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5.9 Comparisons of inundated area with and without the construction of Cave Hill dam under Scenario A</w:t>
      </w:r>
      <w:r>
        <w:rPr>
          <w:noProof/>
          <w:webHidden/>
        </w:rPr>
        <w:tab/>
        <w:t>147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5.10 Regional ecosystems inundated by the potential Cave Hill dam reservoir at full supply level</w:t>
      </w:r>
      <w:r>
        <w:rPr>
          <w:noProof/>
          <w:webHidden/>
        </w:rPr>
        <w:tab/>
        <w:t>148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5.11 A depiction of the O’Connell Creek offstream storage, looking upstream</w:t>
      </w:r>
      <w:r>
        <w:rPr>
          <w:noProof/>
          <w:webHidden/>
        </w:rPr>
        <w:tab/>
        <w:t>149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5.12 Dam cross-section, height, volume and reservoir surface area for O’Connell Creek offstream storage</w:t>
      </w:r>
      <w:r>
        <w:rPr>
          <w:noProof/>
          <w:webHidden/>
        </w:rPr>
        <w:tab/>
        <w:t>150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5.13 O’Connell Creek offstream storage depth of inundation and property boundaries</w:t>
      </w:r>
      <w:r>
        <w:rPr>
          <w:noProof/>
          <w:webHidden/>
        </w:rPr>
        <w:tab/>
        <w:t>150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5.14 Annual time and volumetric reliability for O’Connell Creek offstream storage under scenarios A and C</w:t>
      </w:r>
      <w:r>
        <w:rPr>
          <w:noProof/>
          <w:webHidden/>
        </w:rPr>
        <w:tab/>
        <w:t>151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5.15 Regional ecosystems inundated by the potential O’Connell Creek offstream storage at full supply level</w:t>
      </w:r>
      <w:r>
        <w:rPr>
          <w:noProof/>
          <w:webHidden/>
        </w:rPr>
        <w:tab/>
        <w:t>152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5.16 Porcupine Creek dam site looking upstream</w:t>
      </w:r>
      <w:r>
        <w:rPr>
          <w:noProof/>
          <w:webHidden/>
        </w:rPr>
        <w:tab/>
        <w:t>153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5.17 Dam cross-section, height, volume and reservoir surface area for Porcupine Creek potential dam site</w:t>
      </w:r>
      <w:r>
        <w:rPr>
          <w:noProof/>
          <w:webHidden/>
        </w:rPr>
        <w:tab/>
        <w:t>153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5.18 Porcupine Creek dam depth of inundation</w:t>
      </w:r>
      <w:r>
        <w:rPr>
          <w:noProof/>
          <w:webHidden/>
        </w:rPr>
        <w:tab/>
        <w:t>154</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5.19 Annual time reliability and volumetric reliability for Porcupine Creek dam under scenarios A and C</w:t>
      </w:r>
      <w:r>
        <w:rPr>
          <w:noProof/>
          <w:webHidden/>
        </w:rPr>
        <w:tab/>
        <w:t>155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5.20 Comparisons of inundated area with and without the construction of Porcupine Creek dam under Scenario A</w:t>
      </w:r>
      <w:r>
        <w:rPr>
          <w:noProof/>
          <w:webHidden/>
        </w:rPr>
        <w:tab/>
        <w:t>155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5.21 Regional ecosystems inundated by the Porcupine Creek dam at full supply level</w:t>
      </w:r>
      <w:r>
        <w:rPr>
          <w:noProof/>
          <w:webHidden/>
        </w:rPr>
        <w:tab/>
        <w:t>156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5.22 Schematic diagram of sheet piling weir</w:t>
      </w:r>
      <w:r>
        <w:rPr>
          <w:noProof/>
          <w:webHidden/>
        </w:rPr>
        <w:tab/>
        <w:t>157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5.23 Rectangular ring tank</w:t>
      </w:r>
      <w:r>
        <w:rPr>
          <w:noProof/>
          <w:webHidden/>
        </w:rPr>
        <w:tab/>
        <w:t>160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5.24 Annual volume of streamflow extracted versus annual time reliability for streamflow gauge 915204A</w:t>
      </w:r>
      <w:r>
        <w:rPr>
          <w:noProof/>
          <w:webHidden/>
        </w:rPr>
        <w:tab/>
        <w:t>161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5.25 Annual volume of streamflow extracted versus annual time reliability for streamflow gauge 915008A</w:t>
      </w:r>
      <w:r>
        <w:rPr>
          <w:noProof/>
          <w:webHidden/>
        </w:rPr>
        <w:tab/>
        <w:t>161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5.26 Annual volume of streamflow extracted versus annual time reliability for streamflow gauge 915003A</w:t>
      </w:r>
      <w:r>
        <w:rPr>
          <w:noProof/>
          <w:webHidden/>
        </w:rPr>
        <w:tab/>
        <w:t>161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5.27 Land suitability for offstream water storages in the Flinders catchment</w:t>
      </w:r>
      <w:r>
        <w:rPr>
          <w:noProof/>
          <w:webHidden/>
        </w:rPr>
        <w:tab/>
        <w:t>163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5.28 Reported conveyance losses from irrigation systems across Australia (ANCID, 2001)</w:t>
      </w:r>
      <w:r>
        <w:rPr>
          <w:noProof/>
          <w:webHidden/>
        </w:rPr>
        <w:tab/>
        <w:t>168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5.29 Efficiency of different types of irrigation systems</w:t>
      </w:r>
      <w:r>
        <w:rPr>
          <w:noProof/>
          <w:webHidden/>
        </w:rPr>
        <w:tab/>
        <w:t>169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5.30 Probability of crop yield potential for dryland and fully irrigated mungbean sown in Richmond climate on 15 January</w:t>
      </w:r>
      <w:r>
        <w:rPr>
          <w:noProof/>
          <w:webHidden/>
        </w:rPr>
        <w:tab/>
        <w:t>179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5.31 Probability of yield potential for dryland and fully irrigated sorghum (grain) sown in Richmond climate on 15 January</w:t>
      </w:r>
      <w:r>
        <w:rPr>
          <w:noProof/>
          <w:webHidden/>
        </w:rPr>
        <w:tab/>
        <w:t>179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5.32 Probability of yield potential for dryland and fully irrigated cotton sown in Richmond climate on 15 January</w:t>
      </w:r>
      <w:r>
        <w:rPr>
          <w:noProof/>
          <w:webHidden/>
        </w:rPr>
        <w:tab/>
        <w:t>179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5.33 Crop yield plotted against applied irrigation water in Richmond climate</w:t>
      </w:r>
      <w:r>
        <w:rPr>
          <w:noProof/>
          <w:webHidden/>
        </w:rPr>
        <w:tab/>
        <w:t>181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5.34 Applied irrigation water for planting on the 15th day of each month for sorghum (grain) at Richmond</w:t>
      </w:r>
      <w:r>
        <w:rPr>
          <w:noProof/>
          <w:webHidden/>
        </w:rPr>
        <w:tab/>
        <w:t>186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5.35 Crop yield for planting on the 15th day of each month for sorghum (grain) at Richmond</w:t>
      </w:r>
      <w:r>
        <w:rPr>
          <w:noProof/>
          <w:webHidden/>
        </w:rPr>
        <w:tab/>
        <w:t>187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5.36 The area associated with each land suitability class for a selection of 13 crops in the Flinders catchment</w:t>
      </w:r>
      <w:r>
        <w:rPr>
          <w:noProof/>
          <w:webHidden/>
        </w:rPr>
        <w:tab/>
        <w:t>190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5.37 Modelled land suitability for sorghum (grain). Note that this land suitability map does not take into consideration flooding, risk of secondary salinisation or availability of water</w:t>
      </w:r>
      <w:r>
        <w:rPr>
          <w:noProof/>
          <w:webHidden/>
        </w:rPr>
        <w:tab/>
        <w:t>192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5.38 Sorghum (grain)</w:t>
      </w:r>
      <w:r>
        <w:rPr>
          <w:noProof/>
          <w:webHidden/>
        </w:rPr>
        <w:tab/>
        <w:t>192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5.39 Modelled land suitability for mungbean. Note that this land suitability map does not take into consideration flooding, risk of secondary salinisation or availability of water</w:t>
      </w:r>
      <w:r>
        <w:rPr>
          <w:noProof/>
          <w:webHidden/>
        </w:rPr>
        <w:tab/>
        <w:t>195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5.40 Mungbean</w:t>
      </w:r>
      <w:r>
        <w:rPr>
          <w:noProof/>
          <w:webHidden/>
        </w:rPr>
        <w:tab/>
        <w:t>195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5.41 Modelled land suitability for Rhodes grass and sorghum (forage). Note that this land suitability map does not take into consideration flooding, risk of secondary salinisation or availability of water</w:t>
      </w:r>
      <w:r>
        <w:rPr>
          <w:noProof/>
          <w:webHidden/>
        </w:rPr>
        <w:tab/>
        <w:t>199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5.42 Bambatsi</w:t>
      </w:r>
      <w:r>
        <w:rPr>
          <w:noProof/>
          <w:webHidden/>
        </w:rPr>
        <w:tab/>
        <w:t>199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5.43 Modelled land suitability for lablab and lucerne. Note that this land suitability map does not take into consideration flooding, risk of secondary salinisation or availability of water</w:t>
      </w:r>
      <w:r>
        <w:rPr>
          <w:noProof/>
          <w:webHidden/>
        </w:rPr>
        <w:tab/>
        <w:t>202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5.44 Lablab</w:t>
      </w:r>
      <w:r>
        <w:rPr>
          <w:noProof/>
          <w:webHidden/>
        </w:rPr>
        <w:tab/>
        <w:t>202</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5.45 Modelled land suitability for cotton. Note that this land suitability map does not take into consideration flooding, risk of secondary salinisation or availability of water</w:t>
      </w:r>
      <w:r>
        <w:rPr>
          <w:noProof/>
          <w:webHidden/>
        </w:rPr>
        <w:tab/>
        <w:t>206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5.46 Cotton</w:t>
      </w:r>
      <w:r>
        <w:rPr>
          <w:noProof/>
          <w:webHidden/>
        </w:rPr>
        <w:tab/>
        <w:t>206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5.47 Modelled land suitability for sugarcane. Note that this land suitability map does not take into consideration flooding, risk of secondary salinisation or availability of water</w:t>
      </w:r>
      <w:r>
        <w:rPr>
          <w:noProof/>
          <w:webHidden/>
        </w:rPr>
        <w:tab/>
        <w:t>209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5.48 Sugarcane</w:t>
      </w:r>
      <w:r>
        <w:rPr>
          <w:noProof/>
          <w:webHidden/>
        </w:rPr>
        <w:tab/>
        <w:t>209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5.49 Modelled land suitability for sweet corn and tomato. Note that this land suitability map does not take into consideration flooding, risk of secondary salinisation or availability of water</w:t>
      </w:r>
      <w:r>
        <w:rPr>
          <w:noProof/>
          <w:webHidden/>
        </w:rPr>
        <w:tab/>
        <w:t>212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5.50 Sweet corn</w:t>
      </w:r>
      <w:r>
        <w:rPr>
          <w:noProof/>
          <w:webHidden/>
        </w:rPr>
        <w:tab/>
        <w:t>212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5.51 Modelled land suitability for mango and Indian sandalwood. Note that this land suitability map does not take into consideration flooding, risk of secondary salinisation or availability of water</w:t>
      </w:r>
      <w:r>
        <w:rPr>
          <w:noProof/>
          <w:webHidden/>
        </w:rPr>
        <w:tab/>
        <w:t>215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5.52 Indian sandalwood</w:t>
      </w:r>
      <w:r>
        <w:rPr>
          <w:noProof/>
          <w:webHidden/>
        </w:rPr>
        <w:tab/>
        <w:t>215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5.53 Modelled land suitability for mango and Indian sandalwood. Note that this land suitability map does not take into consideration flooding, risk of secondary salinisation or availability of water</w:t>
      </w:r>
      <w:r>
        <w:rPr>
          <w:noProof/>
          <w:webHidden/>
        </w:rPr>
        <w:tab/>
        <w:t>219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5.54 Mangoes</w:t>
      </w:r>
      <w:r>
        <w:rPr>
          <w:noProof/>
          <w:webHidden/>
        </w:rPr>
        <w:tab/>
        <w:t>219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6.1 Schematic diagram of key components and concepts in the establishment of a greenfield irrigation development</w:t>
      </w:r>
      <w:r>
        <w:rPr>
          <w:noProof/>
          <w:webHidden/>
        </w:rPr>
        <w:tab/>
        <w:t>228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6.2 Growth patterns of beef cattle in northern Australia</w:t>
      </w:r>
      <w:r>
        <w:rPr>
          <w:noProof/>
          <w:webHidden/>
        </w:rPr>
        <w:tab/>
        <w:t>231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6.3 Land tenure in the Flinders catchment</w:t>
      </w:r>
      <w:r>
        <w:rPr>
          <w:noProof/>
          <w:webHidden/>
        </w:rPr>
        <w:tab/>
        <w:t>252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7.1 Schematic diagram of key components and concepts in the establishment of a greenfield irrigation development</w:t>
      </w:r>
      <w:r>
        <w:rPr>
          <w:noProof/>
          <w:webHidden/>
        </w:rPr>
        <w:tab/>
        <w:t>256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7.2 Steady-state watertable level for (a) various recharge rates and hydraulic conductivities (K) and (b) an irrigation area of 100 ha, at varying distances to the river</w:t>
      </w:r>
      <w:r>
        <w:rPr>
          <w:noProof/>
          <w:webHidden/>
        </w:rPr>
        <w:tab/>
        <w:t>261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7.3 Steady-state watertable level for an irrigation area of 1000 ha, plotted against distance to the river</w:t>
      </w:r>
      <w:r>
        <w:rPr>
          <w:noProof/>
          <w:webHidden/>
        </w:rPr>
        <w:tab/>
        <w:t>261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7.4 Steady-state watertable level at varying distances to the river for an irrigation area of (a) 250 ha and (b) 500 ha</w:t>
      </w:r>
      <w:r>
        <w:rPr>
          <w:noProof/>
          <w:webHidden/>
        </w:rPr>
        <w:tab/>
        <w:t>262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7.5 Steady-state watertable level at varying distances (d) to the river for (a) an irrigation area of 1000 ha and (b) various irrigation area and distance combinations</w:t>
      </w:r>
      <w:r>
        <w:rPr>
          <w:noProof/>
          <w:webHidden/>
        </w:rPr>
        <w:tab/>
        <w:t>262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7.6 Watertable level for various aquifer diffusivities (D) and distances to river (d), for an irrigation area of 100 ha and recharge rate of 100 mm/year</w:t>
      </w:r>
      <w:r>
        <w:rPr>
          <w:noProof/>
          <w:webHidden/>
        </w:rPr>
        <w:tab/>
        <w:t>263</w:t>
      </w:r>
    </w:p>
    <w:p w:rsidR="00EC05D5" w:rsidRDefault="00EC05D5" w:rsidP="00FF7B23">
      <w:pPr>
        <w:pStyle w:val="TableofFigures"/>
        <w:ind w:right="424"/>
        <w:rPr>
          <w:rFonts w:asciiTheme="minorHAnsi" w:eastAsiaTheme="minorEastAsia" w:hAnsiTheme="minorHAnsi" w:cstheme="minorBidi"/>
          <w:noProof/>
          <w:color w:val="auto"/>
        </w:rPr>
      </w:pPr>
      <w:r>
        <w:rPr>
          <w:noProof/>
        </w:rPr>
        <w:t xml:space="preserve">Figure 7.7 </w:t>
      </w:r>
      <w:r w:rsidRPr="006E7353">
        <w:rPr>
          <w:noProof/>
          <w:lang w:val="en-US"/>
        </w:rPr>
        <w:t>Flux response for different aquifer diffusivities, for different hydraulic conductivities (K), specify yields (Sy) and distances to river (d)</w:t>
      </w:r>
      <w:r>
        <w:rPr>
          <w:noProof/>
          <w:webHidden/>
        </w:rPr>
        <w:tab/>
        <w:t>263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7.8 Variation in watertable level beneath two neighbouring 500-ha irrigation developments at different distances of separation</w:t>
      </w:r>
      <w:r>
        <w:rPr>
          <w:noProof/>
          <w:webHidden/>
        </w:rPr>
        <w:tab/>
        <w:t>264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7.9 Conductivity–depth section (lower panel) for flight line 10230. Location of flight line on a satellite image is shown in upper panel. This flight line transects the Flinders River downstream of Hughenden</w:t>
      </w:r>
      <w:r>
        <w:rPr>
          <w:noProof/>
          <w:webHidden/>
        </w:rPr>
        <w:tab/>
        <w:t>265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 Schematic diagram illustrating the components of the case study for an irrigation development near Cloncurry, with feedlot, abattoir and Cave Hill dam</w:t>
      </w:r>
      <w:r>
        <w:rPr>
          <w:noProof/>
          <w:webHidden/>
        </w:rPr>
        <w:tab/>
        <w:t>277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8.2 (a) Satellite map and (b) relief map of the area surrounding Cave Hill dam</w:t>
      </w:r>
      <w:r>
        <w:rPr>
          <w:noProof/>
          <w:webHidden/>
        </w:rPr>
        <w:tab/>
        <w:t>280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8.3 (a) Soil generic group map and (b) land suitability map of the area surrounding Cave Hill dam for spray-irrigated sorghum (grain)</w:t>
      </w:r>
      <w:r>
        <w:rPr>
          <w:noProof/>
          <w:webHidden/>
        </w:rPr>
        <w:tab/>
        <w:t>282</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8.4 Landscape of the potential Cave Hill dam irrigation development, facing east</w:t>
      </w:r>
      <w:r>
        <w:rPr>
          <w:noProof/>
          <w:webHidden/>
        </w:rPr>
        <w:tab/>
        <w:t>283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8.5 (a) Monthly rainfall and (b) monthly potential evaporation, under Scenario A at Cloncurry</w:t>
      </w:r>
      <w:r>
        <w:rPr>
          <w:noProof/>
          <w:webHidden/>
        </w:rPr>
        <w:tab/>
        <w:t>284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8.6 (a) Maximum monthly temperature and (b) minimum monthly temperature, under Scenario A at Cloncurry</w:t>
      </w:r>
      <w:r>
        <w:rPr>
          <w:noProof/>
          <w:webHidden/>
        </w:rPr>
        <w:tab/>
        <w:t>284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8.7 Annual streamflow at the Cave Hill dam site under Scenario A</w:t>
      </w:r>
      <w:r>
        <w:rPr>
          <w:noProof/>
          <w:webHidden/>
        </w:rPr>
        <w:tab/>
        <w:t>285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8.8 Crop yield versus applied irrigation water under Scenario A for sorghum (grain) in the Cloncurry area</w:t>
      </w:r>
      <w:r>
        <w:rPr>
          <w:noProof/>
          <w:webHidden/>
        </w:rPr>
        <w:tab/>
        <w:t>290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8.9 Mean annual applied irrigation water supplied to the field in (a) ML and (b) ML/ha under Scenario B for the irrigation development associated with the Cave Hill dam</w:t>
      </w:r>
      <w:r>
        <w:rPr>
          <w:noProof/>
          <w:webHidden/>
        </w:rPr>
        <w:tab/>
        <w:t>292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8.10 (a) Median annual applied irrigation water supplied to the field and (b) percentage of years that the maximum area is planted under Scenario B for the irrigation development associated with the Cave Hill dam</w:t>
      </w:r>
      <w:r>
        <w:rPr>
          <w:noProof/>
          <w:webHidden/>
        </w:rPr>
        <w:tab/>
        <w:t>292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8.11 Ratio of evaporation from the reservoir to the applied irrigation water under Scenario B for the irrigation development associated with the Cave Hill dam</w:t>
      </w:r>
      <w:r>
        <w:rPr>
          <w:noProof/>
          <w:webHidden/>
        </w:rPr>
        <w:tab/>
        <w:t>293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8.12 (a) Percentage of time the volume of the reservoir is less than dead storage volume and (b) percentage of time the volume of the reservoir is less than 20% of the full supply level volume under Scenario B for the irrigation development associated with the Cave Hill dam</w:t>
      </w:r>
      <w:r>
        <w:rPr>
          <w:noProof/>
          <w:webHidden/>
        </w:rPr>
        <w:tab/>
        <w:t>293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8.13 Mean annual streamflow quotient at (a) gauge 915203A and (b) gauge 915003A for the irrigation development associated with the Cave Hill dam</w:t>
      </w:r>
      <w:r>
        <w:rPr>
          <w:noProof/>
          <w:webHidden/>
        </w:rPr>
        <w:tab/>
        <w:t>294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8.14 (a) Median of the 30-year mean values (M30M) for crop yield and (b) standard deviation of the 30-year mean values (S30M) for crop yield under Scenario B for the irrigation development associated with the Cave Hill dam</w:t>
      </w:r>
      <w:r>
        <w:rPr>
          <w:noProof/>
          <w:webHidden/>
        </w:rPr>
        <w:tab/>
        <w:t>295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8.15 Annual crop yield from the irrigation development under Scenario B for three different scheme areas</w:t>
      </w:r>
      <w:r>
        <w:rPr>
          <w:noProof/>
          <w:webHidden/>
        </w:rPr>
        <w:tab/>
        <w:t>295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8.16 (a) Median of the 30-year mean values (M30M) for specific yield and (b) percentage of time 82,500 t of grain is exceeded under Scenario B for the irrigation development associated with the Cave Hill dam</w:t>
      </w:r>
      <w:r>
        <w:rPr>
          <w:noProof/>
          <w:webHidden/>
        </w:rPr>
        <w:tab/>
        <w:t>296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8.17 (a) Median of the 30-year mean values (M30M) for gross margin and (b) median of the 30-year mean values for gross margin per hectare under Scenario B for the irrigation development associated with the Cave Hill dam</w:t>
      </w:r>
      <w:r>
        <w:rPr>
          <w:noProof/>
          <w:webHidden/>
        </w:rPr>
        <w:tab/>
        <w:t>297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8.18 (a) Median of the 30-year net present values and (b) standard deviation of the 30-year net present values under Scenario B for the irrigation development associated with the Cave Hill dam</w:t>
      </w:r>
      <w:r>
        <w:rPr>
          <w:noProof/>
          <w:webHidden/>
        </w:rPr>
        <w:tab/>
        <w:t>298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8.19 (a) Median of the 30-year net present values and (b) standard deviation of the 30-year net present values under Scenario B for the irrigation development associated with the Cave Hill dam</w:t>
      </w:r>
      <w:r>
        <w:rPr>
          <w:noProof/>
          <w:webHidden/>
        </w:rPr>
        <w:tab/>
        <w:t>299</w:t>
      </w:r>
    </w:p>
    <w:p w:rsidR="00EC05D5" w:rsidRDefault="00EC05D5" w:rsidP="00FF7B23">
      <w:pPr>
        <w:pStyle w:val="TableofFigures"/>
        <w:ind w:right="424"/>
        <w:rPr>
          <w:rFonts w:asciiTheme="minorHAnsi" w:eastAsiaTheme="minorEastAsia" w:hAnsiTheme="minorHAnsi" w:cstheme="minorBidi"/>
          <w:noProof/>
          <w:color w:val="auto"/>
        </w:rPr>
      </w:pPr>
      <w:r>
        <w:rPr>
          <w:noProof/>
        </w:rPr>
        <w:t xml:space="preserve">Figure </w:t>
      </w:r>
      <w:r w:rsidRPr="006E7353">
        <w:rPr>
          <w:noProof/>
        </w:rPr>
        <w:t>8</w:t>
      </w:r>
      <w:r>
        <w:rPr>
          <w:noProof/>
        </w:rPr>
        <w:t>.20 Gross margins for sorghum (grain) under Scenario B for the irrigation development associated with the Cave Hill dam, with a scheme area of 12,000 ha and crop area decision of 4 ML/ha: (a) time series and (b) box plot</w:t>
      </w:r>
      <w:r>
        <w:rPr>
          <w:noProof/>
          <w:webHidden/>
        </w:rPr>
        <w:tab/>
        <w:t>300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8.21 Percentage exceedance plots of (a) net present value and (b) internal rate of return under Scenario B for the scheme-scale irrigation development of 12,000 ha associated with the Cave Hill dam</w:t>
      </w:r>
      <w:r>
        <w:rPr>
          <w:noProof/>
          <w:webHidden/>
        </w:rPr>
        <w:tab/>
        <w:t>301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8.22 Percentage exceedance plots of net present value under Scenario B for the farm-scale irrigation development of 12,000 ha associated with the Cave Hill dam</w:t>
      </w:r>
      <w:r>
        <w:rPr>
          <w:noProof/>
          <w:webHidden/>
        </w:rPr>
        <w:tab/>
        <w:t>302</w:t>
      </w:r>
    </w:p>
    <w:p w:rsidR="00EC05D5" w:rsidRDefault="00EC05D5" w:rsidP="00FF7B23">
      <w:pPr>
        <w:pStyle w:val="TableofFigures"/>
        <w:ind w:right="424"/>
        <w:rPr>
          <w:rFonts w:asciiTheme="minorHAnsi" w:eastAsiaTheme="minorEastAsia" w:hAnsiTheme="minorHAnsi" w:cstheme="minorBidi"/>
          <w:noProof/>
          <w:color w:val="auto"/>
        </w:rPr>
      </w:pPr>
      <w:r>
        <w:rPr>
          <w:noProof/>
        </w:rPr>
        <w:t xml:space="preserve">Figure </w:t>
      </w:r>
      <w:r w:rsidRPr="006E7353">
        <w:rPr>
          <w:noProof/>
        </w:rPr>
        <w:t>8</w:t>
      </w:r>
      <w:r>
        <w:rPr>
          <w:noProof/>
        </w:rPr>
        <w:t>.23 Change in depth to watertable for different values of saturated hydraulic conductivity (K): (a) low recharge rate of 67 mm/year and (b) high recharge rate of 118 mm/year</w:t>
      </w:r>
      <w:r>
        <w:rPr>
          <w:noProof/>
          <w:webHidden/>
        </w:rPr>
        <w:tab/>
        <w:t>303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 Schematic diagram illustrating the components of the case study for an irrigation development near Maxwelton, with O’Connell Creek offstream storage</w:t>
      </w:r>
      <w:r>
        <w:rPr>
          <w:noProof/>
          <w:webHidden/>
        </w:rPr>
        <w:tab/>
        <w:t>309</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9.2 (a) Satellite map and (b) relief map of the area surrounding O’Connell Creek offstream storage</w:t>
      </w:r>
      <w:r>
        <w:rPr>
          <w:noProof/>
          <w:webHidden/>
        </w:rPr>
        <w:tab/>
        <w:t>311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9.3 (a) Soil generic group map and (b) land suitability map for the O’Connell Creek offstream storage and Maxwelton area for sugarcane (spray irrigation)</w:t>
      </w:r>
      <w:r>
        <w:rPr>
          <w:noProof/>
          <w:webHidden/>
        </w:rPr>
        <w:tab/>
        <w:t>313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9.4 Landscape at Maxwelton looking south</w:t>
      </w:r>
      <w:r>
        <w:rPr>
          <w:noProof/>
          <w:webHidden/>
        </w:rPr>
        <w:tab/>
        <w:t>314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9.5 Conductivity–depth section (lower panel) for flight line 10,490 (see Figure 9.2), and location of flight line on a satellite image (upper panel)</w:t>
      </w:r>
      <w:r>
        <w:rPr>
          <w:noProof/>
          <w:webHidden/>
        </w:rPr>
        <w:tab/>
        <w:t>315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9.6 Conductivity–depth section (lower panel) for flight line 10,690 (see Figure 9.2), and location of flight line on a satellite image (upper panel)</w:t>
      </w:r>
      <w:r>
        <w:rPr>
          <w:noProof/>
          <w:webHidden/>
        </w:rPr>
        <w:tab/>
        <w:t>315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9.7 (a) Monthly rainfall and (b) potential evaporation under Scenario A at Richmond</w:t>
      </w:r>
      <w:r>
        <w:rPr>
          <w:noProof/>
          <w:webHidden/>
        </w:rPr>
        <w:tab/>
        <w:t>316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9.8 (a) Maximum monthly temperature and (b) minimum monthly temperature, Scenario A at Richmond</w:t>
      </w:r>
      <w:r>
        <w:rPr>
          <w:noProof/>
          <w:webHidden/>
        </w:rPr>
        <w:tab/>
        <w:t>317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9.9 Annual streamflow at the O’Connell Creek offstream storage under Scenario A</w:t>
      </w:r>
      <w:r>
        <w:rPr>
          <w:noProof/>
          <w:webHidden/>
        </w:rPr>
        <w:tab/>
        <w:t>318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9.10 Crop yield versus irrigation water under Scenario A for rice in the Maxwelton area</w:t>
      </w:r>
      <w:r>
        <w:rPr>
          <w:noProof/>
          <w:webHidden/>
        </w:rPr>
        <w:tab/>
        <w:t>322</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9.11 Mean annual applied irrigation water supplied to the field in (a) ML and (b) ML/ha under Scenario B for the irrigation development associated with the O’Connell Creek offstream storage</w:t>
      </w:r>
      <w:r>
        <w:rPr>
          <w:noProof/>
          <w:webHidden/>
        </w:rPr>
        <w:tab/>
        <w:t>324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9.12 (a) Median annual applied irrigation water supplied to the field and (b) percentage of years that the maximum area is planted under Scenario B for the irrigation development associated with the O’Connell Creek offstream storage</w:t>
      </w:r>
      <w:r>
        <w:rPr>
          <w:noProof/>
          <w:webHidden/>
        </w:rPr>
        <w:tab/>
        <w:t>324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9.13 (a) Ratio of evaporation from the reservoir to the applied irrigation water and (b) percentage of time the volume of the reservoir is less than 20% of the full supply level volume under Scenario B for the irrigation development associated with the O’Connell Creek offstream storage</w:t>
      </w:r>
      <w:r>
        <w:rPr>
          <w:noProof/>
          <w:webHidden/>
        </w:rPr>
        <w:tab/>
        <w:t>325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9.14 Median annual streamflow quotient at (a) dummy gauge 943 and (b) gauge 915003A for the irrigation development associated with the O’Connell Creek offstream storage. Virtual gauge 943 is a node created within the Source river model</w:t>
      </w:r>
      <w:r>
        <w:rPr>
          <w:noProof/>
          <w:webHidden/>
        </w:rPr>
        <w:tab/>
        <w:t>325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9.15 (a) Median of the 30-year mean values (M30M) for crop yield and (b) standard deviation of the 30-year mean values (S30M) for crop yield under Scenario B for the irrigation development associated with the O’Connell Creek offstream storage</w:t>
      </w:r>
      <w:r>
        <w:rPr>
          <w:noProof/>
          <w:webHidden/>
        </w:rPr>
        <w:tab/>
        <w:t>326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9.16 Crop yield from the total scheme area under Scenario B for three different scheme areas. Lines correspond to circles show in Figure 9.15</w:t>
      </w:r>
      <w:r>
        <w:rPr>
          <w:noProof/>
          <w:webHidden/>
        </w:rPr>
        <w:tab/>
        <w:t>327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9.17 (a) Median of the 30-year mean values (M30M) for specific yield and (b) percentage of time 50,000 t of grain is exceeded under Scenario B for the irrigation development associated with the O’Connell Creek offstream storage</w:t>
      </w:r>
      <w:r>
        <w:rPr>
          <w:noProof/>
          <w:webHidden/>
        </w:rPr>
        <w:tab/>
        <w:t>327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9.18 (a) Median of the 30-year mean values (M30M) for gross margin per hectare and (b) median of the 30-year mean values (M30M) for gross margin under Scenario B, for the irrigation development associated with the O’Connell Creek offstream storage</w:t>
      </w:r>
      <w:r>
        <w:rPr>
          <w:noProof/>
          <w:webHidden/>
        </w:rPr>
        <w:tab/>
        <w:t>329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9.19 (a) Median of the 30-year mean values (M30M) for net present value and (b) standard deviation of the 30-year mean values (S30M) for net present value under Scenario B for the irrigation development associated with the O’Connell Creek offstream storage</w:t>
      </w:r>
      <w:r>
        <w:rPr>
          <w:noProof/>
          <w:webHidden/>
        </w:rPr>
        <w:tab/>
        <w:t>330</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9.20 (a) Median of the 30-year mean values (M30M) for net present value and (b) standard deviation of the 30-year mean values (S30M) for net present value under Scenario B for the irrigation development associated with the O’Connell Creek offstream storage</w:t>
      </w:r>
      <w:r>
        <w:rPr>
          <w:noProof/>
          <w:webHidden/>
        </w:rPr>
        <w:tab/>
        <w:t>331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9.21 Gross margins for rice under Scenario B for the 5300-ha irrigation development associated with the O’Connell Creek offstream storage</w:t>
      </w:r>
      <w:r>
        <w:rPr>
          <w:noProof/>
          <w:webHidden/>
        </w:rPr>
        <w:tab/>
        <w:t>332</w:t>
      </w:r>
    </w:p>
    <w:p w:rsidR="00EC05D5" w:rsidRDefault="00EC05D5" w:rsidP="00FF7B23">
      <w:pPr>
        <w:pStyle w:val="TableofFigures"/>
        <w:ind w:right="424"/>
        <w:rPr>
          <w:rFonts w:asciiTheme="minorHAnsi" w:eastAsiaTheme="minorEastAsia" w:hAnsiTheme="minorHAnsi" w:cstheme="minorBidi"/>
          <w:noProof/>
          <w:color w:val="auto"/>
        </w:rPr>
      </w:pPr>
      <w:r>
        <w:rPr>
          <w:noProof/>
        </w:rPr>
        <w:lastRenderedPageBreak/>
        <w:t>Figure 9.22 Percentage exceedance plots for the scheme-scale analysis of (a) net present value and (b) internal rate of return under Scenario B for the 5300-ha irrigation development associated with the O’Connell Creek offstream storage</w:t>
      </w:r>
      <w:r>
        <w:rPr>
          <w:noProof/>
          <w:webHidden/>
        </w:rPr>
        <w:tab/>
        <w:t>333</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9.23 Percentage exceedance plots for the farm-scale analysis of (a) net present value and (b) internal rate of return under Scenario B for the 5300-ha irrigation development associated with the O’Connell Creek offstream storage</w:t>
      </w:r>
      <w:r>
        <w:rPr>
          <w:noProof/>
          <w:webHidden/>
        </w:rPr>
        <w:tab/>
        <w:t>334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9.24 Change in depth to watertable for different values of saturated hydraulic conductivity (K)</w:t>
      </w:r>
      <w:r>
        <w:rPr>
          <w:noProof/>
          <w:webHidden/>
        </w:rPr>
        <w:tab/>
        <w:t>335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10.1 Schematic diagram illustrating the components of the case study for the water harvesting irrigation development in the Flinders catchment</w:t>
      </w:r>
      <w:r>
        <w:rPr>
          <w:noProof/>
          <w:webHidden/>
        </w:rPr>
        <w:tab/>
        <w:t>341</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10.2 (a) Relief and broad-scale flood inundation map and (b) offstream water storage suitability map of the Flinders catchment</w:t>
      </w:r>
      <w:r>
        <w:rPr>
          <w:noProof/>
          <w:webHidden/>
        </w:rPr>
        <w:tab/>
        <w:t>344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10.3 (a) Soil generic group map and (b) land suitability map of surface-irrigated cotton in the Flinders catchment</w:t>
      </w:r>
      <w:r>
        <w:rPr>
          <w:noProof/>
          <w:webHidden/>
        </w:rPr>
        <w:tab/>
        <w:t>346</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10.4 Area associated with each land suitability class for a selection of 13 crops in the Flinders catchment, excluding land inundated by flooding</w:t>
      </w:r>
      <w:r>
        <w:rPr>
          <w:noProof/>
          <w:webHidden/>
        </w:rPr>
        <w:tab/>
        <w:t>347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10.5 Area associated with each land suitability class for a selection of 13 crops in the Flinders catchment, excluding land underlain by the Rolling Downs Group (Figure 10.3b)</w:t>
      </w:r>
      <w:r>
        <w:rPr>
          <w:noProof/>
          <w:webHidden/>
        </w:rPr>
        <w:tab/>
        <w:t>348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10.6 Area associated with each land suitability class for a selection of 13 crops in the Flinders catchment, excluding land inundated by flooding, underlain by the Rolling Downs Group (Figure 10.3b) or more than 5 km from a river of catchment area greater than 250 km</w:t>
      </w:r>
      <w:r w:rsidRPr="006E7353">
        <w:rPr>
          <w:noProof/>
          <w:vertAlign w:val="superscript"/>
        </w:rPr>
        <w:t>2</w:t>
      </w:r>
      <w:r>
        <w:rPr>
          <w:noProof/>
          <w:webHidden/>
        </w:rPr>
        <w:tab/>
        <w:t>348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10.7 (a) Monthly rainfall and (b) monthly potential evaporation at Richmond under Scenario A</w:t>
      </w:r>
      <w:r>
        <w:rPr>
          <w:noProof/>
          <w:webHidden/>
        </w:rPr>
        <w:tab/>
        <w:t>349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10.8 (a) Monthly maximum temperature and (b) monthly minimum temperature at Richmond under Scenario A</w:t>
      </w:r>
      <w:r>
        <w:rPr>
          <w:noProof/>
          <w:webHidden/>
        </w:rPr>
        <w:tab/>
        <w:t>349</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10.9 Reliability of extracting water up to the annual entitlement for ten irrigators for three ‘storage size to entitlement-to-pump capacity’ (SSEPC) ratios (5, 10 and 20) by 1 February under Scenario B320</w:t>
      </w:r>
      <w:r>
        <w:rPr>
          <w:noProof/>
          <w:webHidden/>
        </w:rPr>
        <w:tab/>
        <w:t>354</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10.10 Reliability of extracting water up to the annual entitlement for ten water harvesting users for three ‘storage size to entitlement-to-pump capacity’ (SSEPC) ratios (5, 10 and 20) by 1 July under Scenario B320</w:t>
      </w:r>
      <w:r>
        <w:rPr>
          <w:noProof/>
          <w:webHidden/>
        </w:rPr>
        <w:tab/>
        <w:t>355</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10.11 Reliability of extracting water up to the entitlement for ten water harvesting users by 1 January under Scenario B. Assuming a ‘storage size to entitlement-to-pump capacity’ (SSEPC) ratio of 5</w:t>
      </w:r>
      <w:r>
        <w:rPr>
          <w:noProof/>
          <w:webHidden/>
        </w:rPr>
        <w:tab/>
        <w:t>357</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10.12 Reliability of extracting water up to the entitlement for ten water harvesting users by 1 February under Scenario B. Assuming a ‘storage size to entitlement-to-pump capacity’ (SSEPC) ratio of 5</w:t>
      </w:r>
      <w:r>
        <w:rPr>
          <w:noProof/>
          <w:webHidden/>
        </w:rPr>
        <w:tab/>
        <w:t>358</w:t>
      </w:r>
    </w:p>
    <w:p w:rsidR="00EC05D5" w:rsidRDefault="00EC05D5" w:rsidP="00FF7B23">
      <w:pPr>
        <w:pStyle w:val="TableofFigures"/>
        <w:ind w:right="424"/>
        <w:rPr>
          <w:rFonts w:asciiTheme="minorHAnsi" w:eastAsiaTheme="minorEastAsia" w:hAnsiTheme="minorHAnsi" w:cstheme="minorBidi"/>
          <w:noProof/>
          <w:color w:val="auto"/>
        </w:rPr>
      </w:pPr>
      <w:r>
        <w:rPr>
          <w:noProof/>
        </w:rPr>
        <w:t>Figure 10.13 Reliability of extracting water up to the entitlement for ten water harvesting users by 1 July under Scenario B. Assuming a ‘storage size to entitlement-to-pump capacity’ (SSEPC) ratio of 5</w:t>
      </w:r>
      <w:r>
        <w:rPr>
          <w:noProof/>
          <w:webHidden/>
        </w:rPr>
        <w:tab/>
        <w:t>359</w:t>
      </w:r>
    </w:p>
    <w:p w:rsidR="00EC05D5" w:rsidRDefault="009921B7" w:rsidP="00FF7B23">
      <w:pPr>
        <w:ind w:right="424"/>
      </w:pPr>
      <w:r>
        <w:fldChar w:fldCharType="end"/>
      </w:r>
    </w:p>
    <w:p w:rsidR="00EC05D5" w:rsidRDefault="00EC05D5" w:rsidP="00E90106"/>
    <w:p w:rsidR="00E90106" w:rsidRDefault="009921B7" w:rsidP="00E90106">
      <w:r>
        <w:fldChar w:fldCharType="begin"/>
      </w:r>
      <w:r w:rsidR="00E90106">
        <w:instrText xml:space="preserve"> RD FGARA-CR-FL</w:instrText>
      </w:r>
      <w:r w:rsidR="00F96845">
        <w:instrText>-01IN-20140130</w:instrText>
      </w:r>
      <w:r w:rsidR="00E90106" w:rsidRPr="00386922">
        <w:instrText>.docx</w:instrText>
      </w:r>
      <w:r w:rsidR="00E90106">
        <w:instrText xml:space="preserve"> </w:instrText>
      </w:r>
      <w:r>
        <w:fldChar w:fldCharType="end"/>
      </w:r>
      <w:r w:rsidR="00EC05D5">
        <w:t xml:space="preserve"> </w:t>
      </w:r>
      <w:r>
        <w:fldChar w:fldCharType="begin"/>
      </w:r>
      <w:r w:rsidR="00E90106">
        <w:instrText xml:space="preserve"> RD FGARA-CR-FL</w:instrText>
      </w:r>
      <w:r w:rsidR="00E90106" w:rsidRPr="00386922">
        <w:instrText>-02ME-</w:instrText>
      </w:r>
      <w:r w:rsidR="00F96845">
        <w:instrText>20140130</w:instrText>
      </w:r>
      <w:r w:rsidR="00E90106" w:rsidRPr="00386922">
        <w:instrText>.docx</w:instrText>
      </w:r>
      <w:r w:rsidR="00E90106">
        <w:instrText xml:space="preserve"> </w:instrText>
      </w:r>
      <w:r>
        <w:fldChar w:fldCharType="end"/>
      </w:r>
    </w:p>
    <w:p w:rsidR="00E90106" w:rsidRDefault="009921B7" w:rsidP="00E90106">
      <w:r>
        <w:fldChar w:fldCharType="begin"/>
      </w:r>
      <w:r w:rsidR="00E90106">
        <w:instrText xml:space="preserve"> RD FGARA-CR-FL</w:instrText>
      </w:r>
      <w:r w:rsidR="00E90106" w:rsidRPr="00386922">
        <w:instrText>-03PE-</w:instrText>
      </w:r>
      <w:r w:rsidR="00F96845">
        <w:instrText>20140130</w:instrText>
      </w:r>
      <w:r w:rsidR="00E90106" w:rsidRPr="00386922">
        <w:instrText>.docx</w:instrText>
      </w:r>
      <w:r w:rsidR="00E90106">
        <w:instrText xml:space="preserve"> </w:instrText>
      </w:r>
      <w:r>
        <w:fldChar w:fldCharType="end"/>
      </w:r>
      <w:r w:rsidR="00EC05D5">
        <w:t xml:space="preserve"> </w:t>
      </w:r>
      <w:r>
        <w:fldChar w:fldCharType="begin"/>
      </w:r>
      <w:r w:rsidR="00E90106">
        <w:instrText xml:space="preserve"> RD FGARA-CR-FL-04LE-</w:instrText>
      </w:r>
      <w:r w:rsidR="00F96845">
        <w:instrText>20140130</w:instrText>
      </w:r>
      <w:r w:rsidR="00E90106" w:rsidRPr="00386922">
        <w:instrText>.docx</w:instrText>
      </w:r>
      <w:r w:rsidR="00E90106">
        <w:instrText xml:space="preserve"> </w:instrText>
      </w:r>
      <w:r>
        <w:fldChar w:fldCharType="end"/>
      </w:r>
    </w:p>
    <w:p w:rsidR="00E90106" w:rsidRDefault="009921B7" w:rsidP="00E90106">
      <w:r>
        <w:fldChar w:fldCharType="begin"/>
      </w:r>
      <w:r w:rsidR="00E90106">
        <w:instrText xml:space="preserve"> RD </w:instrText>
      </w:r>
      <w:r w:rsidR="00E90106" w:rsidRPr="00386922">
        <w:instrText>FGARA-CR-</w:instrText>
      </w:r>
      <w:r w:rsidR="00E90106">
        <w:instrText>FL</w:instrText>
      </w:r>
      <w:r w:rsidR="00E90106" w:rsidRPr="00386922">
        <w:instrText>-05-1-2-3-</w:instrText>
      </w:r>
      <w:r w:rsidR="00E90106">
        <w:instrText>4-</w:instrText>
      </w:r>
      <w:r w:rsidR="00E90106" w:rsidRPr="00386922">
        <w:instrText>OP-</w:instrText>
      </w:r>
      <w:r w:rsidR="00F96845">
        <w:instrText>20140130</w:instrText>
      </w:r>
      <w:r w:rsidR="00E90106">
        <w:instrText xml:space="preserve">.docx </w:instrText>
      </w:r>
      <w:r>
        <w:fldChar w:fldCharType="end"/>
      </w:r>
      <w:r w:rsidR="00EC05D5">
        <w:t xml:space="preserve"> </w:t>
      </w:r>
      <w:r>
        <w:fldChar w:fldCharType="begin"/>
      </w:r>
      <w:r w:rsidR="00E90106">
        <w:instrText xml:space="preserve"> RD </w:instrText>
      </w:r>
      <w:r w:rsidR="00E90106" w:rsidRPr="00386922">
        <w:instrText>FGARA-CR-</w:instrText>
      </w:r>
      <w:r w:rsidR="00E90106">
        <w:instrText>FL-05-5-CR-</w:instrText>
      </w:r>
      <w:r w:rsidR="00F96845">
        <w:instrText>20140130</w:instrText>
      </w:r>
      <w:r w:rsidR="00E90106" w:rsidRPr="00386922">
        <w:instrText>.docx</w:instrText>
      </w:r>
      <w:r w:rsidR="00E90106">
        <w:instrText xml:space="preserve"> </w:instrText>
      </w:r>
      <w:r>
        <w:fldChar w:fldCharType="end"/>
      </w:r>
    </w:p>
    <w:p w:rsidR="00E90106" w:rsidRDefault="009921B7" w:rsidP="00E90106">
      <w:r>
        <w:fldChar w:fldCharType="begin"/>
      </w:r>
      <w:r w:rsidR="00E90106">
        <w:instrText xml:space="preserve"> RD </w:instrText>
      </w:r>
      <w:r w:rsidR="00E90106" w:rsidRPr="00386922">
        <w:instrText>FGARA-CR-</w:instrText>
      </w:r>
      <w:r w:rsidR="00E90106">
        <w:instrText>FL-06EL-</w:instrText>
      </w:r>
      <w:r w:rsidR="00F96845">
        <w:instrText>20140130</w:instrText>
      </w:r>
      <w:r w:rsidR="00E90106">
        <w:instrText>.</w:instrText>
      </w:r>
      <w:r w:rsidR="00E90106" w:rsidRPr="00386922">
        <w:instrText>docx</w:instrText>
      </w:r>
      <w:r w:rsidR="00E90106">
        <w:instrText xml:space="preserve"> </w:instrText>
      </w:r>
      <w:r>
        <w:fldChar w:fldCharType="end"/>
      </w:r>
      <w:r w:rsidR="00EC05D5">
        <w:t xml:space="preserve"> </w:t>
      </w:r>
      <w:r>
        <w:fldChar w:fldCharType="begin"/>
      </w:r>
      <w:r w:rsidR="00E90106">
        <w:instrText>RD FGARA-CR-FL-07II-</w:instrText>
      </w:r>
      <w:r w:rsidR="00F96845">
        <w:instrText>20140130</w:instrText>
      </w:r>
      <w:r w:rsidR="00E90106" w:rsidRPr="00F95E3F">
        <w:instrText>.docx</w:instrText>
      </w:r>
      <w:r w:rsidR="00E90106">
        <w:instrText xml:space="preserve"> </w:instrText>
      </w:r>
      <w:r>
        <w:fldChar w:fldCharType="end"/>
      </w:r>
    </w:p>
    <w:p w:rsidR="00E90106" w:rsidRDefault="009921B7" w:rsidP="00E90106">
      <w:r>
        <w:fldChar w:fldCharType="begin"/>
      </w:r>
      <w:r w:rsidR="00E90106">
        <w:instrText xml:space="preserve"> RD FGARA-CR-FL-08CL-</w:instrText>
      </w:r>
      <w:r w:rsidR="00F96845">
        <w:instrText>20140130</w:instrText>
      </w:r>
      <w:r w:rsidR="00E90106" w:rsidRPr="00F51D61">
        <w:instrText>.docx</w:instrText>
      </w:r>
      <w:r>
        <w:fldChar w:fldCharType="end"/>
      </w:r>
    </w:p>
    <w:p w:rsidR="00E90106" w:rsidRDefault="009921B7" w:rsidP="00E90106">
      <w:r>
        <w:lastRenderedPageBreak/>
        <w:fldChar w:fldCharType="begin"/>
      </w:r>
      <w:r w:rsidR="00E90106">
        <w:instrText xml:space="preserve"> RD FGARA-CR-FL-09OC-</w:instrText>
      </w:r>
      <w:r w:rsidR="00F96845">
        <w:instrText>20140130</w:instrText>
      </w:r>
      <w:r w:rsidR="00E90106" w:rsidRPr="00F51D61">
        <w:instrText>.docx</w:instrText>
      </w:r>
      <w:r>
        <w:fldChar w:fldCharType="end"/>
      </w:r>
    </w:p>
    <w:p w:rsidR="00E90106" w:rsidRDefault="009921B7" w:rsidP="00E90106">
      <w:r>
        <w:fldChar w:fldCharType="begin"/>
      </w:r>
      <w:r w:rsidR="00E90106">
        <w:instrText xml:space="preserve"> RD FGARA-CR-FL-10WH-</w:instrText>
      </w:r>
      <w:r w:rsidR="00F96845">
        <w:instrText>20140130</w:instrText>
      </w:r>
      <w:r w:rsidR="00E90106" w:rsidRPr="00F51D61">
        <w:instrText>.docx</w:instrText>
      </w:r>
      <w:r>
        <w:fldChar w:fldCharType="end"/>
      </w:r>
    </w:p>
    <w:p w:rsidR="00E90106" w:rsidRDefault="00E90106" w:rsidP="002E48CF"/>
    <w:sectPr w:rsidR="00E90106" w:rsidSect="00B60C7D">
      <w:footerReference w:type="even" r:id="rId11"/>
      <w:footerReference w:type="default" r:id="rId12"/>
      <w:type w:val="evenPage"/>
      <w:pgSz w:w="11906" w:h="16838" w:code="9"/>
      <w:pgMar w:top="1134" w:right="1134" w:bottom="1134" w:left="1134" w:header="510" w:footer="624" w:gutter="0"/>
      <w:pgNumType w:start="38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56" w:rsidRDefault="00700056" w:rsidP="009964E7">
      <w:r>
        <w:separator/>
      </w:r>
    </w:p>
    <w:p w:rsidR="00700056" w:rsidRDefault="00700056"/>
  </w:endnote>
  <w:endnote w:type="continuationSeparator" w:id="0">
    <w:p w:rsidR="00700056" w:rsidRDefault="00700056" w:rsidP="009964E7">
      <w:r>
        <w:continuationSeparator/>
      </w:r>
    </w:p>
    <w:p w:rsidR="00700056" w:rsidRDefault="0070005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F5" w:rsidRPr="007C7522" w:rsidRDefault="009921B7" w:rsidP="00AD380C">
    <w:pPr>
      <w:pStyle w:val="Footer"/>
      <w:rPr>
        <w:color w:val="auto"/>
      </w:rPr>
    </w:pPr>
    <w:r w:rsidRPr="007C7522">
      <w:rPr>
        <w:rStyle w:val="PageNumber"/>
        <w:color w:val="auto"/>
      </w:rPr>
      <w:fldChar w:fldCharType="begin"/>
    </w:r>
    <w:r w:rsidR="00D542F5" w:rsidRPr="007C7522">
      <w:rPr>
        <w:rStyle w:val="PageNumber"/>
        <w:color w:val="auto"/>
      </w:rPr>
      <w:instrText xml:space="preserve"> PAGE  \* Arabic </w:instrText>
    </w:r>
    <w:r w:rsidRPr="007C7522">
      <w:rPr>
        <w:rStyle w:val="PageNumber"/>
        <w:color w:val="auto"/>
      </w:rPr>
      <w:fldChar w:fldCharType="separate"/>
    </w:r>
    <w:r w:rsidR="00B91C91">
      <w:rPr>
        <w:rStyle w:val="PageNumber"/>
        <w:noProof/>
        <w:color w:val="auto"/>
      </w:rPr>
      <w:t>388</w:t>
    </w:r>
    <w:r w:rsidRPr="007C7522">
      <w:rPr>
        <w:rStyle w:val="PageNumber"/>
        <w:color w:val="auto"/>
      </w:rPr>
      <w:fldChar w:fldCharType="end"/>
    </w:r>
    <w:r w:rsidR="00D542F5" w:rsidRPr="007C7522">
      <w:rPr>
        <w:rStyle w:val="PageNumber"/>
        <w:color w:val="auto"/>
      </w:rPr>
      <w:t xml:space="preserve">  </w:t>
    </w:r>
    <w:proofErr w:type="gramStart"/>
    <w:r w:rsidR="00D542F5" w:rsidRPr="007C7522">
      <w:rPr>
        <w:rStyle w:val="PageNumber"/>
        <w:color w:val="auto"/>
      </w:rPr>
      <w:t>|</w:t>
    </w:r>
    <w:r w:rsidR="00E90106">
      <w:rPr>
        <w:rStyle w:val="PageNumber"/>
        <w:color w:val="auto"/>
      </w:rPr>
      <w:t xml:space="preserve"> </w:t>
    </w:r>
    <w:r w:rsidR="00D542F5" w:rsidRPr="007C7522">
      <w:rPr>
        <w:rStyle w:val="PageNumber"/>
        <w:color w:val="auto"/>
      </w:rPr>
      <w:t xml:space="preserve"> </w:t>
    </w:r>
    <w:r w:rsidR="00E90106" w:rsidRPr="00E90106">
      <w:rPr>
        <w:color w:val="auto"/>
      </w:rPr>
      <w:t>Agricultural</w:t>
    </w:r>
    <w:proofErr w:type="gramEnd"/>
    <w:r w:rsidR="00E90106" w:rsidRPr="00E90106">
      <w:rPr>
        <w:color w:val="auto"/>
      </w:rPr>
      <w:t xml:space="preserve"> resource assessment for the Flinders catchment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F5" w:rsidRPr="007C7522" w:rsidRDefault="00D542F5" w:rsidP="00AD380C">
    <w:pPr>
      <w:pStyle w:val="Footer"/>
      <w:jc w:val="right"/>
      <w:rPr>
        <w:color w:val="auto"/>
      </w:rPr>
    </w:pPr>
    <w:r w:rsidRPr="007C7522">
      <w:rPr>
        <w:color w:val="auto"/>
      </w:rPr>
      <w:t xml:space="preserve">Appendix </w:t>
    </w:r>
    <w:proofErr w:type="gramStart"/>
    <w:r w:rsidR="00E90106">
      <w:rPr>
        <w:color w:val="auto"/>
      </w:rPr>
      <w:t>C</w:t>
    </w:r>
    <w:r w:rsidRPr="007C7522">
      <w:rPr>
        <w:color w:val="auto"/>
      </w:rPr>
      <w:t xml:space="preserve"> </w:t>
    </w:r>
    <w:r w:rsidR="00E90106">
      <w:rPr>
        <w:color w:val="auto"/>
      </w:rPr>
      <w:t xml:space="preserve"> </w:t>
    </w:r>
    <w:r w:rsidRPr="007C7522">
      <w:rPr>
        <w:color w:val="auto"/>
      </w:rPr>
      <w:t>|</w:t>
    </w:r>
    <w:proofErr w:type="gramEnd"/>
    <w:r w:rsidRPr="007C7522">
      <w:rPr>
        <w:color w:val="auto"/>
      </w:rPr>
      <w:t xml:space="preserve">  </w:t>
    </w:r>
    <w:r w:rsidR="009921B7" w:rsidRPr="007C7522">
      <w:rPr>
        <w:rStyle w:val="PageNumber"/>
        <w:color w:val="auto"/>
      </w:rPr>
      <w:fldChar w:fldCharType="begin"/>
    </w:r>
    <w:r w:rsidRPr="007C7522">
      <w:rPr>
        <w:rStyle w:val="PageNumber"/>
        <w:color w:val="auto"/>
      </w:rPr>
      <w:instrText xml:space="preserve"> PAGE  \* Arabic </w:instrText>
    </w:r>
    <w:r w:rsidR="009921B7" w:rsidRPr="007C7522">
      <w:rPr>
        <w:rStyle w:val="PageNumber"/>
        <w:color w:val="auto"/>
      </w:rPr>
      <w:fldChar w:fldCharType="separate"/>
    </w:r>
    <w:r w:rsidR="00B91C91">
      <w:rPr>
        <w:rStyle w:val="PageNumber"/>
        <w:noProof/>
        <w:color w:val="auto"/>
      </w:rPr>
      <w:t>389</w:t>
    </w:r>
    <w:r w:rsidR="009921B7" w:rsidRPr="007C7522">
      <w:rPr>
        <w:rStyle w:val="PageNumbe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56" w:rsidRDefault="00700056" w:rsidP="009964E7">
      <w:r>
        <w:separator/>
      </w:r>
    </w:p>
    <w:p w:rsidR="00700056" w:rsidRDefault="00700056"/>
  </w:footnote>
  <w:footnote w:type="continuationSeparator" w:id="0">
    <w:p w:rsidR="00700056" w:rsidRDefault="00700056" w:rsidP="009964E7">
      <w:r>
        <w:continuationSeparator/>
      </w:r>
    </w:p>
    <w:p w:rsidR="00700056" w:rsidRDefault="007000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C3EF2D2"/>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2"/>
    <w:multiLevelType w:val="singleLevel"/>
    <w:tmpl w:val="860A9B14"/>
    <w:lvl w:ilvl="0">
      <w:start w:val="1"/>
      <w:numFmt w:val="bullet"/>
      <w:pStyle w:val="ListNumber3"/>
      <w:lvlText w:val=""/>
      <w:lvlJc w:val="left"/>
      <w:pPr>
        <w:tabs>
          <w:tab w:val="num" w:pos="926"/>
        </w:tabs>
        <w:ind w:left="926" w:hanging="360"/>
      </w:pPr>
      <w:rPr>
        <w:rFonts w:ascii="Symbol" w:hAnsi="Symbol" w:hint="default"/>
      </w:rPr>
    </w:lvl>
  </w:abstractNum>
  <w:abstractNum w:abstractNumId="4">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5">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6">
    <w:nsid w:val="02E71599"/>
    <w:multiLevelType w:val="hybridMultilevel"/>
    <w:tmpl w:val="66E02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5F03D1"/>
    <w:multiLevelType w:val="hybridMultilevel"/>
    <w:tmpl w:val="49DE57C4"/>
    <w:lvl w:ilvl="0" w:tplc="459CE3AE">
      <w:start w:val="1"/>
      <w:numFmt w:val="bullet"/>
      <w:lvlText w:val=""/>
      <w:lvlJc w:val="left"/>
      <w:pPr>
        <w:tabs>
          <w:tab w:val="num" w:pos="0"/>
        </w:tabs>
        <w:ind w:left="680" w:hanging="3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1050236"/>
    <w:multiLevelType w:val="multilevel"/>
    <w:tmpl w:val="FD7E8B74"/>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265682E"/>
    <w:multiLevelType w:val="multilevel"/>
    <w:tmpl w:val="D9CAA11C"/>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pStyle w:val="ListBullet3"/>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nsid w:val="59444BE6"/>
    <w:multiLevelType w:val="multilevel"/>
    <w:tmpl w:val="CC72DB38"/>
    <w:lvl w:ilvl="0">
      <w:start w:val="1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5A1767B6"/>
    <w:multiLevelType w:val="multilevel"/>
    <w:tmpl w:val="A83EDF4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5">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66063429"/>
    <w:multiLevelType w:val="multilevel"/>
    <w:tmpl w:val="1D4C3902"/>
    <w:lvl w:ilvl="0">
      <w:start w:val="3"/>
      <w:numFmt w:val="upperLetter"/>
      <w:pStyle w:val="AppendixHeading1base"/>
      <w:lvlText w:val="Appendix %1 "/>
      <w:lvlJc w:val="left"/>
      <w:pPr>
        <w:ind w:left="0" w:firstLine="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12"/>
  </w:num>
  <w:num w:numId="7">
    <w:abstractNumId w:val="9"/>
  </w:num>
  <w:num w:numId="8">
    <w:abstractNumId w:val="8"/>
  </w:num>
  <w:num w:numId="9">
    <w:abstractNumId w:val="14"/>
  </w:num>
  <w:num w:numId="10">
    <w:abstractNumId w:val="13"/>
  </w:num>
  <w:num w:numId="11">
    <w:abstractNumId w:val="11"/>
  </w:num>
  <w:num w:numId="12">
    <w:abstractNumId w:val="10"/>
  </w:num>
  <w:num w:numId="13">
    <w:abstractNumId w:val="15"/>
  </w:num>
  <w:num w:numId="14">
    <w:abstractNumId w:val="0"/>
  </w:num>
  <w:num w:numId="15">
    <w:abstractNumId w:val="16"/>
  </w:num>
  <w:num w:numId="16">
    <w:abstractNumId w:val="11"/>
  </w:num>
  <w:num w:numId="17">
    <w:abstractNumId w:val="10"/>
  </w:num>
  <w:num w:numId="18">
    <w:abstractNumId w:val="16"/>
  </w:num>
  <w:num w:numId="19">
    <w:abstractNumId w:val="13"/>
  </w:num>
  <w:num w:numId="20">
    <w:abstractNumId w:val="16"/>
  </w:num>
  <w:num w:numId="21">
    <w:abstractNumId w:val="13"/>
  </w:num>
  <w:num w:numId="22">
    <w:abstractNumId w:val="16"/>
  </w:num>
  <w:num w:numId="23">
    <w:abstractNumId w:val="15"/>
  </w:num>
  <w:num w:numId="24">
    <w:abstractNumId w:val="12"/>
  </w:num>
  <w:num w:numId="25">
    <w:abstractNumId w:val="13"/>
  </w:num>
  <w:num w:numId="26">
    <w:abstractNumId w:val="12"/>
  </w:num>
  <w:num w:numId="27">
    <w:abstractNumId w:val="12"/>
  </w:num>
  <w:num w:numId="28">
    <w:abstractNumId w:val="12"/>
  </w:num>
  <w:num w:numId="29">
    <w:abstractNumId w:val="5"/>
  </w:num>
  <w:num w:numId="30">
    <w:abstractNumId w:val="4"/>
  </w:num>
  <w:num w:numId="31">
    <w:abstractNumId w:val="14"/>
  </w:num>
  <w:num w:numId="32">
    <w:abstractNumId w:val="0"/>
  </w:num>
  <w:num w:numId="33">
    <w:abstractNumId w:val="3"/>
  </w:num>
  <w:num w:numId="34">
    <w:abstractNumId w:val="2"/>
  </w:num>
  <w:num w:numId="35">
    <w:abstractNumId w:val="1"/>
  </w:num>
  <w:num w:numId="36">
    <w:abstractNumId w:val="14"/>
  </w:num>
  <w:num w:numId="37">
    <w:abstractNumId w:val="9"/>
  </w:num>
  <w:num w:numId="38">
    <w:abstractNumId w:val="8"/>
  </w:num>
  <w:num w:numId="39">
    <w:abstractNumId w:val="8"/>
  </w:num>
  <w:num w:numId="40">
    <w:abstractNumId w:val="7"/>
  </w:num>
  <w:num w:numId="41">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4004"/>
  <w:defaultTabStop w:val="720"/>
  <w:evenAndOddHeaders/>
  <w:drawingGridHorizontalSpacing w:val="110"/>
  <w:displayHorizontalDrawingGridEvery w:val="2"/>
  <w:characterSpacingControl w:val="doNotCompress"/>
  <w:hdrShapeDefaults>
    <o:shapedefaults v:ext="edit" spidmax="49154">
      <o:colormru v:ext="edit" colors="#ddd,#f8f8f8"/>
      <o:colormenu v:ext="edit" fillcolor="#f8f8f8"/>
    </o:shapedefaults>
  </w:hdrShapeDefaults>
  <w:footnotePr>
    <w:footnote w:id="-1"/>
    <w:footnote w:id="0"/>
  </w:footnotePr>
  <w:endnotePr>
    <w:endnote w:id="-1"/>
    <w:endnote w:id="0"/>
  </w:endnotePr>
  <w:compat/>
  <w:docVars>
    <w:docVar w:name="ColourChosen" w:val="Core"/>
    <w:docVar w:name="CoverChosen" w:val="Standard"/>
  </w:docVars>
  <w:rsids>
    <w:rsidRoot w:val="00BE7403"/>
    <w:rsid w:val="00000EEA"/>
    <w:rsid w:val="0000250B"/>
    <w:rsid w:val="00002AA7"/>
    <w:rsid w:val="000031E1"/>
    <w:rsid w:val="00010921"/>
    <w:rsid w:val="00011FC6"/>
    <w:rsid w:val="000126EB"/>
    <w:rsid w:val="00015E82"/>
    <w:rsid w:val="0001775B"/>
    <w:rsid w:val="00020BDC"/>
    <w:rsid w:val="00021254"/>
    <w:rsid w:val="00024F6E"/>
    <w:rsid w:val="00025FD5"/>
    <w:rsid w:val="0002686D"/>
    <w:rsid w:val="0003030D"/>
    <w:rsid w:val="000316D4"/>
    <w:rsid w:val="0003217B"/>
    <w:rsid w:val="00032C10"/>
    <w:rsid w:val="000331D4"/>
    <w:rsid w:val="00033CA9"/>
    <w:rsid w:val="00034167"/>
    <w:rsid w:val="00036A69"/>
    <w:rsid w:val="00042A1A"/>
    <w:rsid w:val="00043876"/>
    <w:rsid w:val="000443E1"/>
    <w:rsid w:val="00044748"/>
    <w:rsid w:val="0004648D"/>
    <w:rsid w:val="00046533"/>
    <w:rsid w:val="0005048B"/>
    <w:rsid w:val="00051219"/>
    <w:rsid w:val="00051456"/>
    <w:rsid w:val="0005226F"/>
    <w:rsid w:val="0005354A"/>
    <w:rsid w:val="0005371F"/>
    <w:rsid w:val="00053E83"/>
    <w:rsid w:val="0005554F"/>
    <w:rsid w:val="00055E41"/>
    <w:rsid w:val="00056FD0"/>
    <w:rsid w:val="00064612"/>
    <w:rsid w:val="000667A4"/>
    <w:rsid w:val="00072407"/>
    <w:rsid w:val="00074DFE"/>
    <w:rsid w:val="00075774"/>
    <w:rsid w:val="00075B0B"/>
    <w:rsid w:val="000815C2"/>
    <w:rsid w:val="00083CBE"/>
    <w:rsid w:val="00085DC0"/>
    <w:rsid w:val="00086C1E"/>
    <w:rsid w:val="00087ADA"/>
    <w:rsid w:val="00087CA8"/>
    <w:rsid w:val="00093167"/>
    <w:rsid w:val="00095873"/>
    <w:rsid w:val="000979AD"/>
    <w:rsid w:val="00097D69"/>
    <w:rsid w:val="000A0341"/>
    <w:rsid w:val="000A456D"/>
    <w:rsid w:val="000A4742"/>
    <w:rsid w:val="000A5C28"/>
    <w:rsid w:val="000A6F40"/>
    <w:rsid w:val="000A72F3"/>
    <w:rsid w:val="000B0A3D"/>
    <w:rsid w:val="000B1470"/>
    <w:rsid w:val="000B3486"/>
    <w:rsid w:val="000B5DE5"/>
    <w:rsid w:val="000C02C0"/>
    <w:rsid w:val="000C05F1"/>
    <w:rsid w:val="000C0940"/>
    <w:rsid w:val="000C0E41"/>
    <w:rsid w:val="000C1A2D"/>
    <w:rsid w:val="000C4051"/>
    <w:rsid w:val="000C5523"/>
    <w:rsid w:val="000C61C0"/>
    <w:rsid w:val="000C7D15"/>
    <w:rsid w:val="000D0298"/>
    <w:rsid w:val="000D19DE"/>
    <w:rsid w:val="000D436B"/>
    <w:rsid w:val="000D6D2F"/>
    <w:rsid w:val="000E1CF3"/>
    <w:rsid w:val="000E2422"/>
    <w:rsid w:val="000E3A73"/>
    <w:rsid w:val="000E599F"/>
    <w:rsid w:val="000E73FF"/>
    <w:rsid w:val="000F1EC3"/>
    <w:rsid w:val="000F1FE4"/>
    <w:rsid w:val="000F2CEA"/>
    <w:rsid w:val="000F3A74"/>
    <w:rsid w:val="000F41DF"/>
    <w:rsid w:val="000F7DF6"/>
    <w:rsid w:val="00101A2A"/>
    <w:rsid w:val="001020A1"/>
    <w:rsid w:val="00102633"/>
    <w:rsid w:val="00104FBD"/>
    <w:rsid w:val="001067F0"/>
    <w:rsid w:val="001068F9"/>
    <w:rsid w:val="001100D4"/>
    <w:rsid w:val="0011346D"/>
    <w:rsid w:val="0011470B"/>
    <w:rsid w:val="00114B30"/>
    <w:rsid w:val="00114F6E"/>
    <w:rsid w:val="00116C3E"/>
    <w:rsid w:val="00117E59"/>
    <w:rsid w:val="00117EAC"/>
    <w:rsid w:val="001210AF"/>
    <w:rsid w:val="0012201E"/>
    <w:rsid w:val="00123BCC"/>
    <w:rsid w:val="00123FD7"/>
    <w:rsid w:val="001249CC"/>
    <w:rsid w:val="00127A19"/>
    <w:rsid w:val="00127D61"/>
    <w:rsid w:val="0013089B"/>
    <w:rsid w:val="00132F76"/>
    <w:rsid w:val="0013384F"/>
    <w:rsid w:val="00134FC3"/>
    <w:rsid w:val="001362D8"/>
    <w:rsid w:val="0013696E"/>
    <w:rsid w:val="00136B7F"/>
    <w:rsid w:val="00141D5A"/>
    <w:rsid w:val="00144467"/>
    <w:rsid w:val="00152673"/>
    <w:rsid w:val="00154168"/>
    <w:rsid w:val="0015605C"/>
    <w:rsid w:val="00157AAE"/>
    <w:rsid w:val="00161BB6"/>
    <w:rsid w:val="00162535"/>
    <w:rsid w:val="00164859"/>
    <w:rsid w:val="00166892"/>
    <w:rsid w:val="001708B3"/>
    <w:rsid w:val="00173C4D"/>
    <w:rsid w:val="00174A49"/>
    <w:rsid w:val="00175388"/>
    <w:rsid w:val="001754D0"/>
    <w:rsid w:val="00177270"/>
    <w:rsid w:val="001772D6"/>
    <w:rsid w:val="001842C4"/>
    <w:rsid w:val="0018542D"/>
    <w:rsid w:val="00185630"/>
    <w:rsid w:val="00190E0B"/>
    <w:rsid w:val="00192E59"/>
    <w:rsid w:val="00193162"/>
    <w:rsid w:val="00194542"/>
    <w:rsid w:val="00195301"/>
    <w:rsid w:val="00196146"/>
    <w:rsid w:val="001A1020"/>
    <w:rsid w:val="001A3CF8"/>
    <w:rsid w:val="001A6AF8"/>
    <w:rsid w:val="001A7418"/>
    <w:rsid w:val="001B00A0"/>
    <w:rsid w:val="001B053F"/>
    <w:rsid w:val="001B23ED"/>
    <w:rsid w:val="001B3105"/>
    <w:rsid w:val="001B34DE"/>
    <w:rsid w:val="001B6CB5"/>
    <w:rsid w:val="001B79DA"/>
    <w:rsid w:val="001B7BF3"/>
    <w:rsid w:val="001C2E08"/>
    <w:rsid w:val="001C3137"/>
    <w:rsid w:val="001C540A"/>
    <w:rsid w:val="001C5597"/>
    <w:rsid w:val="001C5CA5"/>
    <w:rsid w:val="001C663B"/>
    <w:rsid w:val="001C7231"/>
    <w:rsid w:val="001D36DC"/>
    <w:rsid w:val="001D4D59"/>
    <w:rsid w:val="001D713C"/>
    <w:rsid w:val="001E046D"/>
    <w:rsid w:val="001E2A1A"/>
    <w:rsid w:val="001E2D97"/>
    <w:rsid w:val="001E30E8"/>
    <w:rsid w:val="001E4B07"/>
    <w:rsid w:val="001E4C59"/>
    <w:rsid w:val="001E531C"/>
    <w:rsid w:val="001F3FB1"/>
    <w:rsid w:val="001F654E"/>
    <w:rsid w:val="001F66CC"/>
    <w:rsid w:val="001F6CEF"/>
    <w:rsid w:val="0020034E"/>
    <w:rsid w:val="002011DF"/>
    <w:rsid w:val="00201C06"/>
    <w:rsid w:val="002028DF"/>
    <w:rsid w:val="00207117"/>
    <w:rsid w:val="002101A4"/>
    <w:rsid w:val="002109F9"/>
    <w:rsid w:val="00212485"/>
    <w:rsid w:val="0021263B"/>
    <w:rsid w:val="002132AE"/>
    <w:rsid w:val="002137D2"/>
    <w:rsid w:val="00214440"/>
    <w:rsid w:val="00215132"/>
    <w:rsid w:val="002154A2"/>
    <w:rsid w:val="002156C8"/>
    <w:rsid w:val="00217C34"/>
    <w:rsid w:val="00221A8F"/>
    <w:rsid w:val="00221D5A"/>
    <w:rsid w:val="0022431B"/>
    <w:rsid w:val="002254A0"/>
    <w:rsid w:val="002256CA"/>
    <w:rsid w:val="002274F9"/>
    <w:rsid w:val="0023045E"/>
    <w:rsid w:val="002310E0"/>
    <w:rsid w:val="00232B56"/>
    <w:rsid w:val="00235010"/>
    <w:rsid w:val="002400E6"/>
    <w:rsid w:val="002418DA"/>
    <w:rsid w:val="00241BAC"/>
    <w:rsid w:val="002421F2"/>
    <w:rsid w:val="0025177C"/>
    <w:rsid w:val="00251DDE"/>
    <w:rsid w:val="00252CBB"/>
    <w:rsid w:val="00253AB9"/>
    <w:rsid w:val="00255036"/>
    <w:rsid w:val="002579B2"/>
    <w:rsid w:val="0026068D"/>
    <w:rsid w:val="00260CC9"/>
    <w:rsid w:val="00263A58"/>
    <w:rsid w:val="00267364"/>
    <w:rsid w:val="0026739B"/>
    <w:rsid w:val="00273A31"/>
    <w:rsid w:val="00274483"/>
    <w:rsid w:val="002746AD"/>
    <w:rsid w:val="00274DF1"/>
    <w:rsid w:val="00274FEA"/>
    <w:rsid w:val="00276E3E"/>
    <w:rsid w:val="00277240"/>
    <w:rsid w:val="00277610"/>
    <w:rsid w:val="00277A23"/>
    <w:rsid w:val="002801CB"/>
    <w:rsid w:val="00280E4B"/>
    <w:rsid w:val="00282133"/>
    <w:rsid w:val="002852DB"/>
    <w:rsid w:val="00285A3B"/>
    <w:rsid w:val="00285F27"/>
    <w:rsid w:val="00287FBB"/>
    <w:rsid w:val="0029001E"/>
    <w:rsid w:val="0029026E"/>
    <w:rsid w:val="0029340C"/>
    <w:rsid w:val="0029371B"/>
    <w:rsid w:val="00293A69"/>
    <w:rsid w:val="00293EB0"/>
    <w:rsid w:val="00295687"/>
    <w:rsid w:val="00295D01"/>
    <w:rsid w:val="002A276D"/>
    <w:rsid w:val="002A41F9"/>
    <w:rsid w:val="002A47DB"/>
    <w:rsid w:val="002A5A18"/>
    <w:rsid w:val="002A5D8F"/>
    <w:rsid w:val="002A658F"/>
    <w:rsid w:val="002A7E54"/>
    <w:rsid w:val="002B10D6"/>
    <w:rsid w:val="002B1E8B"/>
    <w:rsid w:val="002B3670"/>
    <w:rsid w:val="002B3E6E"/>
    <w:rsid w:val="002B3F1E"/>
    <w:rsid w:val="002B4524"/>
    <w:rsid w:val="002B5F95"/>
    <w:rsid w:val="002B6D1E"/>
    <w:rsid w:val="002C3F4E"/>
    <w:rsid w:val="002C54A6"/>
    <w:rsid w:val="002C6AFC"/>
    <w:rsid w:val="002D19CD"/>
    <w:rsid w:val="002D688F"/>
    <w:rsid w:val="002E00BA"/>
    <w:rsid w:val="002E0C1E"/>
    <w:rsid w:val="002E2FB7"/>
    <w:rsid w:val="002E3B33"/>
    <w:rsid w:val="002E3BB0"/>
    <w:rsid w:val="002E467E"/>
    <w:rsid w:val="002E48CF"/>
    <w:rsid w:val="002E64B5"/>
    <w:rsid w:val="002E6619"/>
    <w:rsid w:val="002E6C44"/>
    <w:rsid w:val="002E7AB1"/>
    <w:rsid w:val="002E7DC9"/>
    <w:rsid w:val="002F0071"/>
    <w:rsid w:val="002F06CC"/>
    <w:rsid w:val="002F34F4"/>
    <w:rsid w:val="002F35AA"/>
    <w:rsid w:val="002F5550"/>
    <w:rsid w:val="002F7A19"/>
    <w:rsid w:val="00301C5C"/>
    <w:rsid w:val="003036A2"/>
    <w:rsid w:val="003053C7"/>
    <w:rsid w:val="003059EB"/>
    <w:rsid w:val="00306A4B"/>
    <w:rsid w:val="00307B3C"/>
    <w:rsid w:val="00310421"/>
    <w:rsid w:val="003139EB"/>
    <w:rsid w:val="00313CAE"/>
    <w:rsid w:val="0031414F"/>
    <w:rsid w:val="0031605A"/>
    <w:rsid w:val="0032250A"/>
    <w:rsid w:val="0032280A"/>
    <w:rsid w:val="00322BA1"/>
    <w:rsid w:val="00323DA5"/>
    <w:rsid w:val="0032467F"/>
    <w:rsid w:val="003264EA"/>
    <w:rsid w:val="00327068"/>
    <w:rsid w:val="0032796C"/>
    <w:rsid w:val="00327A8A"/>
    <w:rsid w:val="00331731"/>
    <w:rsid w:val="00333EED"/>
    <w:rsid w:val="0033551F"/>
    <w:rsid w:val="00340806"/>
    <w:rsid w:val="00341FFE"/>
    <w:rsid w:val="00342532"/>
    <w:rsid w:val="003425BE"/>
    <w:rsid w:val="00342F15"/>
    <w:rsid w:val="003450A8"/>
    <w:rsid w:val="003461B2"/>
    <w:rsid w:val="003528B2"/>
    <w:rsid w:val="00355B43"/>
    <w:rsid w:val="00357251"/>
    <w:rsid w:val="00357F24"/>
    <w:rsid w:val="00361EE2"/>
    <w:rsid w:val="0036319D"/>
    <w:rsid w:val="003642D7"/>
    <w:rsid w:val="00374DD2"/>
    <w:rsid w:val="00377566"/>
    <w:rsid w:val="00383ADF"/>
    <w:rsid w:val="00387974"/>
    <w:rsid w:val="00390015"/>
    <w:rsid w:val="0039180E"/>
    <w:rsid w:val="0039270B"/>
    <w:rsid w:val="00395EF5"/>
    <w:rsid w:val="003962BF"/>
    <w:rsid w:val="0039729E"/>
    <w:rsid w:val="003A2951"/>
    <w:rsid w:val="003A2FF2"/>
    <w:rsid w:val="003A3052"/>
    <w:rsid w:val="003A3919"/>
    <w:rsid w:val="003A476E"/>
    <w:rsid w:val="003A4AF4"/>
    <w:rsid w:val="003A710E"/>
    <w:rsid w:val="003A7BD2"/>
    <w:rsid w:val="003B1238"/>
    <w:rsid w:val="003B4380"/>
    <w:rsid w:val="003B58A6"/>
    <w:rsid w:val="003C26A8"/>
    <w:rsid w:val="003C3AD8"/>
    <w:rsid w:val="003C40B6"/>
    <w:rsid w:val="003C65DC"/>
    <w:rsid w:val="003C6B3B"/>
    <w:rsid w:val="003D50F1"/>
    <w:rsid w:val="003D62C9"/>
    <w:rsid w:val="003D641F"/>
    <w:rsid w:val="003D6565"/>
    <w:rsid w:val="003D778D"/>
    <w:rsid w:val="003E27E2"/>
    <w:rsid w:val="003E3972"/>
    <w:rsid w:val="003F061A"/>
    <w:rsid w:val="003F1806"/>
    <w:rsid w:val="003F1FBD"/>
    <w:rsid w:val="003F6EAD"/>
    <w:rsid w:val="004005F7"/>
    <w:rsid w:val="0040108B"/>
    <w:rsid w:val="0040276B"/>
    <w:rsid w:val="004070AA"/>
    <w:rsid w:val="00410CB7"/>
    <w:rsid w:val="00411649"/>
    <w:rsid w:val="00412553"/>
    <w:rsid w:val="0041302C"/>
    <w:rsid w:val="004134DD"/>
    <w:rsid w:val="0041517D"/>
    <w:rsid w:val="004151BA"/>
    <w:rsid w:val="00415E38"/>
    <w:rsid w:val="00416DF7"/>
    <w:rsid w:val="00416FE8"/>
    <w:rsid w:val="00420CC0"/>
    <w:rsid w:val="00421B48"/>
    <w:rsid w:val="00424719"/>
    <w:rsid w:val="00425B20"/>
    <w:rsid w:val="00426E97"/>
    <w:rsid w:val="00434BFE"/>
    <w:rsid w:val="004362E3"/>
    <w:rsid w:val="0044092B"/>
    <w:rsid w:val="00440CFE"/>
    <w:rsid w:val="00441D99"/>
    <w:rsid w:val="00444967"/>
    <w:rsid w:val="00444BEB"/>
    <w:rsid w:val="00444D4A"/>
    <w:rsid w:val="004459B1"/>
    <w:rsid w:val="0044776C"/>
    <w:rsid w:val="00450B7D"/>
    <w:rsid w:val="00450C41"/>
    <w:rsid w:val="00455807"/>
    <w:rsid w:val="00456A57"/>
    <w:rsid w:val="00457440"/>
    <w:rsid w:val="0046209B"/>
    <w:rsid w:val="00462182"/>
    <w:rsid w:val="00463ED6"/>
    <w:rsid w:val="00465E80"/>
    <w:rsid w:val="00466556"/>
    <w:rsid w:val="004666B7"/>
    <w:rsid w:val="00467438"/>
    <w:rsid w:val="004712A8"/>
    <w:rsid w:val="00471DED"/>
    <w:rsid w:val="00471E1A"/>
    <w:rsid w:val="004744C2"/>
    <w:rsid w:val="00475BB5"/>
    <w:rsid w:val="00475EB7"/>
    <w:rsid w:val="004766E5"/>
    <w:rsid w:val="00477D51"/>
    <w:rsid w:val="0048104E"/>
    <w:rsid w:val="004826CF"/>
    <w:rsid w:val="00483F64"/>
    <w:rsid w:val="00485E3A"/>
    <w:rsid w:val="0048768F"/>
    <w:rsid w:val="00487D3D"/>
    <w:rsid w:val="0049032F"/>
    <w:rsid w:val="00491B05"/>
    <w:rsid w:val="00492547"/>
    <w:rsid w:val="00494587"/>
    <w:rsid w:val="00494743"/>
    <w:rsid w:val="004A067D"/>
    <w:rsid w:val="004A3CB0"/>
    <w:rsid w:val="004A4D3F"/>
    <w:rsid w:val="004A57C5"/>
    <w:rsid w:val="004A7FA7"/>
    <w:rsid w:val="004B0B5E"/>
    <w:rsid w:val="004B0C61"/>
    <w:rsid w:val="004B1330"/>
    <w:rsid w:val="004B1D5B"/>
    <w:rsid w:val="004B2DAA"/>
    <w:rsid w:val="004B2E42"/>
    <w:rsid w:val="004B5AC9"/>
    <w:rsid w:val="004C08B6"/>
    <w:rsid w:val="004C0D00"/>
    <w:rsid w:val="004C14AB"/>
    <w:rsid w:val="004C19B0"/>
    <w:rsid w:val="004C3462"/>
    <w:rsid w:val="004C5394"/>
    <w:rsid w:val="004C5772"/>
    <w:rsid w:val="004C66FA"/>
    <w:rsid w:val="004C6FAE"/>
    <w:rsid w:val="004C7A10"/>
    <w:rsid w:val="004D0A90"/>
    <w:rsid w:val="004D139E"/>
    <w:rsid w:val="004D1CE2"/>
    <w:rsid w:val="004D3C36"/>
    <w:rsid w:val="004D44AC"/>
    <w:rsid w:val="004D4F0D"/>
    <w:rsid w:val="004D57D4"/>
    <w:rsid w:val="004D5ED7"/>
    <w:rsid w:val="004D7C37"/>
    <w:rsid w:val="004E1262"/>
    <w:rsid w:val="004E1F1A"/>
    <w:rsid w:val="004E3049"/>
    <w:rsid w:val="004E411B"/>
    <w:rsid w:val="004E5C69"/>
    <w:rsid w:val="004E60D0"/>
    <w:rsid w:val="004E6FB4"/>
    <w:rsid w:val="004F0298"/>
    <w:rsid w:val="004F12A6"/>
    <w:rsid w:val="004F1565"/>
    <w:rsid w:val="004F1878"/>
    <w:rsid w:val="004F2304"/>
    <w:rsid w:val="004F26F8"/>
    <w:rsid w:val="004F4CC9"/>
    <w:rsid w:val="004F75D8"/>
    <w:rsid w:val="005025FE"/>
    <w:rsid w:val="00504585"/>
    <w:rsid w:val="00506DDE"/>
    <w:rsid w:val="005136AD"/>
    <w:rsid w:val="005138BA"/>
    <w:rsid w:val="00513923"/>
    <w:rsid w:val="00513E3A"/>
    <w:rsid w:val="00516657"/>
    <w:rsid w:val="005202DF"/>
    <w:rsid w:val="00520622"/>
    <w:rsid w:val="00520CB5"/>
    <w:rsid w:val="00520D4F"/>
    <w:rsid w:val="005211AF"/>
    <w:rsid w:val="005213E2"/>
    <w:rsid w:val="00524042"/>
    <w:rsid w:val="00525BF7"/>
    <w:rsid w:val="005276C2"/>
    <w:rsid w:val="005303EC"/>
    <w:rsid w:val="005343D3"/>
    <w:rsid w:val="005406F8"/>
    <w:rsid w:val="0054169B"/>
    <w:rsid w:val="005417D2"/>
    <w:rsid w:val="005422E4"/>
    <w:rsid w:val="00543721"/>
    <w:rsid w:val="0054393A"/>
    <w:rsid w:val="00544161"/>
    <w:rsid w:val="0054436C"/>
    <w:rsid w:val="00544B42"/>
    <w:rsid w:val="00545CF8"/>
    <w:rsid w:val="005476CF"/>
    <w:rsid w:val="00550E4D"/>
    <w:rsid w:val="00550F69"/>
    <w:rsid w:val="005523C6"/>
    <w:rsid w:val="005535C1"/>
    <w:rsid w:val="005549DF"/>
    <w:rsid w:val="00560640"/>
    <w:rsid w:val="005616AE"/>
    <w:rsid w:val="00561BA9"/>
    <w:rsid w:val="00564C5B"/>
    <w:rsid w:val="00571AAC"/>
    <w:rsid w:val="00571ADF"/>
    <w:rsid w:val="00571CEA"/>
    <w:rsid w:val="00571F91"/>
    <w:rsid w:val="0057612D"/>
    <w:rsid w:val="00581C8A"/>
    <w:rsid w:val="00583B00"/>
    <w:rsid w:val="00585DC5"/>
    <w:rsid w:val="005871BD"/>
    <w:rsid w:val="005900A1"/>
    <w:rsid w:val="00590B01"/>
    <w:rsid w:val="005914BF"/>
    <w:rsid w:val="005A0224"/>
    <w:rsid w:val="005A0BA6"/>
    <w:rsid w:val="005A1201"/>
    <w:rsid w:val="005A35B2"/>
    <w:rsid w:val="005A3671"/>
    <w:rsid w:val="005A3F38"/>
    <w:rsid w:val="005A47B3"/>
    <w:rsid w:val="005A61DD"/>
    <w:rsid w:val="005A68C6"/>
    <w:rsid w:val="005A6C20"/>
    <w:rsid w:val="005A6F02"/>
    <w:rsid w:val="005A721D"/>
    <w:rsid w:val="005B170A"/>
    <w:rsid w:val="005B2B2E"/>
    <w:rsid w:val="005B753C"/>
    <w:rsid w:val="005C1B4B"/>
    <w:rsid w:val="005C2541"/>
    <w:rsid w:val="005C71E9"/>
    <w:rsid w:val="005D5D01"/>
    <w:rsid w:val="005D5D71"/>
    <w:rsid w:val="005D7700"/>
    <w:rsid w:val="005F0DA6"/>
    <w:rsid w:val="005F225C"/>
    <w:rsid w:val="005F32AD"/>
    <w:rsid w:val="005F4017"/>
    <w:rsid w:val="005F41CD"/>
    <w:rsid w:val="005F4305"/>
    <w:rsid w:val="005F573F"/>
    <w:rsid w:val="005F7C32"/>
    <w:rsid w:val="00600138"/>
    <w:rsid w:val="00601A82"/>
    <w:rsid w:val="00601BED"/>
    <w:rsid w:val="00604140"/>
    <w:rsid w:val="00604892"/>
    <w:rsid w:val="006065A9"/>
    <w:rsid w:val="006075B1"/>
    <w:rsid w:val="00607651"/>
    <w:rsid w:val="006101EB"/>
    <w:rsid w:val="006103AF"/>
    <w:rsid w:val="00610806"/>
    <w:rsid w:val="00610C1D"/>
    <w:rsid w:val="006131D3"/>
    <w:rsid w:val="00620AB1"/>
    <w:rsid w:val="00620C5C"/>
    <w:rsid w:val="006218D9"/>
    <w:rsid w:val="00622516"/>
    <w:rsid w:val="00623888"/>
    <w:rsid w:val="0062422B"/>
    <w:rsid w:val="00625BAE"/>
    <w:rsid w:val="00627195"/>
    <w:rsid w:val="00630E7C"/>
    <w:rsid w:val="00635181"/>
    <w:rsid w:val="0063561B"/>
    <w:rsid w:val="00635DBA"/>
    <w:rsid w:val="0064042D"/>
    <w:rsid w:val="00641518"/>
    <w:rsid w:val="00641AEC"/>
    <w:rsid w:val="0064524B"/>
    <w:rsid w:val="00645A29"/>
    <w:rsid w:val="006469A4"/>
    <w:rsid w:val="00650A8F"/>
    <w:rsid w:val="00651877"/>
    <w:rsid w:val="00655D42"/>
    <w:rsid w:val="00656199"/>
    <w:rsid w:val="006575F3"/>
    <w:rsid w:val="006578B4"/>
    <w:rsid w:val="006606E0"/>
    <w:rsid w:val="00664D3A"/>
    <w:rsid w:val="00665B8F"/>
    <w:rsid w:val="00666B96"/>
    <w:rsid w:val="00675060"/>
    <w:rsid w:val="006759C2"/>
    <w:rsid w:val="0067631B"/>
    <w:rsid w:val="00676831"/>
    <w:rsid w:val="00677A9F"/>
    <w:rsid w:val="00681CA4"/>
    <w:rsid w:val="00682027"/>
    <w:rsid w:val="006839AA"/>
    <w:rsid w:val="00685B63"/>
    <w:rsid w:val="00690252"/>
    <w:rsid w:val="0069216C"/>
    <w:rsid w:val="00694A20"/>
    <w:rsid w:val="00694E1A"/>
    <w:rsid w:val="00695A1E"/>
    <w:rsid w:val="00696CC4"/>
    <w:rsid w:val="006A1DF0"/>
    <w:rsid w:val="006A25BB"/>
    <w:rsid w:val="006A4E81"/>
    <w:rsid w:val="006A5D0B"/>
    <w:rsid w:val="006A7FB7"/>
    <w:rsid w:val="006B10B6"/>
    <w:rsid w:val="006B1377"/>
    <w:rsid w:val="006B15EB"/>
    <w:rsid w:val="006B2726"/>
    <w:rsid w:val="006B52FD"/>
    <w:rsid w:val="006B57B2"/>
    <w:rsid w:val="006B7A50"/>
    <w:rsid w:val="006C0D52"/>
    <w:rsid w:val="006C0EDC"/>
    <w:rsid w:val="006C109B"/>
    <w:rsid w:val="006C16E3"/>
    <w:rsid w:val="006C180F"/>
    <w:rsid w:val="006C4214"/>
    <w:rsid w:val="006C63D3"/>
    <w:rsid w:val="006D1B2D"/>
    <w:rsid w:val="006D1E80"/>
    <w:rsid w:val="006D455C"/>
    <w:rsid w:val="006D555F"/>
    <w:rsid w:val="006D7E28"/>
    <w:rsid w:val="006E17CD"/>
    <w:rsid w:val="006E23B6"/>
    <w:rsid w:val="006E25AB"/>
    <w:rsid w:val="006E3262"/>
    <w:rsid w:val="006E3A6D"/>
    <w:rsid w:val="006E4748"/>
    <w:rsid w:val="006E7746"/>
    <w:rsid w:val="006E7F70"/>
    <w:rsid w:val="006F08D2"/>
    <w:rsid w:val="006F125C"/>
    <w:rsid w:val="006F2FDA"/>
    <w:rsid w:val="006F4826"/>
    <w:rsid w:val="006F4D0E"/>
    <w:rsid w:val="006F738D"/>
    <w:rsid w:val="00700056"/>
    <w:rsid w:val="00700738"/>
    <w:rsid w:val="00700B76"/>
    <w:rsid w:val="00705110"/>
    <w:rsid w:val="00705E75"/>
    <w:rsid w:val="00707997"/>
    <w:rsid w:val="0071029B"/>
    <w:rsid w:val="0071052E"/>
    <w:rsid w:val="00711762"/>
    <w:rsid w:val="00711DCA"/>
    <w:rsid w:val="00716588"/>
    <w:rsid w:val="00717E17"/>
    <w:rsid w:val="00721552"/>
    <w:rsid w:val="00726E5E"/>
    <w:rsid w:val="00730D43"/>
    <w:rsid w:val="0073230C"/>
    <w:rsid w:val="007327F4"/>
    <w:rsid w:val="00734B2F"/>
    <w:rsid w:val="007367A7"/>
    <w:rsid w:val="00736C13"/>
    <w:rsid w:val="00736E1E"/>
    <w:rsid w:val="00736F0E"/>
    <w:rsid w:val="007445DB"/>
    <w:rsid w:val="0074569B"/>
    <w:rsid w:val="007510E2"/>
    <w:rsid w:val="007513AA"/>
    <w:rsid w:val="00752314"/>
    <w:rsid w:val="00752473"/>
    <w:rsid w:val="00752903"/>
    <w:rsid w:val="007530B4"/>
    <w:rsid w:val="00756A9D"/>
    <w:rsid w:val="00757D44"/>
    <w:rsid w:val="00760938"/>
    <w:rsid w:val="00762940"/>
    <w:rsid w:val="00766BBE"/>
    <w:rsid w:val="00767521"/>
    <w:rsid w:val="007732C9"/>
    <w:rsid w:val="007738F3"/>
    <w:rsid w:val="00774CB6"/>
    <w:rsid w:val="00776A3D"/>
    <w:rsid w:val="007815C3"/>
    <w:rsid w:val="00781868"/>
    <w:rsid w:val="007818F9"/>
    <w:rsid w:val="00782488"/>
    <w:rsid w:val="00782CF8"/>
    <w:rsid w:val="00785E49"/>
    <w:rsid w:val="00786A8D"/>
    <w:rsid w:val="00786B17"/>
    <w:rsid w:val="00787338"/>
    <w:rsid w:val="007873A9"/>
    <w:rsid w:val="00787C90"/>
    <w:rsid w:val="00790A1F"/>
    <w:rsid w:val="00793B7A"/>
    <w:rsid w:val="00793C15"/>
    <w:rsid w:val="00793DA2"/>
    <w:rsid w:val="00793F2D"/>
    <w:rsid w:val="00796030"/>
    <w:rsid w:val="00796D09"/>
    <w:rsid w:val="007A01EB"/>
    <w:rsid w:val="007A2944"/>
    <w:rsid w:val="007B13AE"/>
    <w:rsid w:val="007B2475"/>
    <w:rsid w:val="007B249F"/>
    <w:rsid w:val="007B2ECC"/>
    <w:rsid w:val="007C0298"/>
    <w:rsid w:val="007C1DF4"/>
    <w:rsid w:val="007C28F2"/>
    <w:rsid w:val="007C4FFC"/>
    <w:rsid w:val="007C5394"/>
    <w:rsid w:val="007C6BB9"/>
    <w:rsid w:val="007C733A"/>
    <w:rsid w:val="007C7522"/>
    <w:rsid w:val="007D1B60"/>
    <w:rsid w:val="007D2E6D"/>
    <w:rsid w:val="007D5501"/>
    <w:rsid w:val="007D7F23"/>
    <w:rsid w:val="007E073D"/>
    <w:rsid w:val="007E0C16"/>
    <w:rsid w:val="007E260F"/>
    <w:rsid w:val="007E35CB"/>
    <w:rsid w:val="007E4B05"/>
    <w:rsid w:val="007E5102"/>
    <w:rsid w:val="007E5152"/>
    <w:rsid w:val="007F16A8"/>
    <w:rsid w:val="007F516D"/>
    <w:rsid w:val="007F52B1"/>
    <w:rsid w:val="007F6149"/>
    <w:rsid w:val="007F618C"/>
    <w:rsid w:val="007F688D"/>
    <w:rsid w:val="00800C94"/>
    <w:rsid w:val="00800E3F"/>
    <w:rsid w:val="00802325"/>
    <w:rsid w:val="008033AB"/>
    <w:rsid w:val="00806F44"/>
    <w:rsid w:val="00807954"/>
    <w:rsid w:val="00812E7D"/>
    <w:rsid w:val="00815DBC"/>
    <w:rsid w:val="00816F1C"/>
    <w:rsid w:val="008175AA"/>
    <w:rsid w:val="00820EA5"/>
    <w:rsid w:val="00821335"/>
    <w:rsid w:val="008223E7"/>
    <w:rsid w:val="008241ED"/>
    <w:rsid w:val="008268DC"/>
    <w:rsid w:val="00826D20"/>
    <w:rsid w:val="008275FA"/>
    <w:rsid w:val="00832737"/>
    <w:rsid w:val="00832CEA"/>
    <w:rsid w:val="00840460"/>
    <w:rsid w:val="008408C1"/>
    <w:rsid w:val="00840B15"/>
    <w:rsid w:val="00843A62"/>
    <w:rsid w:val="008440C4"/>
    <w:rsid w:val="008457B5"/>
    <w:rsid w:val="0084763A"/>
    <w:rsid w:val="008503AA"/>
    <w:rsid w:val="0085234E"/>
    <w:rsid w:val="00854E3D"/>
    <w:rsid w:val="00857A16"/>
    <w:rsid w:val="008601C5"/>
    <w:rsid w:val="00862B69"/>
    <w:rsid w:val="00863F9A"/>
    <w:rsid w:val="00864126"/>
    <w:rsid w:val="00865F66"/>
    <w:rsid w:val="00867518"/>
    <w:rsid w:val="008704E4"/>
    <w:rsid w:val="0087289C"/>
    <w:rsid w:val="00876062"/>
    <w:rsid w:val="00880650"/>
    <w:rsid w:val="00880DE8"/>
    <w:rsid w:val="00887AD9"/>
    <w:rsid w:val="0089003E"/>
    <w:rsid w:val="00890BD7"/>
    <w:rsid w:val="00891A6E"/>
    <w:rsid w:val="00892374"/>
    <w:rsid w:val="008941B7"/>
    <w:rsid w:val="008951FB"/>
    <w:rsid w:val="0089541D"/>
    <w:rsid w:val="008968EB"/>
    <w:rsid w:val="00897136"/>
    <w:rsid w:val="00897689"/>
    <w:rsid w:val="00897FEE"/>
    <w:rsid w:val="008A3A56"/>
    <w:rsid w:val="008A405E"/>
    <w:rsid w:val="008A4DD1"/>
    <w:rsid w:val="008A51A2"/>
    <w:rsid w:val="008A51C6"/>
    <w:rsid w:val="008A51D2"/>
    <w:rsid w:val="008B3B58"/>
    <w:rsid w:val="008B4A42"/>
    <w:rsid w:val="008B7AF1"/>
    <w:rsid w:val="008C2B50"/>
    <w:rsid w:val="008C2F3A"/>
    <w:rsid w:val="008C5369"/>
    <w:rsid w:val="008D5E56"/>
    <w:rsid w:val="008E36EC"/>
    <w:rsid w:val="008E3A6A"/>
    <w:rsid w:val="008E5CE3"/>
    <w:rsid w:val="008E65E9"/>
    <w:rsid w:val="008E771F"/>
    <w:rsid w:val="008F0F9E"/>
    <w:rsid w:val="008F1194"/>
    <w:rsid w:val="008F217F"/>
    <w:rsid w:val="008F273A"/>
    <w:rsid w:val="008F44B7"/>
    <w:rsid w:val="008F5FA6"/>
    <w:rsid w:val="008F7A9C"/>
    <w:rsid w:val="00900503"/>
    <w:rsid w:val="0090184E"/>
    <w:rsid w:val="0090187F"/>
    <w:rsid w:val="0091299A"/>
    <w:rsid w:val="00912DE9"/>
    <w:rsid w:val="00914764"/>
    <w:rsid w:val="0091486E"/>
    <w:rsid w:val="0091539C"/>
    <w:rsid w:val="00917822"/>
    <w:rsid w:val="00917BE9"/>
    <w:rsid w:val="00920B30"/>
    <w:rsid w:val="00921824"/>
    <w:rsid w:val="00921F13"/>
    <w:rsid w:val="009238C0"/>
    <w:rsid w:val="00923ED7"/>
    <w:rsid w:val="00924D99"/>
    <w:rsid w:val="00925EE3"/>
    <w:rsid w:val="0092796F"/>
    <w:rsid w:val="009317F7"/>
    <w:rsid w:val="009328FC"/>
    <w:rsid w:val="00932E82"/>
    <w:rsid w:val="00933D7D"/>
    <w:rsid w:val="009360C5"/>
    <w:rsid w:val="00941561"/>
    <w:rsid w:val="00941C16"/>
    <w:rsid w:val="00944443"/>
    <w:rsid w:val="009478EA"/>
    <w:rsid w:val="00957152"/>
    <w:rsid w:val="0096064B"/>
    <w:rsid w:val="00963568"/>
    <w:rsid w:val="009640E7"/>
    <w:rsid w:val="009704B0"/>
    <w:rsid w:val="00972036"/>
    <w:rsid w:val="009765C9"/>
    <w:rsid w:val="009812C9"/>
    <w:rsid w:val="00981D4C"/>
    <w:rsid w:val="00983966"/>
    <w:rsid w:val="00983F19"/>
    <w:rsid w:val="00985681"/>
    <w:rsid w:val="00987853"/>
    <w:rsid w:val="00991AF4"/>
    <w:rsid w:val="00991CAC"/>
    <w:rsid w:val="009920D4"/>
    <w:rsid w:val="009921B7"/>
    <w:rsid w:val="0099432F"/>
    <w:rsid w:val="009952EB"/>
    <w:rsid w:val="00995D43"/>
    <w:rsid w:val="009964E7"/>
    <w:rsid w:val="009A180F"/>
    <w:rsid w:val="009A20E5"/>
    <w:rsid w:val="009A623A"/>
    <w:rsid w:val="009B1368"/>
    <w:rsid w:val="009B29FD"/>
    <w:rsid w:val="009B3319"/>
    <w:rsid w:val="009B4B17"/>
    <w:rsid w:val="009B532B"/>
    <w:rsid w:val="009B58FB"/>
    <w:rsid w:val="009B6B20"/>
    <w:rsid w:val="009B7560"/>
    <w:rsid w:val="009B77E9"/>
    <w:rsid w:val="009C3E19"/>
    <w:rsid w:val="009C4684"/>
    <w:rsid w:val="009C532F"/>
    <w:rsid w:val="009C5DC9"/>
    <w:rsid w:val="009D06A6"/>
    <w:rsid w:val="009D4070"/>
    <w:rsid w:val="009D7E49"/>
    <w:rsid w:val="009E00C4"/>
    <w:rsid w:val="009E220B"/>
    <w:rsid w:val="009E3E67"/>
    <w:rsid w:val="009E51CE"/>
    <w:rsid w:val="009E5D82"/>
    <w:rsid w:val="009E61EB"/>
    <w:rsid w:val="009E734D"/>
    <w:rsid w:val="009E75D9"/>
    <w:rsid w:val="009F0667"/>
    <w:rsid w:val="009F0EAA"/>
    <w:rsid w:val="009F38A2"/>
    <w:rsid w:val="009F42AB"/>
    <w:rsid w:val="009F5A9B"/>
    <w:rsid w:val="009F73F7"/>
    <w:rsid w:val="009F78CB"/>
    <w:rsid w:val="009F79DC"/>
    <w:rsid w:val="00A008A3"/>
    <w:rsid w:val="00A00A06"/>
    <w:rsid w:val="00A024A1"/>
    <w:rsid w:val="00A0309C"/>
    <w:rsid w:val="00A0599B"/>
    <w:rsid w:val="00A1085B"/>
    <w:rsid w:val="00A114D1"/>
    <w:rsid w:val="00A13D96"/>
    <w:rsid w:val="00A14107"/>
    <w:rsid w:val="00A1609E"/>
    <w:rsid w:val="00A20DBC"/>
    <w:rsid w:val="00A20F14"/>
    <w:rsid w:val="00A236A4"/>
    <w:rsid w:val="00A26F80"/>
    <w:rsid w:val="00A32EDC"/>
    <w:rsid w:val="00A35817"/>
    <w:rsid w:val="00A3590C"/>
    <w:rsid w:val="00A36C54"/>
    <w:rsid w:val="00A40CC4"/>
    <w:rsid w:val="00A410CD"/>
    <w:rsid w:val="00A41431"/>
    <w:rsid w:val="00A4301D"/>
    <w:rsid w:val="00A502B4"/>
    <w:rsid w:val="00A50CB7"/>
    <w:rsid w:val="00A51997"/>
    <w:rsid w:val="00A52C01"/>
    <w:rsid w:val="00A55391"/>
    <w:rsid w:val="00A55A0B"/>
    <w:rsid w:val="00A63318"/>
    <w:rsid w:val="00A70DD1"/>
    <w:rsid w:val="00A716CA"/>
    <w:rsid w:val="00A7397B"/>
    <w:rsid w:val="00A81299"/>
    <w:rsid w:val="00A82227"/>
    <w:rsid w:val="00A847E1"/>
    <w:rsid w:val="00A85C20"/>
    <w:rsid w:val="00A86058"/>
    <w:rsid w:val="00A86985"/>
    <w:rsid w:val="00A87BA0"/>
    <w:rsid w:val="00A908E6"/>
    <w:rsid w:val="00A90BD5"/>
    <w:rsid w:val="00A943B2"/>
    <w:rsid w:val="00A9602E"/>
    <w:rsid w:val="00AA0222"/>
    <w:rsid w:val="00AA15D7"/>
    <w:rsid w:val="00AA2590"/>
    <w:rsid w:val="00AA4BB9"/>
    <w:rsid w:val="00AA61CC"/>
    <w:rsid w:val="00AA7582"/>
    <w:rsid w:val="00AB07A4"/>
    <w:rsid w:val="00AB181B"/>
    <w:rsid w:val="00AB2E64"/>
    <w:rsid w:val="00AB4D75"/>
    <w:rsid w:val="00AC0369"/>
    <w:rsid w:val="00AC3E58"/>
    <w:rsid w:val="00AC5464"/>
    <w:rsid w:val="00AC6720"/>
    <w:rsid w:val="00AC7ECD"/>
    <w:rsid w:val="00AD0766"/>
    <w:rsid w:val="00AD083F"/>
    <w:rsid w:val="00AD1619"/>
    <w:rsid w:val="00AD2170"/>
    <w:rsid w:val="00AD275A"/>
    <w:rsid w:val="00AD3528"/>
    <w:rsid w:val="00AD35F9"/>
    <w:rsid w:val="00AD380C"/>
    <w:rsid w:val="00AD3D6D"/>
    <w:rsid w:val="00AD7F00"/>
    <w:rsid w:val="00AE0559"/>
    <w:rsid w:val="00AE13BD"/>
    <w:rsid w:val="00AE22BA"/>
    <w:rsid w:val="00AE3B5F"/>
    <w:rsid w:val="00AE3CFD"/>
    <w:rsid w:val="00AE55D2"/>
    <w:rsid w:val="00AE7106"/>
    <w:rsid w:val="00AF06CB"/>
    <w:rsid w:val="00AF10BE"/>
    <w:rsid w:val="00AF1B84"/>
    <w:rsid w:val="00AF37BE"/>
    <w:rsid w:val="00AF43E2"/>
    <w:rsid w:val="00AF4D16"/>
    <w:rsid w:val="00AF5964"/>
    <w:rsid w:val="00AF5B4A"/>
    <w:rsid w:val="00AF6215"/>
    <w:rsid w:val="00B03428"/>
    <w:rsid w:val="00B035CC"/>
    <w:rsid w:val="00B06606"/>
    <w:rsid w:val="00B068D9"/>
    <w:rsid w:val="00B06E83"/>
    <w:rsid w:val="00B103CA"/>
    <w:rsid w:val="00B14087"/>
    <w:rsid w:val="00B157D4"/>
    <w:rsid w:val="00B21850"/>
    <w:rsid w:val="00B222AD"/>
    <w:rsid w:val="00B23CE0"/>
    <w:rsid w:val="00B257E4"/>
    <w:rsid w:val="00B268F6"/>
    <w:rsid w:val="00B313B5"/>
    <w:rsid w:val="00B34418"/>
    <w:rsid w:val="00B3452A"/>
    <w:rsid w:val="00B34F64"/>
    <w:rsid w:val="00B457BB"/>
    <w:rsid w:val="00B45E08"/>
    <w:rsid w:val="00B51E8B"/>
    <w:rsid w:val="00B53061"/>
    <w:rsid w:val="00B5338E"/>
    <w:rsid w:val="00B5561F"/>
    <w:rsid w:val="00B55F0E"/>
    <w:rsid w:val="00B60C7D"/>
    <w:rsid w:val="00B80087"/>
    <w:rsid w:val="00B816CE"/>
    <w:rsid w:val="00B8279A"/>
    <w:rsid w:val="00B827FF"/>
    <w:rsid w:val="00B8445D"/>
    <w:rsid w:val="00B846E1"/>
    <w:rsid w:val="00B9010E"/>
    <w:rsid w:val="00B9061C"/>
    <w:rsid w:val="00B90A67"/>
    <w:rsid w:val="00B91C91"/>
    <w:rsid w:val="00B93351"/>
    <w:rsid w:val="00B93FAF"/>
    <w:rsid w:val="00B96AC7"/>
    <w:rsid w:val="00B96DBD"/>
    <w:rsid w:val="00B9744A"/>
    <w:rsid w:val="00B97A37"/>
    <w:rsid w:val="00BA0D89"/>
    <w:rsid w:val="00BA278E"/>
    <w:rsid w:val="00BA6A57"/>
    <w:rsid w:val="00BA6C89"/>
    <w:rsid w:val="00BB53B5"/>
    <w:rsid w:val="00BC2074"/>
    <w:rsid w:val="00BC46FA"/>
    <w:rsid w:val="00BC622C"/>
    <w:rsid w:val="00BD0813"/>
    <w:rsid w:val="00BD241F"/>
    <w:rsid w:val="00BD403D"/>
    <w:rsid w:val="00BD6F9A"/>
    <w:rsid w:val="00BD7002"/>
    <w:rsid w:val="00BD78F4"/>
    <w:rsid w:val="00BE13B6"/>
    <w:rsid w:val="00BE2A1A"/>
    <w:rsid w:val="00BE3C7B"/>
    <w:rsid w:val="00BE5922"/>
    <w:rsid w:val="00BE7334"/>
    <w:rsid w:val="00BE7403"/>
    <w:rsid w:val="00BF0C99"/>
    <w:rsid w:val="00BF2E42"/>
    <w:rsid w:val="00C0085F"/>
    <w:rsid w:val="00C01FC1"/>
    <w:rsid w:val="00C0427F"/>
    <w:rsid w:val="00C102B5"/>
    <w:rsid w:val="00C1260A"/>
    <w:rsid w:val="00C14296"/>
    <w:rsid w:val="00C22E83"/>
    <w:rsid w:val="00C23138"/>
    <w:rsid w:val="00C235CA"/>
    <w:rsid w:val="00C25974"/>
    <w:rsid w:val="00C25CB9"/>
    <w:rsid w:val="00C27641"/>
    <w:rsid w:val="00C32E7A"/>
    <w:rsid w:val="00C361B5"/>
    <w:rsid w:val="00C401F3"/>
    <w:rsid w:val="00C40F82"/>
    <w:rsid w:val="00C422BC"/>
    <w:rsid w:val="00C42B47"/>
    <w:rsid w:val="00C4396C"/>
    <w:rsid w:val="00C44BBE"/>
    <w:rsid w:val="00C469A4"/>
    <w:rsid w:val="00C479B7"/>
    <w:rsid w:val="00C47EC4"/>
    <w:rsid w:val="00C507C3"/>
    <w:rsid w:val="00C52188"/>
    <w:rsid w:val="00C5358D"/>
    <w:rsid w:val="00C545C8"/>
    <w:rsid w:val="00C56AB8"/>
    <w:rsid w:val="00C56D03"/>
    <w:rsid w:val="00C607F8"/>
    <w:rsid w:val="00C61603"/>
    <w:rsid w:val="00C62107"/>
    <w:rsid w:val="00C62BBB"/>
    <w:rsid w:val="00C62CC9"/>
    <w:rsid w:val="00C6302E"/>
    <w:rsid w:val="00C63B3B"/>
    <w:rsid w:val="00C64AD3"/>
    <w:rsid w:val="00C66A8B"/>
    <w:rsid w:val="00C7019F"/>
    <w:rsid w:val="00C70D1B"/>
    <w:rsid w:val="00C731E8"/>
    <w:rsid w:val="00C73D58"/>
    <w:rsid w:val="00C770B0"/>
    <w:rsid w:val="00C776F6"/>
    <w:rsid w:val="00C832E2"/>
    <w:rsid w:val="00C83B2F"/>
    <w:rsid w:val="00C83DF8"/>
    <w:rsid w:val="00C858FA"/>
    <w:rsid w:val="00C85936"/>
    <w:rsid w:val="00C8699C"/>
    <w:rsid w:val="00C86A37"/>
    <w:rsid w:val="00C91864"/>
    <w:rsid w:val="00C92CC5"/>
    <w:rsid w:val="00C940C1"/>
    <w:rsid w:val="00C945DD"/>
    <w:rsid w:val="00CA0919"/>
    <w:rsid w:val="00CA0DC9"/>
    <w:rsid w:val="00CA391F"/>
    <w:rsid w:val="00CA4152"/>
    <w:rsid w:val="00CA43A1"/>
    <w:rsid w:val="00CA47A9"/>
    <w:rsid w:val="00CA4B6A"/>
    <w:rsid w:val="00CA4E85"/>
    <w:rsid w:val="00CA4E97"/>
    <w:rsid w:val="00CA5249"/>
    <w:rsid w:val="00CA59F1"/>
    <w:rsid w:val="00CB0301"/>
    <w:rsid w:val="00CB2DE5"/>
    <w:rsid w:val="00CB2DEC"/>
    <w:rsid w:val="00CB59D1"/>
    <w:rsid w:val="00CC0A8A"/>
    <w:rsid w:val="00CC0D27"/>
    <w:rsid w:val="00CC0F54"/>
    <w:rsid w:val="00CC3D0D"/>
    <w:rsid w:val="00CC4A92"/>
    <w:rsid w:val="00CC5B0A"/>
    <w:rsid w:val="00CC6FA2"/>
    <w:rsid w:val="00CD0496"/>
    <w:rsid w:val="00CD1372"/>
    <w:rsid w:val="00CD23DC"/>
    <w:rsid w:val="00CD33C4"/>
    <w:rsid w:val="00CD4424"/>
    <w:rsid w:val="00CD5730"/>
    <w:rsid w:val="00CD5807"/>
    <w:rsid w:val="00CD5B9E"/>
    <w:rsid w:val="00CE116E"/>
    <w:rsid w:val="00CE1286"/>
    <w:rsid w:val="00CE17A5"/>
    <w:rsid w:val="00CE57D0"/>
    <w:rsid w:val="00CE6D6D"/>
    <w:rsid w:val="00CF1C3C"/>
    <w:rsid w:val="00CF1F0A"/>
    <w:rsid w:val="00CF3C35"/>
    <w:rsid w:val="00CF561E"/>
    <w:rsid w:val="00CF6520"/>
    <w:rsid w:val="00CF65CD"/>
    <w:rsid w:val="00CF7499"/>
    <w:rsid w:val="00CF7B71"/>
    <w:rsid w:val="00D01B3C"/>
    <w:rsid w:val="00D044DD"/>
    <w:rsid w:val="00D06EDB"/>
    <w:rsid w:val="00D105D7"/>
    <w:rsid w:val="00D10FBB"/>
    <w:rsid w:val="00D11503"/>
    <w:rsid w:val="00D14796"/>
    <w:rsid w:val="00D1613E"/>
    <w:rsid w:val="00D16D7D"/>
    <w:rsid w:val="00D17ACB"/>
    <w:rsid w:val="00D20077"/>
    <w:rsid w:val="00D2064D"/>
    <w:rsid w:val="00D23445"/>
    <w:rsid w:val="00D26EB7"/>
    <w:rsid w:val="00D308D9"/>
    <w:rsid w:val="00D30DD9"/>
    <w:rsid w:val="00D31462"/>
    <w:rsid w:val="00D4229E"/>
    <w:rsid w:val="00D46547"/>
    <w:rsid w:val="00D4675A"/>
    <w:rsid w:val="00D47AE2"/>
    <w:rsid w:val="00D542F5"/>
    <w:rsid w:val="00D55FB6"/>
    <w:rsid w:val="00D572EB"/>
    <w:rsid w:val="00D61F41"/>
    <w:rsid w:val="00D62C77"/>
    <w:rsid w:val="00D62DA7"/>
    <w:rsid w:val="00D679DE"/>
    <w:rsid w:val="00D7081E"/>
    <w:rsid w:val="00D726E8"/>
    <w:rsid w:val="00D743B6"/>
    <w:rsid w:val="00D74957"/>
    <w:rsid w:val="00D76789"/>
    <w:rsid w:val="00D77F94"/>
    <w:rsid w:val="00D80059"/>
    <w:rsid w:val="00D81B3B"/>
    <w:rsid w:val="00D83397"/>
    <w:rsid w:val="00D84113"/>
    <w:rsid w:val="00D86132"/>
    <w:rsid w:val="00D92DC5"/>
    <w:rsid w:val="00D93CD0"/>
    <w:rsid w:val="00D94A34"/>
    <w:rsid w:val="00D94F12"/>
    <w:rsid w:val="00DA0D17"/>
    <w:rsid w:val="00DA1420"/>
    <w:rsid w:val="00DA1A87"/>
    <w:rsid w:val="00DA6366"/>
    <w:rsid w:val="00DB2075"/>
    <w:rsid w:val="00DB525D"/>
    <w:rsid w:val="00DB55B9"/>
    <w:rsid w:val="00DB6EE5"/>
    <w:rsid w:val="00DC00A0"/>
    <w:rsid w:val="00DC01F8"/>
    <w:rsid w:val="00DC3CE7"/>
    <w:rsid w:val="00DC5857"/>
    <w:rsid w:val="00DC739A"/>
    <w:rsid w:val="00DD29DC"/>
    <w:rsid w:val="00DD4F5E"/>
    <w:rsid w:val="00DE09D9"/>
    <w:rsid w:val="00DE1C54"/>
    <w:rsid w:val="00DE1FE6"/>
    <w:rsid w:val="00DE30A8"/>
    <w:rsid w:val="00DE3888"/>
    <w:rsid w:val="00DE554F"/>
    <w:rsid w:val="00DF238C"/>
    <w:rsid w:val="00DF4393"/>
    <w:rsid w:val="00DF639B"/>
    <w:rsid w:val="00DF6871"/>
    <w:rsid w:val="00E021E3"/>
    <w:rsid w:val="00E02327"/>
    <w:rsid w:val="00E03264"/>
    <w:rsid w:val="00E03C06"/>
    <w:rsid w:val="00E04447"/>
    <w:rsid w:val="00E05B9F"/>
    <w:rsid w:val="00E06739"/>
    <w:rsid w:val="00E06970"/>
    <w:rsid w:val="00E079CA"/>
    <w:rsid w:val="00E1167F"/>
    <w:rsid w:val="00E116ED"/>
    <w:rsid w:val="00E133CE"/>
    <w:rsid w:val="00E1493E"/>
    <w:rsid w:val="00E15CA5"/>
    <w:rsid w:val="00E20A2C"/>
    <w:rsid w:val="00E22258"/>
    <w:rsid w:val="00E251B6"/>
    <w:rsid w:val="00E313DA"/>
    <w:rsid w:val="00E3226D"/>
    <w:rsid w:val="00E32A95"/>
    <w:rsid w:val="00E34269"/>
    <w:rsid w:val="00E34923"/>
    <w:rsid w:val="00E34CA5"/>
    <w:rsid w:val="00E35E89"/>
    <w:rsid w:val="00E36862"/>
    <w:rsid w:val="00E4003B"/>
    <w:rsid w:val="00E404F9"/>
    <w:rsid w:val="00E414CC"/>
    <w:rsid w:val="00E4491D"/>
    <w:rsid w:val="00E46695"/>
    <w:rsid w:val="00E467E7"/>
    <w:rsid w:val="00E5044F"/>
    <w:rsid w:val="00E50F60"/>
    <w:rsid w:val="00E539E7"/>
    <w:rsid w:val="00E66BA4"/>
    <w:rsid w:val="00E7095D"/>
    <w:rsid w:val="00E72FFF"/>
    <w:rsid w:val="00E777F0"/>
    <w:rsid w:val="00E80CC5"/>
    <w:rsid w:val="00E81CC9"/>
    <w:rsid w:val="00E825CA"/>
    <w:rsid w:val="00E84118"/>
    <w:rsid w:val="00E853ED"/>
    <w:rsid w:val="00E857E0"/>
    <w:rsid w:val="00E86979"/>
    <w:rsid w:val="00E90106"/>
    <w:rsid w:val="00E909DE"/>
    <w:rsid w:val="00E92EF9"/>
    <w:rsid w:val="00EA050C"/>
    <w:rsid w:val="00EA1519"/>
    <w:rsid w:val="00EA1D11"/>
    <w:rsid w:val="00EA3214"/>
    <w:rsid w:val="00EB0407"/>
    <w:rsid w:val="00EB0536"/>
    <w:rsid w:val="00EB2587"/>
    <w:rsid w:val="00EB42A8"/>
    <w:rsid w:val="00EB5601"/>
    <w:rsid w:val="00EB5980"/>
    <w:rsid w:val="00EC05D5"/>
    <w:rsid w:val="00EC1952"/>
    <w:rsid w:val="00EC4669"/>
    <w:rsid w:val="00EC501A"/>
    <w:rsid w:val="00EC526F"/>
    <w:rsid w:val="00EC5C01"/>
    <w:rsid w:val="00ED0C67"/>
    <w:rsid w:val="00ED4F5D"/>
    <w:rsid w:val="00EE1A94"/>
    <w:rsid w:val="00EF08E3"/>
    <w:rsid w:val="00EF2E4D"/>
    <w:rsid w:val="00EF32A1"/>
    <w:rsid w:val="00EF3427"/>
    <w:rsid w:val="00EF5074"/>
    <w:rsid w:val="00EF5257"/>
    <w:rsid w:val="00EF55DC"/>
    <w:rsid w:val="00F020F8"/>
    <w:rsid w:val="00F0278D"/>
    <w:rsid w:val="00F05C86"/>
    <w:rsid w:val="00F079A0"/>
    <w:rsid w:val="00F10100"/>
    <w:rsid w:val="00F10410"/>
    <w:rsid w:val="00F10924"/>
    <w:rsid w:val="00F11975"/>
    <w:rsid w:val="00F1288E"/>
    <w:rsid w:val="00F1548E"/>
    <w:rsid w:val="00F15CEC"/>
    <w:rsid w:val="00F16569"/>
    <w:rsid w:val="00F178DE"/>
    <w:rsid w:val="00F17E54"/>
    <w:rsid w:val="00F17EF3"/>
    <w:rsid w:val="00F249B8"/>
    <w:rsid w:val="00F31ECF"/>
    <w:rsid w:val="00F34445"/>
    <w:rsid w:val="00F34BA8"/>
    <w:rsid w:val="00F40A9A"/>
    <w:rsid w:val="00F40B38"/>
    <w:rsid w:val="00F43209"/>
    <w:rsid w:val="00F444B7"/>
    <w:rsid w:val="00F45304"/>
    <w:rsid w:val="00F46AB9"/>
    <w:rsid w:val="00F46B5A"/>
    <w:rsid w:val="00F46CC7"/>
    <w:rsid w:val="00F5025A"/>
    <w:rsid w:val="00F50E71"/>
    <w:rsid w:val="00F519E6"/>
    <w:rsid w:val="00F52633"/>
    <w:rsid w:val="00F53DC4"/>
    <w:rsid w:val="00F55BE5"/>
    <w:rsid w:val="00F57032"/>
    <w:rsid w:val="00F6104A"/>
    <w:rsid w:val="00F65292"/>
    <w:rsid w:val="00F66234"/>
    <w:rsid w:val="00F664DE"/>
    <w:rsid w:val="00F66E0C"/>
    <w:rsid w:val="00F66F4C"/>
    <w:rsid w:val="00F72D94"/>
    <w:rsid w:val="00F747EA"/>
    <w:rsid w:val="00F75CA3"/>
    <w:rsid w:val="00F76B77"/>
    <w:rsid w:val="00F77086"/>
    <w:rsid w:val="00F77C85"/>
    <w:rsid w:val="00F80238"/>
    <w:rsid w:val="00F83572"/>
    <w:rsid w:val="00F8357C"/>
    <w:rsid w:val="00F85E4C"/>
    <w:rsid w:val="00F86215"/>
    <w:rsid w:val="00F86688"/>
    <w:rsid w:val="00F8713D"/>
    <w:rsid w:val="00F87ECD"/>
    <w:rsid w:val="00F90B68"/>
    <w:rsid w:val="00F91888"/>
    <w:rsid w:val="00F92686"/>
    <w:rsid w:val="00F93E23"/>
    <w:rsid w:val="00F947AE"/>
    <w:rsid w:val="00F94EF4"/>
    <w:rsid w:val="00F96845"/>
    <w:rsid w:val="00FA0A5E"/>
    <w:rsid w:val="00FA1C4A"/>
    <w:rsid w:val="00FA3625"/>
    <w:rsid w:val="00FA5BE1"/>
    <w:rsid w:val="00FA64DA"/>
    <w:rsid w:val="00FA652A"/>
    <w:rsid w:val="00FA6E32"/>
    <w:rsid w:val="00FA7D7E"/>
    <w:rsid w:val="00FB2560"/>
    <w:rsid w:val="00FB4962"/>
    <w:rsid w:val="00FB4C0B"/>
    <w:rsid w:val="00FB5BF5"/>
    <w:rsid w:val="00FB6C47"/>
    <w:rsid w:val="00FB702E"/>
    <w:rsid w:val="00FB7E2B"/>
    <w:rsid w:val="00FC1729"/>
    <w:rsid w:val="00FC21E2"/>
    <w:rsid w:val="00FC223E"/>
    <w:rsid w:val="00FC2995"/>
    <w:rsid w:val="00FC345F"/>
    <w:rsid w:val="00FC4B72"/>
    <w:rsid w:val="00FC4D89"/>
    <w:rsid w:val="00FC5206"/>
    <w:rsid w:val="00FD028C"/>
    <w:rsid w:val="00FD2217"/>
    <w:rsid w:val="00FD5AA1"/>
    <w:rsid w:val="00FD76CC"/>
    <w:rsid w:val="00FE0150"/>
    <w:rsid w:val="00FE097C"/>
    <w:rsid w:val="00FE0CF9"/>
    <w:rsid w:val="00FE2E3B"/>
    <w:rsid w:val="00FE3F1C"/>
    <w:rsid w:val="00FE3F4D"/>
    <w:rsid w:val="00FE45A9"/>
    <w:rsid w:val="00FE5074"/>
    <w:rsid w:val="00FE5DBC"/>
    <w:rsid w:val="00FE6FDC"/>
    <w:rsid w:val="00FE71D7"/>
    <w:rsid w:val="00FF014F"/>
    <w:rsid w:val="00FF03D7"/>
    <w:rsid w:val="00FF6451"/>
    <w:rsid w:val="00FF793B"/>
    <w:rsid w:val="00FF7AB0"/>
    <w:rsid w:val="00FF7B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colormru v:ext="edit" colors="#ddd,#f8f8f8"/>
      <o:colormenu v:ext="edit" fillcolor="#f8f8f8"/>
    </o:shapedefaults>
    <o:shapelayout v:ext="edit">
      <o:idmap v:ext="edit" data="1"/>
      <o:regrouptable v:ext="edit">
        <o:entry new="1" old="0"/>
        <o:entry new="2" old="0"/>
        <o:entry new="3" old="0"/>
        <o:entry new="4" old="3"/>
        <o:entry new="5" old="3"/>
        <o:entry new="6" old="5"/>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1" w:qFormat="1"/>
    <w:lsdException w:name="heading 3" w:semiHidden="0" w:uiPriority="1" w:qFormat="1"/>
    <w:lsdException w:name="heading 4" w:semiHidden="0" w:uiPriority="1" w:qFormat="1"/>
    <w:lsdException w:name="heading 5" w:semiHidden="0" w:uiPriority="1" w:qFormat="1"/>
    <w:lsdException w:name="heading 6" w:semiHidden="0" w:qFormat="1"/>
    <w:lsdException w:name="heading 7" w:semiHidden="0" w:qFormat="1"/>
    <w:lsdException w:name="heading 8" w:semiHidden="0" w:qFormat="1"/>
    <w:lsdException w:name="heading 9" w:semiHidden="0" w:uiPriority="1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iPriority="9" w:unhideWhenUsed="1" w:qFormat="1"/>
    <w:lsdException w:name="annotation text" w:locked="1" w:unhideWhenUsed="1"/>
    <w:lsdException w:name="header" w:locked="1" w:unhideWhenUsed="1"/>
    <w:lsdException w:name="footer" w:locked="1" w:unhideWhenUsed="1"/>
    <w:lsdException w:name="index heading" w:locked="1" w:unhideWhenUsed="1"/>
    <w:lsdException w:name="caption" w:semiHidden="0" w:uiPriority="4" w:qFormat="1"/>
    <w:lsdException w:name="table of figures" w:locked="1" w:unhideWhenUsed="1"/>
    <w:lsdException w:name="envelope address" w:locked="1" w:unhideWhenUsed="1"/>
    <w:lsdException w:name="envelope return" w:locked="1" w:unhideWhenUsed="1"/>
    <w:lsdException w:name="footnote reference" w:locked="1" w:uiPriority="9"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2" w:unhideWhenUsed="1" w:qFormat="1"/>
    <w:lsdException w:name="List Number" w:locked="1" w:uiPriority="2" w:unhideWhenUsed="1" w:qFormat="1"/>
    <w:lsdException w:name="List 2" w:locked="1" w:unhideWhenUsed="1"/>
    <w:lsdException w:name="List 3" w:locked="1" w:unhideWhenUsed="1"/>
    <w:lsdException w:name="List 4" w:locked="1" w:unhideWhenUsed="1"/>
    <w:lsdException w:name="List 5" w:locked="1" w:unhideWhenUsed="1"/>
    <w:lsdException w:name="List Bullet 2" w:locked="1" w:uiPriority="2" w:unhideWhenUsed="1" w:qFormat="1"/>
    <w:lsdException w:name="List Bullet 3" w:locked="1" w:unhideWhenUsed="1"/>
    <w:lsdException w:name="List Bullet 4" w:locked="1" w:unhideWhenUsed="1"/>
    <w:lsdException w:name="List Bullet 5" w:locked="1" w:unhideWhenUsed="1"/>
    <w:lsdException w:name="List Number 2" w:locked="1" w:uiPriority="2" w:unhideWhenUsed="1" w:qFormat="1"/>
    <w:lsdException w:name="List Number 3" w:locked="1" w:unhideWhenUsed="1"/>
    <w:lsdException w:name="List Number 4" w:locked="1" w:unhideWhenUsed="1"/>
    <w:lsdException w:name="List Number 5" w:locked="1" w:unhideWhenUsed="1"/>
    <w:lsdException w:name="Title"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qFormat="1"/>
    <w:lsdException w:name="FollowedHyperlink" w:locked="1" w:unhideWhenUsed="1"/>
    <w:lsdException w:name="Strong" w:semiHidden="0"/>
    <w:lsdException w:name="Emphasis" w:semiHidden="0"/>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lsdException w:name="Table Grid" w:semiHidden="0"/>
    <w:lsdException w:name="Table Theme" w:locked="1"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semiHidden="0" w:uiPriority="19"/>
  </w:latentStyles>
  <w:style w:type="paragraph" w:default="1" w:styleId="Normal">
    <w:name w:val="Normal"/>
    <w:qFormat/>
    <w:rsid w:val="002C6AFC"/>
    <w:pPr>
      <w:spacing w:after="120"/>
    </w:pPr>
    <w:rPr>
      <w:rFonts w:eastAsia="Calibri"/>
      <w:color w:val="000000"/>
    </w:rPr>
  </w:style>
  <w:style w:type="paragraph" w:styleId="Heading1">
    <w:name w:val="heading 1"/>
    <w:basedOn w:val="Normal"/>
    <w:next w:val="Normal"/>
    <w:link w:val="Heading1Char"/>
    <w:uiPriority w:val="1"/>
    <w:qFormat/>
    <w:rsid w:val="002C6AFC"/>
    <w:pPr>
      <w:keepNext/>
      <w:keepLines/>
      <w:pageBreakBefore/>
      <w:numPr>
        <w:numId w:val="10"/>
      </w:numPr>
      <w:tabs>
        <w:tab w:val="left" w:pos="851"/>
      </w:tabs>
      <w:spacing w:after="1080" w:line="480" w:lineRule="exact"/>
      <w:outlineLvl w:val="0"/>
    </w:pPr>
    <w:rPr>
      <w:rFonts w:eastAsiaTheme="majorEastAsia" w:cstheme="majorBidi"/>
      <w:b/>
      <w:bCs/>
      <w:color w:val="41B6E6" w:themeColor="accent1"/>
      <w:sz w:val="44"/>
      <w:szCs w:val="28"/>
    </w:rPr>
  </w:style>
  <w:style w:type="paragraph" w:styleId="Heading2">
    <w:name w:val="heading 2"/>
    <w:basedOn w:val="Normal"/>
    <w:next w:val="Normal"/>
    <w:link w:val="Heading2Char"/>
    <w:uiPriority w:val="1"/>
    <w:qFormat/>
    <w:rsid w:val="002C6AFC"/>
    <w:pPr>
      <w:keepNext/>
      <w:numPr>
        <w:ilvl w:val="1"/>
        <w:numId w:val="10"/>
      </w:numPr>
      <w:tabs>
        <w:tab w:val="left" w:pos="851"/>
      </w:tabs>
      <w:spacing w:before="360" w:after="240"/>
      <w:outlineLvl w:val="1"/>
    </w:pPr>
    <w:rPr>
      <w:rFonts w:eastAsiaTheme="majorEastAsia" w:cstheme="majorBidi"/>
      <w:bCs/>
      <w:color w:val="41B6E6" w:themeColor="accent1"/>
      <w:sz w:val="32"/>
      <w:szCs w:val="26"/>
    </w:rPr>
  </w:style>
  <w:style w:type="paragraph" w:styleId="Heading3">
    <w:name w:val="heading 3"/>
    <w:basedOn w:val="Heading2"/>
    <w:next w:val="Normal"/>
    <w:link w:val="Heading3Char"/>
    <w:uiPriority w:val="1"/>
    <w:qFormat/>
    <w:rsid w:val="002C6AFC"/>
    <w:pPr>
      <w:numPr>
        <w:ilvl w:val="2"/>
      </w:numPr>
      <w:tabs>
        <w:tab w:val="clear" w:pos="851"/>
        <w:tab w:val="left" w:pos="1134"/>
      </w:tabs>
      <w:ind w:left="1134" w:hanging="1134"/>
      <w:outlineLvl w:val="2"/>
    </w:pPr>
    <w:rPr>
      <w:b/>
      <w:caps/>
      <w:color w:val="auto"/>
      <w:sz w:val="26"/>
    </w:rPr>
  </w:style>
  <w:style w:type="paragraph" w:styleId="Heading4">
    <w:name w:val="heading 4"/>
    <w:basedOn w:val="Normal"/>
    <w:next w:val="Normal"/>
    <w:link w:val="Heading4Char"/>
    <w:uiPriority w:val="1"/>
    <w:qFormat/>
    <w:rsid w:val="002C6AFC"/>
    <w:pPr>
      <w:keepNext/>
      <w:keepLines/>
      <w:spacing w:before="240"/>
      <w:outlineLvl w:val="3"/>
    </w:pPr>
    <w:rPr>
      <w:rFonts w:eastAsiaTheme="majorEastAsia" w:cstheme="majorBidi"/>
      <w:b/>
      <w:bCs/>
      <w:iCs/>
      <w:color w:val="41B6E6" w:themeColor="accent1"/>
      <w:spacing w:val="1"/>
      <w:sz w:val="24"/>
    </w:rPr>
  </w:style>
  <w:style w:type="paragraph" w:styleId="Heading5">
    <w:name w:val="heading 5"/>
    <w:basedOn w:val="Normal"/>
    <w:next w:val="Normal"/>
    <w:link w:val="Heading5Char"/>
    <w:uiPriority w:val="1"/>
    <w:qFormat/>
    <w:rsid w:val="002C6AFC"/>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9"/>
    <w:semiHidden/>
    <w:qFormat/>
    <w:rsid w:val="002C6AF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2C6AFC"/>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2C6AFC"/>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Normal"/>
    <w:link w:val="Heading9Char"/>
    <w:uiPriority w:val="10"/>
    <w:qFormat/>
    <w:locked/>
    <w:rsid w:val="00FA5BE1"/>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2C6AFC"/>
    <w:rPr>
      <w:rFonts w:eastAsiaTheme="majorEastAsia" w:cstheme="majorBidi"/>
      <w:b/>
      <w:bCs/>
      <w:color w:val="41B6E6" w:themeColor="accent1"/>
      <w:sz w:val="44"/>
      <w:szCs w:val="28"/>
    </w:rPr>
  </w:style>
  <w:style w:type="character" w:customStyle="1" w:styleId="Heading2Char">
    <w:name w:val="Heading 2 Char"/>
    <w:basedOn w:val="DefaultParagraphFont"/>
    <w:link w:val="Heading2"/>
    <w:uiPriority w:val="1"/>
    <w:locked/>
    <w:rsid w:val="002C6AFC"/>
    <w:rPr>
      <w:rFonts w:eastAsiaTheme="majorEastAsia" w:cstheme="majorBidi"/>
      <w:bCs/>
      <w:color w:val="41B6E6" w:themeColor="accent1"/>
      <w:sz w:val="32"/>
      <w:szCs w:val="26"/>
    </w:rPr>
  </w:style>
  <w:style w:type="character" w:customStyle="1" w:styleId="Heading3Char">
    <w:name w:val="Heading 3 Char"/>
    <w:basedOn w:val="DefaultParagraphFont"/>
    <w:link w:val="Heading3"/>
    <w:uiPriority w:val="1"/>
    <w:locked/>
    <w:rsid w:val="002C6AFC"/>
    <w:rPr>
      <w:rFonts w:eastAsiaTheme="majorEastAsia" w:cstheme="majorBidi"/>
      <w:b/>
      <w:bCs/>
      <w:caps/>
      <w:sz w:val="26"/>
      <w:szCs w:val="26"/>
    </w:rPr>
  </w:style>
  <w:style w:type="character" w:customStyle="1" w:styleId="Heading4Char">
    <w:name w:val="Heading 4 Char"/>
    <w:basedOn w:val="DefaultParagraphFont"/>
    <w:link w:val="Heading4"/>
    <w:uiPriority w:val="1"/>
    <w:locked/>
    <w:rsid w:val="002C6AFC"/>
    <w:rPr>
      <w:rFonts w:eastAsiaTheme="majorEastAsia" w:cstheme="majorBidi"/>
      <w:b/>
      <w:bCs/>
      <w:iCs/>
      <w:color w:val="41B6E6" w:themeColor="accent1"/>
      <w:spacing w:val="1"/>
      <w:sz w:val="24"/>
    </w:rPr>
  </w:style>
  <w:style w:type="character" w:customStyle="1" w:styleId="Heading5Char">
    <w:name w:val="Heading 5 Char"/>
    <w:basedOn w:val="DefaultParagraphFont"/>
    <w:link w:val="Heading5"/>
    <w:uiPriority w:val="1"/>
    <w:locked/>
    <w:rsid w:val="002C6AFC"/>
    <w:rPr>
      <w:rFonts w:eastAsiaTheme="majorEastAsia" w:cstheme="majorBidi"/>
      <w:b/>
      <w:color w:val="000000"/>
    </w:rPr>
  </w:style>
  <w:style w:type="character" w:customStyle="1" w:styleId="Heading6Char">
    <w:name w:val="Heading 6 Char"/>
    <w:basedOn w:val="DefaultParagraphFont"/>
    <w:link w:val="Heading6"/>
    <w:uiPriority w:val="99"/>
    <w:semiHidden/>
    <w:locked/>
    <w:rsid w:val="002C6AFC"/>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2C6AFC"/>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2C6AFC"/>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FA5BE1"/>
    <w:rPr>
      <w:rFonts w:eastAsiaTheme="majorEastAsia" w:cstheme="majorBidi"/>
      <w:b/>
      <w:bCs/>
      <w:color w:val="41B6E6" w:themeColor="accent1"/>
      <w:sz w:val="44"/>
      <w:szCs w:val="28"/>
    </w:rPr>
  </w:style>
  <w:style w:type="paragraph" w:styleId="Header">
    <w:name w:val="header"/>
    <w:basedOn w:val="Normal"/>
    <w:link w:val="HeaderChar"/>
    <w:uiPriority w:val="99"/>
    <w:semiHidden/>
    <w:rsid w:val="002C6AFC"/>
    <w:rPr>
      <w:caps/>
      <w:color w:val="FFFFFF"/>
      <w:spacing w:val="16"/>
    </w:rPr>
  </w:style>
  <w:style w:type="character" w:customStyle="1" w:styleId="HeaderChar">
    <w:name w:val="Header Char"/>
    <w:basedOn w:val="DefaultParagraphFont"/>
    <w:link w:val="Header"/>
    <w:uiPriority w:val="99"/>
    <w:semiHidden/>
    <w:locked/>
    <w:rsid w:val="002C6AFC"/>
    <w:rPr>
      <w:rFonts w:eastAsia="Calibri"/>
      <w:caps/>
      <w:color w:val="FFFFFF"/>
      <w:spacing w:val="16"/>
    </w:rPr>
  </w:style>
  <w:style w:type="paragraph" w:styleId="Footer">
    <w:name w:val="footer"/>
    <w:basedOn w:val="Normal"/>
    <w:link w:val="FooterChar"/>
    <w:uiPriority w:val="99"/>
    <w:rsid w:val="002C6AFC"/>
    <w:pPr>
      <w:tabs>
        <w:tab w:val="center" w:pos="4513"/>
        <w:tab w:val="right" w:pos="9026"/>
      </w:tabs>
      <w:spacing w:after="0" w:line="220" w:lineRule="atLeast"/>
    </w:pPr>
    <w:rPr>
      <w:color w:val="808080"/>
      <w:sz w:val="16"/>
    </w:rPr>
  </w:style>
  <w:style w:type="character" w:customStyle="1" w:styleId="FooterChar">
    <w:name w:val="Footer Char"/>
    <w:basedOn w:val="DefaultParagraphFont"/>
    <w:link w:val="Footer"/>
    <w:uiPriority w:val="99"/>
    <w:locked/>
    <w:rsid w:val="002C6AFC"/>
    <w:rPr>
      <w:rFonts w:eastAsia="Calibri"/>
      <w:color w:val="808080"/>
      <w:sz w:val="16"/>
    </w:rPr>
  </w:style>
  <w:style w:type="paragraph" w:styleId="BalloonText">
    <w:name w:val="Balloon Text"/>
    <w:basedOn w:val="Normal"/>
    <w:link w:val="BalloonTextChar"/>
    <w:uiPriority w:val="99"/>
    <w:semiHidden/>
    <w:locked/>
    <w:rsid w:val="002C6AFC"/>
    <w:pPr>
      <w:spacing w:after="0"/>
    </w:pPr>
    <w:rPr>
      <w:rFonts w:ascii="Tahoma" w:hAnsi="Tahoma" w:cs="Tahoma"/>
      <w:sz w:val="16"/>
      <w:szCs w:val="16"/>
    </w:rPr>
  </w:style>
  <w:style w:type="paragraph" w:styleId="ListBullet">
    <w:name w:val="List Bullet"/>
    <w:basedOn w:val="Normal"/>
    <w:uiPriority w:val="2"/>
    <w:qFormat/>
    <w:rsid w:val="002C6AFC"/>
    <w:pPr>
      <w:numPr>
        <w:numId w:val="6"/>
      </w:numPr>
      <w:tabs>
        <w:tab w:val="left" w:pos="397"/>
      </w:tabs>
      <w:contextualSpacing/>
    </w:pPr>
  </w:style>
  <w:style w:type="paragraph" w:styleId="ListNumber">
    <w:name w:val="List Number"/>
    <w:basedOn w:val="Normal"/>
    <w:uiPriority w:val="2"/>
    <w:qFormat/>
    <w:rsid w:val="002C6AFC"/>
    <w:pPr>
      <w:numPr>
        <w:numId w:val="9"/>
      </w:numPr>
      <w:tabs>
        <w:tab w:val="left" w:pos="397"/>
      </w:tabs>
    </w:pPr>
  </w:style>
  <w:style w:type="paragraph" w:styleId="ListBullet2">
    <w:name w:val="List Bullet 2"/>
    <w:basedOn w:val="ListBullet"/>
    <w:uiPriority w:val="2"/>
    <w:qFormat/>
    <w:rsid w:val="002C6AFC"/>
    <w:pPr>
      <w:numPr>
        <w:ilvl w:val="1"/>
      </w:numPr>
      <w:tabs>
        <w:tab w:val="left" w:pos="794"/>
      </w:tabs>
    </w:pPr>
  </w:style>
  <w:style w:type="paragraph" w:styleId="TOC1">
    <w:name w:val="toc 1"/>
    <w:basedOn w:val="Normal"/>
    <w:next w:val="Normal"/>
    <w:uiPriority w:val="39"/>
    <w:unhideWhenUsed/>
    <w:rsid w:val="002C6AFC"/>
    <w:pPr>
      <w:pBdr>
        <w:top w:val="single" w:sz="4" w:space="1" w:color="41B6E6" w:themeColor="accent1"/>
        <w:left w:val="single" w:sz="4" w:space="4" w:color="41B6E6" w:themeColor="accent1"/>
        <w:bottom w:val="single" w:sz="4" w:space="1" w:color="41B6E6" w:themeColor="accent1"/>
        <w:right w:val="single" w:sz="4" w:space="4" w:color="41B6E6" w:themeColor="accent1"/>
      </w:pBdr>
      <w:shd w:val="clear" w:color="auto" w:fill="41B6E6" w:themeFill="accent1"/>
      <w:tabs>
        <w:tab w:val="left" w:pos="737"/>
        <w:tab w:val="right" w:pos="9639"/>
      </w:tabs>
      <w:spacing w:before="240" w:after="180"/>
    </w:pPr>
    <w:rPr>
      <w:b/>
      <w:noProof/>
      <w:color w:val="FFFFFF"/>
    </w:rPr>
  </w:style>
  <w:style w:type="paragraph" w:styleId="TOC2">
    <w:name w:val="toc 2"/>
    <w:basedOn w:val="Normal"/>
    <w:next w:val="Normal"/>
    <w:uiPriority w:val="39"/>
    <w:unhideWhenUsed/>
    <w:rsid w:val="002C6AFC"/>
    <w:pPr>
      <w:tabs>
        <w:tab w:val="left" w:pos="737"/>
        <w:tab w:val="right" w:leader="dot" w:pos="9639"/>
      </w:tabs>
      <w:spacing w:before="120" w:after="0"/>
      <w:ind w:right="284"/>
    </w:pPr>
    <w:rPr>
      <w:color w:val="41B6E6" w:themeColor="accent1"/>
    </w:rPr>
  </w:style>
  <w:style w:type="table" w:styleId="TableGrid">
    <w:name w:val="Table Grid"/>
    <w:basedOn w:val="TableNormal"/>
    <w:uiPriority w:val="99"/>
    <w:rsid w:val="002C6AFC"/>
    <w:rPr>
      <w:sz w:val="20"/>
      <w:szCs w:val="20"/>
    </w:rPr>
    <w:tblPr>
      <w:tblInd w:w="0" w:type="dxa"/>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CellMar>
        <w:top w:w="0" w:type="dxa"/>
        <w:left w:w="108" w:type="dxa"/>
        <w:bottom w:w="0" w:type="dxa"/>
        <w:right w:w="108" w:type="dxa"/>
      </w:tblCellMar>
    </w:tblPr>
  </w:style>
  <w:style w:type="character" w:styleId="PageNumber">
    <w:name w:val="page number"/>
    <w:basedOn w:val="DefaultParagraphFont"/>
    <w:uiPriority w:val="99"/>
    <w:semiHidden/>
    <w:rsid w:val="002C6AFC"/>
    <w:rPr>
      <w:rFonts w:ascii="Calibri" w:hAnsi="Calibri" w:cs="Times New Roman"/>
      <w:sz w:val="16"/>
    </w:rPr>
  </w:style>
  <w:style w:type="paragraph" w:styleId="TOC3">
    <w:name w:val="toc 3"/>
    <w:basedOn w:val="Normal"/>
    <w:next w:val="Normal"/>
    <w:uiPriority w:val="39"/>
    <w:unhideWhenUsed/>
    <w:rsid w:val="002C6AFC"/>
    <w:pPr>
      <w:tabs>
        <w:tab w:val="left" w:pos="1304"/>
        <w:tab w:val="right" w:leader="dot" w:pos="9639"/>
      </w:tabs>
      <w:spacing w:before="60" w:after="0"/>
      <w:ind w:left="737" w:right="284"/>
    </w:pPr>
    <w:rPr>
      <w:color w:val="41B6E6" w:themeColor="accent1"/>
    </w:rPr>
  </w:style>
  <w:style w:type="paragraph" w:customStyle="1" w:styleId="CoverTitle">
    <w:name w:val="CoverTitle"/>
    <w:basedOn w:val="Normal"/>
    <w:uiPriority w:val="12"/>
    <w:qFormat/>
    <w:rsid w:val="002C6AFC"/>
    <w:pPr>
      <w:spacing w:after="170" w:line="1000" w:lineRule="exact"/>
    </w:pPr>
    <w:rPr>
      <w:rFonts w:eastAsiaTheme="majorEastAsia" w:cstheme="majorBidi"/>
      <w:b/>
      <w:color w:val="41B6E6" w:themeColor="accent1"/>
      <w:spacing w:val="5"/>
      <w:kern w:val="28"/>
      <w:sz w:val="80"/>
      <w:szCs w:val="52"/>
    </w:rPr>
  </w:style>
  <w:style w:type="paragraph" w:customStyle="1" w:styleId="PartTitle">
    <w:name w:val="PartTitle"/>
    <w:basedOn w:val="Normal"/>
    <w:uiPriority w:val="15"/>
    <w:qFormat/>
    <w:rsid w:val="002C6AFC"/>
    <w:pPr>
      <w:tabs>
        <w:tab w:val="left" w:pos="2552"/>
      </w:tabs>
      <w:spacing w:after="0" w:line="1000" w:lineRule="exact"/>
      <w:ind w:left="2552" w:hanging="2552"/>
      <w:outlineLvl w:val="0"/>
    </w:pPr>
    <w:rPr>
      <w:b/>
      <w:color w:val="004B87" w:themeColor="accent2"/>
      <w:sz w:val="80"/>
    </w:rPr>
  </w:style>
  <w:style w:type="paragraph" w:customStyle="1" w:styleId="PartSubtitle">
    <w:name w:val="PartSubtitle"/>
    <w:basedOn w:val="PartTitle"/>
    <w:uiPriority w:val="15"/>
    <w:qFormat/>
    <w:rsid w:val="002C6AFC"/>
    <w:pPr>
      <w:spacing w:before="360" w:after="240" w:line="340" w:lineRule="atLeast"/>
      <w:outlineLvl w:val="9"/>
    </w:pPr>
    <w:rPr>
      <w:b w:val="0"/>
      <w:color w:val="41B6E6" w:themeColor="accent1"/>
      <w:sz w:val="34"/>
    </w:rPr>
  </w:style>
  <w:style w:type="paragraph" w:customStyle="1" w:styleId="ListofFiguresandTablesTOCHeading">
    <w:name w:val="List of Figures and Tables TOC Heading"/>
    <w:basedOn w:val="TOCHeading"/>
    <w:uiPriority w:val="14"/>
    <w:qFormat/>
    <w:rsid w:val="002C6AFC"/>
  </w:style>
  <w:style w:type="paragraph" w:styleId="ListBullet3">
    <w:name w:val="List Bullet 3"/>
    <w:basedOn w:val="ListBullet2"/>
    <w:uiPriority w:val="99"/>
    <w:semiHidden/>
    <w:rsid w:val="002C6AFC"/>
    <w:pPr>
      <w:numPr>
        <w:ilvl w:val="2"/>
      </w:numPr>
      <w:tabs>
        <w:tab w:val="clear" w:pos="794"/>
        <w:tab w:val="left" w:pos="1191"/>
      </w:tabs>
    </w:pPr>
  </w:style>
  <w:style w:type="paragraph" w:styleId="FootnoteText">
    <w:name w:val="footnote text"/>
    <w:basedOn w:val="Normal"/>
    <w:link w:val="FootnoteTextChar"/>
    <w:uiPriority w:val="9"/>
    <w:semiHidden/>
    <w:qFormat/>
    <w:rsid w:val="002C6AFC"/>
    <w:pPr>
      <w:spacing w:after="0" w:line="180" w:lineRule="atLeast"/>
    </w:pPr>
    <w:rPr>
      <w:sz w:val="16"/>
      <w:szCs w:val="20"/>
    </w:rPr>
  </w:style>
  <w:style w:type="character" w:customStyle="1" w:styleId="FootnoteTextChar">
    <w:name w:val="Footnote Text Char"/>
    <w:basedOn w:val="DefaultParagraphFont"/>
    <w:link w:val="FootnoteText"/>
    <w:uiPriority w:val="9"/>
    <w:semiHidden/>
    <w:locked/>
    <w:rsid w:val="002C6AFC"/>
    <w:rPr>
      <w:rFonts w:eastAsia="Calibri"/>
      <w:color w:val="000000"/>
      <w:sz w:val="16"/>
      <w:szCs w:val="20"/>
    </w:rPr>
  </w:style>
  <w:style w:type="paragraph" w:customStyle="1" w:styleId="FootnoteHeading">
    <w:name w:val="Footnote Heading"/>
    <w:basedOn w:val="FootnoteText"/>
    <w:uiPriority w:val="9"/>
    <w:semiHidden/>
    <w:qFormat/>
    <w:rsid w:val="002C6AFC"/>
    <w:rPr>
      <w:b/>
    </w:rPr>
  </w:style>
  <w:style w:type="paragraph" w:customStyle="1" w:styleId="Source">
    <w:name w:val="Source"/>
    <w:basedOn w:val="Normal"/>
    <w:next w:val="Normal"/>
    <w:uiPriority w:val="6"/>
    <w:qFormat/>
    <w:rsid w:val="002C6AFC"/>
    <w:pPr>
      <w:tabs>
        <w:tab w:val="left" w:pos="539"/>
      </w:tabs>
      <w:spacing w:line="180" w:lineRule="atLeast"/>
      <w:ind w:left="624" w:hanging="624"/>
    </w:pPr>
    <w:rPr>
      <w:sz w:val="16"/>
      <w:szCs w:val="20"/>
    </w:rPr>
  </w:style>
  <w:style w:type="table" w:customStyle="1" w:styleId="TableCSIRO">
    <w:name w:val="Table_CSIRO"/>
    <w:uiPriority w:val="99"/>
    <w:rsid w:val="002C6AFC"/>
    <w:rPr>
      <w:sz w:val="20"/>
      <w:szCs w:val="20"/>
    </w:rPr>
    <w:tblPr>
      <w:tblStyleRowBandSize w:val="1"/>
      <w:tblStyleColBandSize w:val="1"/>
      <w:tblInd w:w="113" w:type="dxa"/>
      <w:tblBorders>
        <w:bottom w:val="single" w:sz="12" w:space="0" w:color="000000"/>
      </w:tblBorders>
      <w:tblCellMar>
        <w:top w:w="57" w:type="dxa"/>
        <w:left w:w="85" w:type="dxa"/>
        <w:bottom w:w="57" w:type="dxa"/>
        <w:right w:w="85" w:type="dxa"/>
      </w:tblCellMar>
    </w:tblPr>
    <w:tblStylePr w:type="firstRow">
      <w:tblPr/>
      <w:tcPr>
        <w:shd w:val="clear" w:color="auto" w:fill="000000" w:themeFill="text1"/>
      </w:tcPr>
    </w:tblStylePr>
    <w:tblStylePr w:type="band2Horz">
      <w:tblPr/>
      <w:tcPr>
        <w:tcBorders>
          <w:top w:val="nil"/>
          <w:left w:val="nil"/>
          <w:bottom w:val="nil"/>
          <w:right w:val="nil"/>
          <w:insideH w:val="nil"/>
          <w:insideV w:val="nil"/>
          <w:tl2br w:val="nil"/>
          <w:tr2bl w:val="nil"/>
        </w:tcBorders>
        <w:shd w:val="clear" w:color="auto" w:fill="EDEDED"/>
      </w:tcPr>
    </w:tblStylePr>
  </w:style>
  <w:style w:type="paragraph" w:customStyle="1" w:styleId="TableText">
    <w:name w:val="TableText"/>
    <w:basedOn w:val="Normal"/>
    <w:uiPriority w:val="5"/>
    <w:qFormat/>
    <w:rsid w:val="002C6AFC"/>
    <w:pPr>
      <w:spacing w:after="57" w:line="220" w:lineRule="atLeast"/>
    </w:pPr>
    <w:rPr>
      <w:sz w:val="18"/>
    </w:rPr>
  </w:style>
  <w:style w:type="paragraph" w:customStyle="1" w:styleId="TableBullet">
    <w:name w:val="TableBullet"/>
    <w:basedOn w:val="TableText"/>
    <w:uiPriority w:val="5"/>
    <w:qFormat/>
    <w:rsid w:val="002C6AFC"/>
    <w:pPr>
      <w:numPr>
        <w:numId w:val="8"/>
      </w:numPr>
    </w:pPr>
  </w:style>
  <w:style w:type="paragraph" w:customStyle="1" w:styleId="RowHeading">
    <w:name w:val="RowHeading"/>
    <w:basedOn w:val="TableText"/>
    <w:uiPriority w:val="5"/>
    <w:qFormat/>
    <w:rsid w:val="002C6AFC"/>
    <w:rPr>
      <w:b/>
      <w:color w:val="auto"/>
    </w:rPr>
  </w:style>
  <w:style w:type="paragraph" w:customStyle="1" w:styleId="ColumnHeading">
    <w:name w:val="ColumnHeading"/>
    <w:basedOn w:val="TableText"/>
    <w:uiPriority w:val="5"/>
    <w:qFormat/>
    <w:rsid w:val="002C6AFC"/>
    <w:pPr>
      <w:spacing w:after="0" w:line="180" w:lineRule="atLeast"/>
    </w:pPr>
    <w:rPr>
      <w:b/>
      <w:caps/>
      <w:color w:val="FFFFFF"/>
      <w:sz w:val="16"/>
    </w:rPr>
  </w:style>
  <w:style w:type="paragraph" w:customStyle="1" w:styleId="CoverSubtitle">
    <w:name w:val="CoverSubtitle"/>
    <w:basedOn w:val="Normal"/>
    <w:uiPriority w:val="12"/>
    <w:qFormat/>
    <w:rsid w:val="002C6AFC"/>
    <w:pPr>
      <w:numPr>
        <w:ilvl w:val="1"/>
      </w:numPr>
      <w:spacing w:after="170" w:line="340" w:lineRule="atLeast"/>
    </w:pPr>
    <w:rPr>
      <w:rFonts w:eastAsiaTheme="majorEastAsia" w:cstheme="majorBidi"/>
      <w:iCs/>
      <w:color w:val="004B87" w:themeColor="accent2"/>
      <w:spacing w:val="15"/>
      <w:sz w:val="34"/>
      <w:szCs w:val="24"/>
    </w:rPr>
  </w:style>
  <w:style w:type="paragraph" w:customStyle="1" w:styleId="BackCoverContactHeading">
    <w:name w:val="BackCover ContactHeading"/>
    <w:basedOn w:val="Normal"/>
    <w:uiPriority w:val="18"/>
    <w:qFormat/>
    <w:rsid w:val="002C6AFC"/>
    <w:pPr>
      <w:spacing w:before="360" w:after="60"/>
    </w:pPr>
    <w:rPr>
      <w:caps/>
      <w:sz w:val="18"/>
      <w:szCs w:val="20"/>
    </w:rPr>
  </w:style>
  <w:style w:type="paragraph" w:customStyle="1" w:styleId="BackCoverContactDetails">
    <w:name w:val="BackCover ContactDetails"/>
    <w:basedOn w:val="Normal"/>
    <w:uiPriority w:val="18"/>
    <w:qFormat/>
    <w:rsid w:val="002C6AFC"/>
    <w:pPr>
      <w:tabs>
        <w:tab w:val="left" w:pos="199"/>
      </w:tabs>
      <w:spacing w:after="0"/>
    </w:pPr>
    <w:rPr>
      <w:sz w:val="18"/>
    </w:rPr>
  </w:style>
  <w:style w:type="character" w:customStyle="1" w:styleId="BackCoverContactBold">
    <w:name w:val="BackCover ContactBold"/>
    <w:basedOn w:val="DefaultParagraphFont"/>
    <w:uiPriority w:val="18"/>
    <w:qFormat/>
    <w:rsid w:val="002C6AFC"/>
    <w:rPr>
      <w:rFonts w:cs="Times New Roman"/>
      <w:b/>
    </w:rPr>
  </w:style>
  <w:style w:type="paragraph" w:styleId="TOCHeading">
    <w:name w:val="TOC Heading"/>
    <w:basedOn w:val="Heading1"/>
    <w:next w:val="Normal"/>
    <w:link w:val="TOCHeadingChar"/>
    <w:uiPriority w:val="19"/>
    <w:rsid w:val="002C6AFC"/>
    <w:pPr>
      <w:pageBreakBefore w:val="0"/>
      <w:numPr>
        <w:numId w:val="0"/>
      </w:numPr>
      <w:tabs>
        <w:tab w:val="clear" w:pos="851"/>
      </w:tabs>
      <w:spacing w:before="480" w:after="240"/>
      <w:outlineLvl w:val="1"/>
    </w:pPr>
    <w:rPr>
      <w:bCs w:val="0"/>
    </w:rPr>
  </w:style>
  <w:style w:type="character" w:styleId="Hyperlink">
    <w:name w:val="Hyperlink"/>
    <w:basedOn w:val="DefaultParagraphFont"/>
    <w:uiPriority w:val="99"/>
    <w:qFormat/>
    <w:rsid w:val="002C6AFC"/>
    <w:rPr>
      <w:rFonts w:cs="Times New Roman"/>
      <w:color w:val="41B6E6" w:themeColor="accent1"/>
      <w:u w:val="none"/>
    </w:rPr>
  </w:style>
  <w:style w:type="paragraph" w:styleId="TOC4">
    <w:name w:val="toc 4"/>
    <w:basedOn w:val="Normal"/>
    <w:next w:val="Normal"/>
    <w:autoRedefine/>
    <w:uiPriority w:val="99"/>
    <w:semiHidden/>
    <w:rsid w:val="002C6AFC"/>
    <w:pPr>
      <w:spacing w:after="100"/>
      <w:ind w:left="660"/>
    </w:pPr>
  </w:style>
  <w:style w:type="paragraph" w:styleId="TOC9">
    <w:name w:val="toc 9"/>
    <w:basedOn w:val="Normal"/>
    <w:next w:val="Normal"/>
    <w:autoRedefine/>
    <w:uiPriority w:val="99"/>
    <w:semiHidden/>
    <w:rsid w:val="002C6AFC"/>
    <w:pPr>
      <w:spacing w:after="100"/>
      <w:ind w:left="1760"/>
    </w:pPr>
  </w:style>
  <w:style w:type="character" w:customStyle="1" w:styleId="BalloonTextChar">
    <w:name w:val="Balloon Text Char"/>
    <w:basedOn w:val="DefaultParagraphFont"/>
    <w:link w:val="BalloonText"/>
    <w:uiPriority w:val="99"/>
    <w:semiHidden/>
    <w:rsid w:val="002C6AFC"/>
    <w:rPr>
      <w:rFonts w:ascii="Tahoma" w:eastAsia="Calibri" w:hAnsi="Tahoma" w:cs="Tahoma"/>
      <w:color w:val="000000"/>
      <w:sz w:val="16"/>
      <w:szCs w:val="16"/>
    </w:rPr>
  </w:style>
  <w:style w:type="paragraph" w:styleId="Caption">
    <w:name w:val="caption"/>
    <w:basedOn w:val="Normal"/>
    <w:next w:val="Normal"/>
    <w:link w:val="CaptionChar"/>
    <w:uiPriority w:val="4"/>
    <w:qFormat/>
    <w:rsid w:val="00D94A34"/>
    <w:pPr>
      <w:keepNext/>
      <w:spacing w:before="240" w:after="200"/>
    </w:pPr>
    <w:rPr>
      <w:b/>
      <w:bCs/>
      <w:color w:val="41B6E6" w:themeColor="accent1"/>
      <w:sz w:val="20"/>
      <w:szCs w:val="18"/>
    </w:rPr>
  </w:style>
  <w:style w:type="paragraph" w:customStyle="1" w:styleId="Headerurl">
    <w:name w:val="Header url"/>
    <w:basedOn w:val="Header"/>
    <w:uiPriority w:val="99"/>
    <w:semiHidden/>
    <w:rsid w:val="002C6AFC"/>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2C6AFC"/>
    <w:rPr>
      <w:rFonts w:cs="Times New Roman"/>
      <w:color w:val="41B6E6" w:themeColor="accent1"/>
    </w:rPr>
  </w:style>
  <w:style w:type="paragraph" w:customStyle="1" w:styleId="Heading1notnumbered">
    <w:name w:val="Heading 1 not numbered"/>
    <w:basedOn w:val="Heading1"/>
    <w:uiPriority w:val="1"/>
    <w:rsid w:val="002C6AFC"/>
    <w:pPr>
      <w:numPr>
        <w:numId w:val="0"/>
      </w:numPr>
    </w:pPr>
  </w:style>
  <w:style w:type="paragraph" w:customStyle="1" w:styleId="Heading3notnumbered">
    <w:name w:val="Heading 3 not numbered"/>
    <w:basedOn w:val="Heading3"/>
    <w:uiPriority w:val="1"/>
    <w:qFormat/>
    <w:rsid w:val="002C6AFC"/>
    <w:pPr>
      <w:numPr>
        <w:ilvl w:val="0"/>
        <w:numId w:val="0"/>
      </w:numPr>
    </w:pPr>
  </w:style>
  <w:style w:type="paragraph" w:customStyle="1" w:styleId="Heading2notnumbered">
    <w:name w:val="Heading 2 not numbered"/>
    <w:basedOn w:val="Heading2"/>
    <w:uiPriority w:val="1"/>
    <w:qFormat/>
    <w:rsid w:val="002C6AFC"/>
    <w:pPr>
      <w:numPr>
        <w:ilvl w:val="0"/>
        <w:numId w:val="0"/>
      </w:numPr>
    </w:pPr>
  </w:style>
  <w:style w:type="paragraph" w:customStyle="1" w:styleId="Heading1noTOC">
    <w:name w:val="Heading 1 no TOC"/>
    <w:basedOn w:val="Heading1notnumbered"/>
    <w:uiPriority w:val="1"/>
    <w:qFormat/>
    <w:rsid w:val="002C6AFC"/>
  </w:style>
  <w:style w:type="character" w:customStyle="1" w:styleId="TOCHeadingChar">
    <w:name w:val="TOC Heading Char"/>
    <w:basedOn w:val="DefaultParagraphFont"/>
    <w:link w:val="TOCHeading"/>
    <w:uiPriority w:val="19"/>
    <w:locked/>
    <w:rsid w:val="002C6AFC"/>
    <w:rPr>
      <w:rFonts w:eastAsiaTheme="majorEastAsia" w:cstheme="majorBidi"/>
      <w:b/>
      <w:color w:val="41B6E6" w:themeColor="accent1"/>
      <w:sz w:val="44"/>
      <w:szCs w:val="28"/>
    </w:rPr>
  </w:style>
  <w:style w:type="paragraph" w:styleId="BlockText">
    <w:name w:val="Block Text"/>
    <w:basedOn w:val="Normal"/>
    <w:uiPriority w:val="99"/>
    <w:semiHidden/>
    <w:locked/>
    <w:rsid w:val="002C6AFC"/>
    <w:pPr>
      <w:ind w:left="1440" w:right="1440"/>
    </w:pPr>
  </w:style>
  <w:style w:type="paragraph" w:styleId="BodyText">
    <w:name w:val="Body Text"/>
    <w:basedOn w:val="Normal"/>
    <w:link w:val="BodyTextChar"/>
    <w:uiPriority w:val="99"/>
    <w:semiHidden/>
    <w:locked/>
    <w:rsid w:val="002C6AFC"/>
  </w:style>
  <w:style w:type="character" w:customStyle="1" w:styleId="BodyTextChar">
    <w:name w:val="Body Text Char"/>
    <w:basedOn w:val="DefaultParagraphFont"/>
    <w:link w:val="BodyText"/>
    <w:uiPriority w:val="99"/>
    <w:semiHidden/>
    <w:locked/>
    <w:rsid w:val="002C6AFC"/>
    <w:rPr>
      <w:rFonts w:eastAsia="Calibri"/>
      <w:color w:val="000000"/>
    </w:rPr>
  </w:style>
  <w:style w:type="paragraph" w:styleId="BodyText2">
    <w:name w:val="Body Text 2"/>
    <w:basedOn w:val="Normal"/>
    <w:link w:val="BodyText2Char"/>
    <w:uiPriority w:val="99"/>
    <w:semiHidden/>
    <w:locked/>
    <w:rsid w:val="002C6AFC"/>
    <w:pPr>
      <w:spacing w:line="480" w:lineRule="auto"/>
    </w:pPr>
  </w:style>
  <w:style w:type="character" w:customStyle="1" w:styleId="BodyText2Char">
    <w:name w:val="Body Text 2 Char"/>
    <w:basedOn w:val="DefaultParagraphFont"/>
    <w:link w:val="BodyText2"/>
    <w:uiPriority w:val="99"/>
    <w:semiHidden/>
    <w:locked/>
    <w:rsid w:val="002C6AFC"/>
    <w:rPr>
      <w:rFonts w:eastAsia="Calibri"/>
      <w:color w:val="000000"/>
    </w:rPr>
  </w:style>
  <w:style w:type="paragraph" w:styleId="BodyText3">
    <w:name w:val="Body Text 3"/>
    <w:basedOn w:val="Normal"/>
    <w:link w:val="BodyText3Char"/>
    <w:uiPriority w:val="99"/>
    <w:semiHidden/>
    <w:locked/>
    <w:rsid w:val="002C6AFC"/>
    <w:rPr>
      <w:sz w:val="16"/>
      <w:szCs w:val="16"/>
    </w:rPr>
  </w:style>
  <w:style w:type="character" w:customStyle="1" w:styleId="BodyText3Char">
    <w:name w:val="Body Text 3 Char"/>
    <w:basedOn w:val="DefaultParagraphFont"/>
    <w:link w:val="BodyText3"/>
    <w:uiPriority w:val="99"/>
    <w:semiHidden/>
    <w:locked/>
    <w:rsid w:val="002C6AFC"/>
    <w:rPr>
      <w:rFonts w:eastAsia="Calibri"/>
      <w:color w:val="000000"/>
      <w:sz w:val="16"/>
      <w:szCs w:val="16"/>
    </w:rPr>
  </w:style>
  <w:style w:type="paragraph" w:styleId="BodyTextFirstIndent">
    <w:name w:val="Body Text First Indent"/>
    <w:basedOn w:val="BodyText"/>
    <w:link w:val="BodyTextFirstIndentChar"/>
    <w:uiPriority w:val="99"/>
    <w:semiHidden/>
    <w:locked/>
    <w:rsid w:val="002C6AFC"/>
    <w:pPr>
      <w:ind w:firstLine="210"/>
    </w:pPr>
  </w:style>
  <w:style w:type="character" w:customStyle="1" w:styleId="BodyTextFirstIndentChar">
    <w:name w:val="Body Text First Indent Char"/>
    <w:basedOn w:val="BodyTextChar"/>
    <w:link w:val="BodyTextFirstIndent"/>
    <w:uiPriority w:val="99"/>
    <w:semiHidden/>
    <w:locked/>
    <w:rsid w:val="002C6AFC"/>
  </w:style>
  <w:style w:type="paragraph" w:styleId="BodyTextIndent">
    <w:name w:val="Body Text Indent"/>
    <w:basedOn w:val="Normal"/>
    <w:link w:val="BodyTextIndentChar"/>
    <w:uiPriority w:val="99"/>
    <w:semiHidden/>
    <w:locked/>
    <w:rsid w:val="002C6AFC"/>
    <w:pPr>
      <w:ind w:left="283"/>
    </w:pPr>
  </w:style>
  <w:style w:type="character" w:customStyle="1" w:styleId="BodyTextIndentChar">
    <w:name w:val="Body Text Indent Char"/>
    <w:basedOn w:val="DefaultParagraphFont"/>
    <w:link w:val="BodyTextIndent"/>
    <w:uiPriority w:val="99"/>
    <w:semiHidden/>
    <w:locked/>
    <w:rsid w:val="002C6AFC"/>
    <w:rPr>
      <w:rFonts w:eastAsia="Calibri"/>
      <w:color w:val="000000"/>
    </w:rPr>
  </w:style>
  <w:style w:type="paragraph" w:styleId="BodyTextFirstIndent2">
    <w:name w:val="Body Text First Indent 2"/>
    <w:basedOn w:val="BodyTextIndent"/>
    <w:link w:val="BodyTextFirstIndent2Char"/>
    <w:uiPriority w:val="99"/>
    <w:semiHidden/>
    <w:locked/>
    <w:rsid w:val="002C6AFC"/>
    <w:pPr>
      <w:ind w:firstLine="210"/>
    </w:pPr>
  </w:style>
  <w:style w:type="character" w:customStyle="1" w:styleId="BodyTextFirstIndent2Char">
    <w:name w:val="Body Text First Indent 2 Char"/>
    <w:basedOn w:val="BodyTextIndentChar"/>
    <w:link w:val="BodyTextFirstIndent2"/>
    <w:uiPriority w:val="99"/>
    <w:semiHidden/>
    <w:locked/>
    <w:rsid w:val="002C6AFC"/>
  </w:style>
  <w:style w:type="paragraph" w:styleId="BodyTextIndent2">
    <w:name w:val="Body Text Indent 2"/>
    <w:basedOn w:val="Normal"/>
    <w:link w:val="BodyTextIndent2Char"/>
    <w:uiPriority w:val="99"/>
    <w:semiHidden/>
    <w:locked/>
    <w:rsid w:val="002C6AFC"/>
    <w:pPr>
      <w:spacing w:line="480" w:lineRule="auto"/>
      <w:ind w:left="283"/>
    </w:pPr>
  </w:style>
  <w:style w:type="character" w:customStyle="1" w:styleId="BodyTextIndent2Char">
    <w:name w:val="Body Text Indent 2 Char"/>
    <w:basedOn w:val="DefaultParagraphFont"/>
    <w:link w:val="BodyTextIndent2"/>
    <w:uiPriority w:val="99"/>
    <w:semiHidden/>
    <w:locked/>
    <w:rsid w:val="002C6AFC"/>
    <w:rPr>
      <w:rFonts w:eastAsia="Calibri"/>
      <w:color w:val="000000"/>
    </w:rPr>
  </w:style>
  <w:style w:type="paragraph" w:styleId="BodyTextIndent3">
    <w:name w:val="Body Text Indent 3"/>
    <w:basedOn w:val="Normal"/>
    <w:link w:val="BodyTextIndent3Char"/>
    <w:uiPriority w:val="99"/>
    <w:semiHidden/>
    <w:locked/>
    <w:rsid w:val="002C6AFC"/>
    <w:pPr>
      <w:ind w:left="283"/>
    </w:pPr>
    <w:rPr>
      <w:sz w:val="16"/>
      <w:szCs w:val="16"/>
    </w:rPr>
  </w:style>
  <w:style w:type="character" w:customStyle="1" w:styleId="BodyTextIndent3Char">
    <w:name w:val="Body Text Indent 3 Char"/>
    <w:basedOn w:val="DefaultParagraphFont"/>
    <w:link w:val="BodyTextIndent3"/>
    <w:uiPriority w:val="99"/>
    <w:semiHidden/>
    <w:locked/>
    <w:rsid w:val="002C6AFC"/>
    <w:rPr>
      <w:rFonts w:eastAsia="Calibri"/>
      <w:color w:val="000000"/>
      <w:sz w:val="16"/>
      <w:szCs w:val="16"/>
    </w:rPr>
  </w:style>
  <w:style w:type="paragraph" w:styleId="Closing">
    <w:name w:val="Closing"/>
    <w:basedOn w:val="Normal"/>
    <w:link w:val="ClosingChar"/>
    <w:uiPriority w:val="99"/>
    <w:semiHidden/>
    <w:locked/>
    <w:rsid w:val="002C6AFC"/>
    <w:pPr>
      <w:ind w:left="4252"/>
    </w:pPr>
  </w:style>
  <w:style w:type="character" w:customStyle="1" w:styleId="ClosingChar">
    <w:name w:val="Closing Char"/>
    <w:basedOn w:val="DefaultParagraphFont"/>
    <w:link w:val="Closing"/>
    <w:uiPriority w:val="99"/>
    <w:semiHidden/>
    <w:locked/>
    <w:rsid w:val="002C6AFC"/>
    <w:rPr>
      <w:rFonts w:eastAsia="Calibri"/>
      <w:color w:val="000000"/>
    </w:rPr>
  </w:style>
  <w:style w:type="paragraph" w:styleId="Date">
    <w:name w:val="Date"/>
    <w:basedOn w:val="Normal"/>
    <w:next w:val="Normal"/>
    <w:link w:val="DateChar"/>
    <w:uiPriority w:val="99"/>
    <w:semiHidden/>
    <w:locked/>
    <w:rsid w:val="002C6AFC"/>
  </w:style>
  <w:style w:type="character" w:customStyle="1" w:styleId="DateChar">
    <w:name w:val="Date Char"/>
    <w:basedOn w:val="DefaultParagraphFont"/>
    <w:link w:val="Date"/>
    <w:uiPriority w:val="99"/>
    <w:semiHidden/>
    <w:locked/>
    <w:rsid w:val="002C6AFC"/>
    <w:rPr>
      <w:rFonts w:eastAsia="Calibri"/>
      <w:color w:val="000000"/>
    </w:rPr>
  </w:style>
  <w:style w:type="paragraph" w:styleId="E-mailSignature">
    <w:name w:val="E-mail Signature"/>
    <w:basedOn w:val="Normal"/>
    <w:link w:val="E-mailSignatureChar"/>
    <w:uiPriority w:val="99"/>
    <w:semiHidden/>
    <w:locked/>
    <w:rsid w:val="002C6AFC"/>
  </w:style>
  <w:style w:type="character" w:customStyle="1" w:styleId="E-mailSignatureChar">
    <w:name w:val="E-mail Signature Char"/>
    <w:basedOn w:val="DefaultParagraphFont"/>
    <w:link w:val="E-mailSignature"/>
    <w:uiPriority w:val="99"/>
    <w:semiHidden/>
    <w:locked/>
    <w:rsid w:val="002C6AFC"/>
    <w:rPr>
      <w:rFonts w:eastAsia="Calibri"/>
      <w:color w:val="000000"/>
    </w:rPr>
  </w:style>
  <w:style w:type="character" w:styleId="Emphasis">
    <w:name w:val="Emphasis"/>
    <w:basedOn w:val="DefaultParagraphFont"/>
    <w:uiPriority w:val="99"/>
    <w:locked/>
    <w:rsid w:val="002C6AFC"/>
    <w:rPr>
      <w:rFonts w:cs="Times New Roman"/>
      <w:i/>
      <w:iCs/>
    </w:rPr>
  </w:style>
  <w:style w:type="paragraph" w:styleId="EnvelopeAddress">
    <w:name w:val="envelope address"/>
    <w:basedOn w:val="Normal"/>
    <w:uiPriority w:val="99"/>
    <w:semiHidden/>
    <w:locked/>
    <w:rsid w:val="002C6AF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2C6AFC"/>
    <w:rPr>
      <w:rFonts w:ascii="Arial" w:hAnsi="Arial" w:cs="Arial"/>
      <w:sz w:val="20"/>
      <w:szCs w:val="20"/>
    </w:rPr>
  </w:style>
  <w:style w:type="character" w:styleId="FollowedHyperlink">
    <w:name w:val="FollowedHyperlink"/>
    <w:basedOn w:val="DefaultParagraphFont"/>
    <w:uiPriority w:val="99"/>
    <w:semiHidden/>
    <w:locked/>
    <w:rsid w:val="002C6AFC"/>
    <w:rPr>
      <w:rFonts w:cs="Times New Roman"/>
      <w:color w:val="auto"/>
      <w:u w:val="none"/>
    </w:rPr>
  </w:style>
  <w:style w:type="character" w:styleId="FootnoteReference">
    <w:name w:val="footnote reference"/>
    <w:basedOn w:val="DefaultParagraphFont"/>
    <w:uiPriority w:val="9"/>
    <w:semiHidden/>
    <w:locked/>
    <w:rsid w:val="002C6AFC"/>
    <w:rPr>
      <w:rFonts w:cs="Times New Roman"/>
      <w:vertAlign w:val="superscript"/>
    </w:rPr>
  </w:style>
  <w:style w:type="character" w:styleId="HTMLAcronym">
    <w:name w:val="HTML Acronym"/>
    <w:basedOn w:val="DefaultParagraphFont"/>
    <w:uiPriority w:val="99"/>
    <w:semiHidden/>
    <w:locked/>
    <w:rsid w:val="002C6AFC"/>
    <w:rPr>
      <w:rFonts w:cs="Times New Roman"/>
    </w:rPr>
  </w:style>
  <w:style w:type="paragraph" w:styleId="HTMLAddress">
    <w:name w:val="HTML Address"/>
    <w:basedOn w:val="Normal"/>
    <w:link w:val="HTMLAddressChar"/>
    <w:uiPriority w:val="99"/>
    <w:semiHidden/>
    <w:locked/>
    <w:rsid w:val="002C6AFC"/>
    <w:rPr>
      <w:i/>
      <w:iCs/>
    </w:rPr>
  </w:style>
  <w:style w:type="character" w:customStyle="1" w:styleId="HTMLAddressChar">
    <w:name w:val="HTML Address Char"/>
    <w:basedOn w:val="DefaultParagraphFont"/>
    <w:link w:val="HTMLAddress"/>
    <w:uiPriority w:val="99"/>
    <w:semiHidden/>
    <w:locked/>
    <w:rsid w:val="002C6AFC"/>
    <w:rPr>
      <w:rFonts w:eastAsia="Calibri"/>
      <w:i/>
      <w:iCs/>
      <w:color w:val="000000"/>
    </w:rPr>
  </w:style>
  <w:style w:type="character" w:styleId="HTMLCite">
    <w:name w:val="HTML Cite"/>
    <w:basedOn w:val="DefaultParagraphFont"/>
    <w:uiPriority w:val="99"/>
    <w:semiHidden/>
    <w:locked/>
    <w:rsid w:val="002C6AFC"/>
    <w:rPr>
      <w:rFonts w:cs="Times New Roman"/>
      <w:i/>
      <w:iCs/>
    </w:rPr>
  </w:style>
  <w:style w:type="character" w:styleId="HTMLCode">
    <w:name w:val="HTML Code"/>
    <w:basedOn w:val="DefaultParagraphFont"/>
    <w:uiPriority w:val="99"/>
    <w:semiHidden/>
    <w:locked/>
    <w:rsid w:val="002C6AFC"/>
    <w:rPr>
      <w:rFonts w:ascii="Courier New" w:hAnsi="Courier New" w:cs="Courier New"/>
      <w:sz w:val="20"/>
      <w:szCs w:val="20"/>
    </w:rPr>
  </w:style>
  <w:style w:type="character" w:styleId="HTMLDefinition">
    <w:name w:val="HTML Definition"/>
    <w:basedOn w:val="DefaultParagraphFont"/>
    <w:uiPriority w:val="99"/>
    <w:semiHidden/>
    <w:locked/>
    <w:rsid w:val="002C6AFC"/>
    <w:rPr>
      <w:rFonts w:cs="Times New Roman"/>
      <w:i/>
      <w:iCs/>
    </w:rPr>
  </w:style>
  <w:style w:type="character" w:styleId="HTMLKeyboard">
    <w:name w:val="HTML Keyboard"/>
    <w:basedOn w:val="DefaultParagraphFont"/>
    <w:uiPriority w:val="99"/>
    <w:semiHidden/>
    <w:locked/>
    <w:rsid w:val="002C6AFC"/>
    <w:rPr>
      <w:rFonts w:ascii="Courier New" w:hAnsi="Courier New" w:cs="Courier New"/>
      <w:sz w:val="20"/>
      <w:szCs w:val="20"/>
    </w:rPr>
  </w:style>
  <w:style w:type="paragraph" w:styleId="HTMLPreformatted">
    <w:name w:val="HTML Preformatted"/>
    <w:basedOn w:val="Normal"/>
    <w:link w:val="HTMLPreformattedChar"/>
    <w:uiPriority w:val="99"/>
    <w:semiHidden/>
    <w:locked/>
    <w:rsid w:val="002C6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C6AFC"/>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2C6AFC"/>
    <w:rPr>
      <w:rFonts w:ascii="Courier New" w:hAnsi="Courier New" w:cs="Courier New"/>
    </w:rPr>
  </w:style>
  <w:style w:type="character" w:styleId="HTMLTypewriter">
    <w:name w:val="HTML Typewriter"/>
    <w:basedOn w:val="DefaultParagraphFont"/>
    <w:uiPriority w:val="99"/>
    <w:semiHidden/>
    <w:locked/>
    <w:rsid w:val="002C6AFC"/>
    <w:rPr>
      <w:rFonts w:ascii="Courier New" w:hAnsi="Courier New" w:cs="Courier New"/>
      <w:sz w:val="20"/>
      <w:szCs w:val="20"/>
    </w:rPr>
  </w:style>
  <w:style w:type="character" w:styleId="HTMLVariable">
    <w:name w:val="HTML Variable"/>
    <w:basedOn w:val="DefaultParagraphFont"/>
    <w:uiPriority w:val="99"/>
    <w:semiHidden/>
    <w:locked/>
    <w:rsid w:val="002C6AFC"/>
    <w:rPr>
      <w:rFonts w:cs="Times New Roman"/>
      <w:i/>
      <w:iCs/>
    </w:rPr>
  </w:style>
  <w:style w:type="character" w:styleId="LineNumber">
    <w:name w:val="line number"/>
    <w:basedOn w:val="DefaultParagraphFont"/>
    <w:uiPriority w:val="99"/>
    <w:semiHidden/>
    <w:locked/>
    <w:rsid w:val="002C6AFC"/>
    <w:rPr>
      <w:rFonts w:cs="Times New Roman"/>
    </w:rPr>
  </w:style>
  <w:style w:type="paragraph" w:styleId="List">
    <w:name w:val="List"/>
    <w:basedOn w:val="Normal"/>
    <w:uiPriority w:val="99"/>
    <w:semiHidden/>
    <w:locked/>
    <w:rsid w:val="002C6AFC"/>
    <w:pPr>
      <w:ind w:left="283" w:hanging="283"/>
    </w:pPr>
  </w:style>
  <w:style w:type="paragraph" w:styleId="List2">
    <w:name w:val="List 2"/>
    <w:basedOn w:val="Normal"/>
    <w:uiPriority w:val="99"/>
    <w:semiHidden/>
    <w:locked/>
    <w:rsid w:val="002C6AFC"/>
    <w:pPr>
      <w:ind w:left="566" w:hanging="283"/>
    </w:pPr>
  </w:style>
  <w:style w:type="paragraph" w:styleId="List3">
    <w:name w:val="List 3"/>
    <w:basedOn w:val="Normal"/>
    <w:uiPriority w:val="99"/>
    <w:semiHidden/>
    <w:locked/>
    <w:rsid w:val="002C6AFC"/>
    <w:pPr>
      <w:ind w:left="849" w:hanging="283"/>
    </w:pPr>
  </w:style>
  <w:style w:type="paragraph" w:styleId="List4">
    <w:name w:val="List 4"/>
    <w:basedOn w:val="Normal"/>
    <w:uiPriority w:val="99"/>
    <w:semiHidden/>
    <w:locked/>
    <w:rsid w:val="002C6AFC"/>
    <w:pPr>
      <w:ind w:left="1132" w:hanging="283"/>
    </w:pPr>
  </w:style>
  <w:style w:type="paragraph" w:styleId="List5">
    <w:name w:val="List 5"/>
    <w:basedOn w:val="Normal"/>
    <w:uiPriority w:val="99"/>
    <w:semiHidden/>
    <w:locked/>
    <w:rsid w:val="002C6AFC"/>
    <w:pPr>
      <w:ind w:left="1415" w:hanging="283"/>
    </w:pPr>
  </w:style>
  <w:style w:type="paragraph" w:styleId="ListBullet4">
    <w:name w:val="List Bullet 4"/>
    <w:basedOn w:val="Normal"/>
    <w:uiPriority w:val="99"/>
    <w:semiHidden/>
    <w:locked/>
    <w:rsid w:val="002C6AFC"/>
    <w:pPr>
      <w:numPr>
        <w:numId w:val="1"/>
      </w:numPr>
    </w:pPr>
  </w:style>
  <w:style w:type="paragraph" w:styleId="ListBullet5">
    <w:name w:val="List Bullet 5"/>
    <w:basedOn w:val="Normal"/>
    <w:uiPriority w:val="99"/>
    <w:semiHidden/>
    <w:locked/>
    <w:rsid w:val="002C6AFC"/>
    <w:pPr>
      <w:numPr>
        <w:numId w:val="2"/>
      </w:numPr>
    </w:pPr>
  </w:style>
  <w:style w:type="paragraph" w:styleId="ListContinue">
    <w:name w:val="List Continue"/>
    <w:basedOn w:val="Normal"/>
    <w:uiPriority w:val="99"/>
    <w:semiHidden/>
    <w:locked/>
    <w:rsid w:val="002C6AFC"/>
    <w:pPr>
      <w:ind w:left="283"/>
    </w:pPr>
  </w:style>
  <w:style w:type="paragraph" w:styleId="ListContinue2">
    <w:name w:val="List Continue 2"/>
    <w:basedOn w:val="Normal"/>
    <w:uiPriority w:val="99"/>
    <w:semiHidden/>
    <w:locked/>
    <w:rsid w:val="002C6AFC"/>
    <w:pPr>
      <w:ind w:left="566"/>
    </w:pPr>
  </w:style>
  <w:style w:type="paragraph" w:styleId="ListContinue3">
    <w:name w:val="List Continue 3"/>
    <w:basedOn w:val="Normal"/>
    <w:uiPriority w:val="99"/>
    <w:semiHidden/>
    <w:locked/>
    <w:rsid w:val="002C6AFC"/>
    <w:pPr>
      <w:ind w:left="849"/>
    </w:pPr>
  </w:style>
  <w:style w:type="paragraph" w:styleId="ListContinue4">
    <w:name w:val="List Continue 4"/>
    <w:basedOn w:val="Normal"/>
    <w:uiPriority w:val="99"/>
    <w:semiHidden/>
    <w:locked/>
    <w:rsid w:val="002C6AFC"/>
    <w:pPr>
      <w:ind w:left="1132"/>
    </w:pPr>
  </w:style>
  <w:style w:type="paragraph" w:styleId="ListContinue5">
    <w:name w:val="List Continue 5"/>
    <w:basedOn w:val="Normal"/>
    <w:uiPriority w:val="99"/>
    <w:semiHidden/>
    <w:locked/>
    <w:rsid w:val="002C6AFC"/>
    <w:pPr>
      <w:ind w:left="1415"/>
    </w:pPr>
  </w:style>
  <w:style w:type="paragraph" w:styleId="ListNumber3">
    <w:name w:val="List Number 3"/>
    <w:basedOn w:val="Normal"/>
    <w:uiPriority w:val="99"/>
    <w:semiHidden/>
    <w:locked/>
    <w:rsid w:val="002C6AFC"/>
    <w:pPr>
      <w:numPr>
        <w:numId w:val="3"/>
      </w:numPr>
    </w:pPr>
  </w:style>
  <w:style w:type="paragraph" w:styleId="ListNumber4">
    <w:name w:val="List Number 4"/>
    <w:basedOn w:val="Normal"/>
    <w:uiPriority w:val="99"/>
    <w:semiHidden/>
    <w:locked/>
    <w:rsid w:val="002C6AFC"/>
    <w:pPr>
      <w:numPr>
        <w:numId w:val="4"/>
      </w:numPr>
    </w:pPr>
  </w:style>
  <w:style w:type="paragraph" w:styleId="ListNumber5">
    <w:name w:val="List Number 5"/>
    <w:basedOn w:val="Normal"/>
    <w:uiPriority w:val="99"/>
    <w:semiHidden/>
    <w:locked/>
    <w:rsid w:val="002C6AFC"/>
    <w:pPr>
      <w:numPr>
        <w:numId w:val="5"/>
      </w:numPr>
    </w:pPr>
  </w:style>
  <w:style w:type="paragraph" w:styleId="MessageHeader">
    <w:name w:val="Message Header"/>
    <w:basedOn w:val="Normal"/>
    <w:link w:val="MessageHeaderChar"/>
    <w:uiPriority w:val="99"/>
    <w:semiHidden/>
    <w:locked/>
    <w:rsid w:val="002C6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2C6AFC"/>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2C6AFC"/>
    <w:rPr>
      <w:rFonts w:ascii="Times New Roman" w:hAnsi="Times New Roman"/>
      <w:sz w:val="24"/>
      <w:szCs w:val="24"/>
    </w:rPr>
  </w:style>
  <w:style w:type="paragraph" w:styleId="NormalIndent">
    <w:name w:val="Normal Indent"/>
    <w:basedOn w:val="Normal"/>
    <w:uiPriority w:val="99"/>
    <w:semiHidden/>
    <w:locked/>
    <w:rsid w:val="002C6AFC"/>
    <w:pPr>
      <w:ind w:left="720"/>
    </w:pPr>
  </w:style>
  <w:style w:type="paragraph" w:styleId="NoteHeading">
    <w:name w:val="Note Heading"/>
    <w:basedOn w:val="Normal"/>
    <w:next w:val="Normal"/>
    <w:link w:val="NoteHeadingChar"/>
    <w:uiPriority w:val="99"/>
    <w:semiHidden/>
    <w:locked/>
    <w:rsid w:val="002C6AFC"/>
  </w:style>
  <w:style w:type="character" w:customStyle="1" w:styleId="NoteHeadingChar">
    <w:name w:val="Note Heading Char"/>
    <w:basedOn w:val="DefaultParagraphFont"/>
    <w:link w:val="NoteHeading"/>
    <w:uiPriority w:val="99"/>
    <w:semiHidden/>
    <w:locked/>
    <w:rsid w:val="002C6AFC"/>
    <w:rPr>
      <w:rFonts w:eastAsia="Calibri"/>
      <w:color w:val="000000"/>
    </w:rPr>
  </w:style>
  <w:style w:type="paragraph" w:styleId="PlainText">
    <w:name w:val="Plain Text"/>
    <w:basedOn w:val="Normal"/>
    <w:link w:val="PlainTextChar"/>
    <w:uiPriority w:val="99"/>
    <w:semiHidden/>
    <w:locked/>
    <w:rsid w:val="002C6A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C6AFC"/>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2C6AFC"/>
  </w:style>
  <w:style w:type="character" w:customStyle="1" w:styleId="SalutationChar">
    <w:name w:val="Salutation Char"/>
    <w:basedOn w:val="DefaultParagraphFont"/>
    <w:link w:val="Salutation"/>
    <w:uiPriority w:val="99"/>
    <w:semiHidden/>
    <w:locked/>
    <w:rsid w:val="002C6AFC"/>
    <w:rPr>
      <w:rFonts w:eastAsia="Calibri"/>
      <w:color w:val="000000"/>
    </w:rPr>
  </w:style>
  <w:style w:type="paragraph" w:styleId="Signature">
    <w:name w:val="Signature"/>
    <w:basedOn w:val="Normal"/>
    <w:link w:val="SignatureChar"/>
    <w:uiPriority w:val="99"/>
    <w:semiHidden/>
    <w:locked/>
    <w:rsid w:val="002C6AFC"/>
    <w:pPr>
      <w:ind w:left="4252"/>
    </w:pPr>
  </w:style>
  <w:style w:type="character" w:customStyle="1" w:styleId="SignatureChar">
    <w:name w:val="Signature Char"/>
    <w:basedOn w:val="DefaultParagraphFont"/>
    <w:link w:val="Signature"/>
    <w:uiPriority w:val="99"/>
    <w:semiHidden/>
    <w:locked/>
    <w:rsid w:val="002C6AFC"/>
    <w:rPr>
      <w:rFonts w:eastAsia="Calibri"/>
      <w:color w:val="000000"/>
    </w:rPr>
  </w:style>
  <w:style w:type="character" w:styleId="Strong">
    <w:name w:val="Strong"/>
    <w:basedOn w:val="DefaultParagraphFont"/>
    <w:uiPriority w:val="99"/>
    <w:semiHidden/>
    <w:locked/>
    <w:rsid w:val="0041302C"/>
    <w:rPr>
      <w:rFonts w:cs="Times New Roman"/>
      <w:b/>
      <w:bCs/>
    </w:rPr>
  </w:style>
  <w:style w:type="table" w:styleId="Table3Deffects1">
    <w:name w:val="Table 3D effects 1"/>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2C6AFC"/>
    <w:pPr>
      <w:spacing w:after="120"/>
    </w:pPr>
    <w:rPr>
      <w:rFonts w:eastAsia="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2C6AFC"/>
    <w:pPr>
      <w:spacing w:after="120"/>
    </w:pPr>
    <w:rPr>
      <w:rFonts w:eastAsia="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2C6AFC"/>
    <w:pPr>
      <w:spacing w:after="120"/>
    </w:pPr>
    <w:rPr>
      <w:rFonts w:eastAsia="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2C6AFC"/>
    <w:pPr>
      <w:spacing w:after="120"/>
    </w:pPr>
    <w:rPr>
      <w:rFonts w:eastAsia="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2C6AFC"/>
    <w:pPr>
      <w:spacing w:after="120"/>
    </w:pPr>
    <w:rPr>
      <w:rFonts w:eastAsia="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2C6AFC"/>
    <w:pPr>
      <w:spacing w:after="120"/>
    </w:pPr>
    <w:rPr>
      <w:rFonts w:eastAsia="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2C6AFC"/>
    <w:pPr>
      <w:spacing w:after="120"/>
    </w:pPr>
    <w:rPr>
      <w:rFonts w:eastAsia="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2C6AFC"/>
    <w:pPr>
      <w:spacing w:after="120"/>
    </w:pPr>
    <w:rPr>
      <w:rFonts w:eastAsia="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2C6AFC"/>
    <w:pPr>
      <w:spacing w:after="120"/>
    </w:pPr>
    <w:rPr>
      <w:rFonts w:eastAsia="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2C6AFC"/>
    <w:pPr>
      <w:spacing w:after="120"/>
    </w:pPr>
    <w:rPr>
      <w:rFonts w:eastAsia="Times New Roman"/>
      <w:sz w:val="20"/>
      <w:szCs w:val="20"/>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2C6AFC"/>
    <w:pPr>
      <w:spacing w:after="120"/>
    </w:pPr>
    <w:rPr>
      <w:rFonts w:eastAsia="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2C6AFC"/>
    <w:pPr>
      <w:spacing w:after="120"/>
    </w:pPr>
    <w:rPr>
      <w:rFonts w:eastAsia="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2C6AFC"/>
    <w:pPr>
      <w:spacing w:after="120"/>
    </w:pPr>
    <w:rPr>
      <w:rFonts w:eastAsia="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2C6AFC"/>
    <w:pPr>
      <w:spacing w:after="120"/>
    </w:pPr>
    <w:rPr>
      <w:rFonts w:eastAsia="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2C6AFC"/>
    <w:pPr>
      <w:spacing w:after="120"/>
    </w:pPr>
    <w:rPr>
      <w:rFonts w:eastAsia="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2C6AFC"/>
    <w:pPr>
      <w:spacing w:after="120"/>
    </w:pPr>
    <w:rPr>
      <w:rFonts w:eastAsia="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2C6AFC"/>
    <w:pPr>
      <w:spacing w:after="120"/>
    </w:pPr>
    <w:rPr>
      <w:rFonts w:eastAsia="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2C6AFC"/>
    <w:pPr>
      <w:spacing w:after="120"/>
    </w:pPr>
    <w:rPr>
      <w:rFonts w:eastAsia="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2C6AFC"/>
    <w:pPr>
      <w:spacing w:after="120"/>
    </w:pPr>
    <w:rPr>
      <w:rFonts w:eastAsia="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2C6AFC"/>
    <w:pPr>
      <w:spacing w:after="120"/>
    </w:pPr>
    <w:rPr>
      <w:rFonts w:eastAsia="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2C6AFC"/>
    <w:pPr>
      <w:spacing w:after="120"/>
    </w:pPr>
    <w:rPr>
      <w:rFonts w:eastAsia="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2C6AFC"/>
    <w:pPr>
      <w:spacing w:after="120"/>
    </w:pPr>
    <w:rPr>
      <w:rFonts w:eastAsia="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2C6AFC"/>
    <w:pPr>
      <w:spacing w:after="120"/>
    </w:pPr>
    <w:rPr>
      <w:rFonts w:eastAsia="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2C6AFC"/>
    <w:pPr>
      <w:spacing w:after="120"/>
    </w:pPr>
    <w:rPr>
      <w:rFonts w:eastAsia="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2C6AFC"/>
    <w:pPr>
      <w:spacing w:after="120"/>
    </w:pPr>
    <w:rPr>
      <w:rFonts w:eastAsia="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2C6AFC"/>
    <w:pPr>
      <w:spacing w:after="120"/>
    </w:pPr>
    <w:rPr>
      <w:rFonts w:eastAsia="Times New Roman"/>
      <w:sz w:val="20"/>
      <w:szCs w:val="20"/>
    </w:r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2C6AFC"/>
    <w:pPr>
      <w:spacing w:after="120"/>
    </w:pPr>
    <w:rPr>
      <w:rFonts w:eastAsia="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2C6AFC"/>
    <w:pPr>
      <w:spacing w:after="120"/>
    </w:pPr>
    <w:rPr>
      <w:rFonts w:eastAsia="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2C6AFC"/>
    <w:pPr>
      <w:spacing w:after="120"/>
    </w:pPr>
    <w:rPr>
      <w:rFonts w:eastAsia="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2C6AFC"/>
    <w:pPr>
      <w:spacing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locked/>
    <w:rsid w:val="002C6AFC"/>
    <w:pPr>
      <w:spacing w:after="120"/>
    </w:pPr>
    <w:rPr>
      <w:rFonts w:eastAsia="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2C6AFC"/>
    <w:pPr>
      <w:spacing w:after="120"/>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2C6AFC"/>
    <w:pPr>
      <w:spacing w:after="120"/>
    </w:pPr>
    <w:rPr>
      <w:rFonts w:eastAsia="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2C6AFC"/>
    <w:pPr>
      <w:spacing w:before="180" w:after="60"/>
    </w:pPr>
    <w:rPr>
      <w:rFonts w:eastAsia="Times New Roman"/>
      <w:bCs/>
      <w:color w:val="41B6E6" w:themeColor="accent1"/>
      <w:sz w:val="24"/>
      <w:szCs w:val="26"/>
      <w:lang w:eastAsia="en-US"/>
    </w:rPr>
  </w:style>
  <w:style w:type="paragraph" w:customStyle="1" w:styleId="BusinessUnitName">
    <w:name w:val="Business Unit Name"/>
    <w:uiPriority w:val="12"/>
    <w:qFormat/>
    <w:rsid w:val="002C6AFC"/>
    <w:rPr>
      <w:b/>
      <w:caps/>
      <w:noProof/>
      <w:color w:val="FFFFFF"/>
      <w:spacing w:val="16"/>
      <w:szCs w:val="24"/>
      <w:lang w:eastAsia="en-US"/>
    </w:rPr>
  </w:style>
  <w:style w:type="character" w:styleId="CommentReference">
    <w:name w:val="annotation reference"/>
    <w:basedOn w:val="DefaultParagraphFont"/>
    <w:uiPriority w:val="99"/>
    <w:semiHidden/>
    <w:locked/>
    <w:rsid w:val="002C6AFC"/>
    <w:rPr>
      <w:rFonts w:cs="Times New Roman"/>
      <w:sz w:val="16"/>
      <w:szCs w:val="16"/>
    </w:rPr>
  </w:style>
  <w:style w:type="paragraph" w:styleId="CommentText">
    <w:name w:val="annotation text"/>
    <w:basedOn w:val="Normal"/>
    <w:link w:val="CommentTextChar"/>
    <w:uiPriority w:val="99"/>
    <w:semiHidden/>
    <w:locked/>
    <w:rsid w:val="002C6AFC"/>
    <w:rPr>
      <w:sz w:val="20"/>
      <w:szCs w:val="20"/>
    </w:rPr>
  </w:style>
  <w:style w:type="character" w:customStyle="1" w:styleId="CommentTextChar">
    <w:name w:val="Comment Text Char"/>
    <w:basedOn w:val="DefaultParagraphFont"/>
    <w:link w:val="CommentText"/>
    <w:uiPriority w:val="99"/>
    <w:semiHidden/>
    <w:rsid w:val="002C6AFC"/>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2C6AFC"/>
    <w:rPr>
      <w:b/>
      <w:bCs/>
    </w:rPr>
  </w:style>
  <w:style w:type="character" w:customStyle="1" w:styleId="CommentSubjectChar">
    <w:name w:val="Comment Subject Char"/>
    <w:basedOn w:val="CommentTextChar"/>
    <w:link w:val="CommentSubject"/>
    <w:uiPriority w:val="99"/>
    <w:semiHidden/>
    <w:rsid w:val="002C6AFC"/>
    <w:rPr>
      <w:b/>
      <w:bCs/>
    </w:rPr>
  </w:style>
  <w:style w:type="paragraph" w:styleId="DocumentMap">
    <w:name w:val="Document Map"/>
    <w:basedOn w:val="Normal"/>
    <w:link w:val="DocumentMapChar"/>
    <w:uiPriority w:val="99"/>
    <w:semiHidden/>
    <w:locked/>
    <w:rsid w:val="002C6A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C6AFC"/>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2C6AFC"/>
    <w:rPr>
      <w:rFonts w:cs="Times New Roman"/>
      <w:vertAlign w:val="superscript"/>
    </w:rPr>
  </w:style>
  <w:style w:type="paragraph" w:styleId="EndnoteText">
    <w:name w:val="endnote text"/>
    <w:basedOn w:val="Normal"/>
    <w:link w:val="EndnoteTextChar"/>
    <w:uiPriority w:val="99"/>
    <w:semiHidden/>
    <w:locked/>
    <w:rsid w:val="002C6AFC"/>
    <w:rPr>
      <w:sz w:val="20"/>
      <w:szCs w:val="20"/>
    </w:rPr>
  </w:style>
  <w:style w:type="character" w:customStyle="1" w:styleId="EndnoteTextChar">
    <w:name w:val="Endnote Text Char"/>
    <w:basedOn w:val="DefaultParagraphFont"/>
    <w:link w:val="EndnoteText"/>
    <w:uiPriority w:val="99"/>
    <w:semiHidden/>
    <w:rsid w:val="002C6AFC"/>
    <w:rPr>
      <w:rFonts w:eastAsia="Calibri"/>
      <w:color w:val="000000"/>
      <w:sz w:val="20"/>
      <w:szCs w:val="20"/>
    </w:rPr>
  </w:style>
  <w:style w:type="paragraph" w:styleId="Index1">
    <w:name w:val="index 1"/>
    <w:basedOn w:val="Normal"/>
    <w:next w:val="Normal"/>
    <w:autoRedefine/>
    <w:uiPriority w:val="99"/>
    <w:semiHidden/>
    <w:locked/>
    <w:rsid w:val="002C6AFC"/>
    <w:pPr>
      <w:ind w:left="220" w:hanging="220"/>
    </w:pPr>
  </w:style>
  <w:style w:type="paragraph" w:styleId="Index2">
    <w:name w:val="index 2"/>
    <w:basedOn w:val="Normal"/>
    <w:next w:val="Normal"/>
    <w:autoRedefine/>
    <w:uiPriority w:val="99"/>
    <w:semiHidden/>
    <w:locked/>
    <w:rsid w:val="002C6AFC"/>
    <w:pPr>
      <w:ind w:left="440" w:hanging="220"/>
    </w:pPr>
  </w:style>
  <w:style w:type="paragraph" w:styleId="Index3">
    <w:name w:val="index 3"/>
    <w:basedOn w:val="Normal"/>
    <w:next w:val="Normal"/>
    <w:autoRedefine/>
    <w:uiPriority w:val="99"/>
    <w:semiHidden/>
    <w:locked/>
    <w:rsid w:val="002C6AFC"/>
    <w:pPr>
      <w:ind w:left="660" w:hanging="220"/>
    </w:pPr>
  </w:style>
  <w:style w:type="paragraph" w:styleId="Index4">
    <w:name w:val="index 4"/>
    <w:basedOn w:val="Normal"/>
    <w:next w:val="Normal"/>
    <w:autoRedefine/>
    <w:uiPriority w:val="99"/>
    <w:semiHidden/>
    <w:locked/>
    <w:rsid w:val="002C6AFC"/>
    <w:pPr>
      <w:ind w:left="880" w:hanging="220"/>
    </w:pPr>
  </w:style>
  <w:style w:type="paragraph" w:styleId="Index5">
    <w:name w:val="index 5"/>
    <w:basedOn w:val="Normal"/>
    <w:next w:val="Normal"/>
    <w:autoRedefine/>
    <w:uiPriority w:val="99"/>
    <w:semiHidden/>
    <w:locked/>
    <w:rsid w:val="002C6AFC"/>
    <w:pPr>
      <w:ind w:left="1100" w:hanging="220"/>
    </w:pPr>
  </w:style>
  <w:style w:type="paragraph" w:styleId="Index6">
    <w:name w:val="index 6"/>
    <w:basedOn w:val="Normal"/>
    <w:next w:val="Normal"/>
    <w:autoRedefine/>
    <w:uiPriority w:val="99"/>
    <w:semiHidden/>
    <w:locked/>
    <w:rsid w:val="002C6AFC"/>
    <w:pPr>
      <w:ind w:left="1320" w:hanging="220"/>
    </w:pPr>
  </w:style>
  <w:style w:type="paragraph" w:styleId="Index7">
    <w:name w:val="index 7"/>
    <w:basedOn w:val="Normal"/>
    <w:next w:val="Normal"/>
    <w:autoRedefine/>
    <w:uiPriority w:val="99"/>
    <w:semiHidden/>
    <w:locked/>
    <w:rsid w:val="002C6AFC"/>
    <w:pPr>
      <w:ind w:left="1540" w:hanging="220"/>
    </w:pPr>
  </w:style>
  <w:style w:type="paragraph" w:styleId="Index8">
    <w:name w:val="index 8"/>
    <w:basedOn w:val="Normal"/>
    <w:next w:val="Normal"/>
    <w:autoRedefine/>
    <w:uiPriority w:val="99"/>
    <w:semiHidden/>
    <w:locked/>
    <w:rsid w:val="002C6AFC"/>
    <w:pPr>
      <w:ind w:left="1760" w:hanging="220"/>
    </w:pPr>
  </w:style>
  <w:style w:type="paragraph" w:styleId="Index9">
    <w:name w:val="index 9"/>
    <w:basedOn w:val="Normal"/>
    <w:next w:val="Normal"/>
    <w:autoRedefine/>
    <w:uiPriority w:val="99"/>
    <w:semiHidden/>
    <w:locked/>
    <w:rsid w:val="002C6AFC"/>
    <w:pPr>
      <w:ind w:left="1980" w:hanging="220"/>
    </w:pPr>
  </w:style>
  <w:style w:type="paragraph" w:styleId="IndexHeading">
    <w:name w:val="index heading"/>
    <w:basedOn w:val="Normal"/>
    <w:next w:val="Index1"/>
    <w:uiPriority w:val="99"/>
    <w:semiHidden/>
    <w:locked/>
    <w:rsid w:val="002C6AFC"/>
    <w:rPr>
      <w:rFonts w:ascii="Arial" w:hAnsi="Arial" w:cs="Arial"/>
      <w:b/>
      <w:bCs/>
    </w:rPr>
  </w:style>
  <w:style w:type="paragraph" w:styleId="MacroText">
    <w:name w:val="macro"/>
    <w:link w:val="MacroTextChar"/>
    <w:uiPriority w:val="99"/>
    <w:semiHidden/>
    <w:locked/>
    <w:rsid w:val="002C6AFC"/>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2C6AFC"/>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2C6AFC"/>
    <w:pPr>
      <w:ind w:left="220" w:hanging="220"/>
    </w:pPr>
  </w:style>
  <w:style w:type="paragraph" w:styleId="TableofFigures">
    <w:name w:val="table of figures"/>
    <w:basedOn w:val="Normal"/>
    <w:next w:val="Normal"/>
    <w:uiPriority w:val="99"/>
    <w:locked/>
    <w:rsid w:val="002C6AFC"/>
    <w:pPr>
      <w:tabs>
        <w:tab w:val="right" w:leader="dot" w:pos="9639"/>
      </w:tabs>
      <w:ind w:right="284"/>
    </w:pPr>
  </w:style>
  <w:style w:type="paragraph" w:styleId="TOAHeading">
    <w:name w:val="toa heading"/>
    <w:basedOn w:val="Normal"/>
    <w:next w:val="Normal"/>
    <w:uiPriority w:val="99"/>
    <w:semiHidden/>
    <w:locked/>
    <w:rsid w:val="002C6AFC"/>
    <w:pPr>
      <w:spacing w:before="120"/>
    </w:pPr>
    <w:rPr>
      <w:rFonts w:ascii="Arial" w:hAnsi="Arial" w:cs="Arial"/>
      <w:b/>
      <w:bCs/>
      <w:sz w:val="24"/>
      <w:szCs w:val="24"/>
    </w:rPr>
  </w:style>
  <w:style w:type="paragraph" w:styleId="TOC5">
    <w:name w:val="toc 5"/>
    <w:basedOn w:val="Normal"/>
    <w:next w:val="Normal"/>
    <w:autoRedefine/>
    <w:uiPriority w:val="99"/>
    <w:semiHidden/>
    <w:rsid w:val="002C6AFC"/>
    <w:pPr>
      <w:ind w:left="880"/>
    </w:pPr>
  </w:style>
  <w:style w:type="paragraph" w:styleId="TOC6">
    <w:name w:val="toc 6"/>
    <w:basedOn w:val="Normal"/>
    <w:next w:val="Normal"/>
    <w:autoRedefine/>
    <w:uiPriority w:val="99"/>
    <w:semiHidden/>
    <w:rsid w:val="002C6AFC"/>
    <w:pPr>
      <w:ind w:left="1100"/>
    </w:pPr>
  </w:style>
  <w:style w:type="paragraph" w:styleId="TOC7">
    <w:name w:val="toc 7"/>
    <w:basedOn w:val="Normal"/>
    <w:next w:val="Normal"/>
    <w:autoRedefine/>
    <w:uiPriority w:val="99"/>
    <w:semiHidden/>
    <w:rsid w:val="002C6AFC"/>
    <w:pPr>
      <w:ind w:left="1320"/>
    </w:pPr>
  </w:style>
  <w:style w:type="paragraph" w:styleId="TOC8">
    <w:name w:val="toc 8"/>
    <w:basedOn w:val="Normal"/>
    <w:next w:val="Normal"/>
    <w:autoRedefine/>
    <w:uiPriority w:val="99"/>
    <w:semiHidden/>
    <w:rsid w:val="002C6AFC"/>
    <w:pPr>
      <w:ind w:left="1540"/>
    </w:pPr>
  </w:style>
  <w:style w:type="numbering" w:customStyle="1" w:styleId="TableBullets">
    <w:name w:val="TableBullets"/>
    <w:uiPriority w:val="99"/>
    <w:rsid w:val="002C6AFC"/>
    <w:pPr>
      <w:numPr>
        <w:numId w:val="8"/>
      </w:numPr>
    </w:pPr>
  </w:style>
  <w:style w:type="numbering" w:customStyle="1" w:styleId="Sources">
    <w:name w:val="Sources"/>
    <w:rsid w:val="002C6AFC"/>
    <w:pPr>
      <w:numPr>
        <w:numId w:val="7"/>
      </w:numPr>
    </w:pPr>
  </w:style>
  <w:style w:type="numbering" w:styleId="1ai">
    <w:name w:val="Outline List 1"/>
    <w:basedOn w:val="NoList"/>
    <w:uiPriority w:val="99"/>
    <w:semiHidden/>
    <w:unhideWhenUsed/>
    <w:locked/>
    <w:rsid w:val="002C6AFC"/>
    <w:pPr>
      <w:numPr>
        <w:numId w:val="12"/>
      </w:numPr>
    </w:pPr>
  </w:style>
  <w:style w:type="numbering" w:styleId="111111">
    <w:name w:val="Outline List 2"/>
    <w:basedOn w:val="NoList"/>
    <w:uiPriority w:val="99"/>
    <w:semiHidden/>
    <w:unhideWhenUsed/>
    <w:locked/>
    <w:rsid w:val="002C6AFC"/>
    <w:pPr>
      <w:numPr>
        <w:numId w:val="11"/>
      </w:numPr>
    </w:pPr>
  </w:style>
  <w:style w:type="numbering" w:customStyle="1" w:styleId="Bullets">
    <w:name w:val="Bullets"/>
    <w:rsid w:val="002C6AFC"/>
    <w:pPr>
      <w:numPr>
        <w:numId w:val="6"/>
      </w:numPr>
    </w:pPr>
  </w:style>
  <w:style w:type="numbering" w:customStyle="1" w:styleId="Numbers">
    <w:name w:val="Numbers"/>
    <w:rsid w:val="002C6AFC"/>
    <w:pPr>
      <w:numPr>
        <w:numId w:val="9"/>
      </w:numPr>
    </w:pPr>
  </w:style>
  <w:style w:type="numbering" w:styleId="ArticleSection">
    <w:name w:val="Outline List 3"/>
    <w:basedOn w:val="NoList"/>
    <w:uiPriority w:val="99"/>
    <w:semiHidden/>
    <w:unhideWhenUsed/>
    <w:locked/>
    <w:rsid w:val="002C6AFC"/>
    <w:pPr>
      <w:numPr>
        <w:numId w:val="13"/>
      </w:numPr>
    </w:pPr>
  </w:style>
  <w:style w:type="paragraph" w:customStyle="1" w:styleId="AppendixHeading1base">
    <w:name w:val="Appendix Heading 1 base"/>
    <w:uiPriority w:val="20"/>
    <w:semiHidden/>
    <w:qFormat/>
    <w:rsid w:val="002C6AFC"/>
    <w:pPr>
      <w:keepNext/>
      <w:pageBreakBefore/>
      <w:numPr>
        <w:numId w:val="15"/>
      </w:numPr>
      <w:tabs>
        <w:tab w:val="left" w:pos="2268"/>
      </w:tabs>
    </w:pPr>
    <w:rPr>
      <w:rFonts w:eastAsiaTheme="majorEastAsia" w:cstheme="majorBidi"/>
      <w:b/>
      <w:bCs/>
      <w:color w:val="41B6E6" w:themeColor="accent1"/>
      <w:sz w:val="44"/>
      <w:szCs w:val="28"/>
    </w:rPr>
  </w:style>
  <w:style w:type="paragraph" w:customStyle="1" w:styleId="AppendixHeading2">
    <w:name w:val="Appendix Heading 2"/>
    <w:basedOn w:val="Heading2"/>
    <w:uiPriority w:val="11"/>
    <w:qFormat/>
    <w:rsid w:val="002C6AFC"/>
    <w:pPr>
      <w:numPr>
        <w:numId w:val="15"/>
      </w:numPr>
    </w:pPr>
  </w:style>
  <w:style w:type="paragraph" w:customStyle="1" w:styleId="AppendixHeading3">
    <w:name w:val="Appendix Heading 3"/>
    <w:basedOn w:val="Heading3"/>
    <w:uiPriority w:val="11"/>
    <w:qFormat/>
    <w:rsid w:val="002C6AFC"/>
    <w:pPr>
      <w:numPr>
        <w:numId w:val="15"/>
      </w:numPr>
    </w:pPr>
  </w:style>
  <w:style w:type="paragraph" w:customStyle="1" w:styleId="AppendixHeading4">
    <w:name w:val="Appendix Heading 4"/>
    <w:basedOn w:val="Heading4"/>
    <w:uiPriority w:val="11"/>
    <w:qFormat/>
    <w:rsid w:val="002C6AFC"/>
  </w:style>
  <w:style w:type="paragraph" w:customStyle="1" w:styleId="Equation">
    <w:name w:val="Equation"/>
    <w:basedOn w:val="Normal"/>
    <w:next w:val="Normal"/>
    <w:uiPriority w:val="7"/>
    <w:qFormat/>
    <w:rsid w:val="002C6AFC"/>
    <w:pPr>
      <w:tabs>
        <w:tab w:val="right" w:pos="7938"/>
      </w:tabs>
      <w:spacing w:before="284" w:after="284"/>
      <w:ind w:left="567"/>
    </w:pPr>
    <w:rPr>
      <w:rFonts w:asciiTheme="minorHAnsi" w:eastAsia="Times New Roman" w:hAnsiTheme="minorHAnsi"/>
      <w:color w:val="auto"/>
      <w:szCs w:val="24"/>
      <w:lang w:eastAsia="en-US"/>
    </w:rPr>
  </w:style>
  <w:style w:type="paragraph" w:customStyle="1" w:styleId="Reference">
    <w:name w:val="Reference"/>
    <w:basedOn w:val="Normal"/>
    <w:uiPriority w:val="9"/>
    <w:qFormat/>
    <w:rsid w:val="002C6AFC"/>
    <w:pPr>
      <w:ind w:left="567" w:hanging="567"/>
    </w:pPr>
  </w:style>
  <w:style w:type="paragraph" w:styleId="ListNumber2">
    <w:name w:val="List Number 2"/>
    <w:basedOn w:val="Normal"/>
    <w:uiPriority w:val="2"/>
    <w:qFormat/>
    <w:locked/>
    <w:rsid w:val="002C6AFC"/>
    <w:pPr>
      <w:numPr>
        <w:numId w:val="14"/>
      </w:numPr>
      <w:tabs>
        <w:tab w:val="left" w:pos="794"/>
      </w:tabs>
      <w:contextualSpacing/>
    </w:pPr>
  </w:style>
  <w:style w:type="character" w:customStyle="1" w:styleId="Italics">
    <w:name w:val="Italics"/>
    <w:basedOn w:val="DefaultParagraphFont"/>
    <w:uiPriority w:val="3"/>
    <w:qFormat/>
    <w:rsid w:val="002C6AFC"/>
    <w:rPr>
      <w:i/>
    </w:rPr>
  </w:style>
  <w:style w:type="paragraph" w:styleId="ListParagraph">
    <w:name w:val="List Paragraph"/>
    <w:basedOn w:val="Normal"/>
    <w:uiPriority w:val="99"/>
    <w:qFormat/>
    <w:rsid w:val="002C6AFC"/>
    <w:pPr>
      <w:ind w:left="720"/>
      <w:contextualSpacing/>
    </w:pPr>
  </w:style>
  <w:style w:type="paragraph" w:styleId="Revision">
    <w:name w:val="Revision"/>
    <w:hidden/>
    <w:uiPriority w:val="99"/>
    <w:semiHidden/>
    <w:rsid w:val="002C6AFC"/>
    <w:rPr>
      <w:rFonts w:eastAsia="Calibri"/>
      <w:color w:val="000000"/>
    </w:rPr>
  </w:style>
  <w:style w:type="character" w:customStyle="1" w:styleId="ReferencetextChar">
    <w:name w:val="Reference text Char"/>
    <w:link w:val="Referencetext"/>
    <w:uiPriority w:val="99"/>
    <w:locked/>
    <w:rsid w:val="002C6AFC"/>
    <w:rPr>
      <w:rFonts w:ascii="Arial" w:eastAsia="MS Mincho" w:hAnsi="Arial"/>
      <w:sz w:val="16"/>
      <w:lang w:eastAsia="ja-JP"/>
    </w:rPr>
  </w:style>
  <w:style w:type="paragraph" w:customStyle="1" w:styleId="Referencetext">
    <w:name w:val="Reference text"/>
    <w:basedOn w:val="Normal"/>
    <w:link w:val="ReferencetextChar"/>
    <w:uiPriority w:val="99"/>
    <w:rsid w:val="002C6AFC"/>
    <w:pPr>
      <w:spacing w:after="60" w:line="276" w:lineRule="auto"/>
      <w:ind w:left="425" w:hanging="425"/>
    </w:pPr>
    <w:rPr>
      <w:rFonts w:ascii="Arial" w:eastAsia="MS Mincho" w:hAnsi="Arial"/>
      <w:color w:val="auto"/>
      <w:sz w:val="16"/>
      <w:lang w:eastAsia="ja-JP"/>
    </w:rPr>
  </w:style>
  <w:style w:type="paragraph" w:customStyle="1" w:styleId="TableLeft">
    <w:name w:val="Table Left"/>
    <w:basedOn w:val="BodyText"/>
    <w:uiPriority w:val="2"/>
    <w:qFormat/>
    <w:rsid w:val="002C6AFC"/>
    <w:pPr>
      <w:spacing w:after="200" w:line="240" w:lineRule="atLeast"/>
    </w:pPr>
    <w:rPr>
      <w:rFonts w:ascii="Arial" w:eastAsia="MS Mincho" w:hAnsi="Arial" w:cstheme="minorBidi"/>
      <w:color w:val="auto"/>
      <w:sz w:val="16"/>
      <w:szCs w:val="24"/>
      <w:lang w:eastAsia="ja-JP"/>
    </w:rPr>
  </w:style>
  <w:style w:type="paragraph" w:styleId="Title">
    <w:name w:val="Title"/>
    <w:basedOn w:val="Normal"/>
    <w:next w:val="Normal"/>
    <w:link w:val="TitleChar"/>
    <w:semiHidden/>
    <w:qFormat/>
    <w:rsid w:val="002C6AFC"/>
    <w:pPr>
      <w:pBdr>
        <w:bottom w:val="single" w:sz="8" w:space="4" w:color="41B6E6" w:themeColor="accent1"/>
      </w:pBdr>
      <w:spacing w:after="300" w:line="276" w:lineRule="auto"/>
      <w:contextualSpacing/>
    </w:pPr>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TitleChar">
    <w:name w:val="Title Char"/>
    <w:basedOn w:val="DefaultParagraphFont"/>
    <w:link w:val="Title"/>
    <w:semiHidden/>
    <w:rsid w:val="002C6AFC"/>
    <w:rPr>
      <w:rFonts w:asciiTheme="majorHAnsi" w:eastAsiaTheme="majorEastAsia" w:hAnsiTheme="majorHAnsi" w:cstheme="majorBidi"/>
      <w:color w:val="000000" w:themeColor="text2" w:themeShade="BF"/>
      <w:spacing w:val="5"/>
      <w:kern w:val="28"/>
      <w:sz w:val="52"/>
      <w:szCs w:val="52"/>
      <w:lang w:eastAsia="en-US"/>
    </w:rPr>
  </w:style>
  <w:style w:type="character" w:customStyle="1" w:styleId="CaptionChar">
    <w:name w:val="Caption Char"/>
    <w:basedOn w:val="DefaultParagraphFont"/>
    <w:link w:val="Caption"/>
    <w:uiPriority w:val="4"/>
    <w:rsid w:val="002C6AFC"/>
    <w:rPr>
      <w:rFonts w:eastAsia="Calibri"/>
      <w:b/>
      <w:bCs/>
      <w:color w:val="41B6E6" w:themeColor="accent1"/>
      <w:sz w:val="20"/>
      <w:szCs w:val="18"/>
    </w:rPr>
  </w:style>
  <w:style w:type="paragraph" w:customStyle="1" w:styleId="Captionwithnote">
    <w:name w:val="Caption (with note)"/>
    <w:basedOn w:val="Caption"/>
    <w:qFormat/>
    <w:rsid w:val="00D94A34"/>
    <w:pPr>
      <w:keepNext w:val="0"/>
      <w:spacing w:after="0"/>
    </w:pPr>
  </w:style>
  <w:style w:type="paragraph" w:customStyle="1" w:styleId="Captionnote">
    <w:name w:val="Caption note"/>
    <w:basedOn w:val="Caption"/>
    <w:qFormat/>
    <w:rsid w:val="00D94A34"/>
    <w:pPr>
      <w:keepNext w:val="0"/>
      <w:spacing w:before="0" w:after="240"/>
    </w:pPr>
    <w:rPr>
      <w:b w:val="0"/>
    </w:rPr>
  </w:style>
</w:styles>
</file>

<file path=word/webSettings.xml><?xml version="1.0" encoding="utf-8"?>
<w:webSettings xmlns:r="http://schemas.openxmlformats.org/officeDocument/2006/relationships" xmlns:w="http://schemas.openxmlformats.org/wordprocessingml/2006/main">
  <w:divs>
    <w:div w:id="822088071">
      <w:bodyDiv w:val="1"/>
      <w:marLeft w:val="0"/>
      <w:marRight w:val="0"/>
      <w:marTop w:val="0"/>
      <w:marBottom w:val="0"/>
      <w:divBdr>
        <w:top w:val="none" w:sz="0" w:space="0" w:color="auto"/>
        <w:left w:val="none" w:sz="0" w:space="0" w:color="auto"/>
        <w:bottom w:val="none" w:sz="0" w:space="0" w:color="auto"/>
        <w:right w:val="none" w:sz="0" w:space="0" w:color="auto"/>
      </w:divBdr>
      <w:divsChild>
        <w:div w:id="1925801358">
          <w:marLeft w:val="0"/>
          <w:marRight w:val="0"/>
          <w:marTop w:val="0"/>
          <w:marBottom w:val="0"/>
          <w:divBdr>
            <w:top w:val="none" w:sz="0" w:space="0" w:color="auto"/>
            <w:left w:val="none" w:sz="0" w:space="0" w:color="auto"/>
            <w:bottom w:val="none" w:sz="0" w:space="0" w:color="auto"/>
            <w:right w:val="none" w:sz="0" w:space="0" w:color="auto"/>
          </w:divBdr>
          <w:divsChild>
            <w:div w:id="2133863100">
              <w:marLeft w:val="0"/>
              <w:marRight w:val="0"/>
              <w:marTop w:val="0"/>
              <w:marBottom w:val="0"/>
              <w:divBdr>
                <w:top w:val="none" w:sz="0" w:space="0" w:color="auto"/>
                <w:left w:val="none" w:sz="0" w:space="0" w:color="auto"/>
                <w:bottom w:val="none" w:sz="0" w:space="0" w:color="auto"/>
                <w:right w:val="none" w:sz="0" w:space="0" w:color="auto"/>
              </w:divBdr>
              <w:divsChild>
                <w:div w:id="1500735515">
                  <w:marLeft w:val="0"/>
                  <w:marRight w:val="0"/>
                  <w:marTop w:val="0"/>
                  <w:marBottom w:val="0"/>
                  <w:divBdr>
                    <w:top w:val="none" w:sz="0" w:space="0" w:color="auto"/>
                    <w:left w:val="none" w:sz="0" w:space="0" w:color="auto"/>
                    <w:bottom w:val="none" w:sz="0" w:space="0" w:color="auto"/>
                    <w:right w:val="none" w:sz="0" w:space="0" w:color="auto"/>
                  </w:divBdr>
                  <w:divsChild>
                    <w:div w:id="52387202">
                      <w:marLeft w:val="0"/>
                      <w:marRight w:val="0"/>
                      <w:marTop w:val="0"/>
                      <w:marBottom w:val="0"/>
                      <w:divBdr>
                        <w:top w:val="none" w:sz="0" w:space="0" w:color="auto"/>
                        <w:left w:val="none" w:sz="0" w:space="0" w:color="auto"/>
                        <w:bottom w:val="none" w:sz="0" w:space="0" w:color="auto"/>
                        <w:right w:val="none" w:sz="0" w:space="0" w:color="auto"/>
                      </w:divBdr>
                      <w:divsChild>
                        <w:div w:id="1969971724">
                          <w:marLeft w:val="0"/>
                          <w:marRight w:val="0"/>
                          <w:marTop w:val="0"/>
                          <w:marBottom w:val="0"/>
                          <w:divBdr>
                            <w:top w:val="none" w:sz="0" w:space="0" w:color="auto"/>
                            <w:left w:val="none" w:sz="0" w:space="0" w:color="auto"/>
                            <w:bottom w:val="none" w:sz="0" w:space="0" w:color="auto"/>
                            <w:right w:val="none" w:sz="0" w:space="0" w:color="auto"/>
                          </w:divBdr>
                          <w:divsChild>
                            <w:div w:id="9865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068023">
      <w:bodyDiv w:val="1"/>
      <w:marLeft w:val="0"/>
      <w:marRight w:val="0"/>
      <w:marTop w:val="0"/>
      <w:marBottom w:val="0"/>
      <w:divBdr>
        <w:top w:val="none" w:sz="0" w:space="0" w:color="auto"/>
        <w:left w:val="none" w:sz="0" w:space="0" w:color="auto"/>
        <w:bottom w:val="none" w:sz="0" w:space="0" w:color="auto"/>
        <w:right w:val="none" w:sz="0" w:space="0" w:color="auto"/>
      </w:divBdr>
    </w:div>
    <w:div w:id="1340695421">
      <w:bodyDiv w:val="1"/>
      <w:marLeft w:val="0"/>
      <w:marRight w:val="0"/>
      <w:marTop w:val="0"/>
      <w:marBottom w:val="0"/>
      <w:divBdr>
        <w:top w:val="none" w:sz="0" w:space="0" w:color="auto"/>
        <w:left w:val="none" w:sz="0" w:space="0" w:color="auto"/>
        <w:bottom w:val="none" w:sz="0" w:space="0" w:color="auto"/>
        <w:right w:val="none" w:sz="0" w:space="0" w:color="auto"/>
      </w:divBdr>
      <w:divsChild>
        <w:div w:id="1118069048">
          <w:marLeft w:val="0"/>
          <w:marRight w:val="0"/>
          <w:marTop w:val="0"/>
          <w:marBottom w:val="0"/>
          <w:divBdr>
            <w:top w:val="none" w:sz="0" w:space="0" w:color="auto"/>
            <w:left w:val="none" w:sz="0" w:space="0" w:color="auto"/>
            <w:bottom w:val="none" w:sz="0" w:space="0" w:color="auto"/>
            <w:right w:val="none" w:sz="0" w:space="0" w:color="auto"/>
          </w:divBdr>
          <w:divsChild>
            <w:div w:id="846752430">
              <w:marLeft w:val="0"/>
              <w:marRight w:val="0"/>
              <w:marTop w:val="0"/>
              <w:marBottom w:val="0"/>
              <w:divBdr>
                <w:top w:val="none" w:sz="0" w:space="0" w:color="auto"/>
                <w:left w:val="none" w:sz="0" w:space="0" w:color="auto"/>
                <w:bottom w:val="none" w:sz="0" w:space="0" w:color="auto"/>
                <w:right w:val="none" w:sz="0" w:space="0" w:color="auto"/>
              </w:divBdr>
              <w:divsChild>
                <w:div w:id="1009143688">
                  <w:marLeft w:val="0"/>
                  <w:marRight w:val="0"/>
                  <w:marTop w:val="0"/>
                  <w:marBottom w:val="0"/>
                  <w:divBdr>
                    <w:top w:val="none" w:sz="0" w:space="0" w:color="auto"/>
                    <w:left w:val="none" w:sz="0" w:space="0" w:color="auto"/>
                    <w:bottom w:val="none" w:sz="0" w:space="0" w:color="auto"/>
                    <w:right w:val="none" w:sz="0" w:space="0" w:color="auto"/>
                  </w:divBdr>
                  <w:divsChild>
                    <w:div w:id="1150557064">
                      <w:marLeft w:val="0"/>
                      <w:marRight w:val="0"/>
                      <w:marTop w:val="0"/>
                      <w:marBottom w:val="0"/>
                      <w:divBdr>
                        <w:top w:val="none" w:sz="0" w:space="0" w:color="auto"/>
                        <w:left w:val="none" w:sz="0" w:space="0" w:color="auto"/>
                        <w:bottom w:val="none" w:sz="0" w:space="0" w:color="auto"/>
                        <w:right w:val="none" w:sz="0" w:space="0" w:color="auto"/>
                      </w:divBdr>
                      <w:divsChild>
                        <w:div w:id="318192579">
                          <w:marLeft w:val="0"/>
                          <w:marRight w:val="0"/>
                          <w:marTop w:val="0"/>
                          <w:marBottom w:val="0"/>
                          <w:divBdr>
                            <w:top w:val="none" w:sz="0" w:space="0" w:color="auto"/>
                            <w:left w:val="none" w:sz="0" w:space="0" w:color="auto"/>
                            <w:bottom w:val="none" w:sz="0" w:space="0" w:color="auto"/>
                            <w:right w:val="none" w:sz="0" w:space="0" w:color="auto"/>
                          </w:divBdr>
                          <w:divsChild>
                            <w:div w:id="1122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498\AppData\Roaming\Microsoft\Templates\GARA-reporting-template-v03.dotx" TargetMode="External"/></Relationships>
</file>

<file path=word/theme/theme1.xml><?xml version="1.0" encoding="utf-8"?>
<a:theme xmlns:a="http://schemas.openxmlformats.org/drawingml/2006/main" name="Office Theme">
  <a:themeElements>
    <a:clrScheme name="CSIRO Blue">
      <a:dk1>
        <a:sysClr val="windowText" lastClr="000000"/>
      </a:dk1>
      <a:lt1>
        <a:srgbClr val="FBFEFF"/>
      </a:lt1>
      <a:dk2>
        <a:srgbClr val="000000"/>
      </a:dk2>
      <a:lt2>
        <a:srgbClr val="FBFEFF"/>
      </a:lt2>
      <a:accent1>
        <a:srgbClr val="41B6E6"/>
      </a:accent1>
      <a:accent2>
        <a:srgbClr val="004B87"/>
      </a:accent2>
      <a:accent3>
        <a:srgbClr val="78BE20"/>
      </a:accent3>
      <a:accent4>
        <a:srgbClr val="4A7729"/>
      </a:accent4>
      <a:accent5>
        <a:srgbClr val="00A9CE"/>
      </a:accent5>
      <a:accent6>
        <a:srgbClr val="00313C"/>
      </a:accent6>
      <a:hlink>
        <a:srgbClr val="9FAEE5"/>
      </a:hlink>
      <a:folHlink>
        <a:srgbClr val="1E22A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tes0 xmlns="1eb876b5-eb9d-403a-abb6-1b48262b2cac">v20140130</Notes0>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4E10570903B4891FC3FB1B022A22B" ma:contentTypeVersion="7" ma:contentTypeDescription="Create a new document." ma:contentTypeScope="" ma:versionID="12f1f3a337556ab7d26ad62e7b6e7a87">
  <xsd:schema xmlns:xsd="http://www.w3.org/2001/XMLSchema" xmlns:xs="http://www.w3.org/2001/XMLSchema" xmlns:p="http://schemas.microsoft.com/office/2006/metadata/properties" xmlns:ns1="http://schemas.microsoft.com/sharepoint/v3" xmlns:ns2="1eb876b5-eb9d-403a-abb6-1b48262b2cac" xmlns:ns3="http://schemas.microsoft.com/sharepoint/v4" targetNamespace="http://schemas.microsoft.com/office/2006/metadata/properties" ma:root="true" ma:fieldsID="c4f57fa2ec23177be709adaddec997f0" ns1:_="" ns2:_="" ns3:_="">
    <xsd:import namespace="http://schemas.microsoft.com/sharepoint/v3"/>
    <xsd:import namespace="1eb876b5-eb9d-403a-abb6-1b48262b2cac"/>
    <xsd:import namespace="http://schemas.microsoft.com/sharepoint/v4"/>
    <xsd:element name="properties">
      <xsd:complexType>
        <xsd:sequence>
          <xsd:element name="documentManagement">
            <xsd:complexType>
              <xsd:all>
                <xsd:element ref="ns2:Notes0"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876b5-eb9d-403a-abb6-1b48262b2cac"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88D2-E7D2-4ABF-82AE-7E9A10009CB6}">
  <ds:schemaRefs>
    <ds:schemaRef ds:uri="http://schemas.microsoft.com/office/2006/metadata/properties"/>
    <ds:schemaRef ds:uri="1eb876b5-eb9d-403a-abb6-1b48262b2cac"/>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CE43DAD2-AA47-443C-8EBF-2C8105A4FAC0}">
  <ds:schemaRefs>
    <ds:schemaRef ds:uri="http://schemas.microsoft.com/sharepoint/v3/contenttype/forms"/>
  </ds:schemaRefs>
</ds:datastoreItem>
</file>

<file path=customXml/itemProps3.xml><?xml version="1.0" encoding="utf-8"?>
<ds:datastoreItem xmlns:ds="http://schemas.openxmlformats.org/officeDocument/2006/customXml" ds:itemID="{940B3BB8-F9DD-4851-9276-F4A23CD6B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876b5-eb9d-403a-abb6-1b48262b2c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59A75F-8228-43DB-9C6F-6F26EDDF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GARA-reporting-template-v03.dotx</Template>
  <TotalTime>6</TotalTime>
  <Pages>10</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Appendix A: Assessment products</vt:lpstr>
    </vt:vector>
  </TitlesOfParts>
  <Company>CSIRO</Company>
  <LinksUpToDate>false</LinksUpToDate>
  <CharactersWithSpaces>24468</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Agricultural resource assessment for the Flinders catchment</dc:title>
  <dc:creator> Cuan Petheram; Ian Watson and Peter Stone (eds)</dc:creator>
  <dc:description>v20140130</dc:description>
  <cp:lastModifiedBy>Gallant, Simon (CLW, Black Mountain)</cp:lastModifiedBy>
  <cp:revision>8</cp:revision>
  <cp:lastPrinted>2013-11-04T22:21:00Z</cp:lastPrinted>
  <dcterms:created xsi:type="dcterms:W3CDTF">2014-01-31T01:29:00Z</dcterms:created>
  <dcterms:modified xsi:type="dcterms:W3CDTF">2014-01-31T01:34:00Z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0x010100DCB4E10570903B4891FC3FB1B022A22B</vt:lpwstr>
  </property>
  <property fmtid="{D5CDD505-2E9C-101B-9397-08002B2CF9AE}" pid="5" name="Order">
    <vt:r8>4800</vt:r8>
  </property>
</Properties>
</file>