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83" w:rsidRPr="001C3137" w:rsidRDefault="00953960" w:rsidP="009C4369">
      <w:pPr>
        <w:pStyle w:val="BusinessUnitName"/>
        <w:framePr w:w="6124" w:h="340" w:hRule="exact" w:hSpace="181" w:vSpace="992" w:wrap="notBeside" w:vAnchor="page" w:hAnchor="text" w:x="63" w:y="903" w:anchorLock="1"/>
      </w:pPr>
      <w:bookmarkStart w:id="0" w:name="_Toc341085719"/>
      <w:r>
        <w:t xml:space="preserve"> </w:t>
      </w:r>
    </w:p>
    <w:bookmarkEnd w:id="0"/>
    <w:p w:rsidR="00953960" w:rsidRDefault="00953960" w:rsidP="00953960">
      <w:pPr>
        <w:pStyle w:val="Heading1"/>
      </w:pPr>
      <w:r>
        <w:t xml:space="preserve">Australian National Outlook 2015 – </w:t>
      </w:r>
      <w:r>
        <w:br/>
      </w:r>
      <w:r w:rsidR="00080968" w:rsidRPr="00080968">
        <w:t>Insights for food, water and energy</w:t>
      </w:r>
    </w:p>
    <w:p w:rsidR="00953960" w:rsidRDefault="00953960" w:rsidP="00953960">
      <w:pPr>
        <w:pStyle w:val="BodyText"/>
      </w:pPr>
      <w:r>
        <w:t>Economic activity, resource use, environmental performance and living standards, 1970–2050</w:t>
      </w:r>
    </w:p>
    <w:p w:rsidR="000F3130" w:rsidRDefault="00953960" w:rsidP="00953960">
      <w:pPr>
        <w:pStyle w:val="BodyText"/>
      </w:pPr>
      <w:r>
        <w:t>October 2015</w:t>
      </w:r>
    </w:p>
    <w:p w:rsidR="00080968" w:rsidRDefault="00080968" w:rsidP="00080968">
      <w:pPr>
        <w:pStyle w:val="Heading2"/>
      </w:pPr>
      <w:r>
        <w:t xml:space="preserve">Helping to navigate the future  </w:t>
      </w:r>
    </w:p>
    <w:p w:rsidR="00080968" w:rsidRPr="008073E2" w:rsidRDefault="00080968" w:rsidP="00080968">
      <w:pPr>
        <w:pStyle w:val="BodyText"/>
      </w:pPr>
      <w:r w:rsidRPr="008073E2">
        <w:t xml:space="preserve">The National Outlook is a first attempt to understand and analyse the connections in Australia’s physical economy many decades into the future. </w:t>
      </w:r>
    </w:p>
    <w:p w:rsidR="00080968" w:rsidRDefault="00080968" w:rsidP="00080968">
      <w:pPr>
        <w:pStyle w:val="BodyText"/>
      </w:pPr>
      <w:r>
        <w:t>This first National Outlook</w:t>
      </w:r>
    </w:p>
    <w:p w:rsidR="00080968" w:rsidRDefault="00080968" w:rsidP="008073E2">
      <w:pPr>
        <w:pStyle w:val="ListBullet"/>
      </w:pPr>
      <w:r>
        <w:t>Seeks to provide a better understanding of Australia’s physical economy. It has a particular focus on understanding two aspects: The ‘water-energy-food’ and the prospects for Australia’s materials- and energy-intensive industries.</w:t>
      </w:r>
    </w:p>
    <w:p w:rsidR="00080968" w:rsidRDefault="00080968" w:rsidP="008073E2">
      <w:pPr>
        <w:pStyle w:val="ListBullet"/>
      </w:pPr>
      <w:r>
        <w:t>Explores over 20 possible futures for Australia out to 2050 against the backdrop of the past 40 years to identify key future global drivers and assess how these may impact our country.</w:t>
      </w:r>
    </w:p>
    <w:p w:rsidR="00080968" w:rsidRDefault="00080968" w:rsidP="008073E2">
      <w:pPr>
        <w:pStyle w:val="ListBullet"/>
      </w:pPr>
      <w:r>
        <w:t>Integrates these global perspectives into an uniquely Australian context in relation to plausible technological and policy settings we must consider as a nation to secure our future prosperity.</w:t>
      </w:r>
    </w:p>
    <w:p w:rsidR="008073E2" w:rsidRDefault="008073E2" w:rsidP="008073E2">
      <w:pPr>
        <w:pStyle w:val="Heading3"/>
      </w:pPr>
      <w:r w:rsidRPr="008073E2">
        <w:t>Australia can achieve economic growth and improved living standards while also protecting or improving our natural assets.</w:t>
      </w:r>
    </w:p>
    <w:p w:rsidR="008073E2" w:rsidRDefault="008073E2" w:rsidP="008073E2">
      <w:pPr>
        <w:pStyle w:val="Heading2"/>
      </w:pPr>
      <w:r w:rsidRPr="008073E2">
        <w:t>Integrated insights and findings</w:t>
      </w:r>
    </w:p>
    <w:p w:rsidR="008073E2" w:rsidRDefault="008073E2" w:rsidP="008073E2">
      <w:pPr>
        <w:pStyle w:val="Heading3"/>
      </w:pPr>
      <w:r>
        <w:t xml:space="preserve">FOOD &amp; AGRICULTURE </w:t>
      </w:r>
    </w:p>
    <w:p w:rsidR="008073E2" w:rsidRDefault="008073E2" w:rsidP="008073E2">
      <w:pPr>
        <w:pStyle w:val="BodyText"/>
      </w:pPr>
      <w:r>
        <w:t>Productivity growth combined with new land sector markets could lift our agrifood exports</w:t>
      </w:r>
      <w:r>
        <w:t xml:space="preserve"> </w:t>
      </w:r>
      <w:r>
        <w:t xml:space="preserve">and deliver regional economic benefits. </w:t>
      </w:r>
    </w:p>
    <w:p w:rsidR="008073E2" w:rsidRDefault="008073E2" w:rsidP="008073E2">
      <w:pPr>
        <w:pStyle w:val="BodyText"/>
      </w:pPr>
      <w:r>
        <w:t xml:space="preserve">Future agricultural prices and land sector incomes are projected to trend upwards. </w:t>
      </w:r>
    </w:p>
    <w:p w:rsidR="008073E2" w:rsidRDefault="008073E2" w:rsidP="008073E2">
      <w:pPr>
        <w:pStyle w:val="BodyText"/>
      </w:pPr>
      <w:r>
        <w:t xml:space="preserve">Australia’s most productive agricultural land is likely to continue to be used for productive agricultural use. </w:t>
      </w:r>
    </w:p>
    <w:p w:rsidR="008073E2" w:rsidRDefault="008073E2" w:rsidP="008073E2">
      <w:pPr>
        <w:pStyle w:val="BodyText"/>
      </w:pPr>
      <w:r>
        <w:t xml:space="preserve">With productivity improvements in line with long-term trends, Australian agricultural output volumes are projected to rise by at least 50% by 2050 – even in scenarios where bioenergy and plantings for carbon sequestration increase. </w:t>
      </w:r>
    </w:p>
    <w:p w:rsidR="008073E2" w:rsidRDefault="008073E2" w:rsidP="008073E2">
      <w:pPr>
        <w:pStyle w:val="BodyText"/>
      </w:pPr>
      <w:r>
        <w:t>New markets and policy settings that enable carbon farming, especially in currently less productive areas, would allow many rural landowners to increase and diversify their incomes.</w:t>
      </w:r>
    </w:p>
    <w:p w:rsidR="008073E2" w:rsidRDefault="008073E2" w:rsidP="008073E2">
      <w:pPr>
        <w:pStyle w:val="Heading3"/>
      </w:pPr>
      <w:r>
        <w:lastRenderedPageBreak/>
        <w:t xml:space="preserve">WATER &amp; ENVIRONMENT </w:t>
      </w:r>
    </w:p>
    <w:p w:rsidR="008073E2" w:rsidRDefault="008073E2" w:rsidP="008073E2">
      <w:pPr>
        <w:pStyle w:val="BodyText"/>
      </w:pPr>
      <w:r>
        <w:t xml:space="preserve">With appropriate settings and technologies, projected increases in water demand need not increase pressure on water limited catchments. </w:t>
      </w:r>
    </w:p>
    <w:p w:rsidR="008073E2" w:rsidRDefault="008073E2" w:rsidP="008073E2">
      <w:pPr>
        <w:pStyle w:val="BodyText"/>
      </w:pPr>
      <w:r>
        <w:t>Payments for carbon sequestration could be harnessed to reward rural land owners for restoring ecosystems, increasing native habitat by 17% and decreasing extinction risks by 10%, without large additional government outlays.</w:t>
      </w:r>
    </w:p>
    <w:p w:rsidR="008073E2" w:rsidRDefault="008073E2" w:rsidP="008073E2">
      <w:pPr>
        <w:pStyle w:val="BodyText"/>
      </w:pPr>
      <w:r>
        <w:t xml:space="preserve">Non-agricultural water use is projected to increase by 65 to 150% by 2050, while the value of national economic output increases by more than 150%. </w:t>
      </w:r>
    </w:p>
    <w:p w:rsidR="008073E2" w:rsidRPr="008073E2" w:rsidRDefault="008073E2" w:rsidP="008073E2">
      <w:pPr>
        <w:pStyle w:val="BodyText"/>
      </w:pPr>
      <w:r>
        <w:t>While water use is projected to double by 2050, this growth can be met while enhancing urban water security and avoiding increased environmental pressures through increased water recycling, desalination and integrated catchment management.</w:t>
      </w:r>
    </w:p>
    <w:p w:rsidR="008073E2" w:rsidRDefault="008073E2" w:rsidP="008073E2">
      <w:pPr>
        <w:pStyle w:val="Heading3"/>
      </w:pPr>
      <w:r>
        <w:t xml:space="preserve">ENERGY </w:t>
      </w:r>
    </w:p>
    <w:p w:rsidR="008073E2" w:rsidRDefault="008073E2" w:rsidP="008073E2">
      <w:pPr>
        <w:pStyle w:val="BodyText"/>
      </w:pPr>
      <w:r>
        <w:t xml:space="preserve">Australia has the natural and institutional resources to prosper in almost all scenarios for global energy and resource use. </w:t>
      </w:r>
    </w:p>
    <w:p w:rsidR="008073E2" w:rsidRDefault="008073E2" w:rsidP="008073E2">
      <w:pPr>
        <w:pStyle w:val="BodyText"/>
      </w:pPr>
      <w:r>
        <w:t>Global demand for exports is projected to treble by 2050 as global per capita income also trebles. We should expect long term growth of world energy demand, but demand for specific materials and energy exports could vary. Even in scenarios with strong global action to reduce emissions, energy and other resources could remain one of the pillars of the Australian economy, as long as commercially viable technology solutions are developed in a timely fashion to manage environmental impacts.</w:t>
      </w:r>
    </w:p>
    <w:p w:rsidR="008073E2" w:rsidRDefault="008073E2" w:rsidP="008073E2">
      <w:pPr>
        <w:pStyle w:val="BodyText"/>
      </w:pPr>
      <w:r>
        <w:t>Domestically, energy affordability can improve, especially when we enhance the efficiency and productivity of the energy system. Transport affordability might also improve, especially through the large-scale adoption of electric vehicles.</w:t>
      </w:r>
    </w:p>
    <w:p w:rsidR="008073E2" w:rsidRDefault="008073E2" w:rsidP="008073E2">
      <w:pPr>
        <w:pStyle w:val="Heading3"/>
      </w:pPr>
      <w:r w:rsidRPr="008073E2">
        <w:t>Efficient and responsive institutional settings can turn challenges into opportunities, and have a vital role in managing tradeoffs and promoting longer term sustainability and prosperity.</w:t>
      </w:r>
    </w:p>
    <w:p w:rsidR="008073E2" w:rsidRDefault="008073E2" w:rsidP="008073E2">
      <w:pPr>
        <w:pStyle w:val="Heading2"/>
      </w:pPr>
      <w:r w:rsidRPr="008073E2">
        <w:t>Positioning Australia for the decades ahead</w:t>
      </w:r>
    </w:p>
    <w:p w:rsidR="008073E2" w:rsidRDefault="008073E2" w:rsidP="008073E2">
      <w:pPr>
        <w:pStyle w:val="BodyText"/>
      </w:pPr>
      <w:r>
        <w:t>The National Outlook scenarios – alternative Australian futures – set the stage for a national conversation about the kind of future that would best serve all Australians and the choices and mechanisms that might get us there.</w:t>
      </w:r>
    </w:p>
    <w:p w:rsidR="008073E2" w:rsidRDefault="008073E2" w:rsidP="008073E2">
      <w:pPr>
        <w:pStyle w:val="BodyText"/>
      </w:pPr>
      <w:r>
        <w:t>The future of our nation, industries and communities will depend on how we position for change, and adapt as the world around us evolves. The National Outlook research shows that</w:t>
      </w:r>
    </w:p>
    <w:p w:rsidR="008073E2" w:rsidRDefault="008073E2" w:rsidP="008073E2">
      <w:pPr>
        <w:pStyle w:val="ListBullet"/>
      </w:pPr>
      <w:r>
        <w:t>Agility, innovation and productivity are no regret moves that will help us to make the most of a positive – but uncertain – global economic outlook.</w:t>
      </w:r>
    </w:p>
    <w:p w:rsidR="008073E2" w:rsidRDefault="008073E2" w:rsidP="008073E2">
      <w:pPr>
        <w:pStyle w:val="ListBullet"/>
      </w:pPr>
      <w:r>
        <w:t xml:space="preserve">Sustainability and economic growth can be partners not competitors. Productivity growth and establishing economically efficient mechanisms such as markets will be vital to achieving this outcome. </w:t>
      </w:r>
    </w:p>
    <w:p w:rsidR="008073E2" w:rsidRPr="008073E2" w:rsidRDefault="008073E2" w:rsidP="008073E2">
      <w:pPr>
        <w:pStyle w:val="ListBullet"/>
      </w:pPr>
      <w:r>
        <w:t>The decisions we make as a society will shape Australia’s future more than decisions we make as businesses or individuals and determine our future prosperity.</w:t>
      </w:r>
    </w:p>
    <w:p w:rsidR="00953960" w:rsidRDefault="00953960" w:rsidP="00953960">
      <w:pPr>
        <w:pStyle w:val="Heading4"/>
      </w:pPr>
      <w:r>
        <w:t>NATIONAL OUTLOOK REPORTS</w:t>
      </w:r>
    </w:p>
    <w:p w:rsidR="00953960" w:rsidRDefault="00953960" w:rsidP="00953960">
      <w:pPr>
        <w:pStyle w:val="BodyText"/>
      </w:pPr>
      <w:r>
        <w:t xml:space="preserve">The full findings and results from the National Outlook project will be published in the Australian National Outlook 2015, a detailed technical report, and more than ten science papers written for peer reviewed journals. These reports and papers will be available from mid-2015 at </w:t>
      </w:r>
      <w:hyperlink r:id="rId7" w:tooltip="National Outlook website" w:history="1">
        <w:r w:rsidRPr="00B6163F">
          <w:rPr>
            <w:rStyle w:val="Hyperlink"/>
          </w:rPr>
          <w:t>www.csiro.au/nationaloutlook</w:t>
        </w:r>
      </w:hyperlink>
    </w:p>
    <w:p w:rsidR="00953960" w:rsidRDefault="00953960" w:rsidP="00953960">
      <w:pPr>
        <w:pStyle w:val="Heading4"/>
      </w:pPr>
      <w:r>
        <w:t>FOR FURTHER INFORMATION</w:t>
      </w:r>
    </w:p>
    <w:p w:rsidR="00953960" w:rsidRDefault="00953960" w:rsidP="00953960">
      <w:pPr>
        <w:pStyle w:val="BodyText"/>
      </w:pPr>
      <w:r>
        <w:t>Dr Alex Wonhas</w:t>
      </w:r>
      <w:r>
        <w:br/>
        <w:t>CSIRO Executive Director</w:t>
      </w:r>
      <w:r>
        <w:br/>
        <w:t>Energy and Resources</w:t>
      </w:r>
    </w:p>
    <w:p w:rsidR="00953960" w:rsidRDefault="00953960" w:rsidP="00953960">
      <w:pPr>
        <w:pStyle w:val="BodyText"/>
      </w:pPr>
      <w:r>
        <w:t>t</w:t>
      </w:r>
      <w:r>
        <w:tab/>
        <w:t>+61 2 9490 5059</w:t>
      </w:r>
      <w:r>
        <w:br/>
        <w:t>e</w:t>
      </w:r>
      <w:r>
        <w:tab/>
      </w:r>
      <w:hyperlink r:id="rId8" w:tooltip="Email Alex Wonhas" w:history="1">
        <w:r w:rsidRPr="00B6163F">
          <w:rPr>
            <w:rStyle w:val="Hyperlink"/>
          </w:rPr>
          <w:t>alex.wonhas@csiro.au</w:t>
        </w:r>
      </w:hyperlink>
      <w:r>
        <w:br/>
        <w:t>w</w:t>
      </w:r>
      <w:r>
        <w:tab/>
      </w:r>
      <w:hyperlink r:id="rId9" w:tooltip="CSIRO website" w:history="1">
        <w:r w:rsidRPr="00B6163F">
          <w:rPr>
            <w:rStyle w:val="Hyperlink"/>
          </w:rPr>
          <w:t>www.csiro.au</w:t>
        </w:r>
      </w:hyperlink>
    </w:p>
    <w:p w:rsidR="00953960" w:rsidRDefault="00953960" w:rsidP="00953960">
      <w:pPr>
        <w:pStyle w:val="BodyText"/>
      </w:pPr>
      <w:r>
        <w:t>Dr Steve Hatfield-Dodds</w:t>
      </w:r>
      <w:r>
        <w:br/>
        <w:t>Project Director, CSIRO Australian National Outlook 2015</w:t>
      </w:r>
    </w:p>
    <w:p w:rsidR="00953960" w:rsidRPr="00953960" w:rsidRDefault="00953960" w:rsidP="00953960">
      <w:pPr>
        <w:pStyle w:val="BodyText"/>
      </w:pPr>
      <w:r>
        <w:t>t</w:t>
      </w:r>
      <w:r>
        <w:tab/>
        <w:t xml:space="preserve">+61 2 6246 5597 </w:t>
      </w:r>
      <w:r>
        <w:br/>
        <w:t>e</w:t>
      </w:r>
      <w:r>
        <w:tab/>
      </w:r>
      <w:hyperlink r:id="rId10" w:tooltip="Email Steve Hatfield-Dodds" w:history="1">
        <w:r w:rsidRPr="00B6163F">
          <w:rPr>
            <w:rStyle w:val="Hyperlink"/>
          </w:rPr>
          <w:t>steve.hatfield-dodds@csiro.au</w:t>
        </w:r>
      </w:hyperlink>
      <w:r>
        <w:br/>
        <w:t>w</w:t>
      </w:r>
      <w:r>
        <w:tab/>
      </w:r>
      <w:hyperlink r:id="rId11" w:tooltip="CSIRO website" w:history="1">
        <w:r w:rsidRPr="00B6163F">
          <w:rPr>
            <w:rStyle w:val="Hyperlink"/>
          </w:rPr>
          <w:t>www.csiro.au</w:t>
        </w:r>
      </w:hyperlink>
      <w:r>
        <w:t xml:space="preserve"> </w:t>
      </w:r>
    </w:p>
    <w:sectPr w:rsidR="00953960" w:rsidRPr="00953960" w:rsidSect="000A377A">
      <w:footerReference w:type="default" r:id="rId12"/>
      <w:headerReference w:type="first" r:id="rId13"/>
      <w:footerReference w:type="first" r:id="rId14"/>
      <w:pgSz w:w="11906" w:h="16838" w:code="9"/>
      <w:pgMar w:top="1134" w:right="1134" w:bottom="1134" w:left="1134" w:header="709"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968" w:rsidRDefault="00080968" w:rsidP="000A377A">
      <w:r>
        <w:separator/>
      </w:r>
    </w:p>
  </w:endnote>
  <w:endnote w:type="continuationSeparator" w:id="0">
    <w:p w:rsidR="00080968" w:rsidRDefault="00080968" w:rsidP="000A37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Sans Light">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68" w:rsidRDefault="00080968" w:rsidP="000A377A">
    <w:pPr>
      <w:pStyle w:val="Footer"/>
      <w:jc w:val="right"/>
    </w:pPr>
    <w:r>
      <w:rPr>
        <w:rStyle w:val="PageNumber"/>
      </w:rPr>
      <w:fldChar w:fldCharType="begin"/>
    </w:r>
    <w:r>
      <w:rPr>
        <w:rStyle w:val="PageNumber"/>
      </w:rPr>
      <w:instrText xml:space="preserve"> PAGE </w:instrText>
    </w:r>
    <w:r>
      <w:rPr>
        <w:rStyle w:val="PageNumber"/>
      </w:rPr>
      <w:fldChar w:fldCharType="separate"/>
    </w:r>
    <w:r w:rsidR="008073E2">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68" w:rsidRDefault="00080968" w:rsidP="000A377A">
    <w:pPr>
      <w:pStyle w:val="Footer"/>
      <w:jc w:val="right"/>
    </w:pPr>
    <w:r>
      <w:rPr>
        <w:rStyle w:val="PageNumber"/>
      </w:rPr>
      <w:fldChar w:fldCharType="begin"/>
    </w:r>
    <w:r>
      <w:rPr>
        <w:rStyle w:val="PageNumber"/>
      </w:rPr>
      <w:instrText xml:space="preserve"> PAGE </w:instrText>
    </w:r>
    <w:r>
      <w:rPr>
        <w:rStyle w:val="PageNumber"/>
      </w:rPr>
      <w:fldChar w:fldCharType="separate"/>
    </w:r>
    <w:r w:rsidR="008073E2">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968" w:rsidRDefault="00080968" w:rsidP="000A377A">
      <w:r>
        <w:separator/>
      </w:r>
    </w:p>
  </w:footnote>
  <w:footnote w:type="continuationSeparator" w:id="0">
    <w:p w:rsidR="00080968" w:rsidRDefault="00080968" w:rsidP="000A37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68" w:rsidRDefault="00080968">
    <w:pPr>
      <w:pStyle w:val="Header"/>
    </w:pPr>
    <w:r>
      <w:rPr>
        <w:noProof/>
      </w:rPr>
      <w:pict>
        <v:group id="_x0000_s2109" alt="background" style="position:absolute;margin-left:-57.15pt;margin-top:-51.6pt;width:600.2pt;height:128.8pt;z-index:-251657216" coordorigin="1458,1444" coordsize="8994,1930">
          <v:rect id="_x0000_s2110" alt="background" style="position:absolute;left:1462;top:1444;width:8990;height:1285" fillcolor="#00313c [3205]" stroked="f"/>
          <v:shape id="_x0000_s2111" alt="background" style="position:absolute;left:1462;top:2227;width:6604;height:502" coordsize="1807,137" path="m1353,hdc,,,,,,,137,,137,,137v1806,,1806,,1806,c1806,137,1807,137,1807,137v,,,,,c1807,137,1807,137,1807,137,1709,57,1547,,1353,e" fillcolor="#00242c [2405]" stroked="f">
            <v:path arrowok="t"/>
          </v:shape>
          <v:shape id="_x0000_s2112" alt="background" style="position:absolute;left:8066;top:2729;width:2382;height:645" coordsize="652,176" path="m652,hdc,,,,,,97,80,229,176,470,176v58,,182,,182,c652,,652,,652,e" fillcolor="#bfbfbf" stroked="f">
            <v:path arrowok="t"/>
          </v:shape>
          <v:shape id="_x0000_s2113" alt="background" style="position:absolute;left:1458;top:2301;width:6608;height:498" coordsize="1808,136" path="m1808,117hdc1698,55,1548,,1354,,,,,,,,,136,,136,,136v1524,,1524,,1524,c1709,136,1769,132,1808,117e" fillcolor="#00a9ce [3204]" stroked="f">
            <v:path arrowok="t"/>
          </v:shape>
          <v:group id="_x0000_s2114" alt="www.csiro.au" style="position:absolute;left:2357;top:2572;width:994;height:117" coordorigin="917,1132" coordsize="994,117">
            <v:shape id="_x0000_s2115" style="position:absolute;left:917;top:1168;width:117;height:81" coordsize="32,22" path="m32,hdc31,7,29,14,26,22v-6,,-6,,-6,c17,9,17,9,17,9,16,7,16,7,16,7v,,,,,c15,9,15,9,15,9,12,22,12,22,12,22v-6,,-6,,-6,c3,15,1,7,,,5,,5,,5,,6,4,7,9,8,13v1,1,1,2,1,3c9,16,9,16,9,16v1,-3,1,-3,1,-3c13,,13,,13,v6,,6,,6,c23,13,23,13,23,13v,3,,3,,3c23,16,23,16,23,16v1,-1,1,-2,1,-3c25,9,26,4,27,hal32,hdxe" fillcolor="#00313c [3205]" stroked="f">
              <v:path arrowok="t"/>
            </v:shape>
            <v:shape id="_x0000_s2116" style="position:absolute;left:1049;top:1168;width:121;height:81" coordsize="33,22" path="m33,hdc31,7,29,14,26,22v-6,,-6,,-6,c17,9,17,9,17,9,16,7,16,7,16,7v,,,,,c16,9,16,9,16,9,12,22,12,22,12,22v-6,,-6,,-6,c4,15,1,7,,,5,,5,,5,,6,4,7,9,9,13v,1,,2,,3c9,16,9,16,9,16v1,-3,1,-3,1,-3c14,,14,,14,v5,,5,,5,c23,13,23,13,23,13v1,3,1,3,1,3c24,16,24,16,24,16v,-1,,-2,1,-3c26,9,27,4,28,hal33,hdxe" fillcolor="#00313c [3205]" stroked="f">
              <v:path arrowok="t"/>
            </v:shape>
            <v:shape id="_x0000_s2117" style="position:absolute;left:1181;top:1168;width:120;height:81" coordsize="33,22" path="m33,hdc31,7,29,14,27,22v-6,,-6,,-6,c17,9,17,9,17,9,16,7,16,7,16,7v,,,,,c16,9,16,9,16,9,13,22,13,22,13,22v-7,,-7,,-7,c4,15,2,7,,,6,,6,,6,,7,4,8,9,9,13v,1,,2,1,3c10,16,10,16,10,16v1,-3,1,-3,1,-3c14,,14,,14,v5,,5,,5,c23,13,23,13,23,13v1,3,1,3,1,3c24,16,24,16,24,16v,-1,1,-2,1,-3c26,9,27,4,28,hal33,hdxe" fillcolor="#00313c [3205]" stroked="f">
              <v:path arrowok="t"/>
            </v:shape>
            <v:oval id="_x0000_s2118" style="position:absolute;left:1312;top:1223;width:26;height:26" fillcolor="#00313c [3205]" stroked="f"/>
            <v:shape id="_x0000_s2119" style="position:absolute;left:1352;top:1168;width:62;height:81" coordsize="17,22" path="m17,21hdc14,22,12,22,10,22,3,22,,18,,11,,4,5,,11,v2,,4,,5,1c15,5,15,5,15,5,14,4,13,4,11,4,8,4,6,7,6,11v,4,2,7,5,7c13,18,14,17,16,17hal17,21hdxe" fillcolor="#00313c [3205]" stroked="f">
              <v:path arrowok="t"/>
            </v:shape>
            <v:shape id="_x0000_s2120" style="position:absolute;left:1425;top:1165;width:59;height:84" coordsize="16,23" path="m7,23hdc5,23,3,23,,22,1,18,1,18,1,18v2,1,4,1,6,1c9,19,10,18,10,17,10,15,9,14,6,14,3,12,1,11,1,7,1,3,4,,9,v2,,4,1,5,1c14,5,14,5,14,5,12,5,11,4,9,4,7,4,6,6,6,7v,1,1,2,4,3c14,11,16,13,16,16v,4,-4,7,-9,7xe" fillcolor="#00313c [3205]" stroked="f">
              <v:path arrowok="t"/>
            </v:shape>
            <v:shape id="_x0000_s2121" style="position:absolute;left:1495;top:1132;width:33;height:117" coordsize="9,32" path="m3,32hdc3,14,3,14,3,14,,14,,14,,14,,10,,10,,10v8,,8,,8,c8,32,8,32,8,32hal3,32hdxm6,7c4,7,2,5,2,4,2,2,4,,6,,8,,9,2,9,4,9,5,8,7,6,7xe" fillcolor="#00313c [3205]" stroked="f">
              <v:path arrowok="t"/>
              <o:lock v:ext="edit" verticies="t"/>
            </v:shape>
            <v:shape id="_x0000_s2122" style="position:absolute;left:1550;top:1165;width:47;height:84" coordsize="13,23" path="m12,6hdc12,6,11,5,10,5,9,5,7,7,5,9v,14,,14,,14c,23,,23,,23,,1,,1,,1v4,,4,,4,c5,5,5,5,5,5,7,2,8,,10,v1,,2,,3,1hal12,6hdxe" fillcolor="#00313c [3205]" stroked="f">
              <v:path arrowok="t"/>
            </v:shape>
            <v:shape id="_x0000_s2123" style="position:absolute;left:1608;top:1165;width:80;height:84" coordsize="22,23" path="m11,23hdc3,23,,19,,12,,5,4,,11,v7,,11,5,11,12c22,18,18,23,11,23xm11,5c7,5,5,8,5,12v,4,2,7,6,7c15,19,16,16,16,12,16,8,15,5,11,5xe" fillcolor="#00313c [3205]" stroked="f">
              <v:path arrowok="t"/>
              <o:lock v:ext="edit" verticies="t"/>
            </v:shape>
            <v:oval id="_x0000_s2124" style="position:absolute;left:1707;top:1223;width:22;height:26" fillcolor="#00313c [3205]" stroked="f"/>
            <v:shape id="_x0000_s2125" style="position:absolute;left:1751;top:1165;width:65;height:84" coordsize="18,23" path="m14,23hdc14,20,14,20,14,20v-2,2,-4,3,-7,3c2,23,,21,,17,,12,4,10,10,10v3,,3,,3,c13,8,13,8,13,8,13,6,12,4,8,4,6,4,4,5,2,6,1,2,1,2,1,2,3,1,6,,9,v7,,9,3,9,8c18,23,18,23,18,23hal14,23hdxm13,13v-3,,-3,,-3,c7,13,5,14,5,16v,2,1,3,3,3c10,19,12,18,13,17hal13,13hdxe" fillcolor="#00313c [3205]" stroked="f">
              <v:path arrowok="t"/>
              <o:lock v:ext="edit" verticies="t"/>
            </v:shape>
            <v:shape id="_x0000_s2126" style="position:absolute;left:1842;top:1168;width:69;height:81" coordsize="19,22" path="m15,22hdc15,19,15,19,15,19v-3,2,-5,3,-8,3c2,22,,19,,14,,,,,,,5,,5,,5,v,12,,12,,12c5,16,6,18,9,18v2,,3,-1,5,-3c14,,14,,14,v5,,5,,5,c19,22,19,22,19,22hal15,22hdxe" fillcolor="#00313c [3205]" stroked="f">
              <v:path arrowok="t"/>
            </v:shape>
          </v:group>
          <v:shape id="_x0000_s2127" alt="background" style="position:absolute;left:8066;top:2301;width:2382;height:996" coordsize="652,272" path="m476,hdc186,,79,86,,117v128,73,229,155,470,155c528,272,652,272,652,272,652,,652,,652,hal476,hdxe" stroked="f">
            <v:path arrowok="t"/>
          </v:shape>
        </v:group>
      </w:pict>
    </w:r>
    <w:r w:rsidRPr="00674783">
      <w:rPr>
        <w:noProof/>
      </w:rPr>
      <w:drawing>
        <wp:anchor distT="0" distB="0" distL="114300" distR="114300" simplePos="0" relativeHeight="251660288" behindDoc="0" locked="1" layoutInCell="1" allowOverlap="1">
          <wp:simplePos x="0" y="0"/>
          <wp:positionH relativeFrom="column">
            <wp:posOffset>5526331</wp:posOffset>
          </wp:positionH>
          <wp:positionV relativeFrom="page">
            <wp:posOffset>510639</wp:posOffset>
          </wp:positionV>
          <wp:extent cx="890649" cy="878774"/>
          <wp:effectExtent l="0" t="0" r="0" b="0"/>
          <wp:wrapNone/>
          <wp:docPr id="5" name="Picture 40" descr="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878205"/>
                  </a:xfrm>
                  <a:prstGeom prst="ellipse">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AAA972"/>
    <w:lvl w:ilvl="0">
      <w:start w:val="1"/>
      <w:numFmt w:val="decimal"/>
      <w:lvlText w:val="%1."/>
      <w:lvlJc w:val="left"/>
      <w:pPr>
        <w:tabs>
          <w:tab w:val="num" w:pos="1492"/>
        </w:tabs>
        <w:ind w:left="1492" w:hanging="360"/>
      </w:pPr>
    </w:lvl>
  </w:abstractNum>
  <w:abstractNum w:abstractNumId="1">
    <w:nsid w:val="FFFFFF7D"/>
    <w:multiLevelType w:val="singleLevel"/>
    <w:tmpl w:val="662C0252"/>
    <w:lvl w:ilvl="0">
      <w:start w:val="1"/>
      <w:numFmt w:val="decimal"/>
      <w:lvlText w:val="%1."/>
      <w:lvlJc w:val="left"/>
      <w:pPr>
        <w:tabs>
          <w:tab w:val="num" w:pos="1209"/>
        </w:tabs>
        <w:ind w:left="1209" w:hanging="360"/>
      </w:pPr>
    </w:lvl>
  </w:abstractNum>
  <w:abstractNum w:abstractNumId="2">
    <w:nsid w:val="FFFFFF7E"/>
    <w:multiLevelType w:val="singleLevel"/>
    <w:tmpl w:val="0E2886D2"/>
    <w:lvl w:ilvl="0">
      <w:start w:val="1"/>
      <w:numFmt w:val="decimal"/>
      <w:lvlText w:val="%1."/>
      <w:lvlJc w:val="left"/>
      <w:pPr>
        <w:tabs>
          <w:tab w:val="num" w:pos="926"/>
        </w:tabs>
        <w:ind w:left="926" w:hanging="360"/>
      </w:pPr>
    </w:lvl>
  </w:abstractNum>
  <w:abstractNum w:abstractNumId="3">
    <w:nsid w:val="FFFFFF7F"/>
    <w:multiLevelType w:val="singleLevel"/>
    <w:tmpl w:val="9564CB3C"/>
    <w:lvl w:ilvl="0">
      <w:start w:val="1"/>
      <w:numFmt w:val="lowerLetter"/>
      <w:pStyle w:val="ListNumber2"/>
      <w:lvlText w:val="%1."/>
      <w:lvlJc w:val="left"/>
      <w:pPr>
        <w:ind w:left="643" w:hanging="360"/>
      </w:pPr>
    </w:lvl>
  </w:abstractNum>
  <w:abstractNum w:abstractNumId="4">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7270BC"/>
    <w:lvl w:ilvl="0">
      <w:start w:val="1"/>
      <w:numFmt w:val="decimal"/>
      <w:lvlText w:val="%1."/>
      <w:lvlJc w:val="left"/>
      <w:pPr>
        <w:tabs>
          <w:tab w:val="num" w:pos="360"/>
        </w:tabs>
        <w:ind w:left="360" w:hanging="360"/>
      </w:pPr>
    </w:lvl>
  </w:abstractNum>
  <w:abstractNum w:abstractNumId="9">
    <w:nsid w:val="FFFFFF89"/>
    <w:multiLevelType w:val="singleLevel"/>
    <w:tmpl w:val="3B6CF138"/>
    <w:lvl w:ilvl="0">
      <w:start w:val="1"/>
      <w:numFmt w:val="bullet"/>
      <w:lvlText w:val=""/>
      <w:lvlJc w:val="left"/>
      <w:pPr>
        <w:tabs>
          <w:tab w:val="num" w:pos="360"/>
        </w:tabs>
        <w:ind w:left="360" w:hanging="360"/>
      </w:pPr>
      <w:rPr>
        <w:rFonts w:ascii="Symbol" w:hAnsi="Symbol" w:hint="default"/>
      </w:rPr>
    </w:lvl>
  </w:abstractNum>
  <w:abstractNum w:abstractNumId="1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2">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4">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5">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4"/>
  </w:num>
  <w:num w:numId="15">
    <w:abstractNumId w:val="16"/>
  </w:num>
  <w:num w:numId="16">
    <w:abstractNumId w:val="1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20"/>
  <w:characterSpacingControl w:val="doNotCompress"/>
  <w:savePreviewPicture/>
  <w:hdrShapeDefaults>
    <o:shapedefaults v:ext="edit" spidmax="4098">
      <o:colormenu v:ext="edit" fillcolor="none" strokecolor="none"/>
    </o:shapedefaults>
    <o:shapelayout v:ext="edit">
      <o:idmap v:ext="edit" data="2"/>
      <o:regrouptable v:ext="edit">
        <o:entry new="1" old="0"/>
        <o:entry new="2" old="0"/>
        <o:entry new="3" old="0"/>
        <o:entry new="4" old="0"/>
        <o:entry new="5" old="0"/>
      </o:regrouptable>
    </o:shapelayout>
  </w:hdrShapeDefaults>
  <w:footnotePr>
    <w:footnote w:id="-1"/>
    <w:footnote w:id="0"/>
  </w:footnotePr>
  <w:endnotePr>
    <w:endnote w:id="-1"/>
    <w:endnote w:id="0"/>
  </w:endnotePr>
  <w:compat/>
  <w:rsids>
    <w:rsidRoot w:val="00080968"/>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0968"/>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D17A9"/>
    <w:rsid w:val="006D4802"/>
    <w:rsid w:val="006D49F3"/>
    <w:rsid w:val="006D6187"/>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3E2"/>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2923"/>
    <w:rsid w:val="00945A76"/>
    <w:rsid w:val="009472B3"/>
    <w:rsid w:val="009511DD"/>
    <w:rsid w:val="009538A7"/>
    <w:rsid w:val="00953960"/>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080E"/>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iPriority="4" w:unhideWhenUsed="1" w:qFormat="1"/>
    <w:lsdException w:name="page number" w:uiPriority="99"/>
    <w:lsdException w:name="List Bullet" w:uiPriority="2" w:qFormat="1"/>
    <w:lsdException w:name="List Number" w:uiPriority="2" w:qFormat="1"/>
    <w:lsdException w:name="List Bullet 2" w:uiPriority="2" w:qFormat="1"/>
    <w:lsdException w:name="List Bullet 3" w:uiPriority="2"/>
    <w:lsdException w:name="List Number 2" w:uiPriority="2" w:qFormat="1"/>
    <w:lsdException w:name="List Number 3" w:uiPriority="2"/>
    <w:lsdException w:name="Body Text" w:qFormat="1"/>
    <w:lsdException w:name="Hyperlink" w:uiPriority="99" w:qFormat="1"/>
    <w:lsdException w:name="Outline List 1"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674783"/>
    <w:pPr>
      <w:keepNext/>
      <w:keepLines/>
      <w:spacing w:after="240"/>
      <w:outlineLvl w:val="0"/>
    </w:pPr>
    <w:rPr>
      <w:rFonts w:ascii="Calibri" w:eastAsia="Calibri" w:hAnsi="Calibri" w:cs="Arial"/>
      <w:b/>
      <w:bCs/>
      <w:color w:val="00313C" w:themeColor="accent2"/>
      <w:kern w:val="32"/>
      <w:sz w:val="44"/>
      <w:szCs w:val="44"/>
    </w:rPr>
  </w:style>
  <w:style w:type="paragraph" w:styleId="Heading2">
    <w:name w:val="heading 2"/>
    <w:next w:val="BodyText"/>
    <w:link w:val="Heading2Char"/>
    <w:uiPriority w:val="1"/>
    <w:qFormat/>
    <w:rsid w:val="00674783"/>
    <w:pPr>
      <w:keepNext/>
      <w:keepLines/>
      <w:numPr>
        <w:ilvl w:val="1"/>
      </w:numPr>
      <w:spacing w:before="36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0A377A"/>
    <w:pPr>
      <w:keepNext/>
      <w:keepLines/>
      <w:spacing w:before="200"/>
      <w:outlineLvl w:val="3"/>
    </w:pPr>
    <w:rPr>
      <w:rFonts w:asciiTheme="majorHAnsi" w:eastAsiaTheme="majorEastAsia" w:hAnsiTheme="majorHAnsi" w:cstheme="majorBidi"/>
      <w:b/>
      <w:bCs/>
      <w:iCs/>
      <w:color w:val="007E9A"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007E9A"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674783"/>
    <w:rPr>
      <w:rFonts w:ascii="Calibri" w:eastAsia="Calibri" w:hAnsi="Calibri" w:cs="Arial"/>
      <w:b/>
      <w:bCs/>
      <w:color w:val="00313C" w:themeColor="accent2"/>
      <w:kern w:val="32"/>
      <w:sz w:val="44"/>
      <w:szCs w:val="44"/>
    </w:rPr>
  </w:style>
  <w:style w:type="character" w:customStyle="1" w:styleId="Heading2Char">
    <w:name w:val="Heading 2 Char"/>
    <w:basedOn w:val="DefaultParagraphFont"/>
    <w:link w:val="Heading2"/>
    <w:uiPriority w:val="1"/>
    <w:locked/>
    <w:rsid w:val="00674783"/>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332C06"/>
    <w:pPr>
      <w:keepNext/>
      <w:spacing w:before="180" w:after="180"/>
      <w:contextualSpacing/>
    </w:pPr>
    <w:rPr>
      <w:b/>
      <w:bCs/>
      <w:color w:val="007E9A" w:themeColor="accent1" w:themeShade="BF"/>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top w:w="0" w:type="dxa"/>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0A377A"/>
    <w:rPr>
      <w:rFonts w:asciiTheme="majorHAnsi" w:eastAsiaTheme="majorEastAsia" w:hAnsiTheme="majorHAnsi" w:cstheme="majorBidi"/>
      <w:b/>
      <w:bCs/>
      <w:iCs/>
      <w:color w:val="007E9A" w:themeColor="accent1" w:themeShade="BF"/>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wonha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iro.au/nationaloutloo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teve.hatfield-dodds@csiro.au"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f070\AppData\Roaming\Microsoft\Templates\Generic%20Document.dotx" TargetMode="External"/></Relationships>
</file>

<file path=word/theme/theme1.xml><?xml version="1.0" encoding="utf-8"?>
<a:theme xmlns:a="http://schemas.openxmlformats.org/drawingml/2006/main" name="Office Theme">
  <a:themeElements>
    <a:clrScheme name="CSIRO Midday">
      <a:dk1>
        <a:sysClr val="windowText" lastClr="000000"/>
      </a:dk1>
      <a:lt1>
        <a:srgbClr val="FFFFFF"/>
      </a:lt1>
      <a:dk2>
        <a:srgbClr val="000000"/>
      </a:dk2>
      <a:lt2>
        <a:srgbClr val="FFFFFF"/>
      </a:lt2>
      <a:accent1>
        <a:srgbClr val="00A9CE"/>
      </a:accent1>
      <a:accent2>
        <a:srgbClr val="00313C"/>
      </a:accent2>
      <a:accent3>
        <a:srgbClr val="78BE20"/>
      </a:accent3>
      <a:accent4>
        <a:srgbClr val="4A7729"/>
      </a:accent4>
      <a:accent5>
        <a:srgbClr val="9FAEE5"/>
      </a:accent5>
      <a:accent6>
        <a:srgbClr val="1E22AA"/>
      </a:accent6>
      <a:hlink>
        <a:srgbClr val="41B6E6"/>
      </a:hlink>
      <a:folHlink>
        <a:srgbClr val="004B87"/>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3</TotalTime>
  <Pages>3</Pages>
  <Words>776</Words>
  <Characters>4883</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Australian National Outlook 2015 – Executive Summary</vt:lpstr>
      <vt:lpstr>Australian National Outlook 2015 –  Insights for food, water and energy</vt:lpstr>
      <vt:lpstr>    Helping to navigate the future  </vt:lpstr>
    </vt:vector>
  </TitlesOfParts>
  <Company>CSIRO</Company>
  <LinksUpToDate>false</LinksUpToDate>
  <CharactersWithSpaces>5648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National Outlook 2015 – Insights for food, water and energy</dc:title>
  <dc:creator>Duffy, Siobhan (Comms, Campbell)</dc:creator>
  <cp:lastModifiedBy>Duffy, Siobhan (Comms, Campbell)</cp:lastModifiedBy>
  <cp:revision>2</cp:revision>
  <cp:lastPrinted>2012-02-01T05:32:00Z</cp:lastPrinted>
  <dcterms:created xsi:type="dcterms:W3CDTF">2015-11-03T00:01:00Z</dcterms:created>
  <dcterms:modified xsi:type="dcterms:W3CDTF">2015-11-03T00:01:00Z</dcterms:modified>
</cp:coreProperties>
</file>