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70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969"/>
      </w:tblGrid>
      <w:tr w:rsidR="00285E36" w:rsidRPr="00E641DA" w:rsidTr="00D12EEE">
        <w:trPr>
          <w:trHeight w:val="488"/>
        </w:trPr>
        <w:tc>
          <w:tcPr>
            <w:tcW w:w="1701" w:type="dxa"/>
            <w:shd w:val="clear" w:color="auto" w:fill="auto"/>
            <w:vAlign w:val="center"/>
          </w:tcPr>
          <w:p w:rsidR="00285E36" w:rsidRPr="004A50F5" w:rsidRDefault="00285E36" w:rsidP="00285E36">
            <w:pPr>
              <w:rPr>
                <w:rFonts w:ascii="Calibri" w:hAnsi="Calibri"/>
                <w:b/>
                <w:bCs/>
                <w:sz w:val="32"/>
              </w:rPr>
            </w:pPr>
            <w:bookmarkStart w:id="0" w:name="_GoBack"/>
            <w:bookmarkEnd w:id="0"/>
            <w:r w:rsidRPr="004A50F5">
              <w:rPr>
                <w:rStyle w:val="BlindHyperlink"/>
                <w:sz w:val="32"/>
              </w:rPr>
              <w:t>Job Title</w:t>
            </w:r>
            <w:r w:rsidRPr="004A50F5">
              <w:rPr>
                <w:rFonts w:ascii="Calibri" w:hAnsi="Calibri"/>
                <w:b/>
                <w:bCs/>
                <w:sz w:val="3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2D0396" w:rsidRDefault="00310BAE" w:rsidP="002D0396">
            <w:pPr>
              <w:rPr>
                <w:sz w:val="36"/>
              </w:rPr>
            </w:pPr>
            <w:r>
              <w:rPr>
                <w:sz w:val="36"/>
              </w:rPr>
              <w:t>Research Director</w:t>
            </w:r>
            <w:r w:rsidR="00352EED">
              <w:rPr>
                <w:sz w:val="36"/>
              </w:rPr>
              <w:t xml:space="preserve">           </w:t>
            </w:r>
          </w:p>
          <w:p w:rsidR="002D0396" w:rsidRPr="00352EED" w:rsidRDefault="002D0396" w:rsidP="002D0396">
            <w:pPr>
              <w:rPr>
                <w:b/>
              </w:rPr>
            </w:pPr>
            <w:r>
              <w:rPr>
                <w:sz w:val="36"/>
              </w:rPr>
              <w:t>Cyber Physical Systems</w:t>
            </w:r>
          </w:p>
          <w:p w:rsidR="00352EED" w:rsidRPr="00352EED" w:rsidRDefault="00352EED" w:rsidP="00352EED">
            <w:pPr>
              <w:rPr>
                <w:b/>
              </w:rPr>
            </w:pPr>
          </w:p>
        </w:tc>
      </w:tr>
      <w:tr w:rsidR="00285E36" w:rsidRPr="00E641DA" w:rsidTr="00C43977">
        <w:trPr>
          <w:trHeight w:val="423"/>
        </w:trPr>
        <w:tc>
          <w:tcPr>
            <w:tcW w:w="1701" w:type="dxa"/>
            <w:shd w:val="clear" w:color="auto" w:fill="auto"/>
            <w:vAlign w:val="center"/>
          </w:tcPr>
          <w:p w:rsidR="00285E36" w:rsidRPr="004A50F5" w:rsidRDefault="00285E36" w:rsidP="00285E36">
            <w:pPr>
              <w:rPr>
                <w:rFonts w:ascii="Calibri" w:hAnsi="Calibri"/>
                <w:b/>
                <w:bCs/>
                <w:sz w:val="32"/>
              </w:rPr>
            </w:pPr>
            <w:r w:rsidRPr="004A50F5">
              <w:rPr>
                <w:rStyle w:val="BlindHyperlink"/>
                <w:sz w:val="32"/>
              </w:rPr>
              <w:t>Reference Number</w:t>
            </w:r>
            <w:r w:rsidRPr="004A50F5">
              <w:rPr>
                <w:rFonts w:ascii="Calibri" w:hAnsi="Calibri"/>
                <w:b/>
                <w:bCs/>
                <w:sz w:val="3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285E36" w:rsidRPr="00F448A0" w:rsidRDefault="00310BAE" w:rsidP="00285E36">
            <w:pPr>
              <w:rPr>
                <w:sz w:val="36"/>
                <w:highlight w:val="yellow"/>
              </w:rPr>
            </w:pPr>
            <w:r>
              <w:rPr>
                <w:sz w:val="36"/>
              </w:rPr>
              <w:t>TBC</w:t>
            </w:r>
          </w:p>
        </w:tc>
      </w:tr>
    </w:tbl>
    <w:p w:rsidR="004A50F5" w:rsidRDefault="004A50F5">
      <w:r w:rsidRPr="001D5A4B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1C46152" wp14:editId="65D62881">
            <wp:simplePos x="0" y="0"/>
            <wp:positionH relativeFrom="column">
              <wp:posOffset>-544930</wp:posOffset>
            </wp:positionH>
            <wp:positionV relativeFrom="paragraph">
              <wp:posOffset>-1630212</wp:posOffset>
            </wp:positionV>
            <wp:extent cx="3011028" cy="1790299"/>
            <wp:effectExtent l="0" t="0" r="0" b="635"/>
            <wp:wrapNone/>
            <wp:docPr id="1" name="Picture 1" descr="C:\Users\rob589\AppData\Local\Microsoft\Windows\Temporary Internet Files\Content.Outlook\T3756DQ4\15-00377_ANIMATION_Data61 Assets_Logo_Full-Colour_On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589\AppData\Local\Microsoft\Windows\Temporary Internet Files\Content.Outlook\T3756DQ4\15-00377_ANIMATION_Data61 Assets_Logo_Full-Colour_On Wh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9" t="8117" r="13891" b="6654"/>
                    <a:stretch/>
                  </pic:blipFill>
                  <pic:spPr bwMode="auto">
                    <a:xfrm>
                      <a:off x="0" y="0"/>
                      <a:ext cx="3011028" cy="179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7796"/>
      </w:tblGrid>
      <w:tr w:rsidR="00105717" w:rsidRPr="00E641DA" w:rsidTr="00620FE2">
        <w:trPr>
          <w:trHeight w:val="405"/>
        </w:trPr>
        <w:tc>
          <w:tcPr>
            <w:tcW w:w="2836" w:type="dxa"/>
            <w:shd w:val="clear" w:color="auto" w:fill="F2F2F2"/>
            <w:vAlign w:val="center"/>
          </w:tcPr>
          <w:p w:rsidR="00105717" w:rsidRPr="00D12EEE" w:rsidRDefault="00105717" w:rsidP="00105717">
            <w:pPr>
              <w:spacing w:before="240"/>
              <w:rPr>
                <w:rFonts w:ascii="Calibri" w:hAnsi="Calibri"/>
                <w:b/>
                <w:bCs/>
              </w:rPr>
            </w:pPr>
            <w:r w:rsidRPr="00D12EEE">
              <w:rPr>
                <w:rStyle w:val="BlindHyperlink"/>
              </w:rPr>
              <w:t>Location</w:t>
            </w:r>
            <w:r w:rsidRPr="00D12EEE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7796" w:type="dxa"/>
            <w:vAlign w:val="center"/>
          </w:tcPr>
          <w:p w:rsidR="00105717" w:rsidRPr="00E641DA" w:rsidRDefault="00105717" w:rsidP="00105717">
            <w:pPr>
              <w:tabs>
                <w:tab w:val="left" w:pos="6093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Sydney</w:t>
            </w:r>
            <w:r w:rsidR="002D0396">
              <w:rPr>
                <w:rFonts w:ascii="Calibri" w:hAnsi="Calibri"/>
              </w:rPr>
              <w:t xml:space="preserve"> or Brisbane</w:t>
            </w:r>
            <w:r>
              <w:rPr>
                <w:rFonts w:ascii="Calibri" w:hAnsi="Calibri"/>
              </w:rPr>
              <w:t xml:space="preserve"> preferred</w:t>
            </w:r>
            <w:r w:rsidR="009D26C3">
              <w:rPr>
                <w:rFonts w:ascii="Calibri" w:hAnsi="Calibri"/>
              </w:rPr>
              <w:t>, other locations will be considered</w:t>
            </w:r>
          </w:p>
        </w:tc>
      </w:tr>
      <w:tr w:rsidR="00105717" w:rsidRPr="00E641DA" w:rsidTr="00620FE2">
        <w:trPr>
          <w:trHeight w:val="405"/>
        </w:trPr>
        <w:tc>
          <w:tcPr>
            <w:tcW w:w="2836" w:type="dxa"/>
            <w:shd w:val="clear" w:color="auto" w:fill="F2F2F2"/>
            <w:vAlign w:val="center"/>
          </w:tcPr>
          <w:p w:rsidR="00105717" w:rsidRPr="00D8313E" w:rsidRDefault="00105717" w:rsidP="00105717">
            <w:pPr>
              <w:spacing w:before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796" w:type="dxa"/>
            <w:vAlign w:val="center"/>
          </w:tcPr>
          <w:p w:rsidR="00105717" w:rsidRPr="00E641DA" w:rsidRDefault="00105717" w:rsidP="00105717">
            <w:pPr>
              <w:rPr>
                <w:rFonts w:ascii="Calibri" w:hAnsi="Calibri"/>
              </w:rPr>
            </w:pPr>
            <w:bookmarkStart w:id="1" w:name="Tenure"/>
            <w:r>
              <w:rPr>
                <w:rFonts w:ascii="Calibri" w:hAnsi="Calibri"/>
              </w:rPr>
              <w:t xml:space="preserve">Specified Term of  3 years </w:t>
            </w:r>
            <w:bookmarkEnd w:id="1"/>
          </w:p>
        </w:tc>
      </w:tr>
      <w:tr w:rsidR="00105717" w:rsidRPr="00E641DA" w:rsidTr="00620FE2">
        <w:trPr>
          <w:trHeight w:val="429"/>
        </w:trPr>
        <w:tc>
          <w:tcPr>
            <w:tcW w:w="2836" w:type="dxa"/>
            <w:shd w:val="clear" w:color="auto" w:fill="F2F2F2"/>
            <w:vAlign w:val="center"/>
          </w:tcPr>
          <w:p w:rsidR="00105717" w:rsidRPr="00E641DA" w:rsidRDefault="00105717" w:rsidP="00105717">
            <w:pPr>
              <w:spacing w:before="240"/>
              <w:rPr>
                <w:rFonts w:ascii="Calibri" w:hAnsi="Calibri"/>
                <w:b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</w:rPr>
              <w:t>:</w:t>
            </w:r>
          </w:p>
        </w:tc>
        <w:tc>
          <w:tcPr>
            <w:tcW w:w="7796" w:type="dxa"/>
            <w:vAlign w:val="center"/>
          </w:tcPr>
          <w:p w:rsidR="00105717" w:rsidRPr="00E641DA" w:rsidRDefault="00105717" w:rsidP="00105717">
            <w:pPr>
              <w:rPr>
                <w:rFonts w:ascii="Calibri" w:hAnsi="Calibri"/>
              </w:rPr>
            </w:pPr>
            <w:r w:rsidRPr="00E641DA">
              <w:rPr>
                <w:rFonts w:ascii="Calibri" w:hAnsi="Calibri"/>
              </w:rPr>
              <w:t>Will be provided to the successful candidate if required.</w:t>
            </w:r>
          </w:p>
        </w:tc>
      </w:tr>
      <w:tr w:rsidR="00105717" w:rsidRPr="0038234C" w:rsidTr="00620FE2">
        <w:trPr>
          <w:trHeight w:val="970"/>
        </w:trPr>
        <w:tc>
          <w:tcPr>
            <w:tcW w:w="2836" w:type="dxa"/>
            <w:shd w:val="clear" w:color="auto" w:fill="F2F2F2"/>
            <w:vAlign w:val="center"/>
          </w:tcPr>
          <w:p w:rsidR="00105717" w:rsidRPr="00D8313E" w:rsidRDefault="00105717" w:rsidP="00105717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bookmarkStart w:id="2" w:name="Citizenship"/>
        <w:tc>
          <w:tcPr>
            <w:tcW w:w="7796" w:type="dxa"/>
            <w:vAlign w:val="center"/>
          </w:tcPr>
          <w:p w:rsidR="00105717" w:rsidRPr="00E641DA" w:rsidRDefault="00105717" w:rsidP="00105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alibri" w:hAnsi="Calibri"/>
              </w:rPr>
              <w:instrText xml:space="preserve"> FORMCHECKBOX </w:instrText>
            </w:r>
            <w:r w:rsidR="00A0233D">
              <w:rPr>
                <w:rFonts w:ascii="Calibri" w:hAnsi="Calibri"/>
              </w:rPr>
            </w:r>
            <w:r w:rsidR="00A0233D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  <w:r w:rsidRPr="00E641DA">
              <w:rPr>
                <w:rFonts w:ascii="Calibri" w:hAnsi="Calibri"/>
              </w:rPr>
              <w:t xml:space="preserve">  Australian Citizens Only</w:t>
            </w:r>
          </w:p>
          <w:p w:rsidR="00105717" w:rsidRPr="00E641DA" w:rsidRDefault="00105717" w:rsidP="00105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0233D">
              <w:rPr>
                <w:rFonts w:ascii="Calibri" w:hAnsi="Calibri"/>
              </w:rPr>
            </w:r>
            <w:r w:rsidR="00A0233D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E641DA">
              <w:rPr>
                <w:rFonts w:ascii="Calibri" w:hAnsi="Calibri"/>
              </w:rPr>
              <w:t xml:space="preserve">  Australian Citizens and Permanent Residents Only</w:t>
            </w:r>
          </w:p>
          <w:p w:rsidR="00105717" w:rsidRDefault="00105717" w:rsidP="001057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rFonts w:ascii="Calibri" w:hAnsi="Calibri"/>
              </w:rPr>
              <w:instrText xml:space="preserve"> FORMCHECKBOX </w:instrText>
            </w:r>
            <w:r w:rsidR="00A0233D">
              <w:rPr>
                <w:rFonts w:ascii="Calibri" w:hAnsi="Calibri"/>
              </w:rPr>
            </w:r>
            <w:r w:rsidR="00A0233D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"/>
            <w:r w:rsidRPr="00E641DA">
              <w:rPr>
                <w:rFonts w:ascii="Calibri" w:hAnsi="Calibri"/>
              </w:rPr>
              <w:t xml:space="preserve">  All Candidates</w:t>
            </w:r>
            <w:bookmarkEnd w:id="2"/>
          </w:p>
          <w:p w:rsidR="00105717" w:rsidRPr="0038234C" w:rsidRDefault="00105717" w:rsidP="001057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Calibri" w:hAnsi="Calibri"/>
                <w:sz w:val="16"/>
                <w:szCs w:val="16"/>
              </w:rPr>
            </w:pPr>
            <w:r w:rsidRPr="0038234C">
              <w:rPr>
                <w:i/>
                <w:iCs/>
                <w:color w:val="1F497D"/>
                <w:sz w:val="16"/>
                <w:szCs w:val="16"/>
              </w:rPr>
              <w:t>For Specified Term positions, we will accept applications from Temporary Residents with working rights for the length of the term</w:t>
            </w:r>
            <w:r>
              <w:rPr>
                <w:i/>
                <w:iCs/>
                <w:color w:val="1F497D"/>
                <w:sz w:val="16"/>
                <w:szCs w:val="16"/>
              </w:rPr>
              <w:t>,</w:t>
            </w:r>
            <w:r w:rsidRPr="0038234C">
              <w:rPr>
                <w:i/>
                <w:iCs/>
                <w:color w:val="1F497D"/>
                <w:sz w:val="16"/>
                <w:szCs w:val="16"/>
              </w:rPr>
              <w:t xml:space="preserve"> who do not require sponsorship.</w:t>
            </w:r>
          </w:p>
        </w:tc>
      </w:tr>
      <w:tr w:rsidR="00105717" w:rsidRPr="0059046B" w:rsidTr="00620FE2">
        <w:trPr>
          <w:trHeight w:val="429"/>
        </w:trPr>
        <w:tc>
          <w:tcPr>
            <w:tcW w:w="2836" w:type="dxa"/>
            <w:shd w:val="clear" w:color="auto" w:fill="F2F2F2"/>
            <w:vAlign w:val="center"/>
          </w:tcPr>
          <w:p w:rsidR="00105717" w:rsidRPr="00E641DA" w:rsidRDefault="00105717" w:rsidP="00105717">
            <w:pPr>
              <w:spacing w:before="240"/>
              <w:rPr>
                <w:rFonts w:ascii="Calibri" w:hAnsi="Calibri"/>
                <w:b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</w:rPr>
              <w:t>:</w:t>
            </w:r>
          </w:p>
        </w:tc>
        <w:tc>
          <w:tcPr>
            <w:tcW w:w="7796" w:type="dxa"/>
            <w:vAlign w:val="center"/>
          </w:tcPr>
          <w:p w:rsidR="00105717" w:rsidRPr="0059046B" w:rsidRDefault="00105717" w:rsidP="00105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Research Management </w:t>
            </w:r>
          </w:p>
        </w:tc>
      </w:tr>
      <w:tr w:rsidR="00105717" w:rsidRPr="002D0402" w:rsidTr="00620FE2">
        <w:trPr>
          <w:trHeight w:val="421"/>
        </w:trPr>
        <w:tc>
          <w:tcPr>
            <w:tcW w:w="2836" w:type="dxa"/>
            <w:shd w:val="clear" w:color="auto" w:fill="F2F2F2"/>
            <w:vAlign w:val="center"/>
          </w:tcPr>
          <w:p w:rsidR="00105717" w:rsidRPr="00F448A0" w:rsidRDefault="00105717" w:rsidP="00105717">
            <w:pPr>
              <w:spacing w:before="240"/>
              <w:rPr>
                <w:rStyle w:val="BlindHyperlink"/>
              </w:rPr>
            </w:pPr>
            <w:r w:rsidRPr="00F448A0">
              <w:rPr>
                <w:rStyle w:val="BlindHyperlink"/>
              </w:rPr>
              <w:t>% Client Focus - Internal:</w:t>
            </w:r>
          </w:p>
        </w:tc>
        <w:tc>
          <w:tcPr>
            <w:tcW w:w="7796" w:type="dxa"/>
            <w:vAlign w:val="center"/>
          </w:tcPr>
          <w:p w:rsidR="00105717" w:rsidRPr="00F448A0" w:rsidRDefault="00105717" w:rsidP="00310BAE">
            <w:pPr>
              <w:rPr>
                <w:rFonts w:ascii="Calibri" w:hAnsi="Calibri"/>
              </w:rPr>
            </w:pPr>
            <w:bookmarkStart w:id="5" w:name="InternalFocus"/>
            <w:r w:rsidRPr="00F448A0">
              <w:rPr>
                <w:rFonts w:ascii="Calibri" w:hAnsi="Calibri"/>
              </w:rPr>
              <w:t>7</w:t>
            </w:r>
            <w:bookmarkEnd w:id="5"/>
            <w:r w:rsidR="00310BAE">
              <w:rPr>
                <w:rFonts w:ascii="Calibri" w:hAnsi="Calibri"/>
              </w:rPr>
              <w:t>0%</w:t>
            </w:r>
          </w:p>
        </w:tc>
      </w:tr>
      <w:tr w:rsidR="00105717" w:rsidRPr="002D0402" w:rsidTr="00620FE2">
        <w:trPr>
          <w:trHeight w:val="413"/>
        </w:trPr>
        <w:tc>
          <w:tcPr>
            <w:tcW w:w="2836" w:type="dxa"/>
            <w:shd w:val="clear" w:color="auto" w:fill="F2F2F2"/>
            <w:vAlign w:val="center"/>
          </w:tcPr>
          <w:p w:rsidR="00105717" w:rsidRPr="00F448A0" w:rsidRDefault="00105717" w:rsidP="00105717">
            <w:pPr>
              <w:spacing w:before="240"/>
              <w:rPr>
                <w:rStyle w:val="BlindHyperlink"/>
              </w:rPr>
            </w:pPr>
            <w:r w:rsidRPr="00F448A0">
              <w:rPr>
                <w:rStyle w:val="BlindHyperlink"/>
              </w:rPr>
              <w:t>% Client Focus - External:</w:t>
            </w:r>
          </w:p>
        </w:tc>
        <w:tc>
          <w:tcPr>
            <w:tcW w:w="7796" w:type="dxa"/>
            <w:vAlign w:val="center"/>
          </w:tcPr>
          <w:p w:rsidR="00105717" w:rsidRPr="00F448A0" w:rsidRDefault="00105717" w:rsidP="00310BAE">
            <w:pPr>
              <w:rPr>
                <w:rFonts w:ascii="Calibri" w:hAnsi="Calibri"/>
              </w:rPr>
            </w:pPr>
            <w:bookmarkStart w:id="6" w:name="ExternalFocus"/>
            <w:r w:rsidRPr="00F448A0">
              <w:rPr>
                <w:rFonts w:ascii="Calibri" w:hAnsi="Calibri"/>
              </w:rPr>
              <w:t>3</w:t>
            </w:r>
            <w:bookmarkEnd w:id="6"/>
            <w:r w:rsidR="00310BAE">
              <w:rPr>
                <w:rFonts w:ascii="Calibri" w:hAnsi="Calibri"/>
              </w:rPr>
              <w:t>0%</w:t>
            </w:r>
          </w:p>
        </w:tc>
      </w:tr>
      <w:tr w:rsidR="00105717" w:rsidRPr="00E641DA" w:rsidTr="00620FE2">
        <w:trPr>
          <w:trHeight w:val="420"/>
        </w:trPr>
        <w:tc>
          <w:tcPr>
            <w:tcW w:w="2836" w:type="dxa"/>
            <w:shd w:val="clear" w:color="auto" w:fill="F2F2F2"/>
            <w:vAlign w:val="center"/>
          </w:tcPr>
          <w:p w:rsidR="00105717" w:rsidRPr="00D8313E" w:rsidRDefault="00105717" w:rsidP="00105717">
            <w:pPr>
              <w:spacing w:before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796" w:type="dxa"/>
            <w:vAlign w:val="center"/>
          </w:tcPr>
          <w:p w:rsidR="00105717" w:rsidRPr="00E641DA" w:rsidRDefault="005E7CB9" w:rsidP="00105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Chief Executive Officer, Data61 </w:t>
            </w:r>
          </w:p>
        </w:tc>
      </w:tr>
      <w:tr w:rsidR="00105717" w:rsidRPr="00E641DA" w:rsidTr="00620FE2">
        <w:trPr>
          <w:trHeight w:val="411"/>
        </w:trPr>
        <w:tc>
          <w:tcPr>
            <w:tcW w:w="2836" w:type="dxa"/>
            <w:shd w:val="clear" w:color="auto" w:fill="F2F2F2"/>
            <w:vAlign w:val="center"/>
          </w:tcPr>
          <w:p w:rsidR="00105717" w:rsidRPr="00D8313E" w:rsidRDefault="00105717" w:rsidP="00105717">
            <w:pPr>
              <w:spacing w:before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tc>
          <w:tcPr>
            <w:tcW w:w="7796" w:type="dxa"/>
            <w:vAlign w:val="center"/>
          </w:tcPr>
          <w:p w:rsidR="00105717" w:rsidRPr="00E641DA" w:rsidRDefault="002D0396" w:rsidP="001057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Approx. </w:t>
            </w:r>
          </w:p>
        </w:tc>
      </w:tr>
      <w:tr w:rsidR="001D5A4B" w:rsidRPr="00E641DA" w:rsidTr="00620FE2">
        <w:trPr>
          <w:trHeight w:val="558"/>
        </w:trPr>
        <w:tc>
          <w:tcPr>
            <w:tcW w:w="10632" w:type="dxa"/>
            <w:gridSpan w:val="2"/>
            <w:shd w:val="clear" w:color="auto" w:fill="F2F2F2"/>
            <w:vAlign w:val="center"/>
          </w:tcPr>
          <w:p w:rsidR="001D5A4B" w:rsidRPr="00E641DA" w:rsidRDefault="001D5A4B" w:rsidP="009E1AD1">
            <w:pPr>
              <w:rPr>
                <w:rFonts w:ascii="Calibri" w:hAnsi="Calibri"/>
                <w:b/>
                <w:bCs/>
              </w:rPr>
            </w:pPr>
            <w:r w:rsidRPr="00E641DA">
              <w:rPr>
                <w:rFonts w:ascii="Calibri" w:hAnsi="Calibri"/>
                <w:b/>
                <w:bCs/>
              </w:rPr>
              <w:t>Role Overview:</w:t>
            </w:r>
          </w:p>
        </w:tc>
      </w:tr>
      <w:tr w:rsidR="001D5A4B" w:rsidRPr="00BE2D3C" w:rsidTr="00620FE2">
        <w:trPr>
          <w:trHeight w:val="1002"/>
        </w:trPr>
        <w:tc>
          <w:tcPr>
            <w:tcW w:w="10632" w:type="dxa"/>
            <w:gridSpan w:val="2"/>
          </w:tcPr>
          <w:p w:rsidR="00105717" w:rsidRDefault="00105717" w:rsidP="00105717">
            <w:pPr>
              <w:numPr>
                <w:ilvl w:val="0"/>
                <w:numId w:val="2"/>
              </w:numPr>
              <w:spacing w:before="18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of Data61 Leadership Team</w:t>
            </w:r>
          </w:p>
          <w:p w:rsidR="00105717" w:rsidRDefault="00105717" w:rsidP="00105717">
            <w:pPr>
              <w:numPr>
                <w:ilvl w:val="0"/>
                <w:numId w:val="2"/>
              </w:numPr>
              <w:spacing w:before="18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 profile, high impact newly created role</w:t>
            </w:r>
          </w:p>
          <w:p w:rsidR="00105717" w:rsidRDefault="00105717" w:rsidP="00105717">
            <w:pPr>
              <w:numPr>
                <w:ilvl w:val="0"/>
                <w:numId w:val="2"/>
              </w:numPr>
              <w:spacing w:before="18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Attractive salary package, high level of autonomy</w:t>
            </w:r>
          </w:p>
          <w:p w:rsidR="00105717" w:rsidRDefault="00105717" w:rsidP="00105717">
            <w:pPr>
              <w:numPr>
                <w:ilvl w:val="0"/>
                <w:numId w:val="2"/>
              </w:numPr>
              <w:spacing w:before="18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a difference to Australia</w:t>
            </w:r>
          </w:p>
          <w:p w:rsidR="00274F1F" w:rsidRDefault="00274F1F" w:rsidP="00274F1F">
            <w:pPr>
              <w:spacing w:before="180" w:after="120" w:line="240" w:lineRule="auto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Data61 is the largest data innovation group in Australia. </w:t>
            </w:r>
            <w:r w:rsidR="00A0233D">
              <w:rPr>
                <w:lang w:val="en"/>
              </w:rPr>
              <w:t>W</w:t>
            </w:r>
            <w:r>
              <w:rPr>
                <w:lang w:val="en"/>
              </w:rPr>
              <w:t>e are unrivalled in our intellectual capital and our network with</w:t>
            </w:r>
            <w:r w:rsidR="00AA7B75">
              <w:rPr>
                <w:lang w:val="en"/>
              </w:rPr>
              <w:t>in</w:t>
            </w:r>
            <w:r>
              <w:rPr>
                <w:lang w:val="en"/>
              </w:rPr>
              <w:t xml:space="preserve"> the global technology marketplace</w:t>
            </w:r>
            <w:r w:rsidR="00A0233D">
              <w:rPr>
                <w:lang w:val="en"/>
              </w:rPr>
              <w:t xml:space="preserve"> with</w:t>
            </w:r>
            <w:r>
              <w:rPr>
                <w:lang w:val="en"/>
              </w:rPr>
              <w:t xml:space="preserve"> approximately 600 research staff working in digital technologies to </w:t>
            </w:r>
            <w:r>
              <w:rPr>
                <w:lang w:val="en"/>
              </w:rPr>
              <w:lastRenderedPageBreak/>
              <w:t xml:space="preserve">create benefit for Australia. Data61 will continue to develop Australia’s future leaders with its strong 300+ PhD student program in collaboration with </w:t>
            </w:r>
            <w:r w:rsidR="00AA7B75">
              <w:rPr>
                <w:lang w:val="en"/>
              </w:rPr>
              <w:t>the</w:t>
            </w:r>
            <w:r>
              <w:rPr>
                <w:lang w:val="en"/>
              </w:rPr>
              <w:t xml:space="preserve"> best universities across Australia.  </w:t>
            </w:r>
          </w:p>
          <w:p w:rsidR="00105717" w:rsidRPr="00AA7B75" w:rsidRDefault="00105717" w:rsidP="00310BAE">
            <w:pPr>
              <w:spacing w:before="180" w:after="120"/>
              <w:jc w:val="both"/>
            </w:pPr>
            <w:r w:rsidRPr="00AA7B75">
              <w:t xml:space="preserve">The Research Director </w:t>
            </w:r>
            <w:r w:rsidR="00AA7B75">
              <w:t xml:space="preserve">will </w:t>
            </w:r>
            <w:r w:rsidRPr="00AA7B75">
              <w:t xml:space="preserve">develop the scientific vision and direction of the research laboratory. The role requires an experienced leader who will manage and develop world-class science capability that is aligned to Data61 goals and meets future workforce needs. You will partner with the </w:t>
            </w:r>
            <w:r w:rsidR="002D0396" w:rsidRPr="00AA7B75">
              <w:t>Deputy Director Science and other Research Directors</w:t>
            </w:r>
            <w:r w:rsidRPr="00AA7B75">
              <w:t xml:space="preserve"> to ensure that our science is globally competitive and addresses meaningful problems in the market. You </w:t>
            </w:r>
            <w:r w:rsidR="00F448A0" w:rsidRPr="00AA7B75">
              <w:t xml:space="preserve">will </w:t>
            </w:r>
            <w:r w:rsidRPr="00AA7B75">
              <w:t>be responsible for ensuring we attract and retain world class capability that meets the future needs of the business. Leveraging multiple disciplines and ensuring cross group and cross organisational collaboration</w:t>
            </w:r>
            <w:r w:rsidR="00F448A0" w:rsidRPr="00AA7B75">
              <w:t>,</w:t>
            </w:r>
            <w:r w:rsidRPr="00AA7B75">
              <w:t xml:space="preserve"> you will have a deep understanding of the market globally and how to create impact from science </w:t>
            </w:r>
            <w:r w:rsidR="00AA7B75">
              <w:t>that</w:t>
            </w:r>
            <w:r w:rsidRPr="00AA7B75">
              <w:t xml:space="preserve"> brings benefit to Australia first, in a global context.</w:t>
            </w:r>
          </w:p>
          <w:p w:rsidR="002D0396" w:rsidRPr="00AA7B75" w:rsidRDefault="005E7CB9" w:rsidP="002D03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The vision for this group is</w:t>
            </w:r>
            <w:r w:rsidR="00B3306C"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 to</w:t>
            </w: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 bring together </w:t>
            </w:r>
            <w:r w:rsidR="002D0396" w:rsidRPr="00AA7B75">
              <w:rPr>
                <w:rFonts w:eastAsia="Times New Roman" w:cstheme="minorHAnsi"/>
                <w:color w:val="1D2021"/>
                <w:lang w:val="en" w:eastAsia="en-AU"/>
              </w:rPr>
              <w:t>the digital and physical worlds</w:t>
            </w:r>
            <w:r w:rsidR="00AA7B75" w:rsidRPr="00AA7B75">
              <w:rPr>
                <w:rFonts w:eastAsia="Times New Roman" w:cstheme="minorHAnsi"/>
                <w:color w:val="1D2021"/>
                <w:lang w:val="en" w:eastAsia="en-AU"/>
              </w:rPr>
              <w:t>. T</w:t>
            </w: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he successful applicant will have a strong research record </w:t>
            </w:r>
            <w:r w:rsidR="00AA7B75"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in </w:t>
            </w: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at least one of the following domains: 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micro-sensing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signal processing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communication systems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distributed sensor systems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robotics</w:t>
            </w:r>
          </w:p>
          <w:p w:rsidR="002D0396" w:rsidRPr="00AA7B75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networks</w:t>
            </w:r>
          </w:p>
          <w:p w:rsidR="002D0396" w:rsidRPr="002D0396" w:rsidRDefault="002D0396" w:rsidP="002D03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sz w:val="24"/>
                <w:szCs w:val="24"/>
                <w:lang w:val="en" w:eastAsia="en-AU"/>
              </w:rPr>
            </w:pPr>
            <w:proofErr w:type="gramStart"/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>smart</w:t>
            </w:r>
            <w:proofErr w:type="gramEnd"/>
            <w:r w:rsidRPr="00AA7B75">
              <w:rPr>
                <w:rFonts w:eastAsia="Times New Roman" w:cstheme="minorHAnsi"/>
                <w:color w:val="1D2021"/>
                <w:lang w:val="en" w:eastAsia="en-AU"/>
              </w:rPr>
              <w:t xml:space="preserve"> vision</w:t>
            </w:r>
            <w:r w:rsidRPr="002D0396">
              <w:rPr>
                <w:rFonts w:eastAsia="Times New Roman" w:cstheme="minorHAnsi"/>
                <w:color w:val="1D2021"/>
                <w:sz w:val="24"/>
                <w:szCs w:val="24"/>
                <w:lang w:val="en" w:eastAsia="en-AU"/>
              </w:rPr>
              <w:t>.</w:t>
            </w:r>
          </w:p>
          <w:p w:rsidR="00352EED" w:rsidRPr="00352EED" w:rsidRDefault="00352EED" w:rsidP="00310BAE">
            <w:pPr>
              <w:spacing w:before="180" w:after="120"/>
              <w:jc w:val="both"/>
              <w:rPr>
                <w:rFonts w:ascii="Calibri" w:hAnsi="Calibri"/>
                <w:i/>
              </w:rPr>
            </w:pPr>
          </w:p>
        </w:tc>
      </w:tr>
      <w:tr w:rsidR="007462EE" w:rsidRPr="00E641DA" w:rsidTr="00620FE2">
        <w:trPr>
          <w:trHeight w:val="63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62EE" w:rsidRPr="004A50F5" w:rsidRDefault="007462EE" w:rsidP="004A50F5">
            <w:pPr>
              <w:spacing w:before="180" w:after="0" w:line="240" w:lineRule="auto"/>
              <w:ind w:left="720" w:hanging="360"/>
              <w:rPr>
                <w:rFonts w:ascii="Calibri" w:hAnsi="Calibri"/>
                <w:b/>
              </w:rPr>
            </w:pPr>
            <w:r w:rsidRPr="004A50F5">
              <w:rPr>
                <w:rFonts w:ascii="Calibri" w:hAnsi="Calibri"/>
                <w:b/>
              </w:rPr>
              <w:lastRenderedPageBreak/>
              <w:t>Duties and Key Result Areas:</w:t>
            </w:r>
          </w:p>
        </w:tc>
      </w:tr>
      <w:tr w:rsidR="007462EE" w:rsidRPr="00E641DA" w:rsidTr="00620FE2">
        <w:trPr>
          <w:trHeight w:val="100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7" w:rsidRPr="006309C6" w:rsidRDefault="00620FE2" w:rsidP="00105717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br/>
            </w:r>
            <w:r w:rsidR="00105717" w:rsidRPr="006309C6">
              <w:rPr>
                <w:rFonts w:ascii="Calibri" w:hAnsi="Calibri"/>
                <w:b/>
                <w:color w:val="000000"/>
              </w:rPr>
              <w:t xml:space="preserve">Impact </w:t>
            </w:r>
            <w:r w:rsidR="00105717">
              <w:rPr>
                <w:rFonts w:ascii="Calibri" w:hAnsi="Calibri"/>
                <w:b/>
                <w:color w:val="000000"/>
              </w:rPr>
              <w:t>Science</w:t>
            </w:r>
            <w:r w:rsidR="00105717" w:rsidRPr="006309C6">
              <w:rPr>
                <w:rFonts w:ascii="Calibri" w:hAnsi="Calibri"/>
                <w:b/>
                <w:color w:val="000000"/>
              </w:rPr>
              <w:t xml:space="preserve"> Leadership 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714" w:hanging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 high level strategic science leadership to ensure </w:t>
            </w:r>
            <w:r w:rsidRPr="006309C6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ata61 remains glob</w:t>
            </w:r>
            <w:r w:rsidR="00F448A0">
              <w:rPr>
                <w:rFonts w:ascii="Calibri" w:hAnsi="Calibri"/>
              </w:rPr>
              <w:t>ally competitive in its science.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714" w:hanging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 and promote a strong scientific culture of excell</w:t>
            </w:r>
            <w:r w:rsidR="00F448A0">
              <w:rPr>
                <w:rFonts w:ascii="Calibri" w:hAnsi="Calibri"/>
              </w:rPr>
              <w:t>ence consistent with our Values.</w:t>
            </w:r>
          </w:p>
          <w:p w:rsidR="00105717" w:rsidRPr="00F448A0" w:rsidRDefault="00105717" w:rsidP="00105717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714" w:hanging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cross group collaboration and leverage other disciplines acros</w:t>
            </w:r>
            <w:r w:rsidRPr="00F448A0">
              <w:rPr>
                <w:rFonts w:ascii="Calibri" w:hAnsi="Calibri"/>
              </w:rPr>
              <w:t xml:space="preserve">s </w:t>
            </w:r>
            <w:r w:rsidR="00F448A0" w:rsidRPr="00F448A0">
              <w:rPr>
                <w:rFonts w:ascii="Calibri" w:hAnsi="Calibri"/>
              </w:rPr>
              <w:t>Data 61.</w:t>
            </w:r>
          </w:p>
          <w:p w:rsidR="00105717" w:rsidRPr="00F448A0" w:rsidRDefault="00105717" w:rsidP="00105717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714" w:hanging="357"/>
              <w:jc w:val="both"/>
              <w:rPr>
                <w:rFonts w:ascii="Calibri" w:hAnsi="Calibri"/>
              </w:rPr>
            </w:pPr>
            <w:r w:rsidRPr="00F448A0">
              <w:rPr>
                <w:rFonts w:ascii="Calibri" w:hAnsi="Calibri"/>
              </w:rPr>
              <w:t xml:space="preserve">Identify and </w:t>
            </w:r>
            <w:r w:rsidR="00F448A0">
              <w:rPr>
                <w:rFonts w:ascii="Calibri" w:hAnsi="Calibri"/>
              </w:rPr>
              <w:t>develop new science initiatives.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714" w:hanging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 accountable for scientific performance, including citations, patents, students and research that has been commercialised. </w:t>
            </w:r>
          </w:p>
          <w:p w:rsidR="00105717" w:rsidRDefault="00105717" w:rsidP="00105717">
            <w:pPr>
              <w:rPr>
                <w:rFonts w:ascii="Calibri" w:hAnsi="Calibri"/>
                <w:b/>
                <w:color w:val="000000"/>
              </w:rPr>
            </w:pPr>
          </w:p>
          <w:p w:rsidR="00105717" w:rsidRPr="006309C6" w:rsidRDefault="00105717" w:rsidP="00105717">
            <w:pPr>
              <w:rPr>
                <w:rFonts w:ascii="Calibri" w:hAnsi="Calibri"/>
                <w:b/>
                <w:color w:val="000000"/>
              </w:rPr>
            </w:pPr>
            <w:r w:rsidRPr="006309C6">
              <w:rPr>
                <w:rFonts w:ascii="Calibri" w:hAnsi="Calibri"/>
                <w:b/>
                <w:color w:val="000000"/>
              </w:rPr>
              <w:t>Capability Leadership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Shape science capability internally and through external collaboration to me</w:t>
            </w:r>
            <w:r w:rsidR="00F448A0">
              <w:rPr>
                <w:rFonts w:ascii="Calibri" w:hAnsi="Calibri"/>
              </w:rPr>
              <w:t>et future science opportunities.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the attraction, development and retention of world c</w:t>
            </w:r>
            <w:r w:rsidR="00F448A0">
              <w:rPr>
                <w:rFonts w:ascii="Calibri" w:hAnsi="Calibri"/>
              </w:rPr>
              <w:t>lass talent.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Build </w:t>
            </w:r>
            <w:r w:rsidR="00F448A0">
              <w:rPr>
                <w:rFonts w:ascii="Calibri" w:hAnsi="Calibri"/>
              </w:rPr>
              <w:t>the science leadership pipeline.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a strong </w:t>
            </w:r>
            <w:r w:rsidRPr="00F448A0">
              <w:rPr>
                <w:rFonts w:ascii="Calibri" w:hAnsi="Calibri"/>
              </w:rPr>
              <w:t>pipeline of students through partnerships with the GO8, partnered Universities and Global University interactions</w:t>
            </w:r>
            <w:r w:rsidR="00F448A0" w:rsidRPr="00F448A0">
              <w:rPr>
                <w:rFonts w:ascii="Calibri" w:hAnsi="Calibri"/>
              </w:rPr>
              <w:t>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Monitor long term science trends to forecast capability demand. </w:t>
            </w:r>
          </w:p>
          <w:p w:rsidR="00105717" w:rsidRPr="006309C6" w:rsidRDefault="00620FE2" w:rsidP="00105717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br/>
            </w:r>
            <w:r w:rsidR="00105717" w:rsidRPr="006309C6">
              <w:rPr>
                <w:rFonts w:ascii="Calibri" w:hAnsi="Calibri"/>
                <w:b/>
                <w:color w:val="000000"/>
              </w:rPr>
              <w:t xml:space="preserve">Engagement &amp; Partnerships  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Manage external scientific relationships with partners to advance Data61’s interes</w:t>
            </w:r>
            <w:r w:rsidR="00F448A0">
              <w:rPr>
                <w:rFonts w:ascii="Calibri" w:hAnsi="Calibri"/>
              </w:rPr>
              <w:t>ts, science delivery and impact.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Provide high level scientific representation nationally and internationally of Data61’s capability</w:t>
            </w:r>
            <w:r w:rsidR="00F448A0">
              <w:rPr>
                <w:rFonts w:ascii="Calibri" w:hAnsi="Calibri"/>
              </w:rPr>
              <w:t>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strategic alliances with industry, universities and across CSIRO to execute Data61’s strategy.</w:t>
            </w:r>
          </w:p>
          <w:p w:rsidR="00105717" w:rsidRPr="006309C6" w:rsidRDefault="00620FE2" w:rsidP="00105717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br/>
            </w:r>
            <w:r w:rsidR="00105717" w:rsidRPr="006309C6">
              <w:rPr>
                <w:rFonts w:ascii="Calibri" w:hAnsi="Calibri"/>
                <w:b/>
                <w:color w:val="000000"/>
              </w:rPr>
              <w:t xml:space="preserve">Resource Leadership 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 plans to Data61’s long ter</w:t>
            </w:r>
            <w:r w:rsidR="00F448A0">
              <w:rPr>
                <w:rFonts w:ascii="Calibri" w:hAnsi="Calibri"/>
              </w:rPr>
              <w:t>m future science infrastructure.</w:t>
            </w:r>
          </w:p>
          <w:p w:rsidR="00105717" w:rsidRDefault="00105717" w:rsidP="0010571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with the leadership team to ensure that the capability and resources are effectively prioritised and deployed</w:t>
            </w:r>
            <w:r w:rsidR="00F448A0">
              <w:rPr>
                <w:rFonts w:ascii="Calibri" w:hAnsi="Calibri"/>
              </w:rPr>
              <w:t xml:space="preserve"> to meet strategic requirements.</w:t>
            </w:r>
          </w:p>
          <w:p w:rsidR="007462EE" w:rsidRPr="002174E6" w:rsidRDefault="007462EE" w:rsidP="00105717">
            <w:pPr>
              <w:spacing w:after="0" w:line="240" w:lineRule="auto"/>
              <w:ind w:left="720"/>
              <w:contextualSpacing/>
              <w:rPr>
                <w:rFonts w:ascii="Calibri" w:hAnsi="Calibri"/>
              </w:rPr>
            </w:pPr>
          </w:p>
        </w:tc>
      </w:tr>
      <w:tr w:rsidR="007462EE" w:rsidRPr="00E641DA" w:rsidTr="00620FE2">
        <w:trPr>
          <w:trHeight w:val="703"/>
        </w:trPr>
        <w:tc>
          <w:tcPr>
            <w:tcW w:w="10632" w:type="dxa"/>
            <w:gridSpan w:val="2"/>
            <w:shd w:val="clear" w:color="auto" w:fill="F2F2F2"/>
            <w:vAlign w:val="center"/>
          </w:tcPr>
          <w:p w:rsidR="007462EE" w:rsidRPr="00E641DA" w:rsidRDefault="007462EE" w:rsidP="002C2764">
            <w:pPr>
              <w:rPr>
                <w:rFonts w:ascii="Calibri" w:hAnsi="Calibri"/>
                <w:b/>
                <w:bCs/>
              </w:rPr>
            </w:pPr>
            <w:r w:rsidRPr="00E641DA">
              <w:rPr>
                <w:rFonts w:ascii="Calibri" w:hAnsi="Calibri"/>
                <w:b/>
                <w:bCs/>
              </w:rPr>
              <w:lastRenderedPageBreak/>
              <w:t>Selection Criteria:</w:t>
            </w:r>
          </w:p>
        </w:tc>
      </w:tr>
      <w:tr w:rsidR="007462EE" w:rsidRPr="00E641DA" w:rsidTr="00620FE2">
        <w:trPr>
          <w:trHeight w:val="703"/>
        </w:trPr>
        <w:tc>
          <w:tcPr>
            <w:tcW w:w="10632" w:type="dxa"/>
            <w:gridSpan w:val="2"/>
            <w:shd w:val="clear" w:color="auto" w:fill="FFFFFF"/>
          </w:tcPr>
          <w:p w:rsidR="00105717" w:rsidRPr="000C768B" w:rsidRDefault="00105717" w:rsidP="00105717">
            <w:pPr>
              <w:spacing w:after="120"/>
              <w:jc w:val="both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br/>
            </w:r>
            <w:r w:rsidRPr="00CA1F37">
              <w:rPr>
                <w:rFonts w:ascii="Calibri" w:hAnsi="Calibri"/>
                <w:b/>
                <w:bCs/>
                <w:i/>
                <w:iCs/>
              </w:rPr>
              <w:t>Pre-Requisites: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Cs/>
                <w:iCs/>
              </w:rPr>
              <w:t>A PhD in a relevant discipline</w:t>
            </w:r>
            <w:r w:rsidRPr="000C768B">
              <w:rPr>
                <w:rFonts w:ascii="Calibri" w:hAnsi="Calibri"/>
                <w:bCs/>
                <w:iCs/>
              </w:rPr>
              <w:t xml:space="preserve"> </w:t>
            </w:r>
          </w:p>
          <w:p w:rsidR="00105717" w:rsidRPr="00CA1F37" w:rsidRDefault="00105717" w:rsidP="00105717">
            <w:pPr>
              <w:spacing w:before="120" w:after="120"/>
              <w:jc w:val="both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br/>
            </w:r>
            <w:r w:rsidRPr="00CA1F37">
              <w:rPr>
                <w:rFonts w:ascii="Calibri" w:hAnsi="Calibri"/>
                <w:b/>
                <w:bCs/>
                <w:i/>
                <w:iCs/>
              </w:rPr>
              <w:t>Essential Criteria:</w:t>
            </w:r>
          </w:p>
          <w:p w:rsidR="00105717" w:rsidRDefault="008072F8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e</w:t>
            </w:r>
            <w:r w:rsidR="00105717">
              <w:rPr>
                <w:sz w:val="22"/>
                <w:szCs w:val="22"/>
              </w:rPr>
              <w:t xml:space="preserve">stablished international eminence in the relevant science domain with evidence of effective world‐class science leadership. 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successful leadership of platform, discovery and impact science at scale.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strong engagement skills and strategic relationship management that grows new science opportunities and supports commercial outcomes.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Demonstrated ability to attract, retain, empower and develop world class talent and to promote wellbeing and foster cross organisational capability. 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track record in supporting senior leaders to optimise positioning, organisational alignment and science delivery in the national interest. 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Demonstrated track record in planning for science infrastructure to meet short and long term needs. </w:t>
            </w:r>
          </w:p>
          <w:p w:rsidR="00105717" w:rsidRDefault="00105717" w:rsidP="00105717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Values and behaviours are exemplary, and actively promotes collaboration and benefit to Australia. </w:t>
            </w:r>
          </w:p>
          <w:p w:rsidR="007462EE" w:rsidRPr="00900FE3" w:rsidRDefault="007462EE" w:rsidP="002C2764">
            <w:pPr>
              <w:spacing w:before="120" w:after="120"/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:rsidR="007462EE" w:rsidRPr="002D0396" w:rsidRDefault="002D0396" w:rsidP="002C2764">
            <w:pPr>
              <w:spacing w:after="120"/>
              <w:jc w:val="both"/>
              <w:rPr>
                <w:rFonts w:cstheme="minorHAnsi"/>
                <w:b/>
                <w:bCs/>
                <w:iCs/>
              </w:rPr>
            </w:pPr>
            <w:r w:rsidRPr="002D0396">
              <w:rPr>
                <w:rFonts w:cstheme="minorHAnsi"/>
                <w:b/>
                <w:bCs/>
                <w:iCs/>
              </w:rPr>
              <w:t xml:space="preserve">About the Cyber Physical Systems research program. </w:t>
            </w:r>
          </w:p>
          <w:p w:rsidR="002D0396" w:rsidRPr="002D0396" w:rsidRDefault="002D0396" w:rsidP="002D0396">
            <w:pPr>
              <w:spacing w:after="120"/>
              <w:jc w:val="both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cstheme="minorHAnsi"/>
                <w:bCs/>
                <w:iCs/>
              </w:rPr>
              <w:t xml:space="preserve">The Cyber Physical Systems research program is focused on </w:t>
            </w:r>
            <w:r>
              <w:rPr>
                <w:rFonts w:eastAsia="Times New Roman" w:cstheme="minorHAnsi"/>
                <w:color w:val="1D2021"/>
                <w:lang w:val="en" w:eastAsia="en-AU"/>
              </w:rPr>
              <w:t>b</w:t>
            </w: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 xml:space="preserve">ringing together the digital and physical worlds, our researchers and engineers work in the following areas: 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micro-sensing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signal processing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communication systems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distributed sensor systems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robotics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networks</w:t>
            </w:r>
          </w:p>
          <w:p w:rsidR="002D0396" w:rsidRPr="002D0396" w:rsidRDefault="002D0396" w:rsidP="002D03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D2021"/>
                <w:lang w:val="en" w:eastAsia="en-AU"/>
              </w:rPr>
            </w:pPr>
            <w:proofErr w:type="gramStart"/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>smart</w:t>
            </w:r>
            <w:proofErr w:type="gramEnd"/>
            <w:r w:rsidRPr="002D0396">
              <w:rPr>
                <w:rFonts w:eastAsia="Times New Roman" w:cstheme="minorHAnsi"/>
                <w:color w:val="1D2021"/>
                <w:lang w:val="en" w:eastAsia="en-AU"/>
              </w:rPr>
              <w:t xml:space="preserve"> vision.</w:t>
            </w:r>
          </w:p>
          <w:p w:rsidR="002D0396" w:rsidRPr="002D0396" w:rsidRDefault="002D0396" w:rsidP="002C2764">
            <w:pPr>
              <w:spacing w:after="120"/>
              <w:jc w:val="both"/>
              <w:rPr>
                <w:rFonts w:ascii="Calibri" w:hAnsi="Calibri"/>
                <w:bCs/>
                <w:iCs/>
              </w:rPr>
            </w:pPr>
            <w:r w:rsidRPr="002D0396">
              <w:rPr>
                <w:rFonts w:ascii="Calibri" w:hAnsi="Calibri"/>
                <w:bCs/>
                <w:iCs/>
              </w:rPr>
              <w:t xml:space="preserve">For more information please visit: </w:t>
            </w:r>
            <w:hyperlink r:id="rId9" w:history="1">
              <w:r w:rsidRPr="002D0396">
                <w:rPr>
                  <w:rStyle w:val="Hyperlink"/>
                  <w:rFonts w:ascii="Calibri" w:hAnsi="Calibri"/>
                  <w:bCs/>
                  <w:iCs/>
                  <w:color w:val="auto"/>
                </w:rPr>
                <w:t>http://data61.csiro.au/en/Our-expertise/Expertise-Cyber-physical-systems</w:t>
              </w:r>
            </w:hyperlink>
          </w:p>
          <w:p w:rsidR="002D0396" w:rsidRPr="00CA1F37" w:rsidRDefault="002D0396" w:rsidP="002C2764">
            <w:pPr>
              <w:spacing w:after="120"/>
              <w:jc w:val="both"/>
              <w:rPr>
                <w:rFonts w:ascii="Calibri" w:hAnsi="Calibri"/>
                <w:b/>
                <w:bCs/>
                <w:iCs/>
                <w:color w:val="FF0000"/>
              </w:rPr>
            </w:pPr>
          </w:p>
        </w:tc>
      </w:tr>
    </w:tbl>
    <w:p w:rsidR="001D5A4B" w:rsidRDefault="001D5A4B"/>
    <w:sectPr w:rsidR="001D5A4B" w:rsidSect="00D12EEE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E4" w:rsidRDefault="004806E4" w:rsidP="00D12EEE">
      <w:pPr>
        <w:spacing w:after="0" w:line="240" w:lineRule="auto"/>
      </w:pPr>
      <w:r>
        <w:separator/>
      </w:r>
    </w:p>
  </w:endnote>
  <w:endnote w:type="continuationSeparator" w:id="0">
    <w:p w:rsidR="004806E4" w:rsidRDefault="004806E4" w:rsidP="00D1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E4" w:rsidRDefault="004806E4" w:rsidP="00D12EEE">
      <w:pPr>
        <w:spacing w:after="0" w:line="240" w:lineRule="auto"/>
      </w:pPr>
      <w:r>
        <w:separator/>
      </w:r>
    </w:p>
  </w:footnote>
  <w:footnote w:type="continuationSeparator" w:id="0">
    <w:p w:rsidR="004806E4" w:rsidRDefault="004806E4" w:rsidP="00D1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EE" w:rsidRDefault="00D12EEE">
    <w:pPr>
      <w:pStyle w:val="Header"/>
    </w:pPr>
  </w:p>
  <w:p w:rsidR="00D12EEE" w:rsidRDefault="00D12E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EE" w:rsidRDefault="00D12EEE" w:rsidP="00D12EEE">
    <w:pPr>
      <w:pStyle w:val="Header"/>
      <w:rPr>
        <w:noProof/>
        <w:lang w:eastAsia="en-AU"/>
      </w:rPr>
    </w:pPr>
  </w:p>
  <w:p w:rsidR="00D12EEE" w:rsidRDefault="00D12EEE" w:rsidP="00D12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AA8"/>
    <w:multiLevelType w:val="hybridMultilevel"/>
    <w:tmpl w:val="CA4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5C4B"/>
    <w:multiLevelType w:val="multilevel"/>
    <w:tmpl w:val="C18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2D3"/>
    <w:multiLevelType w:val="hybridMultilevel"/>
    <w:tmpl w:val="B97C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0B3E"/>
    <w:multiLevelType w:val="hybridMultilevel"/>
    <w:tmpl w:val="D6425F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35673"/>
    <w:multiLevelType w:val="multilevel"/>
    <w:tmpl w:val="8C3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97C16"/>
    <w:multiLevelType w:val="hybridMultilevel"/>
    <w:tmpl w:val="6BFE73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97713"/>
    <w:multiLevelType w:val="hybridMultilevel"/>
    <w:tmpl w:val="D05AB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4B"/>
    <w:rsid w:val="000803C7"/>
    <w:rsid w:val="00105717"/>
    <w:rsid w:val="00126DF8"/>
    <w:rsid w:val="001D5A4B"/>
    <w:rsid w:val="00211D93"/>
    <w:rsid w:val="002174E6"/>
    <w:rsid w:val="00274F1F"/>
    <w:rsid w:val="00285E36"/>
    <w:rsid w:val="002D0396"/>
    <w:rsid w:val="002D0402"/>
    <w:rsid w:val="00310BAE"/>
    <w:rsid w:val="00352EED"/>
    <w:rsid w:val="004464DC"/>
    <w:rsid w:val="004806E4"/>
    <w:rsid w:val="004A50F5"/>
    <w:rsid w:val="005B4096"/>
    <w:rsid w:val="005E0541"/>
    <w:rsid w:val="005E7CB9"/>
    <w:rsid w:val="00620FE2"/>
    <w:rsid w:val="00655F31"/>
    <w:rsid w:val="006700D1"/>
    <w:rsid w:val="006F310F"/>
    <w:rsid w:val="007462EE"/>
    <w:rsid w:val="007656F1"/>
    <w:rsid w:val="008072F8"/>
    <w:rsid w:val="008D7D9B"/>
    <w:rsid w:val="009D26C3"/>
    <w:rsid w:val="00A0233D"/>
    <w:rsid w:val="00A869B4"/>
    <w:rsid w:val="00AA7B75"/>
    <w:rsid w:val="00B3306C"/>
    <w:rsid w:val="00C667A9"/>
    <w:rsid w:val="00D12EEE"/>
    <w:rsid w:val="00E1221A"/>
    <w:rsid w:val="00F010D4"/>
    <w:rsid w:val="00F448A0"/>
    <w:rsid w:val="00F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CDD926-091C-4A40-8E44-4CF62218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indHyperlink">
    <w:name w:val="Blind Hyperlink"/>
    <w:uiPriority w:val="1"/>
    <w:qFormat/>
    <w:rsid w:val="001D5A4B"/>
    <w:rPr>
      <w:rFonts w:cs="Times New Roman"/>
      <w:b/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D1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EE"/>
  </w:style>
  <w:style w:type="paragraph" w:styleId="Footer">
    <w:name w:val="footer"/>
    <w:basedOn w:val="Normal"/>
    <w:link w:val="FooterChar"/>
    <w:uiPriority w:val="99"/>
    <w:unhideWhenUsed/>
    <w:rsid w:val="00D1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EE"/>
  </w:style>
  <w:style w:type="paragraph" w:customStyle="1" w:styleId="Default">
    <w:name w:val="Default"/>
    <w:rsid w:val="00285E3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AU"/>
    </w:rPr>
  </w:style>
  <w:style w:type="character" w:styleId="Emphasis">
    <w:name w:val="Emphasis"/>
    <w:qFormat/>
    <w:rsid w:val="008D7D9B"/>
    <w:rPr>
      <w:rFonts w:cs="Times New Roman"/>
      <w:i/>
    </w:rPr>
  </w:style>
  <w:style w:type="paragraph" w:styleId="NormalWeb">
    <w:name w:val="Normal (Web)"/>
    <w:basedOn w:val="Normal"/>
    <w:uiPriority w:val="99"/>
    <w:semiHidden/>
    <w:unhideWhenUsed/>
    <w:rsid w:val="002D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ta61.csiro.au/en/Our-expertise/Expertise-Cyber-physical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749A-C1D4-42CB-884D-B14450D2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Anthea (HR, Pullenvale)</dc:creator>
  <cp:keywords/>
  <dc:description/>
  <cp:lastModifiedBy>Austin, Dympna (HR, North Ryde)</cp:lastModifiedBy>
  <cp:revision>2</cp:revision>
  <dcterms:created xsi:type="dcterms:W3CDTF">2017-07-12T04:53:00Z</dcterms:created>
  <dcterms:modified xsi:type="dcterms:W3CDTF">2017-07-12T04:53:00Z</dcterms:modified>
</cp:coreProperties>
</file>