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7B1885" w:rsidP="009C3728">
            <w:pPr>
              <w:tabs>
                <w:tab w:val="left" w:pos="6093"/>
              </w:tabs>
              <w:spacing w:before="120" w:after="60"/>
              <w:rPr>
                <w:rFonts w:ascii="Calibri" w:hAnsi="Calibri"/>
                <w:sz w:val="22"/>
                <w:szCs w:val="22"/>
              </w:rPr>
            </w:pPr>
            <w:r w:rsidRPr="007B1885">
              <w:rPr>
                <w:rFonts w:ascii="Calibri" w:hAnsi="Calibri"/>
                <w:sz w:val="22"/>
                <w:szCs w:val="22"/>
              </w:rPr>
              <w:t>Research Scientist in Data Science</w:t>
            </w:r>
            <w:r>
              <w:rPr>
                <w:rFonts w:ascii="Calibri" w:hAnsi="Calibri"/>
                <w:sz w:val="22"/>
                <w:szCs w:val="22"/>
              </w:rPr>
              <w:t xml:space="preserve"> </w:t>
            </w:r>
            <w:r w:rsidRPr="002425DB">
              <w:rPr>
                <w:rFonts w:ascii="Calibri" w:hAnsi="Calibri"/>
                <w:sz w:val="22"/>
                <w:szCs w:val="22"/>
              </w:rPr>
              <w:t>- 2 Positions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7B1885" w:rsidP="00C40A38">
            <w:pPr>
              <w:rPr>
                <w:rFonts w:ascii="Calibri" w:hAnsi="Calibri"/>
                <w:sz w:val="22"/>
                <w:szCs w:val="22"/>
              </w:rPr>
            </w:pPr>
            <w:r>
              <w:rPr>
                <w:rFonts w:ascii="Calibri" w:hAnsi="Calibri"/>
                <w:sz w:val="22"/>
                <w:szCs w:val="22"/>
              </w:rPr>
              <w:t>57774</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2425DB">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7B1885"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7B1885"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B1885" w:rsidP="00240A35">
            <w:pPr>
              <w:pStyle w:val="ListParagraph"/>
              <w:ind w:left="0"/>
              <w:rPr>
                <w:rFonts w:ascii="Calibri" w:hAnsi="Calibri"/>
                <w:sz w:val="22"/>
                <w:szCs w:val="22"/>
              </w:rPr>
            </w:pPr>
            <w:r>
              <w:rPr>
                <w:rFonts w:ascii="Calibri" w:hAnsi="Calibri"/>
                <w:sz w:val="22"/>
                <w:szCs w:val="22"/>
              </w:rPr>
              <w:t>Research Group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7B1885">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7B1885" w:rsidRDefault="007B1885" w:rsidP="007B1885">
            <w:pPr>
              <w:spacing w:after="120"/>
              <w:ind w:right="-108"/>
              <w:jc w:val="both"/>
              <w:rPr>
                <w:rFonts w:ascii="Calibri" w:hAnsi="Calibri"/>
                <w:i/>
                <w:sz w:val="22"/>
                <w:szCs w:val="22"/>
              </w:rPr>
            </w:pPr>
            <w:r w:rsidRPr="00700304">
              <w:rPr>
                <w:rFonts w:ascii="Calibri" w:hAnsi="Calibri"/>
                <w:b/>
                <w:sz w:val="22"/>
                <w:szCs w:val="22"/>
              </w:rPr>
              <w:t>Dr Peter Toscas</w:t>
            </w:r>
            <w:r w:rsidRPr="00700304">
              <w:rPr>
                <w:rFonts w:ascii="Calibri" w:hAnsi="Calibri"/>
                <w:i/>
                <w:sz w:val="22"/>
                <w:szCs w:val="22"/>
              </w:rPr>
              <w:t xml:space="preserve"> </w:t>
            </w:r>
          </w:p>
          <w:p w:rsidR="007B1885" w:rsidRDefault="007B1885" w:rsidP="007B1885">
            <w:pPr>
              <w:spacing w:after="120"/>
              <w:ind w:right="-108"/>
              <w:jc w:val="both"/>
              <w:rPr>
                <w:rFonts w:ascii="Calibri" w:hAnsi="Calibri"/>
                <w:sz w:val="22"/>
                <w:szCs w:val="22"/>
              </w:rPr>
            </w:pPr>
            <w:r>
              <w:rPr>
                <w:rFonts w:ascii="Calibri" w:hAnsi="Calibri"/>
                <w:bCs/>
                <w:sz w:val="22"/>
                <w:szCs w:val="22"/>
              </w:rPr>
              <w:t>E</w:t>
            </w:r>
            <w:r w:rsidRPr="00700304">
              <w:rPr>
                <w:rFonts w:ascii="Calibri" w:hAnsi="Calibri"/>
                <w:bCs/>
                <w:sz w:val="22"/>
                <w:szCs w:val="22"/>
              </w:rPr>
              <w:t xml:space="preserve">mail: </w:t>
            </w:r>
            <w:hyperlink r:id="rId8" w:history="1">
              <w:r w:rsidRPr="008C6FEE">
                <w:rPr>
                  <w:rStyle w:val="Hyperlink"/>
                  <w:rFonts w:ascii="Calibri" w:hAnsi="Calibri" w:cs="Arial"/>
                  <w:sz w:val="22"/>
                  <w:szCs w:val="22"/>
                </w:rPr>
                <w:t>Peter.Toscas@csiro.au</w:t>
              </w:r>
            </w:hyperlink>
            <w:r>
              <w:rPr>
                <w:rFonts w:ascii="Calibri" w:hAnsi="Calibri"/>
                <w:sz w:val="22"/>
                <w:szCs w:val="22"/>
              </w:rPr>
              <w:t xml:space="preserve"> </w:t>
            </w:r>
          </w:p>
          <w:p w:rsidR="00DC271C" w:rsidRPr="007B1885" w:rsidRDefault="007B1885" w:rsidP="007B1885">
            <w:pPr>
              <w:spacing w:after="120"/>
              <w:ind w:right="-108"/>
              <w:jc w:val="both"/>
              <w:rPr>
                <w:rFonts w:ascii="Calibri" w:hAnsi="Calibri"/>
                <w:bCs/>
                <w:sz w:val="22"/>
                <w:szCs w:val="22"/>
              </w:rPr>
            </w:pPr>
            <w:r>
              <w:rPr>
                <w:rFonts w:ascii="Calibri" w:hAnsi="Calibri"/>
                <w:bCs/>
                <w:sz w:val="22"/>
                <w:szCs w:val="22"/>
              </w:rPr>
              <w:t>P</w:t>
            </w:r>
            <w:r w:rsidRPr="00700304">
              <w:rPr>
                <w:rFonts w:ascii="Calibri" w:hAnsi="Calibri"/>
                <w:bCs/>
                <w:sz w:val="22"/>
                <w:szCs w:val="22"/>
              </w:rPr>
              <w:t>hone</w:t>
            </w:r>
            <w:r w:rsidRPr="007B1885">
              <w:rPr>
                <w:rFonts w:ascii="Calibri" w:hAnsi="Calibri"/>
                <w:bCs/>
                <w:sz w:val="22"/>
                <w:szCs w:val="22"/>
              </w:rPr>
              <w:t xml:space="preserve">: </w:t>
            </w:r>
            <w:r>
              <w:rPr>
                <w:rFonts w:ascii="Calibri" w:hAnsi="Calibri"/>
                <w:sz w:val="22"/>
                <w:szCs w:val="22"/>
              </w:rPr>
              <w:t>0</w:t>
            </w:r>
            <w:r w:rsidRPr="007B1885">
              <w:rPr>
                <w:rFonts w:ascii="Calibri" w:hAnsi="Calibri"/>
                <w:sz w:val="22"/>
                <w:szCs w:val="22"/>
              </w:rPr>
              <w:t>3 9545 8054.</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7B1885" w:rsidRDefault="001E1841" w:rsidP="007B18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7B1885" w:rsidRPr="00700304" w:rsidRDefault="007B1885" w:rsidP="007B1885">
      <w:pPr>
        <w:spacing w:before="180" w:after="120"/>
        <w:rPr>
          <w:rFonts w:ascii="Calibri" w:hAnsi="Calibri"/>
          <w:sz w:val="22"/>
          <w:szCs w:val="22"/>
        </w:rPr>
      </w:pPr>
      <w:r w:rsidRPr="00700304">
        <w:rPr>
          <w:rFonts w:ascii="Calibri" w:hAnsi="Calibri"/>
          <w:sz w:val="22"/>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w:t>
      </w:r>
      <w:r>
        <w:rPr>
          <w:rFonts w:ascii="Calibri" w:hAnsi="Calibri"/>
          <w:sz w:val="22"/>
          <w:szCs w:val="22"/>
        </w:rPr>
        <w:t>n networks, play a</w:t>
      </w:r>
      <w:r w:rsidRPr="00700304">
        <w:rPr>
          <w:rFonts w:ascii="Calibri" w:hAnsi="Calibri"/>
          <w:sz w:val="22"/>
          <w:szCs w:val="22"/>
        </w:rPr>
        <w:t xml:space="preserve"> role in securing project funds</w:t>
      </w:r>
      <w:r>
        <w:rPr>
          <w:rFonts w:ascii="Calibri" w:hAnsi="Calibri"/>
          <w:sz w:val="22"/>
          <w:szCs w:val="22"/>
        </w:rPr>
        <w:t xml:space="preserve">, </w:t>
      </w:r>
      <w:r w:rsidRPr="00700304">
        <w:rPr>
          <w:rFonts w:ascii="Calibri" w:hAnsi="Calibri"/>
          <w:sz w:val="22"/>
          <w:szCs w:val="22"/>
        </w:rPr>
        <w:t xml:space="preserve">and pursue new </w:t>
      </w:r>
      <w:r>
        <w:rPr>
          <w:rFonts w:ascii="Calibri" w:hAnsi="Calibri"/>
          <w:sz w:val="22"/>
          <w:szCs w:val="22"/>
        </w:rPr>
        <w:t xml:space="preserve">scientific </w:t>
      </w:r>
      <w:r w:rsidRPr="00700304">
        <w:rPr>
          <w:rFonts w:ascii="Calibri" w:hAnsi="Calibri"/>
          <w:sz w:val="22"/>
          <w:szCs w:val="22"/>
        </w:rPr>
        <w:t>ideas and approaches that create new concepts</w:t>
      </w:r>
      <w:r>
        <w:rPr>
          <w:rFonts w:ascii="Calibri" w:hAnsi="Calibri"/>
          <w:sz w:val="22"/>
          <w:szCs w:val="22"/>
        </w:rPr>
        <w:t>. You will be involved</w:t>
      </w:r>
      <w:r w:rsidRPr="00700304">
        <w:rPr>
          <w:rFonts w:ascii="Calibri" w:hAnsi="Calibri"/>
          <w:sz w:val="22"/>
          <w:szCs w:val="22"/>
        </w:rPr>
        <w:t xml:space="preserve"> </w:t>
      </w:r>
      <w:r>
        <w:rPr>
          <w:rFonts w:ascii="Calibri" w:hAnsi="Calibri"/>
          <w:sz w:val="22"/>
          <w:szCs w:val="22"/>
        </w:rPr>
        <w:t>in research projects and undertake</w:t>
      </w:r>
      <w:r w:rsidRPr="00700304">
        <w:rPr>
          <w:rFonts w:ascii="Calibri" w:hAnsi="Calibri"/>
          <w:sz w:val="22"/>
          <w:szCs w:val="22"/>
        </w:rPr>
        <w:t xml:space="preserve"> work that has impact on the development of scientific or technical knowledge.</w:t>
      </w:r>
    </w:p>
    <w:p w:rsidR="000A37C8" w:rsidRDefault="007B1885" w:rsidP="007B1885">
      <w:pPr>
        <w:rPr>
          <w:rFonts w:ascii="Calibri" w:hAnsi="Calibri"/>
          <w:sz w:val="22"/>
          <w:szCs w:val="22"/>
        </w:rPr>
      </w:pPr>
      <w:r w:rsidRPr="00700304">
        <w:rPr>
          <w:rFonts w:ascii="Calibri" w:hAnsi="Calibri"/>
          <w:sz w:val="22"/>
          <w:szCs w:val="22"/>
        </w:rPr>
        <w:t>This position is with the Data-Driven Enterprises Group in the Analytics Program of Data61.  The Group undertakes research and industry projects to help government and private organisations better process and make inference from large, complex datasets for enhanced decision making.  The successful candidate will contribute to the Group’s goals by undertaking research into advanced statistical and machine learning methodologies to enhance the Group’s and Data61’s capabilities in these domains.  In addition, they will liaise and work with industry and government to help improve their processing of large, complex datasets, and inference drawn from the data, so as to enhance decision making.</w:t>
      </w:r>
    </w:p>
    <w:p w:rsidR="002425DB" w:rsidRDefault="002425DB" w:rsidP="007B1885">
      <w:pPr>
        <w:rPr>
          <w:rFonts w:ascii="Calibri" w:hAnsi="Calibri"/>
          <w:sz w:val="22"/>
          <w:szCs w:val="22"/>
        </w:rPr>
      </w:pPr>
    </w:p>
    <w:p w:rsidR="007B1885" w:rsidRPr="002425DB" w:rsidRDefault="002425DB" w:rsidP="002425DB">
      <w:pPr>
        <w:rPr>
          <w:rFonts w:asciiTheme="minorHAnsi" w:hAnsiTheme="minorHAnsi" w:cstheme="minorHAnsi"/>
          <w:b/>
          <w:sz w:val="22"/>
          <w:szCs w:val="22"/>
        </w:rPr>
      </w:pPr>
      <w:r w:rsidRPr="002425DB">
        <w:rPr>
          <w:rFonts w:asciiTheme="minorHAnsi" w:hAnsiTheme="minorHAnsi" w:cstheme="minorHAnsi"/>
          <w:b/>
          <w:bCs/>
          <w:sz w:val="28"/>
          <w:szCs w:val="28"/>
        </w:rPr>
        <w:lastRenderedPageBreak/>
        <w:t>Security Clearance:</w:t>
      </w:r>
      <w:r>
        <w:rPr>
          <w:b/>
          <w:bCs/>
          <w:sz w:val="22"/>
          <w:szCs w:val="22"/>
        </w:rPr>
        <w:t xml:space="preserve"> </w:t>
      </w:r>
      <w:r>
        <w:rPr>
          <w:b/>
          <w:bCs/>
          <w:sz w:val="22"/>
          <w:szCs w:val="22"/>
        </w:rPr>
        <w:br/>
      </w:r>
      <w:r w:rsidRPr="002425DB">
        <w:rPr>
          <w:rFonts w:asciiTheme="minorHAnsi" w:hAnsiTheme="minorHAnsi" w:cstheme="minorHAnsi"/>
          <w:sz w:val="22"/>
          <w:szCs w:val="22"/>
        </w:rPr>
        <w:t>This is a security assessed position. Applicants must be an Australian citizen, with successful candidate either holding or having the ability to obtain a Baseline, Australian Government security clearance.</w:t>
      </w:r>
    </w:p>
    <w:p w:rsidR="002425DB" w:rsidRDefault="002425DB" w:rsidP="002146AE">
      <w:pPr>
        <w:pStyle w:val="Heading2"/>
        <w:rPr>
          <w:rFonts w:asciiTheme="minorHAnsi" w:hAnsiTheme="minorHAnsi" w:cstheme="minorHAnsi"/>
          <w:i w:val="0"/>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7B1885" w:rsidRPr="00700304" w:rsidRDefault="007B1885" w:rsidP="007B1885">
      <w:pPr>
        <w:pStyle w:val="ListParagraph"/>
        <w:numPr>
          <w:ilvl w:val="0"/>
          <w:numId w:val="34"/>
        </w:numPr>
        <w:spacing w:before="120" w:after="60"/>
        <w:ind w:left="390" w:hanging="357"/>
        <w:jc w:val="both"/>
        <w:rPr>
          <w:rFonts w:ascii="Calibri" w:hAnsi="Calibri"/>
          <w:sz w:val="22"/>
          <w:szCs w:val="22"/>
        </w:rPr>
      </w:pPr>
      <w:r w:rsidRPr="00700304">
        <w:rPr>
          <w:rFonts w:ascii="Calibri" w:hAnsi="Calibri"/>
          <w:sz w:val="22"/>
          <w:szCs w:val="22"/>
        </w:rPr>
        <w:t xml:space="preserve">Incorporate novel approaches to scientific investigations by adapting and/or developing original concepts and ideas for new, existing and further research. </w:t>
      </w:r>
    </w:p>
    <w:p w:rsidR="007B1885" w:rsidRPr="00700304" w:rsidRDefault="007B1885" w:rsidP="007B1885">
      <w:pPr>
        <w:pStyle w:val="ListParagraph"/>
        <w:numPr>
          <w:ilvl w:val="0"/>
          <w:numId w:val="34"/>
        </w:numPr>
        <w:spacing w:before="120" w:after="60"/>
        <w:ind w:left="390" w:hanging="357"/>
        <w:jc w:val="both"/>
        <w:rPr>
          <w:rFonts w:ascii="Calibri" w:hAnsi="Calibri"/>
          <w:sz w:val="22"/>
          <w:szCs w:val="22"/>
        </w:rPr>
      </w:pPr>
      <w:r w:rsidRPr="00700304">
        <w:rPr>
          <w:rFonts w:ascii="Calibri" w:hAnsi="Calibri"/>
          <w:sz w:val="22"/>
          <w:szCs w:val="22"/>
        </w:rPr>
        <w:t>Undertake research into, and development of, advanced statistical and machine learning methodologies.</w:t>
      </w:r>
    </w:p>
    <w:p w:rsidR="007B1885" w:rsidRPr="00700304" w:rsidRDefault="007B1885" w:rsidP="007B1885">
      <w:pPr>
        <w:pStyle w:val="ListParagraph"/>
        <w:numPr>
          <w:ilvl w:val="0"/>
          <w:numId w:val="34"/>
        </w:numPr>
        <w:spacing w:after="60"/>
        <w:ind w:left="390" w:hanging="322"/>
        <w:jc w:val="both"/>
        <w:rPr>
          <w:rFonts w:ascii="Calibri" w:hAnsi="Calibri"/>
          <w:sz w:val="22"/>
          <w:szCs w:val="22"/>
        </w:rPr>
      </w:pPr>
      <w:r w:rsidRPr="00700304">
        <w:rPr>
          <w:rFonts w:ascii="Calibri" w:hAnsi="Calibri"/>
          <w:sz w:val="22"/>
          <w:szCs w:val="22"/>
        </w:rPr>
        <w:t>Communicate effectively and respectfully in the interests of good business practice, collaboration and enhancement of CSIRO’s reputation.</w:t>
      </w:r>
    </w:p>
    <w:p w:rsidR="007B1885" w:rsidRPr="00700304" w:rsidRDefault="007B1885" w:rsidP="007B1885">
      <w:pPr>
        <w:pStyle w:val="ListParagraph"/>
        <w:numPr>
          <w:ilvl w:val="0"/>
          <w:numId w:val="34"/>
        </w:numPr>
        <w:spacing w:after="60"/>
        <w:ind w:left="390" w:hanging="322"/>
        <w:jc w:val="both"/>
        <w:rPr>
          <w:rFonts w:ascii="Calibri" w:hAnsi="Calibri"/>
          <w:sz w:val="22"/>
          <w:szCs w:val="22"/>
        </w:rPr>
      </w:pPr>
      <w:r w:rsidRPr="00700304">
        <w:rPr>
          <w:rFonts w:ascii="Calibri" w:hAnsi="Calibri"/>
          <w:sz w:val="22"/>
          <w:szCs w:val="22"/>
        </w:rPr>
        <w:t>Produce high quality scientific and/or engineering papers suitable for publication in quality journals and for presentation at national and international conferences.</w:t>
      </w:r>
    </w:p>
    <w:p w:rsidR="007B1885" w:rsidRPr="00700304" w:rsidRDefault="007B1885" w:rsidP="007B1885">
      <w:pPr>
        <w:pStyle w:val="ListParagraph"/>
        <w:numPr>
          <w:ilvl w:val="0"/>
          <w:numId w:val="34"/>
        </w:numPr>
        <w:spacing w:after="60"/>
        <w:ind w:left="390" w:hanging="322"/>
        <w:jc w:val="both"/>
        <w:rPr>
          <w:rFonts w:ascii="Calibri" w:hAnsi="Calibri"/>
          <w:sz w:val="22"/>
          <w:szCs w:val="22"/>
        </w:rPr>
      </w:pPr>
      <w:r w:rsidRPr="00700304">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rsidR="007B1885" w:rsidRPr="00700304" w:rsidRDefault="007B1885" w:rsidP="007B1885">
      <w:pPr>
        <w:pStyle w:val="ListParagraph"/>
        <w:numPr>
          <w:ilvl w:val="0"/>
          <w:numId w:val="34"/>
        </w:numPr>
        <w:spacing w:after="60"/>
        <w:ind w:left="390" w:hanging="322"/>
        <w:jc w:val="both"/>
        <w:rPr>
          <w:rFonts w:ascii="Calibri" w:hAnsi="Calibri"/>
          <w:sz w:val="22"/>
          <w:szCs w:val="22"/>
        </w:rPr>
      </w:pPr>
      <w:r w:rsidRPr="00700304">
        <w:rPr>
          <w:rFonts w:ascii="Calibri" w:hAnsi="Calibri"/>
          <w:sz w:val="22"/>
          <w:szCs w:val="22"/>
        </w:rPr>
        <w:t>Work collaboratively and honestly with internal and external colleagues, clients and partners to develop and progress challenging but realistic research plans for a range of research projects.</w:t>
      </w:r>
    </w:p>
    <w:p w:rsidR="007B1885" w:rsidRPr="00700304" w:rsidRDefault="007B1885" w:rsidP="007B1885">
      <w:pPr>
        <w:pStyle w:val="ListParagraph"/>
        <w:numPr>
          <w:ilvl w:val="0"/>
          <w:numId w:val="34"/>
        </w:numPr>
        <w:spacing w:after="60"/>
        <w:ind w:left="390" w:hanging="322"/>
        <w:jc w:val="both"/>
        <w:rPr>
          <w:rFonts w:ascii="Calibri" w:hAnsi="Calibri"/>
          <w:sz w:val="22"/>
          <w:szCs w:val="22"/>
        </w:rPr>
      </w:pPr>
      <w:r>
        <w:rPr>
          <w:rFonts w:ascii="Calibri" w:hAnsi="Calibri"/>
          <w:sz w:val="22"/>
          <w:szCs w:val="22"/>
        </w:rPr>
        <w:t xml:space="preserve">Be involved in </w:t>
      </w:r>
      <w:r w:rsidRPr="00700304">
        <w:rPr>
          <w:rFonts w:ascii="Calibri" w:hAnsi="Calibri"/>
          <w:sz w:val="22"/>
          <w:szCs w:val="22"/>
        </w:rPr>
        <w:t>research projects</w:t>
      </w:r>
      <w:r>
        <w:rPr>
          <w:rFonts w:ascii="Calibri" w:hAnsi="Calibri"/>
          <w:sz w:val="22"/>
          <w:szCs w:val="22"/>
        </w:rPr>
        <w:t>, both strategic and client focussed.</w:t>
      </w:r>
      <w:r w:rsidRPr="00700304">
        <w:rPr>
          <w:rFonts w:ascii="Calibri" w:hAnsi="Calibri"/>
          <w:sz w:val="22"/>
          <w:szCs w:val="22"/>
        </w:rPr>
        <w:t xml:space="preserve"> </w:t>
      </w:r>
    </w:p>
    <w:p w:rsidR="007B1885" w:rsidRDefault="007B1885" w:rsidP="007B1885">
      <w:pPr>
        <w:pStyle w:val="ListParagraph"/>
        <w:numPr>
          <w:ilvl w:val="0"/>
          <w:numId w:val="34"/>
        </w:numPr>
        <w:spacing w:after="60"/>
        <w:ind w:left="390" w:hanging="322"/>
        <w:jc w:val="both"/>
        <w:rPr>
          <w:rFonts w:ascii="Calibri" w:hAnsi="Calibri"/>
          <w:sz w:val="22"/>
          <w:szCs w:val="22"/>
        </w:rPr>
      </w:pPr>
      <w:r w:rsidRPr="00700304">
        <w:rPr>
          <w:rFonts w:ascii="Calibri" w:hAnsi="Calibri"/>
          <w:sz w:val="22"/>
          <w:szCs w:val="22"/>
        </w:rPr>
        <w:t>Adhere to the spirit and practice of CSIRO’s Values, Health, Safety and Environment plans and policies, Diversity initiatives and Zero Harm goals.</w:t>
      </w:r>
    </w:p>
    <w:p w:rsidR="008A4083" w:rsidRPr="007B1885" w:rsidRDefault="007B1885" w:rsidP="007B1885">
      <w:pPr>
        <w:pStyle w:val="ListParagraph"/>
        <w:numPr>
          <w:ilvl w:val="0"/>
          <w:numId w:val="34"/>
        </w:numPr>
        <w:spacing w:after="60"/>
        <w:ind w:left="390" w:hanging="322"/>
        <w:jc w:val="both"/>
        <w:rPr>
          <w:rFonts w:ascii="Calibri" w:hAnsi="Calibri"/>
          <w:sz w:val="22"/>
          <w:szCs w:val="22"/>
        </w:rPr>
      </w:pPr>
      <w:r w:rsidRPr="007B1885">
        <w:rPr>
          <w:rFonts w:ascii="Calibri" w:hAnsi="Calibri"/>
          <w:sz w:val="22"/>
          <w:szCs w:val="22"/>
        </w:rPr>
        <w:t>Other duties as directed.</w:t>
      </w: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B1885" w:rsidRPr="007B1885" w:rsidRDefault="007B1885" w:rsidP="002146AE">
      <w:pPr>
        <w:numPr>
          <w:ilvl w:val="0"/>
          <w:numId w:val="16"/>
        </w:numPr>
        <w:tabs>
          <w:tab w:val="clear" w:pos="720"/>
          <w:tab w:val="num" w:pos="6"/>
        </w:tabs>
        <w:spacing w:after="60"/>
        <w:ind w:left="318" w:hanging="284"/>
        <w:rPr>
          <w:rFonts w:cs="Calibri"/>
          <w:i/>
        </w:rPr>
      </w:pPr>
      <w:r w:rsidRPr="00700304">
        <w:rPr>
          <w:rFonts w:ascii="Calibri" w:hAnsi="Calibri"/>
          <w:sz w:val="22"/>
          <w:szCs w:val="22"/>
        </w:rPr>
        <w:t>A doctorate or equivalent research experience in a relevant discipline area, such as statistics, mathematics or machine learning.</w:t>
      </w:r>
    </w:p>
    <w:p w:rsidR="007B1885" w:rsidRPr="00700304" w:rsidRDefault="007B1885" w:rsidP="007B1885">
      <w:pPr>
        <w:numPr>
          <w:ilvl w:val="0"/>
          <w:numId w:val="16"/>
        </w:numPr>
        <w:tabs>
          <w:tab w:val="clear" w:pos="720"/>
          <w:tab w:val="num" w:pos="6"/>
        </w:tabs>
        <w:spacing w:after="60"/>
        <w:ind w:left="318" w:hanging="284"/>
        <w:jc w:val="both"/>
        <w:rPr>
          <w:rStyle w:val="Emphasis"/>
          <w:rFonts w:ascii="Calibri" w:hAnsi="Calibri" w:cs="Arial"/>
          <w:b/>
          <w:iCs/>
          <w:sz w:val="22"/>
          <w:szCs w:val="22"/>
        </w:rPr>
      </w:pPr>
      <w:r w:rsidRPr="00700304">
        <w:t>Demonstrable experience in the analysis of large, complex datasets for industry and/or government using statistics and machine learning.</w:t>
      </w:r>
    </w:p>
    <w:p w:rsidR="007B1885" w:rsidRPr="00700304" w:rsidRDefault="007B1885" w:rsidP="007B1885">
      <w:pPr>
        <w:numPr>
          <w:ilvl w:val="0"/>
          <w:numId w:val="16"/>
        </w:numPr>
        <w:tabs>
          <w:tab w:val="clear" w:pos="720"/>
          <w:tab w:val="num" w:pos="6"/>
        </w:tabs>
        <w:spacing w:after="60"/>
        <w:ind w:left="318" w:hanging="284"/>
        <w:jc w:val="both"/>
        <w:rPr>
          <w:rFonts w:ascii="Calibri" w:hAnsi="Calibri"/>
          <w:b/>
          <w:iCs/>
          <w:sz w:val="22"/>
          <w:szCs w:val="22"/>
        </w:rPr>
      </w:pPr>
      <w:r w:rsidRPr="00700304">
        <w:rPr>
          <w:rFonts w:ascii="Calibri" w:hAnsi="Calibri"/>
          <w:sz w:val="22"/>
          <w:szCs w:val="22"/>
        </w:rPr>
        <w:t xml:space="preserve">Demonstrable experience in solving complex data analytics problems using statistical and machine learning methodology such as Bayesian methods, MCMC, support vector </w:t>
      </w:r>
      <w:r>
        <w:rPr>
          <w:rFonts w:ascii="Calibri" w:hAnsi="Calibri"/>
          <w:sz w:val="22"/>
          <w:szCs w:val="22"/>
        </w:rPr>
        <w:t>machines, gradient boosting, or</w:t>
      </w:r>
      <w:r w:rsidRPr="00700304">
        <w:rPr>
          <w:rFonts w:ascii="Calibri" w:hAnsi="Calibri"/>
          <w:sz w:val="22"/>
          <w:szCs w:val="22"/>
        </w:rPr>
        <w:t xml:space="preserve"> deep learning.</w:t>
      </w:r>
    </w:p>
    <w:p w:rsidR="007B1885" w:rsidRPr="00700304" w:rsidRDefault="007B1885" w:rsidP="007B1885">
      <w:pPr>
        <w:numPr>
          <w:ilvl w:val="0"/>
          <w:numId w:val="16"/>
        </w:numPr>
        <w:tabs>
          <w:tab w:val="clear" w:pos="720"/>
          <w:tab w:val="num" w:pos="6"/>
        </w:tabs>
        <w:spacing w:after="60"/>
        <w:ind w:left="318" w:hanging="284"/>
        <w:jc w:val="both"/>
        <w:rPr>
          <w:rStyle w:val="Emphasis"/>
          <w:rFonts w:ascii="Calibri" w:hAnsi="Calibri" w:cs="Arial"/>
          <w:b/>
          <w:iCs/>
          <w:sz w:val="22"/>
          <w:szCs w:val="22"/>
        </w:rPr>
      </w:pPr>
      <w:r>
        <w:t>E</w:t>
      </w:r>
      <w:r w:rsidRPr="00700304">
        <w:t xml:space="preserve">xperience with computer programming languages such as C++, and Python, and statistical and machine learning tolls such as R, Stan, </w:t>
      </w:r>
      <w:proofErr w:type="spellStart"/>
      <w:r w:rsidRPr="00700304">
        <w:t>XGboost</w:t>
      </w:r>
      <w:proofErr w:type="spellEnd"/>
      <w:r w:rsidRPr="00700304">
        <w:t xml:space="preserve">, </w:t>
      </w:r>
      <w:proofErr w:type="spellStart"/>
      <w:r w:rsidRPr="00700304">
        <w:t>Tensorflow</w:t>
      </w:r>
      <w:proofErr w:type="spellEnd"/>
      <w:r w:rsidRPr="00700304">
        <w:t xml:space="preserve">, </w:t>
      </w:r>
      <w:proofErr w:type="spellStart"/>
      <w:r w:rsidRPr="00700304">
        <w:t>Theano</w:t>
      </w:r>
      <w:proofErr w:type="spellEnd"/>
      <w:r w:rsidRPr="00700304">
        <w:t xml:space="preserve"> or </w:t>
      </w:r>
      <w:proofErr w:type="spellStart"/>
      <w:r w:rsidRPr="00700304">
        <w:t>Keras</w:t>
      </w:r>
      <w:proofErr w:type="spellEnd"/>
      <w:r w:rsidRPr="00700304">
        <w:t>.</w:t>
      </w:r>
    </w:p>
    <w:p w:rsidR="007B1885" w:rsidRPr="001F050C" w:rsidRDefault="007B1885" w:rsidP="007B1885">
      <w:pPr>
        <w:numPr>
          <w:ilvl w:val="0"/>
          <w:numId w:val="16"/>
        </w:numPr>
        <w:tabs>
          <w:tab w:val="clear" w:pos="720"/>
          <w:tab w:val="num" w:pos="6"/>
        </w:tabs>
        <w:spacing w:after="60"/>
        <w:ind w:left="318" w:hanging="284"/>
        <w:jc w:val="both"/>
        <w:rPr>
          <w:rStyle w:val="Strong"/>
          <w:rFonts w:ascii="Calibri" w:hAnsi="Calibri" w:cs="Arial"/>
          <w:b w:val="0"/>
          <w:iCs/>
          <w:sz w:val="22"/>
          <w:szCs w:val="22"/>
        </w:rPr>
      </w:pPr>
      <w:r w:rsidRPr="00700304">
        <w:rPr>
          <w:rStyle w:val="Strong"/>
          <w:rFonts w:ascii="Calibri" w:hAnsi="Calibri"/>
          <w:b w:val="0"/>
          <w:sz w:val="22"/>
          <w:szCs w:val="22"/>
        </w:rPr>
        <w:t>The ability to work e</w:t>
      </w:r>
      <w:r>
        <w:rPr>
          <w:rStyle w:val="Strong"/>
          <w:rFonts w:ascii="Calibri" w:hAnsi="Calibri"/>
          <w:b w:val="0"/>
          <w:sz w:val="22"/>
          <w:szCs w:val="22"/>
        </w:rPr>
        <w:t>ffectively as a member</w:t>
      </w:r>
      <w:r w:rsidRPr="00700304">
        <w:rPr>
          <w:rStyle w:val="Strong"/>
          <w:rFonts w:ascii="Calibri" w:hAnsi="Calibri"/>
          <w:b w:val="0"/>
          <w:sz w:val="22"/>
          <w:szCs w:val="22"/>
        </w:rPr>
        <w:t xml:space="preserve"> of a multi-disciplinary, regionally dispersed research team, and carry out independent individual research, to achieve organisational goals.</w:t>
      </w:r>
    </w:p>
    <w:p w:rsidR="001F050C" w:rsidRPr="00700304" w:rsidRDefault="001F050C" w:rsidP="007B1885">
      <w:pPr>
        <w:numPr>
          <w:ilvl w:val="0"/>
          <w:numId w:val="16"/>
        </w:numPr>
        <w:tabs>
          <w:tab w:val="clear" w:pos="720"/>
          <w:tab w:val="num" w:pos="6"/>
        </w:tabs>
        <w:spacing w:after="60"/>
        <w:ind w:left="318" w:hanging="284"/>
        <w:jc w:val="both"/>
        <w:rPr>
          <w:rStyle w:val="Strong"/>
          <w:rFonts w:ascii="Calibri" w:hAnsi="Calibri" w:cs="Arial"/>
          <w:b w:val="0"/>
          <w:iCs/>
          <w:sz w:val="22"/>
          <w:szCs w:val="22"/>
        </w:rPr>
      </w:pPr>
      <w:r>
        <w:t>A record of science innovation and creativity plus the ability to apply well developed research skills to scientific investigations.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7B1885" w:rsidRPr="00700304" w:rsidRDefault="007B1885" w:rsidP="007B1885">
      <w:pPr>
        <w:numPr>
          <w:ilvl w:val="0"/>
          <w:numId w:val="17"/>
        </w:numPr>
        <w:tabs>
          <w:tab w:val="clear" w:pos="720"/>
          <w:tab w:val="num" w:pos="363"/>
        </w:tabs>
        <w:spacing w:after="60"/>
        <w:ind w:left="714" w:hanging="681"/>
        <w:jc w:val="both"/>
        <w:rPr>
          <w:rStyle w:val="Emphasis"/>
          <w:rFonts w:ascii="Calibri" w:hAnsi="Calibri" w:cs="Arial"/>
          <w:iCs/>
          <w:sz w:val="22"/>
          <w:szCs w:val="22"/>
        </w:rPr>
      </w:pPr>
      <w:r w:rsidRPr="00700304">
        <w:rPr>
          <w:rFonts w:ascii="Calibri" w:hAnsi="Calibri"/>
          <w:sz w:val="22"/>
          <w:szCs w:val="22"/>
        </w:rPr>
        <w:t>Experience with distributed computing using Hadoop or Spark.</w:t>
      </w:r>
      <w:r w:rsidRPr="00700304">
        <w:rPr>
          <w:rStyle w:val="Emphasis"/>
          <w:rFonts w:ascii="Calibri" w:hAnsi="Calibri" w:cs="Arial"/>
          <w:iCs/>
          <w:sz w:val="22"/>
          <w:szCs w:val="22"/>
        </w:rPr>
        <w:t xml:space="preserve"> </w:t>
      </w:r>
    </w:p>
    <w:p w:rsidR="007B1885" w:rsidRPr="00700304" w:rsidRDefault="007B1885" w:rsidP="007B1885">
      <w:pPr>
        <w:numPr>
          <w:ilvl w:val="0"/>
          <w:numId w:val="17"/>
        </w:numPr>
        <w:tabs>
          <w:tab w:val="clear" w:pos="720"/>
          <w:tab w:val="num" w:pos="363"/>
        </w:tabs>
        <w:spacing w:after="240"/>
        <w:ind w:left="714" w:hanging="680"/>
        <w:jc w:val="both"/>
        <w:rPr>
          <w:rFonts w:ascii="Calibri" w:hAnsi="Calibri"/>
          <w:b/>
          <w:bCs/>
          <w:i/>
          <w:sz w:val="22"/>
          <w:szCs w:val="22"/>
          <w:lang w:eastAsia="en-AU"/>
        </w:rPr>
      </w:pPr>
      <w:r w:rsidRPr="00700304">
        <w:rPr>
          <w:rFonts w:ascii="Calibri" w:hAnsi="Calibri"/>
          <w:sz w:val="22"/>
          <w:szCs w:val="22"/>
        </w:rPr>
        <w:t>Experience in data integration of complex datasets.</w:t>
      </w:r>
    </w:p>
    <w:p w:rsidR="00C64F6D" w:rsidRPr="002425DB" w:rsidRDefault="00CA366E" w:rsidP="00596E51">
      <w:pPr>
        <w:pStyle w:val="Heading2"/>
        <w:rPr>
          <w:rFonts w:asciiTheme="minorHAnsi" w:hAnsiTheme="minorHAnsi" w:cstheme="minorHAnsi"/>
          <w:i w:val="0"/>
          <w:lang w:eastAsia="en-AU"/>
        </w:rPr>
      </w:pPr>
      <w:r w:rsidRPr="002425DB">
        <w:rPr>
          <w:rFonts w:asciiTheme="minorHAnsi" w:hAnsiTheme="minorHAnsi" w:cstheme="minorHAnsi"/>
          <w:i w:val="0"/>
          <w:lang w:eastAsia="en-AU"/>
        </w:rPr>
        <w:t>Special Re</w:t>
      </w:r>
      <w:r w:rsidR="00C64F6D" w:rsidRPr="002425DB">
        <w:rPr>
          <w:rFonts w:asciiTheme="minorHAnsi" w:hAnsiTheme="minorHAnsi" w:cstheme="minorHAnsi"/>
          <w:i w:val="0"/>
          <w:lang w:eastAsia="en-AU"/>
        </w:rPr>
        <w:t>quirements:</w:t>
      </w:r>
    </w:p>
    <w:p w:rsidR="00C64F6D" w:rsidRPr="002425DB" w:rsidRDefault="002425DB" w:rsidP="00C64F6D">
      <w:pPr>
        <w:rPr>
          <w:rFonts w:asciiTheme="minorHAnsi" w:hAnsiTheme="minorHAnsi" w:cstheme="minorHAnsi"/>
          <w:sz w:val="22"/>
          <w:szCs w:val="22"/>
        </w:rPr>
      </w:pPr>
      <w:r w:rsidRPr="002425DB">
        <w:rPr>
          <w:rFonts w:asciiTheme="minorHAnsi" w:hAnsiTheme="minorHAnsi" w:cstheme="minorHAnsi"/>
          <w:b/>
          <w:bCs/>
          <w:sz w:val="22"/>
          <w:szCs w:val="22"/>
        </w:rPr>
        <w:t xml:space="preserve">Security Clearance: </w:t>
      </w:r>
      <w:r w:rsidRPr="002425DB">
        <w:rPr>
          <w:rFonts w:asciiTheme="minorHAnsi" w:hAnsiTheme="minorHAnsi" w:cstheme="minorHAnsi"/>
          <w:b/>
          <w:bCs/>
          <w:sz w:val="22"/>
          <w:szCs w:val="22"/>
        </w:rPr>
        <w:br/>
      </w:r>
      <w:r w:rsidRPr="002425DB">
        <w:rPr>
          <w:rFonts w:asciiTheme="minorHAnsi" w:hAnsiTheme="minorHAnsi" w:cstheme="minorHAnsi"/>
          <w:sz w:val="22"/>
          <w:szCs w:val="22"/>
        </w:rPr>
        <w:t>This is a security assessed position. Applicants must be an Australian citizen, with successful candidate either holding o</w:t>
      </w:r>
      <w:bookmarkStart w:id="1" w:name="_GoBack"/>
      <w:bookmarkEnd w:id="1"/>
      <w:r w:rsidRPr="002425DB">
        <w:rPr>
          <w:rFonts w:asciiTheme="minorHAnsi" w:hAnsiTheme="minorHAnsi" w:cstheme="minorHAnsi"/>
          <w:sz w:val="22"/>
          <w:szCs w:val="22"/>
        </w:rPr>
        <w:t>r having the ability to obtain a Negative Vetting 1, Australian Government security clearance.</w:t>
      </w: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CA366E" w:rsidRPr="00CA366E" w:rsidRDefault="00CA366E" w:rsidP="00CA366E">
      <w:pPr>
        <w:jc w:val="both"/>
        <w:rPr>
          <w:rFonts w:ascii="Calibri" w:hAnsi="Calibri"/>
          <w:i/>
          <w:sz w:val="22"/>
          <w:szCs w:val="22"/>
        </w:rPr>
      </w:pPr>
    </w:p>
    <w:p w:rsidR="007B1885" w:rsidRDefault="002146AE" w:rsidP="002146AE">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CSIRO</w:t>
      </w:r>
      <w:r w:rsidR="007B1885">
        <w:rPr>
          <w:rFonts w:ascii="Calibri" w:hAnsi="Calibri"/>
          <w:bCs/>
          <w:sz w:val="22"/>
          <w:szCs w:val="22"/>
        </w:rPr>
        <w:t xml:space="preserve">’s </w:t>
      </w:r>
      <w:hyperlink r:id="rId13" w:history="1">
        <w:r w:rsidR="007B1885" w:rsidRPr="007B1885">
          <w:rPr>
            <w:rStyle w:val="Hyperlink"/>
            <w:rFonts w:ascii="Calibri" w:hAnsi="Calibri" w:cs="Arial"/>
            <w:bCs/>
            <w:sz w:val="22"/>
            <w:szCs w:val="22"/>
          </w:rPr>
          <w:t>Data61</w:t>
        </w:r>
      </w:hyperlink>
    </w:p>
    <w:p w:rsidR="002146AE" w:rsidRPr="003B51D7" w:rsidRDefault="002146AE" w:rsidP="007B1885">
      <w:pPr>
        <w:spacing w:after="180"/>
        <w:rPr>
          <w:rFonts w:ascii="Calibri" w:hAnsi="Calibri"/>
          <w:bCs/>
          <w:sz w:val="22"/>
          <w:szCs w:val="22"/>
        </w:rPr>
      </w:pPr>
      <w:r>
        <w:rPr>
          <w:rFonts w:ascii="Calibri" w:hAnsi="Calibri"/>
          <w:bCs/>
          <w:sz w:val="22"/>
          <w:szCs w:val="22"/>
        </w:rPr>
        <w:t xml:space="preserve"> </w:t>
      </w: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050C"/>
    <w:rsid w:val="001F2264"/>
    <w:rsid w:val="001F4404"/>
    <w:rsid w:val="00205A4A"/>
    <w:rsid w:val="00212958"/>
    <w:rsid w:val="002146AE"/>
    <w:rsid w:val="00222800"/>
    <w:rsid w:val="00230B6A"/>
    <w:rsid w:val="00235783"/>
    <w:rsid w:val="002407E7"/>
    <w:rsid w:val="00240A35"/>
    <w:rsid w:val="002415E6"/>
    <w:rsid w:val="002425DB"/>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1885"/>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Toscas@csiro.au" TargetMode="External"/><Relationship Id="rId13" Type="http://schemas.openxmlformats.org/officeDocument/2006/relationships/hyperlink" Target="https://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AE17-E38B-43BD-96EA-DD13DED1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6932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Marshall, Jane-Anne (HR, Clayton North)</cp:lastModifiedBy>
  <cp:revision>2</cp:revision>
  <cp:lastPrinted>2014-02-06T02:28:00Z</cp:lastPrinted>
  <dcterms:created xsi:type="dcterms:W3CDTF">2018-11-01T00:03:00Z</dcterms:created>
  <dcterms:modified xsi:type="dcterms:W3CDTF">2018-11-01T00:03:00Z</dcterms:modified>
</cp:coreProperties>
</file>