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9360DA" w:rsidP="0092729A">
      <w:pPr>
        <w:pStyle w:val="Heading1"/>
        <w:spacing w:before="480"/>
        <w:ind w:left="-142"/>
        <w:rPr>
          <w:rFonts w:ascii="Calibri" w:hAnsi="Calibri"/>
          <w:sz w:val="36"/>
          <w:szCs w:val="22"/>
          <w:lang w:val="en-US"/>
        </w:rPr>
      </w:pPr>
      <w:r>
        <w:rPr>
          <w:rFonts w:ascii="Calibri" w:hAnsi="Calibri"/>
          <w:sz w:val="36"/>
          <w:szCs w:val="22"/>
          <w:lang w:val="en-US"/>
        </w:rPr>
        <w:t>HR Reporting and Analytics</w:t>
      </w:r>
      <w:r w:rsidR="00404146">
        <w:rPr>
          <w:rFonts w:ascii="Calibri" w:hAnsi="Calibri"/>
          <w:sz w:val="36"/>
          <w:szCs w:val="22"/>
          <w:lang w:val="en-US"/>
        </w:rPr>
        <w:t xml:space="preserve"> Advisor</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0"/>
        <w:gridCol w:w="7135"/>
      </w:tblGrid>
      <w:tr w:rsidR="008901D6" w:rsidRPr="00E641DA" w:rsidTr="00B304D1">
        <w:trPr>
          <w:trHeight w:val="485"/>
          <w:jc w:val="center"/>
        </w:trPr>
        <w:tc>
          <w:tcPr>
            <w:tcW w:w="2900" w:type="dxa"/>
            <w:shd w:val="clear" w:color="auto" w:fill="F2F2F2"/>
            <w:vAlign w:val="center"/>
          </w:tcPr>
          <w:p w:rsidR="008901D6" w:rsidRPr="00E641DA" w:rsidRDefault="008901D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7135" w:type="dxa"/>
          </w:tcPr>
          <w:p w:rsidR="008901D6" w:rsidRPr="008901D6" w:rsidRDefault="009360DA" w:rsidP="00A33104">
            <w:pPr>
              <w:tabs>
                <w:tab w:val="left" w:pos="6093"/>
              </w:tabs>
              <w:spacing w:before="120" w:after="60"/>
              <w:rPr>
                <w:rFonts w:ascii="Calibri" w:hAnsi="Calibri"/>
                <w:sz w:val="22"/>
                <w:szCs w:val="22"/>
              </w:rPr>
            </w:pPr>
            <w:r>
              <w:rPr>
                <w:rFonts w:ascii="Calibri" w:hAnsi="Calibri"/>
                <w:sz w:val="22"/>
                <w:szCs w:val="22"/>
              </w:rPr>
              <w:t>HR Reporting and Analytics</w:t>
            </w:r>
            <w:r w:rsidR="00404146">
              <w:rPr>
                <w:rFonts w:ascii="Calibri" w:hAnsi="Calibri"/>
                <w:sz w:val="22"/>
                <w:szCs w:val="22"/>
              </w:rPr>
              <w:t xml:space="preserve"> Advisor</w:t>
            </w:r>
          </w:p>
        </w:tc>
      </w:tr>
      <w:tr w:rsidR="008901D6" w:rsidRPr="00E641DA" w:rsidTr="00B304D1">
        <w:trPr>
          <w:trHeight w:val="420"/>
          <w:jc w:val="center"/>
        </w:trPr>
        <w:tc>
          <w:tcPr>
            <w:tcW w:w="2900" w:type="dxa"/>
            <w:shd w:val="clear" w:color="auto" w:fill="F2F2F2"/>
            <w:vAlign w:val="center"/>
          </w:tcPr>
          <w:p w:rsidR="008901D6" w:rsidRPr="00E641DA" w:rsidRDefault="008901D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7135" w:type="dxa"/>
            <w:vAlign w:val="center"/>
          </w:tcPr>
          <w:p w:rsidR="008901D6" w:rsidRPr="008901D6" w:rsidRDefault="00035A6F" w:rsidP="00C40A38">
            <w:pPr>
              <w:rPr>
                <w:rFonts w:ascii="Calibri" w:hAnsi="Calibri"/>
                <w:sz w:val="22"/>
                <w:szCs w:val="22"/>
              </w:rPr>
            </w:pPr>
            <w:r>
              <w:rPr>
                <w:rFonts w:ascii="Calibri" w:hAnsi="Calibri"/>
                <w:sz w:val="22"/>
                <w:szCs w:val="22"/>
              </w:rPr>
              <w:t>56948</w:t>
            </w:r>
          </w:p>
        </w:tc>
      </w:tr>
      <w:tr w:rsidR="008901D6" w:rsidRPr="00E641DA" w:rsidTr="00B304D1">
        <w:trPr>
          <w:trHeight w:val="412"/>
          <w:jc w:val="center"/>
        </w:trPr>
        <w:tc>
          <w:tcPr>
            <w:tcW w:w="2900" w:type="dxa"/>
            <w:shd w:val="clear" w:color="auto" w:fill="F2F2F2"/>
            <w:vAlign w:val="center"/>
          </w:tcPr>
          <w:p w:rsidR="008901D6" w:rsidRPr="00E641DA" w:rsidRDefault="008901D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7135" w:type="dxa"/>
            <w:vAlign w:val="center"/>
          </w:tcPr>
          <w:p w:rsidR="008901D6" w:rsidRPr="008901D6" w:rsidRDefault="00404146" w:rsidP="00863E9E">
            <w:pPr>
              <w:rPr>
                <w:rFonts w:ascii="Calibri" w:hAnsi="Calibri"/>
                <w:sz w:val="22"/>
                <w:szCs w:val="22"/>
              </w:rPr>
            </w:pPr>
            <w:r>
              <w:rPr>
                <w:rFonts w:ascii="Calibri" w:hAnsi="Calibri"/>
                <w:sz w:val="22"/>
                <w:szCs w:val="22"/>
              </w:rPr>
              <w:t>CSOF4</w:t>
            </w:r>
          </w:p>
        </w:tc>
      </w:tr>
      <w:tr w:rsidR="008901D6" w:rsidRPr="00E641DA" w:rsidTr="00B304D1">
        <w:trPr>
          <w:trHeight w:val="404"/>
          <w:jc w:val="center"/>
        </w:trPr>
        <w:tc>
          <w:tcPr>
            <w:tcW w:w="2900" w:type="dxa"/>
            <w:shd w:val="clear" w:color="auto" w:fill="F2F2F2"/>
            <w:vAlign w:val="center"/>
          </w:tcPr>
          <w:p w:rsidR="008901D6" w:rsidRPr="00D8313E" w:rsidRDefault="008901D6" w:rsidP="003A0708">
            <w:pPr>
              <w:rPr>
                <w:rStyle w:val="BlindHyperlink"/>
              </w:rPr>
            </w:pPr>
            <w:r w:rsidRPr="00D8313E">
              <w:rPr>
                <w:rStyle w:val="BlindHyperlink"/>
              </w:rPr>
              <w:t>Salary Range:</w:t>
            </w:r>
          </w:p>
        </w:tc>
        <w:tc>
          <w:tcPr>
            <w:tcW w:w="7135" w:type="dxa"/>
            <w:vAlign w:val="center"/>
          </w:tcPr>
          <w:p w:rsidR="008901D6" w:rsidRPr="008901D6" w:rsidRDefault="00F611A9" w:rsidP="008901D6">
            <w:pPr>
              <w:rPr>
                <w:rFonts w:ascii="Calibri" w:hAnsi="Calibri"/>
                <w:sz w:val="22"/>
                <w:szCs w:val="22"/>
              </w:rPr>
            </w:pPr>
            <w:r>
              <w:rPr>
                <w:rFonts w:ascii="Calibri" w:hAnsi="Calibri"/>
                <w:sz w:val="22"/>
                <w:szCs w:val="22"/>
              </w:rPr>
              <w:t>AU$80,833 to AU$91,451</w:t>
            </w:r>
            <w:r w:rsidR="00402A89">
              <w:rPr>
                <w:rFonts w:ascii="Calibri" w:hAnsi="Calibri"/>
                <w:sz w:val="22"/>
                <w:szCs w:val="22"/>
              </w:rPr>
              <w:t xml:space="preserve"> </w:t>
            </w:r>
            <w:r w:rsidR="00B252AF">
              <w:rPr>
                <w:rFonts w:ascii="Calibri" w:hAnsi="Calibri"/>
                <w:sz w:val="22"/>
                <w:szCs w:val="22"/>
              </w:rPr>
              <w:t>plus up to 15.4% superannuation</w:t>
            </w:r>
          </w:p>
        </w:tc>
      </w:tr>
      <w:tr w:rsidR="008901D6" w:rsidRPr="00E641DA" w:rsidTr="00B304D1">
        <w:trPr>
          <w:trHeight w:val="429"/>
          <w:jc w:val="center"/>
        </w:trPr>
        <w:tc>
          <w:tcPr>
            <w:tcW w:w="2900" w:type="dxa"/>
            <w:shd w:val="clear" w:color="auto" w:fill="F2F2F2"/>
            <w:vAlign w:val="center"/>
          </w:tcPr>
          <w:p w:rsidR="008901D6" w:rsidRPr="00E641DA" w:rsidRDefault="008901D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7135" w:type="dxa"/>
            <w:vAlign w:val="center"/>
          </w:tcPr>
          <w:p w:rsidR="008901D6" w:rsidRPr="00E1247C" w:rsidRDefault="00A14BF9" w:rsidP="00B304D1">
            <w:pPr>
              <w:tabs>
                <w:tab w:val="left" w:pos="6093"/>
              </w:tabs>
              <w:rPr>
                <w:rFonts w:ascii="Calibri" w:hAnsi="Calibri"/>
                <w:sz w:val="22"/>
                <w:szCs w:val="22"/>
              </w:rPr>
            </w:pPr>
            <w:r>
              <w:rPr>
                <w:rFonts w:ascii="Calibri" w:hAnsi="Calibri"/>
                <w:sz w:val="22"/>
                <w:szCs w:val="22"/>
              </w:rPr>
              <w:t>Canberra</w:t>
            </w:r>
            <w:r w:rsidR="009B52D6">
              <w:rPr>
                <w:rFonts w:ascii="Calibri" w:hAnsi="Calibri"/>
                <w:sz w:val="22"/>
                <w:szCs w:val="22"/>
              </w:rPr>
              <w:t xml:space="preserve"> (Black Mountain)</w:t>
            </w:r>
            <w:r w:rsidR="00150FB9">
              <w:rPr>
                <w:rFonts w:ascii="Calibri" w:hAnsi="Calibri"/>
                <w:sz w:val="22"/>
                <w:szCs w:val="22"/>
              </w:rPr>
              <w:t>,</w:t>
            </w:r>
            <w:r>
              <w:rPr>
                <w:rFonts w:ascii="Calibri" w:hAnsi="Calibri"/>
                <w:sz w:val="22"/>
                <w:szCs w:val="22"/>
              </w:rPr>
              <w:t xml:space="preserve"> ACT or Brisbane</w:t>
            </w:r>
            <w:r w:rsidR="00150FB9">
              <w:rPr>
                <w:rFonts w:ascii="Calibri" w:hAnsi="Calibri"/>
                <w:sz w:val="22"/>
                <w:szCs w:val="22"/>
              </w:rPr>
              <w:t xml:space="preserve"> (Pullenvale preferred),</w:t>
            </w:r>
            <w:r w:rsidR="00B304D1">
              <w:rPr>
                <w:rFonts w:ascii="Calibri" w:hAnsi="Calibri"/>
                <w:sz w:val="22"/>
                <w:szCs w:val="22"/>
              </w:rPr>
              <w:t xml:space="preserve"> </w:t>
            </w:r>
            <w:r>
              <w:rPr>
                <w:rFonts w:ascii="Calibri" w:hAnsi="Calibri"/>
                <w:sz w:val="22"/>
                <w:szCs w:val="22"/>
              </w:rPr>
              <w:t>QLD</w:t>
            </w:r>
          </w:p>
        </w:tc>
      </w:tr>
      <w:tr w:rsidR="008901D6" w:rsidRPr="00E641DA" w:rsidTr="00B304D1">
        <w:trPr>
          <w:trHeight w:val="402"/>
          <w:jc w:val="center"/>
        </w:trPr>
        <w:tc>
          <w:tcPr>
            <w:tcW w:w="2900" w:type="dxa"/>
            <w:shd w:val="clear" w:color="auto" w:fill="F2F2F2"/>
            <w:vAlign w:val="center"/>
          </w:tcPr>
          <w:p w:rsidR="008901D6" w:rsidRPr="00D8313E" w:rsidRDefault="008901D6" w:rsidP="003A0708">
            <w:pPr>
              <w:rPr>
                <w:rStyle w:val="BlindHyperlink"/>
              </w:rPr>
            </w:pPr>
            <w:r w:rsidRPr="00D8313E">
              <w:rPr>
                <w:rStyle w:val="BlindHyperlink"/>
              </w:rPr>
              <w:t>Tenure:</w:t>
            </w:r>
          </w:p>
        </w:tc>
        <w:tc>
          <w:tcPr>
            <w:tcW w:w="7135" w:type="dxa"/>
            <w:vAlign w:val="center"/>
          </w:tcPr>
          <w:p w:rsidR="008901D6" w:rsidRPr="008901D6" w:rsidRDefault="002B6643" w:rsidP="00404146">
            <w:pPr>
              <w:rPr>
                <w:rFonts w:ascii="Calibri" w:hAnsi="Calibri"/>
                <w:sz w:val="22"/>
                <w:szCs w:val="22"/>
              </w:rPr>
            </w:pPr>
            <w:r>
              <w:rPr>
                <w:rFonts w:ascii="Calibri" w:hAnsi="Calibri"/>
                <w:sz w:val="22"/>
                <w:szCs w:val="22"/>
              </w:rPr>
              <w:t>Indefinite</w:t>
            </w:r>
          </w:p>
        </w:tc>
      </w:tr>
      <w:tr w:rsidR="008901D6" w:rsidRPr="00E641DA" w:rsidTr="00B304D1">
        <w:trPr>
          <w:trHeight w:val="425"/>
          <w:jc w:val="center"/>
        </w:trPr>
        <w:tc>
          <w:tcPr>
            <w:tcW w:w="2900" w:type="dxa"/>
            <w:shd w:val="clear" w:color="auto" w:fill="F2F2F2"/>
            <w:vAlign w:val="center"/>
          </w:tcPr>
          <w:p w:rsidR="008901D6" w:rsidRPr="00E641DA" w:rsidRDefault="008901D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7135" w:type="dxa"/>
            <w:vAlign w:val="center"/>
          </w:tcPr>
          <w:p w:rsidR="008901D6" w:rsidRPr="008901D6" w:rsidRDefault="008901D6" w:rsidP="003A0708">
            <w:pPr>
              <w:pStyle w:val="ListParagraph"/>
              <w:ind w:left="0"/>
              <w:rPr>
                <w:rFonts w:ascii="Calibri" w:hAnsi="Calibri"/>
                <w:sz w:val="22"/>
                <w:szCs w:val="22"/>
              </w:rPr>
            </w:pPr>
            <w:r w:rsidRPr="008901D6">
              <w:rPr>
                <w:rFonts w:ascii="Calibri" w:hAnsi="Calibri"/>
                <w:sz w:val="22"/>
                <w:szCs w:val="22"/>
              </w:rPr>
              <w:t>Will be provided to the successful candidate if require</w:t>
            </w:r>
            <w:r w:rsidR="00150FB9">
              <w:rPr>
                <w:rFonts w:ascii="Calibri" w:hAnsi="Calibri"/>
                <w:sz w:val="22"/>
                <w:szCs w:val="22"/>
              </w:rPr>
              <w:t>d</w:t>
            </w:r>
          </w:p>
        </w:tc>
      </w:tr>
      <w:tr w:rsidR="008901D6" w:rsidRPr="00E641DA" w:rsidTr="00B304D1">
        <w:trPr>
          <w:trHeight w:val="667"/>
          <w:jc w:val="center"/>
        </w:trPr>
        <w:tc>
          <w:tcPr>
            <w:tcW w:w="2900" w:type="dxa"/>
            <w:shd w:val="clear" w:color="auto" w:fill="F2F2F2"/>
            <w:vAlign w:val="center"/>
          </w:tcPr>
          <w:p w:rsidR="008901D6" w:rsidRPr="00D8313E" w:rsidRDefault="008901D6" w:rsidP="00A0184C">
            <w:pPr>
              <w:spacing w:before="240" w:after="240"/>
              <w:rPr>
                <w:rStyle w:val="BlindHyperlink"/>
              </w:rPr>
            </w:pPr>
            <w:r w:rsidRPr="00D8313E">
              <w:rPr>
                <w:rStyle w:val="BlindHyperlink"/>
              </w:rPr>
              <w:t>Applications are open to:</w:t>
            </w:r>
          </w:p>
        </w:tc>
        <w:tc>
          <w:tcPr>
            <w:tcW w:w="7135" w:type="dxa"/>
            <w:vAlign w:val="center"/>
          </w:tcPr>
          <w:p w:rsidR="008901D6" w:rsidRPr="00D515BF" w:rsidRDefault="00B304D1" w:rsidP="00B304D1">
            <w:pPr>
              <w:pStyle w:val="ListParagraph"/>
              <w:ind w:left="0"/>
              <w:rPr>
                <w:rFonts w:ascii="Calibri" w:hAnsi="Calibri"/>
                <w:sz w:val="22"/>
                <w:szCs w:val="22"/>
              </w:rPr>
            </w:pPr>
            <w:bookmarkStart w:id="0" w:name="Citizenship"/>
            <w:r>
              <w:rPr>
                <w:rFonts w:ascii="Calibri" w:hAnsi="Calibri"/>
                <w:sz w:val="22"/>
                <w:szCs w:val="22"/>
              </w:rPr>
              <w:t>A</w:t>
            </w:r>
            <w:r w:rsidR="008901D6" w:rsidRPr="008901D6">
              <w:rPr>
                <w:rFonts w:ascii="Calibri" w:hAnsi="Calibri"/>
                <w:sz w:val="22"/>
                <w:szCs w:val="22"/>
              </w:rPr>
              <w:t>ustralian</w:t>
            </w:r>
            <w:r w:rsidR="00CA1C75">
              <w:rPr>
                <w:rFonts w:ascii="Calibri" w:hAnsi="Calibri"/>
                <w:sz w:val="22"/>
                <w:szCs w:val="22"/>
              </w:rPr>
              <w:t>/New Zealand</w:t>
            </w:r>
            <w:r w:rsidR="008901D6" w:rsidRPr="008901D6">
              <w:rPr>
                <w:rFonts w:ascii="Calibri" w:hAnsi="Calibri"/>
                <w:sz w:val="22"/>
                <w:szCs w:val="22"/>
              </w:rPr>
              <w:t xml:space="preserve"> Citizens and Permanent Residents Only</w:t>
            </w:r>
            <w:bookmarkEnd w:id="0"/>
          </w:p>
        </w:tc>
      </w:tr>
      <w:tr w:rsidR="008901D6" w:rsidRPr="00E641DA" w:rsidTr="00B304D1">
        <w:trPr>
          <w:trHeight w:val="425"/>
          <w:jc w:val="center"/>
        </w:trPr>
        <w:tc>
          <w:tcPr>
            <w:tcW w:w="2900" w:type="dxa"/>
            <w:shd w:val="clear" w:color="auto" w:fill="F2F2F2"/>
            <w:vAlign w:val="center"/>
          </w:tcPr>
          <w:p w:rsidR="008901D6" w:rsidRPr="00E641DA" w:rsidRDefault="008901D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7135" w:type="dxa"/>
            <w:vAlign w:val="center"/>
          </w:tcPr>
          <w:p w:rsidR="008901D6" w:rsidRPr="008901D6" w:rsidRDefault="008901D6" w:rsidP="00CA071D">
            <w:pPr>
              <w:pStyle w:val="ListParagraph"/>
              <w:ind w:left="0"/>
              <w:rPr>
                <w:rFonts w:ascii="Calibri" w:hAnsi="Calibri"/>
                <w:sz w:val="22"/>
                <w:szCs w:val="22"/>
              </w:rPr>
            </w:pPr>
            <w:r w:rsidRPr="008901D6">
              <w:rPr>
                <w:rFonts w:ascii="Calibri" w:hAnsi="Calibri"/>
                <w:sz w:val="22"/>
                <w:szCs w:val="22"/>
              </w:rPr>
              <w:t>Administrative Services</w:t>
            </w:r>
          </w:p>
        </w:tc>
      </w:tr>
      <w:tr w:rsidR="008901D6" w:rsidRPr="00E641DA" w:rsidTr="00B304D1">
        <w:trPr>
          <w:trHeight w:val="418"/>
          <w:jc w:val="center"/>
        </w:trPr>
        <w:tc>
          <w:tcPr>
            <w:tcW w:w="2900" w:type="dxa"/>
            <w:shd w:val="clear" w:color="auto" w:fill="F2F2F2"/>
            <w:vAlign w:val="center"/>
          </w:tcPr>
          <w:p w:rsidR="008901D6" w:rsidRPr="00D8313E" w:rsidRDefault="008901D6" w:rsidP="00F3596F">
            <w:pPr>
              <w:rPr>
                <w:rStyle w:val="BlindHyperlink"/>
              </w:rPr>
            </w:pPr>
            <w:r w:rsidRPr="00D8313E">
              <w:rPr>
                <w:rStyle w:val="BlindHyperlink"/>
              </w:rPr>
              <w:t>% Client Focus - Internal:</w:t>
            </w:r>
          </w:p>
        </w:tc>
        <w:tc>
          <w:tcPr>
            <w:tcW w:w="7135" w:type="dxa"/>
            <w:vAlign w:val="center"/>
          </w:tcPr>
          <w:p w:rsidR="008901D6" w:rsidRPr="008901D6" w:rsidRDefault="00A535D5" w:rsidP="00A33104">
            <w:pPr>
              <w:pStyle w:val="ListParagraph"/>
              <w:ind w:left="0"/>
              <w:rPr>
                <w:rFonts w:ascii="Calibri" w:hAnsi="Calibri"/>
                <w:sz w:val="22"/>
                <w:szCs w:val="22"/>
              </w:rPr>
            </w:pPr>
            <w:r>
              <w:rPr>
                <w:rFonts w:ascii="Calibri" w:hAnsi="Calibri"/>
                <w:sz w:val="22"/>
                <w:szCs w:val="22"/>
              </w:rPr>
              <w:t>100</w:t>
            </w:r>
            <w:r w:rsidR="009360DA">
              <w:rPr>
                <w:rFonts w:ascii="Calibri" w:hAnsi="Calibri"/>
                <w:sz w:val="22"/>
                <w:szCs w:val="22"/>
              </w:rPr>
              <w:t>%</w:t>
            </w:r>
          </w:p>
        </w:tc>
      </w:tr>
      <w:tr w:rsidR="008901D6" w:rsidRPr="00E641DA" w:rsidTr="00B304D1">
        <w:trPr>
          <w:trHeight w:val="410"/>
          <w:jc w:val="center"/>
        </w:trPr>
        <w:tc>
          <w:tcPr>
            <w:tcW w:w="2900" w:type="dxa"/>
            <w:shd w:val="clear" w:color="auto" w:fill="F2F2F2"/>
            <w:vAlign w:val="center"/>
          </w:tcPr>
          <w:p w:rsidR="008901D6" w:rsidRPr="00D8313E" w:rsidRDefault="008901D6" w:rsidP="00F3596F">
            <w:pPr>
              <w:rPr>
                <w:rStyle w:val="BlindHyperlink"/>
              </w:rPr>
            </w:pPr>
            <w:r w:rsidRPr="00D8313E">
              <w:rPr>
                <w:rStyle w:val="BlindHyperlink"/>
              </w:rPr>
              <w:t>% Client Focus - External:</w:t>
            </w:r>
          </w:p>
        </w:tc>
        <w:tc>
          <w:tcPr>
            <w:tcW w:w="7135" w:type="dxa"/>
            <w:vAlign w:val="center"/>
          </w:tcPr>
          <w:p w:rsidR="008901D6" w:rsidRPr="008901D6" w:rsidRDefault="00A535D5" w:rsidP="00A33104">
            <w:pPr>
              <w:pStyle w:val="ListParagraph"/>
              <w:ind w:left="0"/>
              <w:rPr>
                <w:rFonts w:ascii="Calibri" w:hAnsi="Calibri"/>
                <w:sz w:val="22"/>
                <w:szCs w:val="22"/>
              </w:rPr>
            </w:pPr>
            <w:r>
              <w:rPr>
                <w:rFonts w:ascii="Calibri" w:hAnsi="Calibri"/>
                <w:sz w:val="22"/>
                <w:szCs w:val="22"/>
              </w:rPr>
              <w:t>0%</w:t>
            </w:r>
            <w:bookmarkStart w:id="1" w:name="_GoBack"/>
            <w:bookmarkEnd w:id="1"/>
          </w:p>
        </w:tc>
      </w:tr>
      <w:tr w:rsidR="008901D6" w:rsidRPr="00E641DA" w:rsidTr="00B304D1">
        <w:trPr>
          <w:trHeight w:val="417"/>
          <w:jc w:val="center"/>
        </w:trPr>
        <w:tc>
          <w:tcPr>
            <w:tcW w:w="2900" w:type="dxa"/>
            <w:shd w:val="clear" w:color="auto" w:fill="F2F2F2"/>
            <w:vAlign w:val="center"/>
          </w:tcPr>
          <w:p w:rsidR="008901D6" w:rsidRPr="00D8313E" w:rsidRDefault="008901D6" w:rsidP="00F3596F">
            <w:pPr>
              <w:rPr>
                <w:rStyle w:val="BlindHyperlink"/>
              </w:rPr>
            </w:pPr>
            <w:r w:rsidRPr="00D8313E">
              <w:rPr>
                <w:rStyle w:val="BlindHyperlink"/>
              </w:rPr>
              <w:t>Reports to the:</w:t>
            </w:r>
          </w:p>
        </w:tc>
        <w:tc>
          <w:tcPr>
            <w:tcW w:w="7135" w:type="dxa"/>
            <w:vAlign w:val="center"/>
          </w:tcPr>
          <w:p w:rsidR="008901D6" w:rsidRPr="002601B4" w:rsidRDefault="00404146" w:rsidP="002601B4">
            <w:pPr>
              <w:pStyle w:val="ListParagraph"/>
              <w:ind w:left="0"/>
              <w:rPr>
                <w:rFonts w:ascii="Calibri" w:hAnsi="Calibri"/>
                <w:sz w:val="22"/>
                <w:szCs w:val="22"/>
              </w:rPr>
            </w:pPr>
            <w:r>
              <w:rPr>
                <w:rFonts w:ascii="Calibri" w:hAnsi="Calibri"/>
                <w:sz w:val="22"/>
                <w:szCs w:val="22"/>
              </w:rPr>
              <w:t>Manager, HR Reporting and Analytics</w:t>
            </w:r>
          </w:p>
        </w:tc>
      </w:tr>
      <w:tr w:rsidR="008901D6" w:rsidRPr="00E641DA" w:rsidTr="00B304D1">
        <w:trPr>
          <w:trHeight w:val="408"/>
          <w:jc w:val="center"/>
        </w:trPr>
        <w:tc>
          <w:tcPr>
            <w:tcW w:w="2900" w:type="dxa"/>
            <w:shd w:val="clear" w:color="auto" w:fill="F2F2F2"/>
            <w:vAlign w:val="center"/>
          </w:tcPr>
          <w:p w:rsidR="008901D6" w:rsidRPr="00D8313E" w:rsidRDefault="008901D6" w:rsidP="00DA60FC">
            <w:pPr>
              <w:rPr>
                <w:rStyle w:val="BlindHyperlink"/>
              </w:rPr>
            </w:pPr>
            <w:r w:rsidRPr="00D8313E">
              <w:rPr>
                <w:rStyle w:val="BlindHyperlink"/>
              </w:rPr>
              <w:t>Number of Direct Reports:</w:t>
            </w:r>
          </w:p>
        </w:tc>
        <w:tc>
          <w:tcPr>
            <w:tcW w:w="7135" w:type="dxa"/>
            <w:vAlign w:val="center"/>
          </w:tcPr>
          <w:p w:rsidR="008901D6" w:rsidRPr="008901D6" w:rsidRDefault="00404146"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4"/>
      </w:tblGrid>
      <w:tr w:rsidR="00502363" w:rsidRPr="00E641DA" w:rsidTr="00B5254D">
        <w:trPr>
          <w:trHeight w:val="619"/>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497E7B">
        <w:trPr>
          <w:trHeight w:val="699"/>
        </w:trPr>
        <w:tc>
          <w:tcPr>
            <w:tcW w:w="10024" w:type="dxa"/>
          </w:tcPr>
          <w:p w:rsidR="00502363" w:rsidRDefault="00825D94" w:rsidP="009360DA">
            <w:pPr>
              <w:spacing w:before="180" w:after="120"/>
              <w:jc w:val="both"/>
              <w:rPr>
                <w:rFonts w:ascii="Calibri" w:hAnsi="Calibri"/>
                <w:sz w:val="22"/>
                <w:szCs w:val="22"/>
              </w:rPr>
            </w:pPr>
            <w:r w:rsidRPr="009B179C">
              <w:rPr>
                <w:rFonts w:ascii="Calibri" w:hAnsi="Calibri"/>
                <w:sz w:val="22"/>
                <w:szCs w:val="22"/>
              </w:rPr>
              <w:t xml:space="preserve">The </w:t>
            </w:r>
            <w:r w:rsidR="00D57444">
              <w:rPr>
                <w:rFonts w:ascii="Calibri" w:hAnsi="Calibri"/>
                <w:sz w:val="22"/>
                <w:szCs w:val="22"/>
              </w:rPr>
              <w:t xml:space="preserve">new </w:t>
            </w:r>
            <w:r w:rsidRPr="009B179C">
              <w:rPr>
                <w:rFonts w:ascii="Calibri" w:hAnsi="Calibri"/>
                <w:sz w:val="22"/>
                <w:szCs w:val="22"/>
              </w:rPr>
              <w:t xml:space="preserve">role of </w:t>
            </w:r>
            <w:r w:rsidR="009360DA">
              <w:rPr>
                <w:rFonts w:ascii="Calibri" w:hAnsi="Calibri"/>
                <w:sz w:val="22"/>
                <w:szCs w:val="22"/>
              </w:rPr>
              <w:t>HR Reporting and Analytics</w:t>
            </w:r>
            <w:r w:rsidR="00E578CE">
              <w:rPr>
                <w:rFonts w:ascii="Calibri" w:hAnsi="Calibri"/>
                <w:sz w:val="22"/>
                <w:szCs w:val="22"/>
              </w:rPr>
              <w:t xml:space="preserve"> Advisor</w:t>
            </w:r>
            <w:r w:rsidR="009360DA">
              <w:rPr>
                <w:rFonts w:ascii="Calibri" w:hAnsi="Calibri"/>
                <w:sz w:val="22"/>
                <w:szCs w:val="22"/>
              </w:rPr>
              <w:t xml:space="preserve"> </w:t>
            </w:r>
            <w:r w:rsidR="008716BF">
              <w:rPr>
                <w:rFonts w:ascii="Calibri" w:hAnsi="Calibri"/>
                <w:sz w:val="22"/>
                <w:szCs w:val="22"/>
              </w:rPr>
              <w:t>will</w:t>
            </w:r>
            <w:r w:rsidR="009360DA">
              <w:rPr>
                <w:rFonts w:ascii="Calibri" w:hAnsi="Calibri"/>
                <w:sz w:val="22"/>
                <w:szCs w:val="22"/>
              </w:rPr>
              <w:t xml:space="preserve"> provide support to the Human Resources function</w:t>
            </w:r>
            <w:r w:rsidR="00EC7765">
              <w:rPr>
                <w:rFonts w:ascii="Calibri" w:hAnsi="Calibri"/>
                <w:sz w:val="22"/>
                <w:szCs w:val="22"/>
              </w:rPr>
              <w:t>,</w:t>
            </w:r>
            <w:r w:rsidR="00E578CE">
              <w:rPr>
                <w:rFonts w:ascii="Calibri" w:hAnsi="Calibri"/>
                <w:sz w:val="22"/>
                <w:szCs w:val="22"/>
              </w:rPr>
              <w:t xml:space="preserve"> internal stakeholders</w:t>
            </w:r>
            <w:r w:rsidR="009360DA">
              <w:rPr>
                <w:rFonts w:ascii="Calibri" w:hAnsi="Calibri"/>
                <w:sz w:val="22"/>
                <w:szCs w:val="22"/>
              </w:rPr>
              <w:t xml:space="preserve"> </w:t>
            </w:r>
            <w:r w:rsidR="008716BF">
              <w:rPr>
                <w:rFonts w:ascii="Calibri" w:hAnsi="Calibri"/>
                <w:sz w:val="22"/>
                <w:szCs w:val="22"/>
              </w:rPr>
              <w:t xml:space="preserve">and CSIRO more generally </w:t>
            </w:r>
            <w:r w:rsidR="009360DA">
              <w:rPr>
                <w:rFonts w:ascii="Calibri" w:hAnsi="Calibri"/>
                <w:sz w:val="22"/>
                <w:szCs w:val="22"/>
              </w:rPr>
              <w:t>in the areas of people metrics</w:t>
            </w:r>
            <w:r w:rsidR="00C764AF">
              <w:rPr>
                <w:rFonts w:ascii="Calibri" w:hAnsi="Calibri"/>
                <w:sz w:val="22"/>
                <w:szCs w:val="22"/>
              </w:rPr>
              <w:t xml:space="preserve"> and </w:t>
            </w:r>
            <w:r w:rsidR="009360DA">
              <w:rPr>
                <w:rFonts w:ascii="Calibri" w:hAnsi="Calibri"/>
                <w:sz w:val="22"/>
                <w:szCs w:val="22"/>
              </w:rPr>
              <w:t>reporting.</w:t>
            </w:r>
          </w:p>
          <w:p w:rsidR="009360DA" w:rsidRPr="00924051" w:rsidRDefault="009360DA" w:rsidP="009360DA">
            <w:pPr>
              <w:spacing w:before="180" w:after="120"/>
              <w:jc w:val="both"/>
              <w:rPr>
                <w:rFonts w:ascii="Calibri" w:hAnsi="Calibri"/>
                <w:sz w:val="22"/>
                <w:szCs w:val="22"/>
              </w:rPr>
            </w:pPr>
            <w:r w:rsidRPr="00924051">
              <w:rPr>
                <w:rFonts w:ascii="Calibri" w:hAnsi="Calibri"/>
                <w:sz w:val="22"/>
                <w:szCs w:val="22"/>
              </w:rPr>
              <w:t xml:space="preserve">The role will </w:t>
            </w:r>
            <w:r w:rsidR="002B6643" w:rsidRPr="00924051">
              <w:rPr>
                <w:rFonts w:ascii="Calibri" w:hAnsi="Calibri"/>
                <w:sz w:val="22"/>
                <w:szCs w:val="22"/>
              </w:rPr>
              <w:t xml:space="preserve">support the Human Resources community through the provision of </w:t>
            </w:r>
            <w:r w:rsidR="006E0552" w:rsidRPr="00924051">
              <w:rPr>
                <w:rFonts w:ascii="Calibri" w:hAnsi="Calibri"/>
                <w:sz w:val="22"/>
                <w:szCs w:val="22"/>
              </w:rPr>
              <w:t>regular</w:t>
            </w:r>
            <w:r w:rsidR="00924051" w:rsidRPr="00924051">
              <w:rPr>
                <w:rFonts w:ascii="Calibri" w:hAnsi="Calibri"/>
                <w:sz w:val="22"/>
                <w:szCs w:val="22"/>
              </w:rPr>
              <w:t xml:space="preserve"> and ad-hoc workforce reporting;</w:t>
            </w:r>
            <w:r w:rsidR="006E0552" w:rsidRPr="00924051">
              <w:rPr>
                <w:rFonts w:ascii="Calibri" w:hAnsi="Calibri"/>
                <w:sz w:val="22"/>
                <w:szCs w:val="22"/>
              </w:rPr>
              <w:t xml:space="preserve"> drawing on extensive knowledge of data processes, manipulation &amp; analysis</w:t>
            </w:r>
            <w:r w:rsidR="00C764AF" w:rsidRPr="00924051">
              <w:rPr>
                <w:rFonts w:ascii="Calibri" w:hAnsi="Calibri"/>
                <w:sz w:val="22"/>
                <w:szCs w:val="22"/>
              </w:rPr>
              <w:t xml:space="preserve">. Using established knowledge with a range of HRIS and Microsoft systems (SAP, Spinifex, Excel), the HR Reporting and Analytics Advisor will consult with stakeholders, providing solutions and streamlining processes to support business data needs. </w:t>
            </w:r>
            <w:r w:rsidR="00E77E5D" w:rsidRPr="00924051">
              <w:rPr>
                <w:rFonts w:ascii="Calibri" w:hAnsi="Calibri"/>
                <w:sz w:val="22"/>
                <w:szCs w:val="22"/>
              </w:rPr>
              <w:t xml:space="preserve"> </w:t>
            </w:r>
          </w:p>
          <w:p w:rsidR="00E77E5D" w:rsidRDefault="00E77E5D" w:rsidP="009360DA">
            <w:pPr>
              <w:spacing w:before="180" w:after="120"/>
              <w:jc w:val="both"/>
              <w:rPr>
                <w:rFonts w:ascii="Calibri" w:hAnsi="Calibri"/>
                <w:sz w:val="22"/>
                <w:szCs w:val="22"/>
              </w:rPr>
            </w:pPr>
            <w:r w:rsidRPr="00924051">
              <w:rPr>
                <w:rFonts w:ascii="Calibri" w:hAnsi="Calibri"/>
                <w:sz w:val="22"/>
                <w:szCs w:val="22"/>
              </w:rPr>
              <w:t>The role supports HR objectives by identifying, creating and analysing data information and reports for clients and stakeholders to assist in improving organisational capability.</w:t>
            </w:r>
          </w:p>
          <w:p w:rsidR="00D57444" w:rsidRDefault="00D57444" w:rsidP="009360DA">
            <w:pPr>
              <w:spacing w:before="180" w:after="120"/>
              <w:jc w:val="both"/>
              <w:rPr>
                <w:rFonts w:ascii="Calibri" w:hAnsi="Calibri"/>
                <w:sz w:val="22"/>
                <w:szCs w:val="22"/>
              </w:rPr>
            </w:pPr>
            <w:r>
              <w:rPr>
                <w:rFonts w:ascii="Calibri" w:hAnsi="Calibri"/>
                <w:sz w:val="22"/>
                <w:szCs w:val="22"/>
              </w:rPr>
              <w:t>Collaborating with other functions such as</w:t>
            </w:r>
            <w:r w:rsidR="005922B8">
              <w:rPr>
                <w:rFonts w:ascii="Calibri" w:hAnsi="Calibri"/>
                <w:sz w:val="22"/>
                <w:szCs w:val="22"/>
              </w:rPr>
              <w:t>:</w:t>
            </w:r>
            <w:r>
              <w:rPr>
                <w:rFonts w:ascii="Calibri" w:hAnsi="Calibri"/>
                <w:sz w:val="22"/>
                <w:szCs w:val="22"/>
              </w:rPr>
              <w:t xml:space="preserve"> Information Management</w:t>
            </w:r>
            <w:r w:rsidR="005922B8">
              <w:rPr>
                <w:rFonts w:ascii="Calibri" w:hAnsi="Calibri"/>
                <w:sz w:val="22"/>
                <w:szCs w:val="22"/>
              </w:rPr>
              <w:t xml:space="preserve"> and</w:t>
            </w:r>
            <w:r>
              <w:rPr>
                <w:rFonts w:ascii="Calibri" w:hAnsi="Calibri"/>
                <w:sz w:val="22"/>
                <w:szCs w:val="22"/>
              </w:rPr>
              <w:t xml:space="preserve"> Technology</w:t>
            </w:r>
            <w:r w:rsidR="005922B8">
              <w:rPr>
                <w:rFonts w:ascii="Calibri" w:hAnsi="Calibri"/>
                <w:sz w:val="22"/>
                <w:szCs w:val="22"/>
              </w:rPr>
              <w:t xml:space="preserve">; </w:t>
            </w:r>
            <w:r w:rsidR="00D370B7">
              <w:rPr>
                <w:rFonts w:ascii="Calibri" w:hAnsi="Calibri"/>
                <w:sz w:val="22"/>
                <w:szCs w:val="22"/>
              </w:rPr>
              <w:t xml:space="preserve">Data61, </w:t>
            </w:r>
            <w:r w:rsidR="005922B8">
              <w:rPr>
                <w:rFonts w:ascii="Calibri" w:hAnsi="Calibri"/>
                <w:sz w:val="22"/>
                <w:szCs w:val="22"/>
              </w:rPr>
              <w:t xml:space="preserve">Finance; and </w:t>
            </w:r>
            <w:r w:rsidR="003D1161">
              <w:rPr>
                <w:rFonts w:ascii="Calibri" w:hAnsi="Calibri"/>
                <w:sz w:val="22"/>
                <w:szCs w:val="22"/>
              </w:rPr>
              <w:t xml:space="preserve">Planning, </w:t>
            </w:r>
            <w:r w:rsidR="005922B8">
              <w:rPr>
                <w:rFonts w:ascii="Calibri" w:hAnsi="Calibri"/>
                <w:sz w:val="22"/>
                <w:szCs w:val="22"/>
              </w:rPr>
              <w:t xml:space="preserve">Performance and Evaluation, </w:t>
            </w:r>
            <w:r>
              <w:rPr>
                <w:rFonts w:ascii="Calibri" w:hAnsi="Calibri"/>
                <w:sz w:val="22"/>
                <w:szCs w:val="22"/>
              </w:rPr>
              <w:t xml:space="preserve">the role will </w:t>
            </w:r>
            <w:r w:rsidR="00E77E5D">
              <w:rPr>
                <w:rFonts w:ascii="Calibri" w:hAnsi="Calibri"/>
                <w:sz w:val="22"/>
                <w:szCs w:val="22"/>
              </w:rPr>
              <w:t xml:space="preserve">assist </w:t>
            </w:r>
            <w:r w:rsidR="007A499D">
              <w:rPr>
                <w:rFonts w:ascii="Calibri" w:hAnsi="Calibri"/>
                <w:sz w:val="22"/>
                <w:szCs w:val="22"/>
              </w:rPr>
              <w:t xml:space="preserve">the </w:t>
            </w:r>
            <w:r w:rsidR="00E77E5D">
              <w:rPr>
                <w:rFonts w:ascii="Calibri" w:hAnsi="Calibri"/>
                <w:sz w:val="22"/>
                <w:szCs w:val="22"/>
              </w:rPr>
              <w:t xml:space="preserve">HR Reporting and Analytics Manager in </w:t>
            </w:r>
            <w:r>
              <w:rPr>
                <w:rFonts w:ascii="Calibri" w:hAnsi="Calibri"/>
                <w:sz w:val="22"/>
                <w:szCs w:val="22"/>
              </w:rPr>
              <w:t>establish</w:t>
            </w:r>
            <w:r w:rsidR="00E77E5D">
              <w:rPr>
                <w:rFonts w:ascii="Calibri" w:hAnsi="Calibri"/>
                <w:sz w:val="22"/>
                <w:szCs w:val="22"/>
              </w:rPr>
              <w:t>ing</w:t>
            </w:r>
            <w:r>
              <w:rPr>
                <w:rFonts w:ascii="Calibri" w:hAnsi="Calibri"/>
                <w:sz w:val="22"/>
                <w:szCs w:val="22"/>
              </w:rPr>
              <w:t xml:space="preserve"> a </w:t>
            </w:r>
            <w:r w:rsidR="008716BF">
              <w:rPr>
                <w:rFonts w:ascii="Calibri" w:hAnsi="Calibri"/>
                <w:sz w:val="22"/>
                <w:szCs w:val="22"/>
              </w:rPr>
              <w:t xml:space="preserve">HR </w:t>
            </w:r>
            <w:r>
              <w:rPr>
                <w:rFonts w:ascii="Calibri" w:hAnsi="Calibri"/>
                <w:sz w:val="22"/>
                <w:szCs w:val="22"/>
              </w:rPr>
              <w:t>reporting and analytics framework for CSIRO</w:t>
            </w:r>
            <w:r w:rsidR="008716BF">
              <w:rPr>
                <w:rFonts w:ascii="Calibri" w:hAnsi="Calibri"/>
                <w:sz w:val="22"/>
                <w:szCs w:val="22"/>
              </w:rPr>
              <w:t xml:space="preserve"> and</w:t>
            </w:r>
            <w:r>
              <w:rPr>
                <w:rFonts w:ascii="Calibri" w:hAnsi="Calibri"/>
                <w:sz w:val="22"/>
                <w:szCs w:val="22"/>
              </w:rPr>
              <w:t xml:space="preserve"> utilise technology and analytical tools to develop and analyse enterprise-wide people and cross functional data.</w:t>
            </w:r>
          </w:p>
          <w:p w:rsidR="009360DA" w:rsidRDefault="00D57444" w:rsidP="00787C85">
            <w:pPr>
              <w:spacing w:before="180" w:after="120"/>
              <w:jc w:val="both"/>
              <w:rPr>
                <w:rFonts w:ascii="Calibri" w:hAnsi="Calibri"/>
                <w:sz w:val="22"/>
                <w:szCs w:val="22"/>
              </w:rPr>
            </w:pPr>
            <w:r>
              <w:rPr>
                <w:rFonts w:ascii="Calibri" w:hAnsi="Calibri"/>
                <w:sz w:val="22"/>
                <w:szCs w:val="22"/>
              </w:rPr>
              <w:t>The role will collaborate with subject matter experts across the various people functions (learning and development, HR services, talent management, diversity and compliance) to promote data governance (e.g. integrity) and to improve overall strategic and operational performance and insight.</w:t>
            </w:r>
          </w:p>
          <w:p w:rsidR="00E77E5D" w:rsidRPr="00D515BF" w:rsidRDefault="00E77E5D" w:rsidP="00787C85">
            <w:pPr>
              <w:spacing w:before="180" w:after="120"/>
              <w:jc w:val="both"/>
              <w:rPr>
                <w:rFonts w:ascii="Calibri" w:hAnsi="Calibri"/>
                <w:sz w:val="22"/>
                <w:szCs w:val="22"/>
              </w:rPr>
            </w:pPr>
            <w:r w:rsidRPr="00924051">
              <w:rPr>
                <w:rFonts w:ascii="Calibri" w:hAnsi="Calibri"/>
                <w:sz w:val="22"/>
                <w:szCs w:val="22"/>
              </w:rPr>
              <w:t xml:space="preserve">The position assists with projects and </w:t>
            </w:r>
            <w:r w:rsidR="00A14BF9" w:rsidRPr="00924051">
              <w:rPr>
                <w:rFonts w:ascii="Calibri" w:hAnsi="Calibri"/>
                <w:sz w:val="22"/>
                <w:szCs w:val="22"/>
              </w:rPr>
              <w:t xml:space="preserve">technology </w:t>
            </w:r>
            <w:r w:rsidRPr="00924051">
              <w:rPr>
                <w:rFonts w:ascii="Calibri" w:hAnsi="Calibri"/>
                <w:sz w:val="22"/>
                <w:szCs w:val="22"/>
              </w:rPr>
              <w:t xml:space="preserve">upgrades </w:t>
            </w:r>
            <w:r w:rsidR="00A63CC2" w:rsidRPr="00924051">
              <w:rPr>
                <w:rFonts w:ascii="Calibri" w:hAnsi="Calibri"/>
                <w:sz w:val="22"/>
                <w:szCs w:val="22"/>
              </w:rPr>
              <w:t>(where</w:t>
            </w:r>
            <w:r w:rsidRPr="00924051">
              <w:rPr>
                <w:rFonts w:ascii="Calibri" w:hAnsi="Calibri"/>
                <w:sz w:val="22"/>
                <w:szCs w:val="22"/>
              </w:rPr>
              <w:t xml:space="preserve"> appropriate), analyses and evaluates new HR modules, systems, processes and developments in technology.</w:t>
            </w:r>
          </w:p>
        </w:tc>
      </w:tr>
      <w:tr w:rsidR="00502363" w:rsidRPr="00E641DA" w:rsidTr="00B5254D">
        <w:trPr>
          <w:trHeight w:val="647"/>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rsidTr="00787C85">
        <w:trPr>
          <w:trHeight w:val="440"/>
        </w:trPr>
        <w:tc>
          <w:tcPr>
            <w:tcW w:w="10024" w:type="dxa"/>
          </w:tcPr>
          <w:p w:rsidR="00D57444" w:rsidRPr="00AD65C4" w:rsidRDefault="00D57444" w:rsidP="00D57444">
            <w:pPr>
              <w:spacing w:before="180" w:after="120"/>
              <w:jc w:val="both"/>
              <w:rPr>
                <w:rFonts w:ascii="Calibri" w:hAnsi="Calibri"/>
                <w:b/>
                <w:sz w:val="22"/>
                <w:szCs w:val="22"/>
              </w:rPr>
            </w:pPr>
            <w:r w:rsidRPr="00AD65C4">
              <w:rPr>
                <w:rFonts w:ascii="Calibri" w:hAnsi="Calibri"/>
                <w:b/>
                <w:sz w:val="22"/>
                <w:szCs w:val="22"/>
              </w:rPr>
              <w:t xml:space="preserve">Workforce Data </w:t>
            </w:r>
            <w:r w:rsidR="00AD65C4">
              <w:rPr>
                <w:rFonts w:ascii="Calibri" w:hAnsi="Calibri"/>
                <w:b/>
                <w:sz w:val="22"/>
                <w:szCs w:val="22"/>
              </w:rPr>
              <w:t xml:space="preserve">Reporting and </w:t>
            </w:r>
            <w:r w:rsidRPr="00AD65C4">
              <w:rPr>
                <w:rFonts w:ascii="Calibri" w:hAnsi="Calibri"/>
                <w:b/>
                <w:sz w:val="22"/>
                <w:szCs w:val="22"/>
              </w:rPr>
              <w:t xml:space="preserve">Analysis </w:t>
            </w:r>
          </w:p>
          <w:p w:rsidR="00F333C5" w:rsidRDefault="00B35145"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Provide accurate and timely reporting on a regular and ad-hoc basis to key stakeholders, ensuring a high level of data accuracy, quality and integrity.</w:t>
            </w:r>
          </w:p>
          <w:p w:rsidR="00532DBC" w:rsidRDefault="00A14BF9"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Assist in ensur</w:t>
            </w:r>
            <w:r w:rsidR="00924051">
              <w:rPr>
                <w:rFonts w:ascii="Calibri" w:hAnsi="Calibri"/>
                <w:sz w:val="22"/>
                <w:szCs w:val="22"/>
              </w:rPr>
              <w:t xml:space="preserve">ing </w:t>
            </w:r>
            <w:r w:rsidR="00532DBC">
              <w:rPr>
                <w:rFonts w:ascii="Calibri" w:hAnsi="Calibri"/>
                <w:sz w:val="22"/>
                <w:szCs w:val="22"/>
              </w:rPr>
              <w:t>HR systems are available, tested, maintained and enhanced to support core HR operations to meet current operational and legislative requirements.</w:t>
            </w:r>
          </w:p>
          <w:p w:rsidR="00532DBC" w:rsidRDefault="00532DBC"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Ensure continuity and maintenance of HR systems and online services to support core HR business processes.</w:t>
            </w:r>
          </w:p>
          <w:p w:rsidR="00532DBC" w:rsidRDefault="00532DBC"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 xml:space="preserve">Identify and escalate opportunities and initiatives to streamline processes using systems solutions. </w:t>
            </w:r>
          </w:p>
          <w:p w:rsidR="00D57444" w:rsidRDefault="00D57444" w:rsidP="00A32582">
            <w:pPr>
              <w:pStyle w:val="ListParagraph"/>
              <w:numPr>
                <w:ilvl w:val="0"/>
                <w:numId w:val="16"/>
              </w:numPr>
              <w:spacing w:before="180" w:after="120"/>
              <w:jc w:val="both"/>
              <w:rPr>
                <w:rFonts w:ascii="Calibri" w:hAnsi="Calibri"/>
                <w:sz w:val="22"/>
                <w:szCs w:val="22"/>
              </w:rPr>
            </w:pPr>
            <w:r w:rsidRPr="00AD65C4">
              <w:rPr>
                <w:rFonts w:ascii="Calibri" w:hAnsi="Calibri"/>
                <w:sz w:val="22"/>
                <w:szCs w:val="22"/>
              </w:rPr>
              <w:t xml:space="preserve">Undertake research and analysis of internal workforce data and </w:t>
            </w:r>
            <w:r w:rsidR="008716BF" w:rsidRPr="00AD65C4">
              <w:rPr>
                <w:rFonts w:ascii="Calibri" w:hAnsi="Calibri"/>
                <w:sz w:val="22"/>
                <w:szCs w:val="22"/>
              </w:rPr>
              <w:t>identif</w:t>
            </w:r>
            <w:r w:rsidR="008716BF">
              <w:rPr>
                <w:rFonts w:ascii="Calibri" w:hAnsi="Calibri"/>
                <w:sz w:val="22"/>
                <w:szCs w:val="22"/>
              </w:rPr>
              <w:t>y</w:t>
            </w:r>
            <w:r w:rsidR="008716BF" w:rsidRPr="00AD65C4">
              <w:rPr>
                <w:rFonts w:ascii="Calibri" w:hAnsi="Calibri"/>
                <w:sz w:val="22"/>
                <w:szCs w:val="22"/>
              </w:rPr>
              <w:t xml:space="preserve"> </w:t>
            </w:r>
            <w:r w:rsidRPr="00AD65C4">
              <w:rPr>
                <w:rFonts w:ascii="Calibri" w:hAnsi="Calibri"/>
                <w:sz w:val="22"/>
                <w:szCs w:val="22"/>
              </w:rPr>
              <w:t xml:space="preserve">key workforce trends </w:t>
            </w:r>
            <w:r w:rsidR="00532DBC">
              <w:rPr>
                <w:rFonts w:ascii="Calibri" w:hAnsi="Calibri"/>
                <w:sz w:val="22"/>
                <w:szCs w:val="22"/>
              </w:rPr>
              <w:t xml:space="preserve">and liaise with relevant internal stakeholder to inform. </w:t>
            </w:r>
            <w:r w:rsidRPr="00AD65C4">
              <w:rPr>
                <w:rFonts w:ascii="Calibri" w:hAnsi="Calibri"/>
                <w:sz w:val="22"/>
                <w:szCs w:val="22"/>
              </w:rPr>
              <w:t xml:space="preserve"> </w:t>
            </w:r>
          </w:p>
          <w:p w:rsidR="00532DBC" w:rsidRDefault="00532DBC"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Understand CSIRO HR reporting requirements and analyse, organise and present data and information to assist with senior management decision making.</w:t>
            </w:r>
          </w:p>
          <w:p w:rsidR="00AD65C4" w:rsidRDefault="00AD65C4"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Gather user requirements for reporting and analytics purposes.</w:t>
            </w:r>
          </w:p>
          <w:p w:rsidR="00A32582" w:rsidRPr="00A32582" w:rsidRDefault="00A32582" w:rsidP="00A32582">
            <w:pPr>
              <w:numPr>
                <w:ilvl w:val="0"/>
                <w:numId w:val="16"/>
              </w:numPr>
              <w:shd w:val="clear" w:color="auto" w:fill="FFFFFF"/>
              <w:textAlignment w:val="baseline"/>
              <w:rPr>
                <w:rFonts w:asciiTheme="minorHAnsi" w:eastAsia="Times New Roman" w:hAnsiTheme="minorHAnsi" w:cs="Times New Roman"/>
                <w:color w:val="000000"/>
                <w:sz w:val="22"/>
                <w:szCs w:val="22"/>
                <w:lang w:eastAsia="en-AU"/>
              </w:rPr>
            </w:pPr>
            <w:r w:rsidRPr="00A32582">
              <w:rPr>
                <w:rFonts w:asciiTheme="minorHAnsi" w:eastAsia="Times New Roman" w:hAnsiTheme="minorHAnsi" w:cs="Times New Roman"/>
                <w:color w:val="000000"/>
                <w:sz w:val="22"/>
                <w:szCs w:val="22"/>
                <w:lang w:eastAsia="en-AU"/>
              </w:rPr>
              <w:t xml:space="preserve">Lead and </w:t>
            </w:r>
            <w:r w:rsidR="00924051">
              <w:rPr>
                <w:rFonts w:asciiTheme="minorHAnsi" w:eastAsia="Times New Roman" w:hAnsiTheme="minorHAnsi" w:cs="Times New Roman"/>
                <w:color w:val="000000"/>
                <w:sz w:val="22"/>
                <w:szCs w:val="22"/>
                <w:lang w:eastAsia="en-AU"/>
              </w:rPr>
              <w:t>support key HR cyclical activities internally,</w:t>
            </w:r>
            <w:r w:rsidRPr="00A32582">
              <w:rPr>
                <w:rFonts w:asciiTheme="minorHAnsi" w:eastAsia="Times New Roman" w:hAnsiTheme="minorHAnsi" w:cs="Times New Roman"/>
                <w:color w:val="000000"/>
                <w:sz w:val="22"/>
                <w:szCs w:val="22"/>
                <w:lang w:eastAsia="en-AU"/>
              </w:rPr>
              <w:t xml:space="preserve"> such as annual performance, talent and merit reviews</w:t>
            </w:r>
            <w:r w:rsidR="00A14BF9">
              <w:rPr>
                <w:rFonts w:asciiTheme="minorHAnsi" w:eastAsia="Times New Roman" w:hAnsiTheme="minorHAnsi" w:cs="Times New Roman"/>
                <w:color w:val="000000"/>
                <w:sz w:val="22"/>
                <w:szCs w:val="22"/>
                <w:lang w:eastAsia="en-AU"/>
              </w:rPr>
              <w:t xml:space="preserve">; </w:t>
            </w:r>
            <w:r w:rsidR="00924051">
              <w:rPr>
                <w:rFonts w:asciiTheme="minorHAnsi" w:eastAsia="Times New Roman" w:hAnsiTheme="minorHAnsi" w:cs="Times New Roman"/>
                <w:color w:val="000000"/>
                <w:sz w:val="22"/>
                <w:szCs w:val="22"/>
                <w:lang w:eastAsia="en-AU"/>
              </w:rPr>
              <w:t>and externally such</w:t>
            </w:r>
            <w:r w:rsidR="00A14BF9">
              <w:rPr>
                <w:rFonts w:asciiTheme="minorHAnsi" w:eastAsia="Times New Roman" w:hAnsiTheme="minorHAnsi" w:cs="Times New Roman"/>
                <w:color w:val="000000"/>
                <w:sz w:val="22"/>
                <w:szCs w:val="22"/>
                <w:lang w:eastAsia="en-AU"/>
              </w:rPr>
              <w:t xml:space="preserve"> as senate estimates</w:t>
            </w:r>
            <w:r w:rsidR="00924051">
              <w:rPr>
                <w:rFonts w:asciiTheme="minorHAnsi" w:eastAsia="Times New Roman" w:hAnsiTheme="minorHAnsi" w:cs="Times New Roman"/>
                <w:color w:val="000000"/>
                <w:sz w:val="22"/>
                <w:szCs w:val="22"/>
                <w:lang w:eastAsia="en-AU"/>
              </w:rPr>
              <w:t xml:space="preserve"> </w:t>
            </w:r>
            <w:r w:rsidR="00497E7B">
              <w:rPr>
                <w:rFonts w:asciiTheme="minorHAnsi" w:eastAsia="Times New Roman" w:hAnsiTheme="minorHAnsi" w:cs="Times New Roman"/>
                <w:color w:val="000000"/>
                <w:sz w:val="22"/>
                <w:szCs w:val="22"/>
                <w:lang w:eastAsia="en-AU"/>
              </w:rPr>
              <w:t>and CSIRO</w:t>
            </w:r>
            <w:r w:rsidR="00924051">
              <w:rPr>
                <w:rFonts w:asciiTheme="minorHAnsi" w:eastAsia="Times New Roman" w:hAnsiTheme="minorHAnsi" w:cs="Times New Roman"/>
                <w:color w:val="000000"/>
                <w:sz w:val="22"/>
                <w:szCs w:val="22"/>
                <w:lang w:eastAsia="en-AU"/>
              </w:rPr>
              <w:t xml:space="preserve"> board reporting.</w:t>
            </w:r>
          </w:p>
          <w:p w:rsidR="002B5DEC" w:rsidRPr="002B5DEC" w:rsidRDefault="002B5DEC" w:rsidP="00A32582">
            <w:pPr>
              <w:pStyle w:val="ListParagraph"/>
              <w:numPr>
                <w:ilvl w:val="0"/>
                <w:numId w:val="16"/>
              </w:numPr>
              <w:spacing w:before="180" w:after="120"/>
              <w:jc w:val="both"/>
              <w:rPr>
                <w:rFonts w:asciiTheme="minorHAnsi" w:hAnsiTheme="minorHAnsi"/>
                <w:sz w:val="22"/>
                <w:szCs w:val="22"/>
              </w:rPr>
            </w:pPr>
            <w:r>
              <w:rPr>
                <w:rFonts w:asciiTheme="minorHAnsi" w:hAnsiTheme="minorHAnsi"/>
                <w:sz w:val="22"/>
                <w:szCs w:val="22"/>
              </w:rPr>
              <w:t xml:space="preserve">Work closely with </w:t>
            </w:r>
            <w:r w:rsidRPr="002B5DEC">
              <w:rPr>
                <w:rFonts w:asciiTheme="minorHAnsi" w:hAnsiTheme="minorHAnsi"/>
                <w:sz w:val="22"/>
                <w:szCs w:val="22"/>
              </w:rPr>
              <w:t>information suppliers and stakeholders to understand data and reporting requirements and provide technical advice for HR reporting tools and systems</w:t>
            </w:r>
            <w:r>
              <w:rPr>
                <w:rFonts w:asciiTheme="minorHAnsi" w:hAnsiTheme="minorHAnsi"/>
                <w:sz w:val="22"/>
                <w:szCs w:val="22"/>
              </w:rPr>
              <w:t>.</w:t>
            </w:r>
          </w:p>
          <w:p w:rsidR="00D57444" w:rsidRPr="00AD65C4" w:rsidRDefault="00A14BF9"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 xml:space="preserve">Under general guidance, </w:t>
            </w:r>
            <w:r w:rsidR="00497E7B">
              <w:rPr>
                <w:rFonts w:ascii="Calibri" w:hAnsi="Calibri"/>
                <w:sz w:val="22"/>
                <w:szCs w:val="22"/>
              </w:rPr>
              <w:t>c</w:t>
            </w:r>
            <w:r w:rsidR="00D57444" w:rsidRPr="00AD65C4">
              <w:rPr>
                <w:rFonts w:ascii="Calibri" w:hAnsi="Calibri"/>
                <w:sz w:val="22"/>
                <w:szCs w:val="22"/>
              </w:rPr>
              <w:t xml:space="preserve">o-ordinate and undertake the analysis of workforce data, and evaluate the system-wide impacts. </w:t>
            </w:r>
          </w:p>
          <w:p w:rsidR="00D57444" w:rsidRDefault="00D57444" w:rsidP="00A32582">
            <w:pPr>
              <w:pStyle w:val="ListParagraph"/>
              <w:numPr>
                <w:ilvl w:val="0"/>
                <w:numId w:val="16"/>
              </w:numPr>
              <w:spacing w:before="180" w:after="120"/>
              <w:jc w:val="both"/>
              <w:rPr>
                <w:rFonts w:ascii="Calibri" w:hAnsi="Calibri"/>
                <w:sz w:val="22"/>
                <w:szCs w:val="22"/>
              </w:rPr>
            </w:pPr>
            <w:r w:rsidRPr="00AD65C4">
              <w:rPr>
                <w:rFonts w:ascii="Calibri" w:hAnsi="Calibri"/>
                <w:sz w:val="22"/>
                <w:szCs w:val="22"/>
              </w:rPr>
              <w:t>Appl</w:t>
            </w:r>
            <w:r w:rsidR="008716BF">
              <w:rPr>
                <w:rFonts w:ascii="Calibri" w:hAnsi="Calibri"/>
                <w:sz w:val="22"/>
                <w:szCs w:val="22"/>
              </w:rPr>
              <w:t>y</w:t>
            </w:r>
            <w:r w:rsidRPr="00AD65C4">
              <w:rPr>
                <w:rFonts w:ascii="Calibri" w:hAnsi="Calibri"/>
                <w:sz w:val="22"/>
                <w:szCs w:val="22"/>
              </w:rPr>
              <w:t xml:space="preserve"> highly advanced computer skills and experience in various system applications including interrogating and manipulating large datasets. </w:t>
            </w:r>
          </w:p>
          <w:p w:rsidR="002B5DEC" w:rsidRPr="002B5DEC" w:rsidRDefault="002B5DEC" w:rsidP="00A32582">
            <w:pPr>
              <w:numPr>
                <w:ilvl w:val="0"/>
                <w:numId w:val="16"/>
              </w:numPr>
              <w:shd w:val="clear" w:color="auto" w:fill="FFFFFF"/>
              <w:textAlignment w:val="baseline"/>
              <w:rPr>
                <w:rFonts w:asciiTheme="minorHAnsi" w:eastAsia="Times New Roman" w:hAnsiTheme="minorHAnsi"/>
                <w:color w:val="000000"/>
                <w:sz w:val="22"/>
                <w:szCs w:val="22"/>
                <w:lang w:eastAsia="en-AU"/>
              </w:rPr>
            </w:pPr>
            <w:r w:rsidRPr="002B5DEC">
              <w:rPr>
                <w:rFonts w:asciiTheme="minorHAnsi" w:eastAsia="Times New Roman" w:hAnsiTheme="minorHAnsi"/>
                <w:color w:val="000000"/>
                <w:sz w:val="22"/>
                <w:szCs w:val="22"/>
                <w:lang w:eastAsia="en-AU"/>
              </w:rPr>
              <w:t>Assist with the development and implementation of workforce planning and analytics initiatives, reporting and solutions</w:t>
            </w:r>
            <w:r>
              <w:rPr>
                <w:rFonts w:asciiTheme="minorHAnsi" w:eastAsia="Times New Roman" w:hAnsiTheme="minorHAnsi"/>
                <w:color w:val="000000"/>
                <w:sz w:val="22"/>
                <w:szCs w:val="22"/>
                <w:lang w:eastAsia="en-AU"/>
              </w:rPr>
              <w:t>.</w:t>
            </w:r>
          </w:p>
          <w:p w:rsidR="00AD65C4" w:rsidRPr="00AD65C4" w:rsidRDefault="005922B8" w:rsidP="00AD65C4">
            <w:pPr>
              <w:spacing w:before="180" w:after="120"/>
              <w:jc w:val="both"/>
              <w:rPr>
                <w:rFonts w:ascii="Calibri" w:hAnsi="Calibri"/>
                <w:b/>
                <w:sz w:val="22"/>
                <w:szCs w:val="22"/>
              </w:rPr>
            </w:pPr>
            <w:r>
              <w:rPr>
                <w:rFonts w:ascii="Calibri" w:hAnsi="Calibri"/>
                <w:b/>
                <w:sz w:val="22"/>
                <w:szCs w:val="22"/>
              </w:rPr>
              <w:t>Collaboration and Communication</w:t>
            </w:r>
          </w:p>
          <w:p w:rsidR="00AD65C4" w:rsidRPr="00AD65C4" w:rsidRDefault="00AD65C4" w:rsidP="00A32582">
            <w:pPr>
              <w:pStyle w:val="ListParagraph"/>
              <w:numPr>
                <w:ilvl w:val="0"/>
                <w:numId w:val="16"/>
              </w:numPr>
              <w:spacing w:before="180" w:after="120"/>
              <w:jc w:val="both"/>
              <w:rPr>
                <w:rFonts w:ascii="Calibri" w:hAnsi="Calibri"/>
                <w:sz w:val="22"/>
                <w:szCs w:val="22"/>
              </w:rPr>
            </w:pPr>
            <w:r w:rsidRPr="00AD65C4">
              <w:rPr>
                <w:rFonts w:ascii="Calibri" w:hAnsi="Calibri"/>
                <w:sz w:val="22"/>
                <w:szCs w:val="22"/>
              </w:rPr>
              <w:t>Develop and maintain partnerships and networks with key stakeholders</w:t>
            </w:r>
            <w:r w:rsidR="008716BF">
              <w:rPr>
                <w:rFonts w:ascii="Calibri" w:hAnsi="Calibri"/>
                <w:sz w:val="22"/>
                <w:szCs w:val="22"/>
              </w:rPr>
              <w:t>.</w:t>
            </w:r>
            <w:r w:rsidRPr="00AD65C4">
              <w:rPr>
                <w:rFonts w:ascii="Calibri" w:hAnsi="Calibri"/>
                <w:sz w:val="22"/>
                <w:szCs w:val="22"/>
              </w:rPr>
              <w:t xml:space="preserve"> </w:t>
            </w:r>
          </w:p>
          <w:p w:rsidR="00D57444" w:rsidRDefault="00AD65C4" w:rsidP="00A32582">
            <w:pPr>
              <w:pStyle w:val="ListParagraph"/>
              <w:numPr>
                <w:ilvl w:val="0"/>
                <w:numId w:val="16"/>
              </w:numPr>
              <w:spacing w:before="180" w:after="120"/>
              <w:jc w:val="both"/>
              <w:rPr>
                <w:rFonts w:ascii="Calibri" w:hAnsi="Calibri"/>
                <w:sz w:val="22"/>
                <w:szCs w:val="22"/>
              </w:rPr>
            </w:pPr>
            <w:r w:rsidRPr="00AD65C4">
              <w:rPr>
                <w:rFonts w:ascii="Calibri" w:hAnsi="Calibri"/>
                <w:sz w:val="22"/>
                <w:szCs w:val="22"/>
              </w:rPr>
              <w:t xml:space="preserve">Contribute to continuous improvement in the reporting and dissemination of workforce information to internal key stakeholders. </w:t>
            </w:r>
          </w:p>
          <w:p w:rsidR="00532DBC" w:rsidRPr="00532DBC" w:rsidRDefault="00532DBC" w:rsidP="00A32582">
            <w:pPr>
              <w:pStyle w:val="ListParagraph"/>
              <w:numPr>
                <w:ilvl w:val="0"/>
                <w:numId w:val="16"/>
              </w:numPr>
              <w:spacing w:before="120" w:after="60"/>
              <w:jc w:val="both"/>
              <w:rPr>
                <w:rFonts w:ascii="Calibri" w:hAnsi="Calibri"/>
                <w:sz w:val="22"/>
                <w:szCs w:val="22"/>
              </w:rPr>
            </w:pPr>
            <w:r w:rsidRPr="00B24297">
              <w:rPr>
                <w:rFonts w:ascii="Calibri" w:hAnsi="Calibri"/>
                <w:sz w:val="22"/>
                <w:szCs w:val="22"/>
              </w:rPr>
              <w:t>Communicate effectively and respectfully with all staff, clients and suppliers in the interests of good business practice, collaboration and enhancement of CSIRO’s reputation.</w:t>
            </w:r>
          </w:p>
          <w:p w:rsidR="00532DBC" w:rsidRDefault="00532DBC"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Provide ongoing support, assistance and advice for HR systems users, as and when required.</w:t>
            </w:r>
          </w:p>
          <w:p w:rsidR="00D57444" w:rsidRPr="00D57444" w:rsidRDefault="00CE4855"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P</w:t>
            </w:r>
            <w:r w:rsidR="00D57444" w:rsidRPr="00D57444">
              <w:rPr>
                <w:rFonts w:ascii="Calibri" w:hAnsi="Calibri"/>
                <w:sz w:val="22"/>
                <w:szCs w:val="22"/>
              </w:rPr>
              <w:t>articipate</w:t>
            </w:r>
            <w:r>
              <w:rPr>
                <w:rFonts w:ascii="Calibri" w:hAnsi="Calibri"/>
                <w:sz w:val="22"/>
                <w:szCs w:val="22"/>
              </w:rPr>
              <w:t xml:space="preserve"> </w:t>
            </w:r>
            <w:r w:rsidR="00D57444" w:rsidRPr="00D57444">
              <w:rPr>
                <w:rFonts w:ascii="Calibri" w:hAnsi="Calibri"/>
                <w:sz w:val="22"/>
                <w:szCs w:val="22"/>
              </w:rPr>
              <w:t>in p</w:t>
            </w:r>
            <w:r w:rsidR="00497E7B">
              <w:rPr>
                <w:rFonts w:ascii="Calibri" w:hAnsi="Calibri"/>
                <w:sz w:val="22"/>
                <w:szCs w:val="22"/>
              </w:rPr>
              <w:t>roject teams at various levels.</w:t>
            </w:r>
          </w:p>
          <w:p w:rsidR="00AD65C4" w:rsidRPr="00B96956" w:rsidRDefault="00CE4855" w:rsidP="00A32582">
            <w:pPr>
              <w:pStyle w:val="ListParagraph"/>
              <w:numPr>
                <w:ilvl w:val="0"/>
                <w:numId w:val="16"/>
              </w:numPr>
              <w:spacing w:before="180" w:after="120"/>
              <w:jc w:val="both"/>
              <w:rPr>
                <w:rFonts w:ascii="Calibri" w:hAnsi="Calibri"/>
                <w:sz w:val="22"/>
                <w:szCs w:val="22"/>
              </w:rPr>
            </w:pPr>
            <w:r>
              <w:rPr>
                <w:rFonts w:ascii="Calibri" w:hAnsi="Calibri"/>
                <w:sz w:val="22"/>
                <w:szCs w:val="22"/>
              </w:rPr>
              <w:t xml:space="preserve">Assist HR Reporting and Analytics manager in preparation of </w:t>
            </w:r>
            <w:r w:rsidRPr="00D57444">
              <w:rPr>
                <w:rFonts w:ascii="Calibri" w:hAnsi="Calibri"/>
                <w:sz w:val="22"/>
                <w:szCs w:val="22"/>
              </w:rPr>
              <w:t>project</w:t>
            </w:r>
            <w:r w:rsidR="00D57444" w:rsidRPr="00D57444">
              <w:rPr>
                <w:rFonts w:ascii="Calibri" w:hAnsi="Calibri"/>
                <w:sz w:val="22"/>
                <w:szCs w:val="22"/>
              </w:rPr>
              <w:t xml:space="preserve"> plans, briefings, research and evaluation reports, project status reports etc. as required. </w:t>
            </w:r>
          </w:p>
          <w:p w:rsidR="005D7E89" w:rsidRPr="005D7E89" w:rsidRDefault="008901D6" w:rsidP="00FE60DF">
            <w:pPr>
              <w:spacing w:before="180" w:after="120"/>
              <w:jc w:val="both"/>
              <w:rPr>
                <w:rFonts w:ascii="Calibri" w:hAnsi="Calibri"/>
                <w:b/>
              </w:rPr>
            </w:pPr>
            <w:r w:rsidRPr="00AD65C4">
              <w:rPr>
                <w:rFonts w:ascii="Calibri" w:hAnsi="Calibri"/>
                <w:b/>
                <w:sz w:val="22"/>
                <w:szCs w:val="22"/>
              </w:rPr>
              <w:t>Other duties as directed</w:t>
            </w:r>
          </w:p>
        </w:tc>
      </w:tr>
    </w:tbl>
    <w:p w:rsidR="00D515BF" w:rsidRDefault="00D515BF" w:rsidP="00502363">
      <w:pPr>
        <w:rPr>
          <w:rFonts w:ascii="Calibri" w:hAnsi="Calibri"/>
          <w:sz w:val="22"/>
          <w:szCs w:val="22"/>
        </w:rPr>
      </w:pPr>
    </w:p>
    <w:p w:rsidR="008901D6" w:rsidRPr="00E641DA" w:rsidRDefault="008901D6" w:rsidP="00502363">
      <w:pPr>
        <w:rPr>
          <w:rFonts w:ascii="Calibri" w:hAnsi="Calibr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4"/>
      </w:tblGrid>
      <w:tr w:rsidR="00502363" w:rsidRPr="00E641DA" w:rsidTr="00B5254D">
        <w:trPr>
          <w:trHeight w:val="703"/>
        </w:trPr>
        <w:tc>
          <w:tcPr>
            <w:tcW w:w="1002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rsidTr="00B5254D">
        <w:trPr>
          <w:trHeight w:val="703"/>
        </w:trPr>
        <w:tc>
          <w:tcPr>
            <w:tcW w:w="1002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C22E46" w:rsidRDefault="00502363" w:rsidP="00CB7CA4">
            <w:pPr>
              <w:spacing w:after="120"/>
              <w:jc w:val="both"/>
              <w:rPr>
                <w:rFonts w:ascii="Calibri" w:hAnsi="Calibri"/>
                <w:bCs/>
                <w:i/>
                <w:iCs/>
                <w:sz w:val="22"/>
                <w:szCs w:val="22"/>
              </w:rPr>
            </w:pPr>
            <w:r w:rsidRPr="00C22E46">
              <w:rPr>
                <w:rFonts w:ascii="Calibri" w:hAnsi="Calibri"/>
                <w:b/>
                <w:bCs/>
                <w:i/>
                <w:iCs/>
                <w:sz w:val="22"/>
                <w:szCs w:val="22"/>
              </w:rPr>
              <w:t>Pre-Requisites:</w:t>
            </w:r>
          </w:p>
          <w:p w:rsidR="00502363" w:rsidRPr="00C22E46" w:rsidRDefault="00744F33" w:rsidP="00574379">
            <w:pPr>
              <w:pStyle w:val="ListParagraph"/>
              <w:numPr>
                <w:ilvl w:val="0"/>
                <w:numId w:val="6"/>
              </w:numPr>
              <w:spacing w:after="60"/>
              <w:ind w:left="357" w:hanging="357"/>
              <w:jc w:val="both"/>
              <w:rPr>
                <w:rFonts w:ascii="Calibri" w:hAnsi="Calibri"/>
                <w:sz w:val="22"/>
                <w:szCs w:val="22"/>
              </w:rPr>
            </w:pPr>
            <w:r w:rsidRPr="00C22E46">
              <w:rPr>
                <w:rFonts w:ascii="Calibri" w:hAnsi="Calibri"/>
                <w:b/>
                <w:sz w:val="22"/>
                <w:szCs w:val="22"/>
              </w:rPr>
              <w:t>Experience</w:t>
            </w:r>
            <w:r w:rsidR="00502363" w:rsidRPr="00C22E46">
              <w:rPr>
                <w:rFonts w:ascii="Calibri" w:hAnsi="Calibri"/>
                <w:b/>
                <w:sz w:val="22"/>
                <w:szCs w:val="22"/>
              </w:rPr>
              <w:t xml:space="preserve">:  </w:t>
            </w:r>
            <w:r w:rsidR="00D853A6" w:rsidRPr="00C22E46">
              <w:rPr>
                <w:rFonts w:ascii="Calibri" w:hAnsi="Calibri"/>
                <w:sz w:val="22"/>
                <w:szCs w:val="22"/>
              </w:rPr>
              <w:t xml:space="preserve">A </w:t>
            </w:r>
            <w:r w:rsidRPr="00C22E46">
              <w:rPr>
                <w:rFonts w:ascii="Calibri" w:hAnsi="Calibri"/>
                <w:sz w:val="22"/>
                <w:szCs w:val="22"/>
              </w:rPr>
              <w:t xml:space="preserve">minimum of 3 years </w:t>
            </w:r>
            <w:r w:rsidR="00497E7B" w:rsidRPr="00C22E46">
              <w:rPr>
                <w:rFonts w:ascii="Calibri" w:hAnsi="Calibri"/>
                <w:sz w:val="22"/>
                <w:szCs w:val="22"/>
              </w:rPr>
              <w:t>reporting and analytics</w:t>
            </w:r>
            <w:r w:rsidRPr="00C22E46">
              <w:rPr>
                <w:rFonts w:ascii="Calibri" w:hAnsi="Calibri"/>
                <w:sz w:val="22"/>
                <w:szCs w:val="22"/>
              </w:rPr>
              <w:t xml:space="preserve"> experience</w:t>
            </w:r>
            <w:r w:rsidR="00497E7B" w:rsidRPr="00C22E46">
              <w:rPr>
                <w:rFonts w:ascii="Calibri" w:hAnsi="Calibri"/>
                <w:sz w:val="22"/>
                <w:szCs w:val="22"/>
              </w:rPr>
              <w:t xml:space="preserve">, </w:t>
            </w:r>
            <w:r w:rsidR="000C45E7" w:rsidRPr="00C22E46">
              <w:rPr>
                <w:rFonts w:ascii="Calibri" w:hAnsi="Calibri"/>
                <w:sz w:val="22"/>
                <w:szCs w:val="22"/>
              </w:rPr>
              <w:t>preferably in</w:t>
            </w:r>
            <w:r w:rsidR="00497E7B" w:rsidRPr="00C22E46">
              <w:rPr>
                <w:rFonts w:ascii="Calibri" w:hAnsi="Calibri"/>
                <w:sz w:val="22"/>
                <w:szCs w:val="22"/>
              </w:rPr>
              <w:t xml:space="preserve"> Human Resources or people related domain</w:t>
            </w:r>
            <w:r w:rsidR="002653E0">
              <w:rPr>
                <w:rFonts w:ascii="Calibri" w:hAnsi="Calibri"/>
                <w:sz w:val="22"/>
                <w:szCs w:val="22"/>
              </w:rPr>
              <w:t>.</w:t>
            </w:r>
            <w:r w:rsidRPr="00C22E46">
              <w:rPr>
                <w:rFonts w:ascii="Calibri" w:hAnsi="Calibri"/>
                <w:sz w:val="22"/>
                <w:szCs w:val="22"/>
              </w:rPr>
              <w:t xml:space="preserve"> </w:t>
            </w:r>
          </w:p>
          <w:p w:rsidR="00825D94" w:rsidRPr="00825D94" w:rsidRDefault="00825D94" w:rsidP="00574379">
            <w:pPr>
              <w:pStyle w:val="ListParagraph"/>
              <w:numPr>
                <w:ilvl w:val="0"/>
                <w:numId w:val="6"/>
              </w:numPr>
              <w:spacing w:after="60"/>
              <w:ind w:left="357" w:hanging="357"/>
              <w:jc w:val="both"/>
              <w:rPr>
                <w:rFonts w:ascii="Calibri" w:hAnsi="Calibri"/>
                <w:sz w:val="22"/>
                <w:szCs w:val="22"/>
              </w:rPr>
            </w:pPr>
            <w:r w:rsidRPr="009B179C">
              <w:rPr>
                <w:rStyle w:val="Strong"/>
                <w:rFonts w:ascii="Calibri" w:hAnsi="Calibri"/>
                <w:sz w:val="22"/>
                <w:szCs w:val="22"/>
              </w:rPr>
              <w:t xml:space="preserve">Communication:  </w:t>
            </w:r>
            <w:r w:rsidRPr="009B179C">
              <w:rPr>
                <w:rFonts w:ascii="Calibri" w:hAnsi="Calibri"/>
                <w:sz w:val="22"/>
                <w:szCs w:val="22"/>
              </w:rPr>
              <w:t>Excellent written and oral communication skills, including the ability to clearly and succinctly convey information and ideas to individuals and group</w:t>
            </w:r>
            <w:r w:rsidR="009677B9">
              <w:rPr>
                <w:rFonts w:ascii="Calibri" w:hAnsi="Calibri"/>
                <w:sz w:val="22"/>
                <w:szCs w:val="22"/>
              </w:rPr>
              <w:t xml:space="preserve"> to inform, influence</w:t>
            </w:r>
            <w:r w:rsidR="00497E7B">
              <w:rPr>
                <w:rFonts w:ascii="Calibri" w:hAnsi="Calibri"/>
                <w:sz w:val="22"/>
                <w:szCs w:val="22"/>
              </w:rPr>
              <w:t>,</w:t>
            </w:r>
            <w:r w:rsidR="009677B9">
              <w:rPr>
                <w:rFonts w:ascii="Calibri" w:hAnsi="Calibri"/>
                <w:sz w:val="22"/>
                <w:szCs w:val="22"/>
              </w:rPr>
              <w:t xml:space="preserve"> and consult with a range of stakeholders. </w:t>
            </w:r>
          </w:p>
          <w:p w:rsidR="00825D94" w:rsidRPr="00825D94" w:rsidRDefault="00716F62" w:rsidP="00574379">
            <w:pPr>
              <w:pStyle w:val="ListParagraph"/>
              <w:numPr>
                <w:ilvl w:val="0"/>
                <w:numId w:val="6"/>
              </w:numPr>
              <w:spacing w:after="60"/>
              <w:ind w:left="357" w:hanging="357"/>
              <w:jc w:val="both"/>
            </w:pPr>
            <w:r>
              <w:rPr>
                <w:rStyle w:val="Strong"/>
                <w:rFonts w:ascii="Calibri" w:hAnsi="Calibri"/>
                <w:sz w:val="22"/>
                <w:szCs w:val="22"/>
              </w:rPr>
              <w:t>Behaviours:</w:t>
            </w:r>
            <w:r w:rsidR="00825D94" w:rsidRPr="009B179C">
              <w:rPr>
                <w:rStyle w:val="Strong"/>
                <w:rFonts w:ascii="Calibri" w:hAnsi="Calibri"/>
                <w:sz w:val="22"/>
                <w:szCs w:val="22"/>
              </w:rPr>
              <w:t xml:space="preserve">  </w:t>
            </w:r>
            <w:r w:rsidR="00825D94" w:rsidRPr="009B179C">
              <w:rPr>
                <w:rFonts w:ascii="Calibri" w:hAnsi="Calibri"/>
                <w:sz w:val="22"/>
                <w:szCs w:val="22"/>
              </w:rPr>
              <w:t>A history of professional and respectful behaviours and attitudes in a collaborative environment.</w:t>
            </w:r>
          </w:p>
          <w:p w:rsidR="00825D94" w:rsidRPr="00825D94" w:rsidRDefault="00825D94" w:rsidP="00574379">
            <w:pPr>
              <w:pStyle w:val="ListParagraph"/>
              <w:numPr>
                <w:ilvl w:val="0"/>
                <w:numId w:val="6"/>
              </w:numPr>
              <w:spacing w:after="60"/>
              <w:ind w:left="357" w:hanging="357"/>
              <w:jc w:val="both"/>
            </w:pPr>
            <w:r w:rsidRPr="009B179C">
              <w:rPr>
                <w:rStyle w:val="Strong"/>
                <w:rFonts w:ascii="Calibri" w:hAnsi="Calibri"/>
                <w:sz w:val="22"/>
                <w:szCs w:val="22"/>
              </w:rPr>
              <w:t xml:space="preserve">Adaptability:  </w:t>
            </w:r>
            <w:r w:rsidRPr="009B179C">
              <w:rPr>
                <w:rFonts w:ascii="Calibri" w:hAnsi="Calibri"/>
                <w:sz w:val="22"/>
                <w:szCs w:val="22"/>
              </w:rPr>
              <w:t>Demonstrated ability to deal with ambiguity and adapt to changing circumstances and new responsibilities.</w:t>
            </w:r>
          </w:p>
          <w:p w:rsidR="00F844B1" w:rsidRPr="00954E4E" w:rsidRDefault="00825D94" w:rsidP="00574379">
            <w:pPr>
              <w:pStyle w:val="ListParagraph"/>
              <w:numPr>
                <w:ilvl w:val="0"/>
                <w:numId w:val="6"/>
              </w:numPr>
              <w:spacing w:after="60"/>
              <w:ind w:left="357" w:hanging="357"/>
              <w:jc w:val="both"/>
              <w:rPr>
                <w:rFonts w:ascii="Calibri" w:hAnsi="Calibri"/>
                <w:sz w:val="22"/>
                <w:szCs w:val="22"/>
              </w:rPr>
            </w:pPr>
            <w:r w:rsidRPr="009B179C">
              <w:rPr>
                <w:rStyle w:val="Strong"/>
                <w:rFonts w:ascii="Calibri" w:hAnsi="Calibri"/>
                <w:sz w:val="22"/>
                <w:szCs w:val="22"/>
              </w:rPr>
              <w:t xml:space="preserve">Problem Solving:  </w:t>
            </w:r>
            <w:r w:rsidRPr="009B179C">
              <w:rPr>
                <w:rFonts w:ascii="Calibri" w:hAnsi="Calibri"/>
                <w:sz w:val="22"/>
                <w:szCs w:val="22"/>
              </w:rPr>
              <w:t xml:space="preserve">Proven ability to investigate underlying issues of complex and ill-defined problems and develop </w:t>
            </w:r>
            <w:r w:rsidR="00235C5B">
              <w:rPr>
                <w:rFonts w:ascii="Calibri" w:hAnsi="Calibri"/>
                <w:sz w:val="22"/>
                <w:szCs w:val="22"/>
              </w:rPr>
              <w:t>creative solutions</w:t>
            </w:r>
            <w:r w:rsidRPr="009B179C">
              <w:rPr>
                <w:rFonts w:ascii="Calibri" w:hAnsi="Calibri"/>
                <w:sz w:val="22"/>
                <w:szCs w:val="22"/>
              </w:rPr>
              <w:t xml:space="preserve"> through abstract thinking</w:t>
            </w:r>
            <w:r w:rsidR="00235C5B">
              <w:rPr>
                <w:rFonts w:ascii="Calibri" w:hAnsi="Calibri"/>
                <w:sz w:val="22"/>
                <w:szCs w:val="22"/>
              </w:rPr>
              <w:t>.</w:t>
            </w:r>
          </w:p>
          <w:p w:rsidR="00FE60DF" w:rsidRPr="00F627F3" w:rsidRDefault="00502363" w:rsidP="00F627F3">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FE60DF" w:rsidRPr="00497E7B" w:rsidRDefault="00A32582" w:rsidP="00497E7B">
            <w:pPr>
              <w:numPr>
                <w:ilvl w:val="0"/>
                <w:numId w:val="4"/>
              </w:numPr>
              <w:tabs>
                <w:tab w:val="clear" w:pos="720"/>
                <w:tab w:val="num" w:pos="6"/>
              </w:tabs>
              <w:spacing w:after="60"/>
              <w:ind w:left="318" w:hanging="284"/>
              <w:jc w:val="both"/>
              <w:rPr>
                <w:rFonts w:asciiTheme="minorHAnsi" w:hAnsiTheme="minorHAnsi" w:cstheme="minorHAnsi"/>
                <w:sz w:val="22"/>
                <w:szCs w:val="22"/>
              </w:rPr>
            </w:pPr>
            <w:r>
              <w:rPr>
                <w:rFonts w:asciiTheme="minorHAnsi" w:hAnsiTheme="minorHAnsi" w:cstheme="minorHAnsi"/>
                <w:sz w:val="22"/>
                <w:szCs w:val="22"/>
              </w:rPr>
              <w:t>E</w:t>
            </w:r>
            <w:r w:rsidR="00FE60DF" w:rsidRPr="00FE60DF">
              <w:rPr>
                <w:rFonts w:asciiTheme="minorHAnsi" w:hAnsiTheme="minorHAnsi" w:cstheme="minorHAnsi"/>
                <w:sz w:val="22"/>
                <w:szCs w:val="22"/>
              </w:rPr>
              <w:t xml:space="preserve">xperience in the </w:t>
            </w:r>
            <w:r w:rsidR="005922B8">
              <w:rPr>
                <w:rFonts w:asciiTheme="minorHAnsi" w:hAnsiTheme="minorHAnsi" w:cstheme="minorHAnsi"/>
                <w:sz w:val="22"/>
                <w:szCs w:val="22"/>
              </w:rPr>
              <w:t xml:space="preserve">preparation and </w:t>
            </w:r>
            <w:r w:rsidR="00FE60DF" w:rsidRPr="00FE60DF">
              <w:rPr>
                <w:rFonts w:asciiTheme="minorHAnsi" w:hAnsiTheme="minorHAnsi" w:cstheme="minorHAnsi"/>
                <w:sz w:val="22"/>
                <w:szCs w:val="22"/>
              </w:rPr>
              <w:t xml:space="preserve">analysis of data </w:t>
            </w:r>
            <w:r w:rsidR="00FE60DF">
              <w:rPr>
                <w:rFonts w:asciiTheme="minorHAnsi" w:hAnsiTheme="minorHAnsi" w:cstheme="minorHAnsi"/>
                <w:sz w:val="22"/>
                <w:szCs w:val="22"/>
              </w:rPr>
              <w:t>in a variety of contexts using s</w:t>
            </w:r>
            <w:r w:rsidR="00FE60DF" w:rsidRPr="00FE60DF">
              <w:rPr>
                <w:rFonts w:asciiTheme="minorHAnsi" w:hAnsiTheme="minorHAnsi" w:cstheme="minorHAnsi"/>
                <w:sz w:val="22"/>
                <w:szCs w:val="22"/>
              </w:rPr>
              <w:t xml:space="preserve">oftware packages such as </w:t>
            </w:r>
            <w:r w:rsidR="00FE60DF">
              <w:rPr>
                <w:rFonts w:asciiTheme="minorHAnsi" w:hAnsiTheme="minorHAnsi" w:cstheme="minorHAnsi"/>
                <w:sz w:val="22"/>
                <w:szCs w:val="22"/>
              </w:rPr>
              <w:t xml:space="preserve">SAP, Spinifex and </w:t>
            </w:r>
            <w:r w:rsidR="00FE60DF" w:rsidRPr="00FE60DF">
              <w:rPr>
                <w:rFonts w:asciiTheme="minorHAnsi" w:hAnsiTheme="minorHAnsi" w:cstheme="minorHAnsi"/>
                <w:sz w:val="22"/>
                <w:szCs w:val="22"/>
              </w:rPr>
              <w:t>Excel</w:t>
            </w:r>
            <w:r w:rsidR="002B5DEC">
              <w:rPr>
                <w:rFonts w:asciiTheme="minorHAnsi" w:hAnsiTheme="minorHAnsi" w:cstheme="minorHAnsi"/>
                <w:sz w:val="22"/>
                <w:szCs w:val="22"/>
              </w:rPr>
              <w:t>.</w:t>
            </w:r>
            <w:r w:rsidR="00FE60DF" w:rsidRPr="00FE60DF">
              <w:rPr>
                <w:rFonts w:asciiTheme="minorHAnsi" w:hAnsiTheme="minorHAnsi" w:cstheme="minorHAnsi"/>
                <w:sz w:val="22"/>
                <w:szCs w:val="22"/>
              </w:rPr>
              <w:t xml:space="preserve"> </w:t>
            </w:r>
          </w:p>
          <w:p w:rsidR="00B5254D" w:rsidRPr="00F627F3" w:rsidRDefault="00B5254D" w:rsidP="00F627F3">
            <w:pPr>
              <w:numPr>
                <w:ilvl w:val="0"/>
                <w:numId w:val="4"/>
              </w:numPr>
              <w:tabs>
                <w:tab w:val="clear" w:pos="720"/>
                <w:tab w:val="num" w:pos="6"/>
              </w:tabs>
              <w:spacing w:after="60"/>
              <w:ind w:left="318" w:hanging="284"/>
              <w:jc w:val="both"/>
              <w:rPr>
                <w:rStyle w:val="Emphasis"/>
                <w:rFonts w:asciiTheme="minorHAnsi" w:hAnsiTheme="minorHAnsi" w:cstheme="minorHAnsi"/>
                <w:i w:val="0"/>
                <w:sz w:val="22"/>
                <w:szCs w:val="22"/>
              </w:rPr>
            </w:pPr>
            <w:r w:rsidRPr="00F627F3">
              <w:rPr>
                <w:rFonts w:asciiTheme="minorHAnsi" w:hAnsiTheme="minorHAnsi" w:cstheme="minorHAnsi"/>
                <w:sz w:val="22"/>
                <w:szCs w:val="22"/>
              </w:rPr>
              <w:t>The ability to work effectively in a team environment, collaborate widely both internally and externally, and provide guidance to managers and staff.</w:t>
            </w:r>
          </w:p>
          <w:p w:rsidR="00144D9B" w:rsidRPr="00A32582" w:rsidRDefault="00B5254D" w:rsidP="00574379">
            <w:pPr>
              <w:numPr>
                <w:ilvl w:val="0"/>
                <w:numId w:val="4"/>
              </w:numPr>
              <w:tabs>
                <w:tab w:val="clear" w:pos="720"/>
                <w:tab w:val="num" w:pos="6"/>
              </w:tabs>
              <w:spacing w:after="60"/>
              <w:ind w:left="318" w:hanging="284"/>
              <w:jc w:val="both"/>
              <w:rPr>
                <w:rFonts w:asciiTheme="minorHAnsi" w:hAnsiTheme="minorHAnsi" w:cstheme="minorHAnsi"/>
                <w:i/>
                <w:iCs/>
                <w:sz w:val="22"/>
                <w:szCs w:val="22"/>
              </w:rPr>
            </w:pPr>
            <w:r w:rsidRPr="00B5254D">
              <w:rPr>
                <w:rFonts w:asciiTheme="minorHAnsi" w:hAnsiTheme="minorHAnsi" w:cstheme="minorHAnsi"/>
                <w:sz w:val="22"/>
                <w:szCs w:val="22"/>
              </w:rPr>
              <w:t>Strong organisation skills and a</w:t>
            </w:r>
            <w:r w:rsidR="00002741" w:rsidRPr="00B5254D">
              <w:rPr>
                <w:rFonts w:asciiTheme="minorHAnsi" w:hAnsiTheme="minorHAnsi" w:cstheme="minorHAnsi"/>
                <w:sz w:val="22"/>
                <w:szCs w:val="22"/>
              </w:rPr>
              <w:t>bility to perform multiple complex tasks</w:t>
            </w:r>
            <w:r w:rsidR="00D515BF">
              <w:rPr>
                <w:rFonts w:asciiTheme="minorHAnsi" w:hAnsiTheme="minorHAnsi" w:cstheme="minorHAnsi"/>
                <w:sz w:val="22"/>
                <w:szCs w:val="22"/>
              </w:rPr>
              <w:t>.</w:t>
            </w:r>
          </w:p>
          <w:p w:rsidR="00A32582" w:rsidRPr="002B5DEC" w:rsidRDefault="00744F33" w:rsidP="00574379">
            <w:pPr>
              <w:numPr>
                <w:ilvl w:val="0"/>
                <w:numId w:val="4"/>
              </w:numPr>
              <w:tabs>
                <w:tab w:val="clear" w:pos="720"/>
                <w:tab w:val="num" w:pos="6"/>
              </w:tabs>
              <w:spacing w:after="60"/>
              <w:ind w:left="318" w:hanging="284"/>
              <w:jc w:val="both"/>
              <w:rPr>
                <w:rFonts w:asciiTheme="minorHAnsi" w:hAnsiTheme="minorHAnsi" w:cstheme="minorHAnsi"/>
                <w:i/>
                <w:iCs/>
                <w:sz w:val="22"/>
                <w:szCs w:val="22"/>
              </w:rPr>
            </w:pPr>
            <w:r>
              <w:rPr>
                <w:rFonts w:asciiTheme="minorHAnsi" w:hAnsiTheme="minorHAnsi"/>
                <w:sz w:val="22"/>
                <w:szCs w:val="22"/>
              </w:rPr>
              <w:t>High level conceptual,</w:t>
            </w:r>
            <w:r w:rsidR="00497E7B">
              <w:rPr>
                <w:rFonts w:asciiTheme="minorHAnsi" w:hAnsiTheme="minorHAnsi"/>
                <w:sz w:val="22"/>
                <w:szCs w:val="22"/>
              </w:rPr>
              <w:t xml:space="preserve"> analytical and research skills; </w:t>
            </w:r>
            <w:r>
              <w:rPr>
                <w:rFonts w:asciiTheme="minorHAnsi" w:hAnsiTheme="minorHAnsi"/>
                <w:sz w:val="22"/>
                <w:szCs w:val="22"/>
              </w:rPr>
              <w:t xml:space="preserve">and the </w:t>
            </w:r>
            <w:r w:rsidR="00497E7B">
              <w:rPr>
                <w:rFonts w:asciiTheme="minorHAnsi" w:hAnsiTheme="minorHAnsi"/>
                <w:sz w:val="22"/>
                <w:szCs w:val="22"/>
              </w:rPr>
              <w:t>a</w:t>
            </w:r>
            <w:r w:rsidR="00A32582" w:rsidRPr="00A32582">
              <w:rPr>
                <w:rFonts w:asciiTheme="minorHAnsi" w:hAnsiTheme="minorHAnsi"/>
                <w:sz w:val="22"/>
                <w:szCs w:val="22"/>
              </w:rPr>
              <w:t xml:space="preserve">bility to identify and solve problems; including the </w:t>
            </w:r>
            <w:r w:rsidR="00497E7B">
              <w:rPr>
                <w:rFonts w:asciiTheme="minorHAnsi" w:hAnsiTheme="minorHAnsi"/>
                <w:sz w:val="22"/>
                <w:szCs w:val="22"/>
              </w:rPr>
              <w:t>analysis of client needs, proposal of</w:t>
            </w:r>
            <w:r w:rsidR="00A32582" w:rsidRPr="00A32582">
              <w:rPr>
                <w:rFonts w:asciiTheme="minorHAnsi" w:hAnsiTheme="minorHAnsi"/>
                <w:sz w:val="22"/>
                <w:szCs w:val="22"/>
              </w:rPr>
              <w:t xml:space="preserve"> appropriate options and solutions, and/or escalat</w:t>
            </w:r>
            <w:r w:rsidR="00497E7B">
              <w:rPr>
                <w:rFonts w:asciiTheme="minorHAnsi" w:hAnsiTheme="minorHAnsi"/>
                <w:sz w:val="22"/>
                <w:szCs w:val="22"/>
              </w:rPr>
              <w:t>ion of</w:t>
            </w:r>
            <w:r w:rsidR="00A32582" w:rsidRPr="00A32582">
              <w:rPr>
                <w:rFonts w:asciiTheme="minorHAnsi" w:hAnsiTheme="minorHAnsi"/>
                <w:sz w:val="22"/>
                <w:szCs w:val="22"/>
              </w:rPr>
              <w:t xml:space="preserve"> issues for resolution where required</w:t>
            </w:r>
            <w:r w:rsidR="00A32582">
              <w:t>.</w:t>
            </w:r>
          </w:p>
          <w:p w:rsidR="00FE60DF" w:rsidRDefault="002B5DEC" w:rsidP="00A32582">
            <w:pPr>
              <w:numPr>
                <w:ilvl w:val="0"/>
                <w:numId w:val="4"/>
              </w:numPr>
              <w:tabs>
                <w:tab w:val="clear" w:pos="720"/>
                <w:tab w:val="num" w:pos="6"/>
              </w:tabs>
              <w:spacing w:after="60"/>
              <w:ind w:left="318" w:hanging="284"/>
              <w:jc w:val="both"/>
              <w:rPr>
                <w:rFonts w:asciiTheme="minorHAnsi" w:hAnsiTheme="minorHAnsi" w:cstheme="minorHAnsi"/>
                <w:i/>
                <w:iCs/>
                <w:sz w:val="22"/>
                <w:szCs w:val="22"/>
              </w:rPr>
            </w:pPr>
            <w:r>
              <w:rPr>
                <w:rFonts w:asciiTheme="minorHAnsi" w:hAnsiTheme="minorHAnsi" w:cstheme="minorHAnsi"/>
                <w:sz w:val="22"/>
                <w:szCs w:val="22"/>
              </w:rPr>
              <w:t>Ability to research, monitor and report on issues, information, trends and statistics, to be used to recommend options, interventions and improvement strategies.</w:t>
            </w:r>
          </w:p>
          <w:p w:rsidR="00A32582" w:rsidRPr="00A32582" w:rsidRDefault="00A32582" w:rsidP="00A32582">
            <w:pPr>
              <w:spacing w:after="60"/>
              <w:ind w:left="318"/>
              <w:jc w:val="both"/>
              <w:rPr>
                <w:rStyle w:val="Emphasis"/>
                <w:rFonts w:asciiTheme="minorHAnsi" w:hAnsiTheme="minorHAnsi" w:cstheme="minorHAnsi"/>
                <w:iCs/>
                <w:sz w:val="22"/>
                <w:szCs w:val="22"/>
              </w:rPr>
            </w:pPr>
          </w:p>
          <w:p w:rsidR="008901D6" w:rsidRPr="002B0EB7" w:rsidRDefault="008901D6" w:rsidP="008901D6">
            <w:pPr>
              <w:spacing w:after="60"/>
              <w:jc w:val="both"/>
              <w:rPr>
                <w:rFonts w:ascii="Calibri" w:hAnsi="Calibri"/>
                <w:iCs/>
                <w:sz w:val="22"/>
                <w:szCs w:val="22"/>
              </w:rPr>
            </w:pPr>
            <w:r w:rsidRPr="002B0EB7">
              <w:rPr>
                <w:rFonts w:ascii="Calibri" w:hAnsi="Calibri"/>
                <w:b/>
                <w:iCs/>
                <w:sz w:val="22"/>
                <w:szCs w:val="22"/>
              </w:rPr>
              <w:t>As Australia’s Innovation Catalyst, CSIRO has strategic actions underpinned by behaviours aligned to</w:t>
            </w:r>
            <w:r w:rsidRPr="002B0EB7">
              <w:rPr>
                <w:rFonts w:ascii="Calibri" w:hAnsi="Calibri"/>
                <w:iCs/>
                <w:sz w:val="22"/>
                <w:szCs w:val="22"/>
              </w:rPr>
              <w:t>:</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Excellent science</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Inclusion, trust &amp; respect</w:t>
            </w:r>
          </w:p>
          <w:p w:rsidR="008901D6" w:rsidRPr="002B0EB7" w:rsidRDefault="008901D6" w:rsidP="008901D6">
            <w:pPr>
              <w:numPr>
                <w:ilvl w:val="0"/>
                <w:numId w:val="10"/>
              </w:numPr>
              <w:jc w:val="both"/>
              <w:rPr>
                <w:rFonts w:ascii="Calibri" w:hAnsi="Calibri"/>
                <w:iCs/>
                <w:sz w:val="22"/>
                <w:szCs w:val="22"/>
              </w:rPr>
            </w:pPr>
            <w:r w:rsidRPr="002B0EB7">
              <w:rPr>
                <w:rFonts w:ascii="Calibri" w:hAnsi="Calibri"/>
                <w:iCs/>
                <w:sz w:val="22"/>
                <w:szCs w:val="22"/>
              </w:rPr>
              <w:t xml:space="preserve">Health, safety &amp; environment </w:t>
            </w:r>
          </w:p>
          <w:p w:rsidR="008901D6" w:rsidRPr="002B0EB7" w:rsidRDefault="008901D6" w:rsidP="008901D6">
            <w:pPr>
              <w:numPr>
                <w:ilvl w:val="0"/>
                <w:numId w:val="10"/>
              </w:numPr>
              <w:spacing w:after="120"/>
              <w:ind w:left="714" w:hanging="357"/>
              <w:jc w:val="both"/>
              <w:rPr>
                <w:rFonts w:ascii="Calibri" w:hAnsi="Calibri"/>
                <w:iCs/>
                <w:sz w:val="22"/>
                <w:szCs w:val="22"/>
              </w:rPr>
            </w:pPr>
            <w:r w:rsidRPr="002B0EB7">
              <w:rPr>
                <w:rFonts w:ascii="Calibri" w:hAnsi="Calibri"/>
                <w:iCs/>
                <w:sz w:val="22"/>
                <w:szCs w:val="22"/>
              </w:rPr>
              <w:t>Delivery on commitments.</w:t>
            </w:r>
          </w:p>
          <w:p w:rsidR="008901D6" w:rsidRPr="008901D6" w:rsidRDefault="008901D6" w:rsidP="008901D6">
            <w:pPr>
              <w:spacing w:after="240"/>
              <w:jc w:val="both"/>
              <w:rPr>
                <w:rStyle w:val="Emphasis"/>
                <w:rFonts w:ascii="Calibri" w:hAnsi="Calibri" w:cs="Arial"/>
                <w:b/>
                <w:i w:val="0"/>
                <w:iCs/>
                <w:sz w:val="22"/>
                <w:szCs w:val="22"/>
              </w:rPr>
            </w:pPr>
            <w:r w:rsidRPr="002B0EB7">
              <w:rPr>
                <w:rFonts w:ascii="Calibri" w:hAnsi="Calibri"/>
                <w:b/>
                <w:iCs/>
                <w:sz w:val="22"/>
                <w:szCs w:val="22"/>
              </w:rPr>
              <w:t>In your application and at interview you will need to demonstrate alignment with these behaviours.</w:t>
            </w:r>
          </w:p>
          <w:p w:rsidR="00502363" w:rsidRPr="008901D6" w:rsidRDefault="004B76E8" w:rsidP="00CB7CA4">
            <w:pPr>
              <w:spacing w:after="60"/>
              <w:jc w:val="both"/>
              <w:rPr>
                <w:rFonts w:ascii="Calibri" w:hAnsi="Calibri"/>
                <w:b/>
                <w:i/>
                <w:sz w:val="22"/>
                <w:szCs w:val="22"/>
                <w:lang w:eastAsia="en-AU"/>
              </w:rPr>
            </w:pPr>
            <w:r w:rsidRPr="008901D6">
              <w:rPr>
                <w:rFonts w:ascii="Calibri" w:hAnsi="Calibri"/>
                <w:b/>
                <w:i/>
                <w:sz w:val="22"/>
                <w:szCs w:val="22"/>
                <w:lang w:eastAsia="en-AU"/>
              </w:rPr>
              <w:t>S</w:t>
            </w:r>
            <w:r w:rsidR="00502363" w:rsidRPr="008901D6">
              <w:rPr>
                <w:rFonts w:ascii="Calibri" w:hAnsi="Calibri"/>
                <w:b/>
                <w:i/>
                <w:sz w:val="22"/>
                <w:szCs w:val="22"/>
                <w:lang w:eastAsia="en-AU"/>
              </w:rPr>
              <w:t>pecial requirements:</w:t>
            </w:r>
          </w:p>
          <w:p w:rsidR="00502363" w:rsidRPr="004B76E8" w:rsidRDefault="00A00A9E" w:rsidP="00B5254D">
            <w:pPr>
              <w:spacing w:after="120"/>
              <w:jc w:val="both"/>
              <w:rPr>
                <w:rFonts w:ascii="Calibri" w:hAnsi="Calibri"/>
                <w:b/>
                <w:bCs/>
                <w:iCs/>
                <w:color w:val="FF0000"/>
                <w:sz w:val="22"/>
                <w:szCs w:val="22"/>
              </w:rPr>
            </w:pPr>
            <w:r w:rsidRPr="008901D6">
              <w:rPr>
                <w:rFonts w:ascii="Calibri" w:hAnsi="Calibri"/>
                <w:bCs/>
                <w:iCs/>
                <w:sz w:val="22"/>
                <w:szCs w:val="22"/>
              </w:rPr>
              <w:t xml:space="preserve">To be eligible for this position you must be willing and able to </w:t>
            </w:r>
            <w:r w:rsidR="00B5254D" w:rsidRPr="008901D6">
              <w:rPr>
                <w:rFonts w:ascii="Calibri" w:hAnsi="Calibri"/>
                <w:bCs/>
                <w:iCs/>
                <w:sz w:val="22"/>
                <w:szCs w:val="22"/>
              </w:rPr>
              <w:t>attend to calls to accommodate different time zones</w:t>
            </w:r>
            <w:r w:rsidR="00B5254D" w:rsidRPr="008901D6">
              <w:rPr>
                <w:rFonts w:ascii="Calibri" w:hAnsi="Calibri"/>
                <w:sz w:val="22"/>
                <w:szCs w:val="22"/>
              </w:rPr>
              <w:t>.</w:t>
            </w:r>
          </w:p>
        </w:tc>
      </w:tr>
    </w:tbl>
    <w:p w:rsidR="00502363" w:rsidRDefault="00502363" w:rsidP="00502363">
      <w:pPr>
        <w:rPr>
          <w:rFonts w:ascii="Calibri" w:hAnsi="Calibri"/>
          <w:sz w:val="22"/>
          <w:szCs w:val="22"/>
        </w:rPr>
      </w:pPr>
    </w:p>
    <w:p w:rsidR="00B96956" w:rsidRPr="00BE2D3C" w:rsidRDefault="00B96956" w:rsidP="00502363">
      <w:pPr>
        <w:rPr>
          <w:rFonts w:ascii="Calibri" w:hAnsi="Calibri"/>
          <w:sz w:val="22"/>
          <w:szCs w:val="22"/>
        </w:rPr>
      </w:pPr>
    </w:p>
    <w:tbl>
      <w:tblPr>
        <w:tblW w:w="10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1"/>
      </w:tblGrid>
      <w:tr w:rsidR="00502363" w:rsidRPr="007344EE" w:rsidTr="008901D6">
        <w:trPr>
          <w:trHeight w:val="703"/>
        </w:trPr>
        <w:tc>
          <w:tcPr>
            <w:tcW w:w="10001"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8901D6">
        <w:trPr>
          <w:trHeight w:val="827"/>
        </w:trPr>
        <w:tc>
          <w:tcPr>
            <w:tcW w:w="10001"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t xml:space="preserve">Please apply for this position online at </w:t>
            </w:r>
            <w:hyperlink r:id="rId9" w:history="1">
              <w:r w:rsidRPr="004C1FD6">
                <w:rPr>
                  <w:rStyle w:val="Hyperlink"/>
                  <w:rFonts w:ascii="Calibri" w:hAnsi="Calibri" w:cs="Arial"/>
                  <w:bCs/>
                  <w:sz w:val="22"/>
                  <w:szCs w:val="22"/>
                </w:rPr>
                <w:t>https://jobs.csiro.au/</w:t>
              </w:r>
            </w:hyperlink>
            <w:r w:rsidRPr="004C1FD6">
              <w:rPr>
                <w:rFonts w:ascii="Calibri" w:hAnsi="Calibri"/>
                <w:bCs/>
                <w:sz w:val="22"/>
                <w:szCs w:val="22"/>
              </w:rPr>
              <w:t xml:space="preserve"> and enter requisition number </w:t>
            </w:r>
            <w:r w:rsidR="00B304D1">
              <w:rPr>
                <w:rFonts w:ascii="Calibri" w:hAnsi="Calibri"/>
                <w:b/>
                <w:bCs/>
                <w:sz w:val="22"/>
                <w:szCs w:val="22"/>
              </w:rPr>
              <w:t>56948</w:t>
            </w:r>
            <w:r w:rsidRPr="004C1FD6">
              <w:rPr>
                <w:rFonts w:ascii="Calibri" w:hAnsi="Calibri"/>
                <w:bCs/>
                <w:sz w:val="22"/>
                <w:szCs w:val="22"/>
              </w:rPr>
              <w:t>.  Internal applicants please apply via ‘Jobs Central</w:t>
            </w:r>
            <w:r w:rsidR="00B304D1">
              <w:rPr>
                <w:rFonts w:ascii="Calibri" w:hAnsi="Calibri"/>
                <w:bCs/>
                <w:sz w:val="22"/>
                <w:szCs w:val="22"/>
              </w:rPr>
              <w:t>’ in SAP (click ‘Recruitment’).</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lastRenderedPageBreak/>
              <w:t xml:space="preserve">Please load your CV (Maximum 2MB). </w:t>
            </w:r>
            <w:r w:rsidRPr="004C1FD6">
              <w:rPr>
                <w:rFonts w:ascii="Calibri" w:hAnsi="Calibri"/>
                <w:sz w:val="22"/>
                <w:szCs w:val="22"/>
              </w:rPr>
              <w:t>You may also be required to respond to some screening questions.  </w:t>
            </w:r>
          </w:p>
          <w:p w:rsidR="008901D6" w:rsidRPr="004C1FD6" w:rsidRDefault="008901D6" w:rsidP="008901D6">
            <w:pPr>
              <w:spacing w:after="120"/>
              <w:jc w:val="both"/>
              <w:rPr>
                <w:rFonts w:ascii="Calibri" w:hAnsi="Calibri"/>
                <w:bCs/>
                <w:sz w:val="22"/>
                <w:szCs w:val="22"/>
              </w:rPr>
            </w:pPr>
            <w:r w:rsidRPr="004C1FD6">
              <w:rPr>
                <w:rFonts w:ascii="Calibri" w:hAnsi="Calibri"/>
                <w:bCs/>
                <w:sz w:val="22"/>
                <w:szCs w:val="22"/>
              </w:rPr>
              <w:t xml:space="preserve">If you experience difficulties applying online call 1300 984 220 for assistance.  Outside Australian business hours please email:   </w:t>
            </w:r>
            <w:hyperlink r:id="rId10" w:history="1">
              <w:r w:rsidR="00B304D1" w:rsidRPr="0051442B">
                <w:rPr>
                  <w:rStyle w:val="Hyperlink"/>
                  <w:rFonts w:ascii="Calibri" w:hAnsi="Calibri"/>
                  <w:bCs/>
                  <w:sz w:val="22"/>
                  <w:szCs w:val="22"/>
                </w:rPr>
                <w:t>careers.online@csiro.au</w:t>
              </w:r>
            </w:hyperlink>
            <w:r w:rsidRPr="004C1FD6">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C22E46" w:rsidP="00B304D1">
            <w:pPr>
              <w:spacing w:after="120"/>
              <w:ind w:right="-108"/>
              <w:jc w:val="center"/>
              <w:rPr>
                <w:rFonts w:ascii="Calibri" w:hAnsi="Calibri"/>
                <w:bCs/>
                <w:sz w:val="22"/>
                <w:szCs w:val="22"/>
              </w:rPr>
            </w:pPr>
            <w:r>
              <w:rPr>
                <w:rFonts w:ascii="Calibri" w:hAnsi="Calibri"/>
                <w:sz w:val="22"/>
                <w:szCs w:val="22"/>
              </w:rPr>
              <w:t>Lucia Donskoi</w:t>
            </w:r>
            <w:r w:rsidR="00726C73">
              <w:rPr>
                <w:rFonts w:ascii="Calibri" w:hAnsi="Calibri"/>
                <w:i/>
                <w:sz w:val="22"/>
                <w:szCs w:val="22"/>
              </w:rPr>
              <w:t xml:space="preserve"> </w:t>
            </w:r>
            <w:r w:rsidR="00502363" w:rsidRPr="00520570">
              <w:rPr>
                <w:rFonts w:ascii="Calibri" w:hAnsi="Calibri"/>
                <w:bCs/>
                <w:sz w:val="22"/>
                <w:szCs w:val="22"/>
              </w:rPr>
              <w:t xml:space="preserve">via email: </w:t>
            </w:r>
            <w:r>
              <w:rPr>
                <w:rFonts w:ascii="Calibri" w:hAnsi="Calibri"/>
                <w:sz w:val="22"/>
                <w:szCs w:val="22"/>
              </w:rPr>
              <w:t>lucia.donskoi</w:t>
            </w:r>
            <w:r w:rsidR="00B5254D">
              <w:rPr>
                <w:rFonts w:ascii="Calibri" w:hAnsi="Calibri"/>
                <w:sz w:val="22"/>
                <w:szCs w:val="22"/>
              </w:rPr>
              <w:t>@csiro.au</w:t>
            </w:r>
            <w:r w:rsidR="00726C73">
              <w:rPr>
                <w:rFonts w:ascii="Calibri" w:hAnsi="Calibri"/>
                <w:sz w:val="22"/>
                <w:szCs w:val="22"/>
              </w:rPr>
              <w:t xml:space="preserve"> </w:t>
            </w:r>
            <w:r w:rsidR="00502363" w:rsidRPr="00520570">
              <w:rPr>
                <w:rFonts w:ascii="Calibri" w:hAnsi="Calibri"/>
                <w:bCs/>
                <w:sz w:val="22"/>
                <w:szCs w:val="22"/>
              </w:rPr>
              <w:t xml:space="preserve">or phone: </w:t>
            </w:r>
            <w:r w:rsidR="00B5254D">
              <w:rPr>
                <w:rFonts w:ascii="Calibri" w:hAnsi="Calibri"/>
                <w:sz w:val="22"/>
                <w:szCs w:val="22"/>
              </w:rPr>
              <w:t>+61</w:t>
            </w:r>
            <w:r w:rsidR="00B304D1">
              <w:rPr>
                <w:rFonts w:ascii="Calibri" w:hAnsi="Calibri"/>
                <w:sz w:val="22"/>
                <w:szCs w:val="22"/>
              </w:rPr>
              <w:t xml:space="preserve"> </w:t>
            </w:r>
            <w:r>
              <w:rPr>
                <w:rFonts w:ascii="Calibri" w:hAnsi="Calibri"/>
                <w:sz w:val="22"/>
                <w:szCs w:val="22"/>
              </w:rPr>
              <w:t>2 9490 5999.</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C22E46">
              <w:rPr>
                <w:rFonts w:ascii="Calibri" w:hAnsi="Calibri"/>
                <w:sz w:val="22"/>
                <w:szCs w:val="22"/>
              </w:rPr>
              <w:t>Lucia Donskoi</w:t>
            </w:r>
            <w:r w:rsidR="00B5254D">
              <w:rPr>
                <w:rFonts w:ascii="Calibri" w:hAnsi="Calibri"/>
                <w:sz w:val="22"/>
                <w:szCs w:val="22"/>
              </w:rPr>
              <w:t>.</w:t>
            </w:r>
            <w:r w:rsidRPr="00520570">
              <w:rPr>
                <w:rFonts w:ascii="Calibri" w:hAnsi="Calibri"/>
                <w:bCs/>
                <w:sz w:val="22"/>
                <w:szCs w:val="22"/>
              </w:rPr>
              <w:t xml:space="preserve"> 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402A89" w:rsidRPr="008D582D" w:rsidRDefault="00402A89" w:rsidP="00402A89">
            <w:pPr>
              <w:spacing w:after="120"/>
              <w:rPr>
                <w:rStyle w:val="Emphasis"/>
                <w:rFonts w:ascii="Calibri" w:hAnsi="Calibri"/>
                <w:i w:val="0"/>
                <w:color w:val="17161A"/>
                <w:sz w:val="22"/>
                <w:szCs w:val="22"/>
                <w:shd w:val="clear" w:color="auto" w:fill="FFFFFF"/>
              </w:rPr>
            </w:pPr>
            <w:r w:rsidRPr="008D582D">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402A89" w:rsidRDefault="00402A89" w:rsidP="00402A89">
            <w:pPr>
              <w:spacing w:after="60"/>
              <w:rPr>
                <w:rFonts w:ascii="Calibri" w:hAnsi="Calibri"/>
                <w:sz w:val="22"/>
                <w:szCs w:val="22"/>
              </w:rPr>
            </w:pPr>
            <w:r w:rsidRPr="008D582D">
              <w:rPr>
                <w:rStyle w:val="Emphasis"/>
                <w:rFonts w:ascii="Calibri" w:hAnsi="Calibri"/>
                <w:i w:val="0"/>
                <w:color w:val="17161A"/>
                <w:sz w:val="22"/>
                <w:szCs w:val="22"/>
                <w:shd w:val="clear" w:color="auto" w:fill="FFFFFF"/>
              </w:rPr>
              <w:t>Find out more! </w:t>
            </w:r>
            <w:hyperlink r:id="rId12" w:history="1">
              <w:r w:rsidRPr="008D582D">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402A89" w:rsidRDefault="00402A89" w:rsidP="00402A89">
            <w:pPr>
              <w:spacing w:after="60"/>
              <w:rPr>
                <w:rFonts w:ascii="Calibri" w:hAnsi="Calibri"/>
                <w:sz w:val="22"/>
                <w:szCs w:val="22"/>
              </w:rPr>
            </w:pPr>
          </w:p>
          <w:p w:rsidR="00402A89" w:rsidRDefault="00402A89" w:rsidP="00402A89">
            <w:pPr>
              <w:spacing w:after="60"/>
              <w:rPr>
                <w:rFonts w:ascii="Calibri" w:hAnsi="Calibri"/>
                <w:sz w:val="22"/>
                <w:szCs w:val="22"/>
              </w:rPr>
            </w:pPr>
            <w:r w:rsidRPr="00402A89">
              <w:rPr>
                <w:rFonts w:ascii="Calibri" w:hAnsi="Calibri"/>
                <w:b/>
                <w:sz w:val="22"/>
                <w:szCs w:val="22"/>
              </w:rPr>
              <w:t>CSIRO Human Resources</w:t>
            </w:r>
            <w:r>
              <w:rPr>
                <w:rFonts w:ascii="Calibri" w:hAnsi="Calibri"/>
                <w:sz w:val="22"/>
                <w:szCs w:val="22"/>
              </w:rPr>
              <w:t xml:space="preserve"> provides support and leadership on people issues to leaders and staff across CSIRO. </w:t>
            </w:r>
          </w:p>
          <w:p w:rsidR="002F26BA" w:rsidRPr="00402A89" w:rsidRDefault="00402A89" w:rsidP="00402A89">
            <w:pPr>
              <w:spacing w:after="60"/>
              <w:rPr>
                <w:rFonts w:ascii="Calibri" w:hAnsi="Calibri"/>
                <w:sz w:val="22"/>
                <w:szCs w:val="22"/>
              </w:rPr>
            </w:pPr>
            <w:r>
              <w:rPr>
                <w:rFonts w:ascii="Calibri" w:hAnsi="Calibri"/>
                <w:sz w:val="22"/>
                <w:szCs w:val="22"/>
              </w:rPr>
              <w:t>Our goal is to develop high performing teams working across boundaries.</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6B0" w:rsidRDefault="003A66B0">
      <w:r>
        <w:separator/>
      </w:r>
    </w:p>
  </w:endnote>
  <w:endnote w:type="continuationSeparator" w:id="0">
    <w:p w:rsidR="003A66B0" w:rsidRDefault="003A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6B0" w:rsidRDefault="003A66B0">
      <w:r>
        <w:separator/>
      </w:r>
    </w:p>
  </w:footnote>
  <w:footnote w:type="continuationSeparator" w:id="0">
    <w:p w:rsidR="003A66B0" w:rsidRDefault="003A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A33104" w:rsidRPr="001E495E">
      <w:rPr>
        <w:noProof/>
        <w:color w:val="FFFFFF"/>
        <w:lang w:val="en-AU" w:eastAsia="en-AU"/>
      </w:rPr>
      <w:drawing>
        <wp:anchor distT="0" distB="0" distL="114300" distR="114300" simplePos="0" relativeHeight="251657728" behindDoc="1" locked="1" layoutInCell="1" allowOverlap="1" wp14:anchorId="1B3D8910" wp14:editId="22BFDBBE">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E4D9F"/>
    <w:multiLevelType w:val="multilevel"/>
    <w:tmpl w:val="47E2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7E4"/>
    <w:multiLevelType w:val="hybridMultilevel"/>
    <w:tmpl w:val="69A4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6F46B9"/>
    <w:multiLevelType w:val="multilevel"/>
    <w:tmpl w:val="D7E2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62E65"/>
    <w:multiLevelType w:val="hybridMultilevel"/>
    <w:tmpl w:val="2A741818"/>
    <w:lvl w:ilvl="0" w:tplc="224413C8">
      <w:start w:val="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557A2"/>
    <w:multiLevelType w:val="hybridMultilevel"/>
    <w:tmpl w:val="1CA68682"/>
    <w:lvl w:ilvl="0" w:tplc="E9B0BB4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A6D7D"/>
    <w:multiLevelType w:val="hybridMultilevel"/>
    <w:tmpl w:val="5CCEA2B6"/>
    <w:lvl w:ilvl="0" w:tplc="3A9CFD48">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DF0740"/>
    <w:multiLevelType w:val="hybridMultilevel"/>
    <w:tmpl w:val="405A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80B8F"/>
    <w:multiLevelType w:val="hybridMultilevel"/>
    <w:tmpl w:val="2B140E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DF3EE3"/>
    <w:multiLevelType w:val="hybridMultilevel"/>
    <w:tmpl w:val="9FBC6D22"/>
    <w:lvl w:ilvl="0" w:tplc="0C09000F">
      <w:start w:val="1"/>
      <w:numFmt w:val="decimal"/>
      <w:lvlText w:val="%1."/>
      <w:lvlJc w:val="left"/>
      <w:pPr>
        <w:ind w:left="822" w:hanging="360"/>
      </w:p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13C1F9E"/>
    <w:multiLevelType w:val="multilevel"/>
    <w:tmpl w:val="2C8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A5F79"/>
    <w:multiLevelType w:val="hybridMultilevel"/>
    <w:tmpl w:val="336E4E16"/>
    <w:lvl w:ilvl="0" w:tplc="224413C8">
      <w:start w:val="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DC2AD8"/>
    <w:multiLevelType w:val="hybridMultilevel"/>
    <w:tmpl w:val="924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4B262F"/>
    <w:multiLevelType w:val="hybridMultilevel"/>
    <w:tmpl w:val="1930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6"/>
  </w:num>
  <w:num w:numId="4">
    <w:abstractNumId w:val="8"/>
  </w:num>
  <w:num w:numId="5">
    <w:abstractNumId w:val="9"/>
  </w:num>
  <w:num w:numId="6">
    <w:abstractNumId w:val="4"/>
  </w:num>
  <w:num w:numId="7">
    <w:abstractNumId w:val="0"/>
  </w:num>
  <w:num w:numId="8">
    <w:abstractNumId w:val="3"/>
  </w:num>
  <w:num w:numId="9">
    <w:abstractNumId w:val="5"/>
  </w:num>
  <w:num w:numId="10">
    <w:abstractNumId w:val="10"/>
  </w:num>
  <w:num w:numId="11">
    <w:abstractNumId w:val="18"/>
  </w:num>
  <w:num w:numId="12">
    <w:abstractNumId w:val="6"/>
  </w:num>
  <w:num w:numId="13">
    <w:abstractNumId w:val="7"/>
  </w:num>
  <w:num w:numId="14">
    <w:abstractNumId w:val="14"/>
  </w:num>
  <w:num w:numId="15">
    <w:abstractNumId w:val="12"/>
  </w:num>
  <w:num w:numId="16">
    <w:abstractNumId w:val="19"/>
  </w:num>
  <w:num w:numId="17">
    <w:abstractNumId w:val="20"/>
  </w:num>
  <w:num w:numId="18">
    <w:abstractNumId w:val="11"/>
  </w:num>
  <w:num w:numId="19">
    <w:abstractNumId w:val="15"/>
  </w:num>
  <w:num w:numId="20">
    <w:abstractNumId w:val="1"/>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741"/>
    <w:rsid w:val="00002FDA"/>
    <w:rsid w:val="00013109"/>
    <w:rsid w:val="00020E2C"/>
    <w:rsid w:val="000274EF"/>
    <w:rsid w:val="0003192D"/>
    <w:rsid w:val="00033249"/>
    <w:rsid w:val="00035A6F"/>
    <w:rsid w:val="000366D2"/>
    <w:rsid w:val="00040391"/>
    <w:rsid w:val="00045C91"/>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45E7"/>
    <w:rsid w:val="000C68FC"/>
    <w:rsid w:val="000D2206"/>
    <w:rsid w:val="000D375D"/>
    <w:rsid w:val="000D687F"/>
    <w:rsid w:val="000D6EBC"/>
    <w:rsid w:val="000D72AF"/>
    <w:rsid w:val="000E5F46"/>
    <w:rsid w:val="000F1363"/>
    <w:rsid w:val="000F2F84"/>
    <w:rsid w:val="000F7BBF"/>
    <w:rsid w:val="00105008"/>
    <w:rsid w:val="001339DE"/>
    <w:rsid w:val="001364CB"/>
    <w:rsid w:val="0014142E"/>
    <w:rsid w:val="00143AE3"/>
    <w:rsid w:val="001448B6"/>
    <w:rsid w:val="00144D9B"/>
    <w:rsid w:val="001474C7"/>
    <w:rsid w:val="00150FB9"/>
    <w:rsid w:val="0015340E"/>
    <w:rsid w:val="0015558D"/>
    <w:rsid w:val="00155F81"/>
    <w:rsid w:val="00166044"/>
    <w:rsid w:val="00166319"/>
    <w:rsid w:val="0017469F"/>
    <w:rsid w:val="001A0056"/>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262DC"/>
    <w:rsid w:val="00230B6A"/>
    <w:rsid w:val="00235783"/>
    <w:rsid w:val="00235C5B"/>
    <w:rsid w:val="00240309"/>
    <w:rsid w:val="002407E7"/>
    <w:rsid w:val="00240A35"/>
    <w:rsid w:val="002415E6"/>
    <w:rsid w:val="00254313"/>
    <w:rsid w:val="00254B22"/>
    <w:rsid w:val="00257CA1"/>
    <w:rsid w:val="002601B4"/>
    <w:rsid w:val="00262649"/>
    <w:rsid w:val="00262BD8"/>
    <w:rsid w:val="00262C46"/>
    <w:rsid w:val="002653E0"/>
    <w:rsid w:val="00271E7F"/>
    <w:rsid w:val="00274A92"/>
    <w:rsid w:val="002848C3"/>
    <w:rsid w:val="00292FDB"/>
    <w:rsid w:val="00293F77"/>
    <w:rsid w:val="00294F90"/>
    <w:rsid w:val="00295F32"/>
    <w:rsid w:val="002A1520"/>
    <w:rsid w:val="002B060F"/>
    <w:rsid w:val="002B389F"/>
    <w:rsid w:val="002B5DEC"/>
    <w:rsid w:val="002B6643"/>
    <w:rsid w:val="002D204B"/>
    <w:rsid w:val="002D3829"/>
    <w:rsid w:val="002D5835"/>
    <w:rsid w:val="002D78C5"/>
    <w:rsid w:val="002F16AF"/>
    <w:rsid w:val="002F26BA"/>
    <w:rsid w:val="002F2B0A"/>
    <w:rsid w:val="002F41F8"/>
    <w:rsid w:val="00300CDD"/>
    <w:rsid w:val="0030302E"/>
    <w:rsid w:val="003062BA"/>
    <w:rsid w:val="00320792"/>
    <w:rsid w:val="00322503"/>
    <w:rsid w:val="003246B4"/>
    <w:rsid w:val="003276AC"/>
    <w:rsid w:val="0033343D"/>
    <w:rsid w:val="00340FC3"/>
    <w:rsid w:val="00342F0C"/>
    <w:rsid w:val="00346B6D"/>
    <w:rsid w:val="00353CCF"/>
    <w:rsid w:val="0036422F"/>
    <w:rsid w:val="00375015"/>
    <w:rsid w:val="00375B41"/>
    <w:rsid w:val="00381D43"/>
    <w:rsid w:val="00381F39"/>
    <w:rsid w:val="0038234C"/>
    <w:rsid w:val="00382A5F"/>
    <w:rsid w:val="00382F58"/>
    <w:rsid w:val="00383634"/>
    <w:rsid w:val="003857D3"/>
    <w:rsid w:val="00395610"/>
    <w:rsid w:val="003A0030"/>
    <w:rsid w:val="003A0708"/>
    <w:rsid w:val="003A66B0"/>
    <w:rsid w:val="003A682C"/>
    <w:rsid w:val="003B17F4"/>
    <w:rsid w:val="003B2CB1"/>
    <w:rsid w:val="003B4A95"/>
    <w:rsid w:val="003C0B40"/>
    <w:rsid w:val="003C4810"/>
    <w:rsid w:val="003C7CA3"/>
    <w:rsid w:val="003D020A"/>
    <w:rsid w:val="003D1161"/>
    <w:rsid w:val="003D4741"/>
    <w:rsid w:val="003D4C4C"/>
    <w:rsid w:val="003D5453"/>
    <w:rsid w:val="003D59C3"/>
    <w:rsid w:val="003D5C57"/>
    <w:rsid w:val="003D797B"/>
    <w:rsid w:val="003E3D1B"/>
    <w:rsid w:val="003E671F"/>
    <w:rsid w:val="003F1084"/>
    <w:rsid w:val="00400E4D"/>
    <w:rsid w:val="00401290"/>
    <w:rsid w:val="00402A89"/>
    <w:rsid w:val="00404146"/>
    <w:rsid w:val="004111D3"/>
    <w:rsid w:val="00414BE7"/>
    <w:rsid w:val="004151C7"/>
    <w:rsid w:val="00424E93"/>
    <w:rsid w:val="00426642"/>
    <w:rsid w:val="00433A77"/>
    <w:rsid w:val="00435E0B"/>
    <w:rsid w:val="0043791C"/>
    <w:rsid w:val="004440A0"/>
    <w:rsid w:val="004501A0"/>
    <w:rsid w:val="004518BD"/>
    <w:rsid w:val="0045336B"/>
    <w:rsid w:val="00462662"/>
    <w:rsid w:val="00474192"/>
    <w:rsid w:val="004804FC"/>
    <w:rsid w:val="004831FE"/>
    <w:rsid w:val="004918C7"/>
    <w:rsid w:val="00497E7B"/>
    <w:rsid w:val="004B76E8"/>
    <w:rsid w:val="004C18D1"/>
    <w:rsid w:val="004C2E35"/>
    <w:rsid w:val="004C5604"/>
    <w:rsid w:val="004D1800"/>
    <w:rsid w:val="004D6F3A"/>
    <w:rsid w:val="004D6F3C"/>
    <w:rsid w:val="004D6FCB"/>
    <w:rsid w:val="004E51F1"/>
    <w:rsid w:val="004E5600"/>
    <w:rsid w:val="004E6DFD"/>
    <w:rsid w:val="00502363"/>
    <w:rsid w:val="00507292"/>
    <w:rsid w:val="00514A2E"/>
    <w:rsid w:val="00516428"/>
    <w:rsid w:val="00520570"/>
    <w:rsid w:val="005236AB"/>
    <w:rsid w:val="00525DB0"/>
    <w:rsid w:val="00532DBC"/>
    <w:rsid w:val="00533CFF"/>
    <w:rsid w:val="00534031"/>
    <w:rsid w:val="00543736"/>
    <w:rsid w:val="0054464D"/>
    <w:rsid w:val="005468E6"/>
    <w:rsid w:val="00547EE1"/>
    <w:rsid w:val="00550C5F"/>
    <w:rsid w:val="00561C50"/>
    <w:rsid w:val="00563B9B"/>
    <w:rsid w:val="00570617"/>
    <w:rsid w:val="00574379"/>
    <w:rsid w:val="00583303"/>
    <w:rsid w:val="00585169"/>
    <w:rsid w:val="00586F41"/>
    <w:rsid w:val="00587595"/>
    <w:rsid w:val="00587D7C"/>
    <w:rsid w:val="005922B8"/>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D7E89"/>
    <w:rsid w:val="005E1E95"/>
    <w:rsid w:val="005E5161"/>
    <w:rsid w:val="005F35B0"/>
    <w:rsid w:val="0060112F"/>
    <w:rsid w:val="00604679"/>
    <w:rsid w:val="006054E3"/>
    <w:rsid w:val="00607230"/>
    <w:rsid w:val="00620593"/>
    <w:rsid w:val="00620B1F"/>
    <w:rsid w:val="006228E0"/>
    <w:rsid w:val="00630664"/>
    <w:rsid w:val="006328C7"/>
    <w:rsid w:val="00633BCB"/>
    <w:rsid w:val="00634F90"/>
    <w:rsid w:val="00635350"/>
    <w:rsid w:val="00636E8C"/>
    <w:rsid w:val="00643C5C"/>
    <w:rsid w:val="00644EEB"/>
    <w:rsid w:val="00657088"/>
    <w:rsid w:val="006606C5"/>
    <w:rsid w:val="00663F6B"/>
    <w:rsid w:val="00671BCE"/>
    <w:rsid w:val="00672A7A"/>
    <w:rsid w:val="00674F5B"/>
    <w:rsid w:val="00683121"/>
    <w:rsid w:val="006921E1"/>
    <w:rsid w:val="006946F7"/>
    <w:rsid w:val="006A7A50"/>
    <w:rsid w:val="006B390B"/>
    <w:rsid w:val="006B5933"/>
    <w:rsid w:val="006B64AE"/>
    <w:rsid w:val="006C1D76"/>
    <w:rsid w:val="006C2388"/>
    <w:rsid w:val="006C30A1"/>
    <w:rsid w:val="006C6BB3"/>
    <w:rsid w:val="006C77B1"/>
    <w:rsid w:val="006D42F9"/>
    <w:rsid w:val="006D6DA7"/>
    <w:rsid w:val="006E0552"/>
    <w:rsid w:val="006F0FF2"/>
    <w:rsid w:val="006F18A9"/>
    <w:rsid w:val="006F1B5D"/>
    <w:rsid w:val="006F1E85"/>
    <w:rsid w:val="006F5713"/>
    <w:rsid w:val="006F58C5"/>
    <w:rsid w:val="006F7A39"/>
    <w:rsid w:val="00704EB5"/>
    <w:rsid w:val="00707E84"/>
    <w:rsid w:val="007161B0"/>
    <w:rsid w:val="00716F62"/>
    <w:rsid w:val="00725E7F"/>
    <w:rsid w:val="00726C73"/>
    <w:rsid w:val="00726DF7"/>
    <w:rsid w:val="00732D49"/>
    <w:rsid w:val="007344EE"/>
    <w:rsid w:val="00735767"/>
    <w:rsid w:val="00744F33"/>
    <w:rsid w:val="007507C9"/>
    <w:rsid w:val="0075765F"/>
    <w:rsid w:val="0077604C"/>
    <w:rsid w:val="0077698D"/>
    <w:rsid w:val="00781499"/>
    <w:rsid w:val="007859C9"/>
    <w:rsid w:val="00787C85"/>
    <w:rsid w:val="007A3843"/>
    <w:rsid w:val="007A499D"/>
    <w:rsid w:val="007C024E"/>
    <w:rsid w:val="007C3398"/>
    <w:rsid w:val="007D2271"/>
    <w:rsid w:val="007D5D08"/>
    <w:rsid w:val="007D689A"/>
    <w:rsid w:val="007E1693"/>
    <w:rsid w:val="007E2135"/>
    <w:rsid w:val="007E2796"/>
    <w:rsid w:val="007E753B"/>
    <w:rsid w:val="00802812"/>
    <w:rsid w:val="00804E9E"/>
    <w:rsid w:val="00804F48"/>
    <w:rsid w:val="00807901"/>
    <w:rsid w:val="00816F5F"/>
    <w:rsid w:val="008211C8"/>
    <w:rsid w:val="00821D3D"/>
    <w:rsid w:val="00822C33"/>
    <w:rsid w:val="008231D1"/>
    <w:rsid w:val="00825D94"/>
    <w:rsid w:val="00826067"/>
    <w:rsid w:val="0082681D"/>
    <w:rsid w:val="008273F3"/>
    <w:rsid w:val="00833B3B"/>
    <w:rsid w:val="00837222"/>
    <w:rsid w:val="0084125F"/>
    <w:rsid w:val="00845781"/>
    <w:rsid w:val="0086185F"/>
    <w:rsid w:val="008638E0"/>
    <w:rsid w:val="00863E9E"/>
    <w:rsid w:val="0086574F"/>
    <w:rsid w:val="00867FD0"/>
    <w:rsid w:val="00870546"/>
    <w:rsid w:val="008716BF"/>
    <w:rsid w:val="00875FB1"/>
    <w:rsid w:val="0087664F"/>
    <w:rsid w:val="00880C71"/>
    <w:rsid w:val="00882E6B"/>
    <w:rsid w:val="008863E0"/>
    <w:rsid w:val="008901D6"/>
    <w:rsid w:val="008A23FE"/>
    <w:rsid w:val="008A6ABD"/>
    <w:rsid w:val="008B4713"/>
    <w:rsid w:val="008B6C85"/>
    <w:rsid w:val="008C0B66"/>
    <w:rsid w:val="008C3715"/>
    <w:rsid w:val="008C57FC"/>
    <w:rsid w:val="008D22C2"/>
    <w:rsid w:val="008E4B21"/>
    <w:rsid w:val="009003FA"/>
    <w:rsid w:val="00901BB0"/>
    <w:rsid w:val="009040D3"/>
    <w:rsid w:val="009148B9"/>
    <w:rsid w:val="00924051"/>
    <w:rsid w:val="00924902"/>
    <w:rsid w:val="0092574D"/>
    <w:rsid w:val="00927293"/>
    <w:rsid w:val="0092729A"/>
    <w:rsid w:val="00932F59"/>
    <w:rsid w:val="00935C27"/>
    <w:rsid w:val="009360DA"/>
    <w:rsid w:val="00936310"/>
    <w:rsid w:val="009363F5"/>
    <w:rsid w:val="00936882"/>
    <w:rsid w:val="00936BEE"/>
    <w:rsid w:val="00936F4A"/>
    <w:rsid w:val="00937F27"/>
    <w:rsid w:val="00945251"/>
    <w:rsid w:val="00954E4E"/>
    <w:rsid w:val="00955F65"/>
    <w:rsid w:val="00960A62"/>
    <w:rsid w:val="009629E2"/>
    <w:rsid w:val="009677B9"/>
    <w:rsid w:val="00970B75"/>
    <w:rsid w:val="009753C7"/>
    <w:rsid w:val="00980915"/>
    <w:rsid w:val="009833D0"/>
    <w:rsid w:val="00983ACA"/>
    <w:rsid w:val="009A1510"/>
    <w:rsid w:val="009A33E8"/>
    <w:rsid w:val="009B4BFE"/>
    <w:rsid w:val="009B52D6"/>
    <w:rsid w:val="009C0DDA"/>
    <w:rsid w:val="009C70C6"/>
    <w:rsid w:val="009D04C6"/>
    <w:rsid w:val="009D5F90"/>
    <w:rsid w:val="009D68CE"/>
    <w:rsid w:val="009F05E3"/>
    <w:rsid w:val="009F24BD"/>
    <w:rsid w:val="009F43A9"/>
    <w:rsid w:val="009F541F"/>
    <w:rsid w:val="009F63C4"/>
    <w:rsid w:val="009F6731"/>
    <w:rsid w:val="00A00A9E"/>
    <w:rsid w:val="00A0184C"/>
    <w:rsid w:val="00A06799"/>
    <w:rsid w:val="00A06F8C"/>
    <w:rsid w:val="00A12E7C"/>
    <w:rsid w:val="00A139C3"/>
    <w:rsid w:val="00A14BF9"/>
    <w:rsid w:val="00A15548"/>
    <w:rsid w:val="00A2394F"/>
    <w:rsid w:val="00A27685"/>
    <w:rsid w:val="00A32582"/>
    <w:rsid w:val="00A33104"/>
    <w:rsid w:val="00A41D82"/>
    <w:rsid w:val="00A42CF0"/>
    <w:rsid w:val="00A46F33"/>
    <w:rsid w:val="00A535D5"/>
    <w:rsid w:val="00A6204B"/>
    <w:rsid w:val="00A62742"/>
    <w:rsid w:val="00A63CC2"/>
    <w:rsid w:val="00A70AEF"/>
    <w:rsid w:val="00A70FD2"/>
    <w:rsid w:val="00A7119A"/>
    <w:rsid w:val="00A73FB0"/>
    <w:rsid w:val="00A74FB1"/>
    <w:rsid w:val="00A84592"/>
    <w:rsid w:val="00A85849"/>
    <w:rsid w:val="00A9545F"/>
    <w:rsid w:val="00A96F72"/>
    <w:rsid w:val="00A97C37"/>
    <w:rsid w:val="00AA6C72"/>
    <w:rsid w:val="00AC2A9E"/>
    <w:rsid w:val="00AC39C3"/>
    <w:rsid w:val="00AC5015"/>
    <w:rsid w:val="00AC59CA"/>
    <w:rsid w:val="00AD04BF"/>
    <w:rsid w:val="00AD0971"/>
    <w:rsid w:val="00AD39D7"/>
    <w:rsid w:val="00AD65C4"/>
    <w:rsid w:val="00AE10BC"/>
    <w:rsid w:val="00AE2F9D"/>
    <w:rsid w:val="00AE6BBA"/>
    <w:rsid w:val="00AE7DF9"/>
    <w:rsid w:val="00AF4728"/>
    <w:rsid w:val="00AF7061"/>
    <w:rsid w:val="00B02549"/>
    <w:rsid w:val="00B04967"/>
    <w:rsid w:val="00B05FBF"/>
    <w:rsid w:val="00B07CE1"/>
    <w:rsid w:val="00B252AF"/>
    <w:rsid w:val="00B25BD3"/>
    <w:rsid w:val="00B272E6"/>
    <w:rsid w:val="00B304D1"/>
    <w:rsid w:val="00B307D9"/>
    <w:rsid w:val="00B34366"/>
    <w:rsid w:val="00B35145"/>
    <w:rsid w:val="00B37B2C"/>
    <w:rsid w:val="00B42E58"/>
    <w:rsid w:val="00B43562"/>
    <w:rsid w:val="00B45C9A"/>
    <w:rsid w:val="00B50851"/>
    <w:rsid w:val="00B5254D"/>
    <w:rsid w:val="00B533F0"/>
    <w:rsid w:val="00B6536B"/>
    <w:rsid w:val="00B708BF"/>
    <w:rsid w:val="00B72C64"/>
    <w:rsid w:val="00B7359B"/>
    <w:rsid w:val="00B85A89"/>
    <w:rsid w:val="00B90330"/>
    <w:rsid w:val="00B95448"/>
    <w:rsid w:val="00B96956"/>
    <w:rsid w:val="00B97011"/>
    <w:rsid w:val="00BA1680"/>
    <w:rsid w:val="00BA746B"/>
    <w:rsid w:val="00BC2345"/>
    <w:rsid w:val="00BC6348"/>
    <w:rsid w:val="00BE2D3C"/>
    <w:rsid w:val="00BE5CFF"/>
    <w:rsid w:val="00BE6C32"/>
    <w:rsid w:val="00BF06D3"/>
    <w:rsid w:val="00C01DF0"/>
    <w:rsid w:val="00C0719B"/>
    <w:rsid w:val="00C10A23"/>
    <w:rsid w:val="00C22E46"/>
    <w:rsid w:val="00C320B0"/>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64AF"/>
    <w:rsid w:val="00C779E0"/>
    <w:rsid w:val="00C9228A"/>
    <w:rsid w:val="00C96567"/>
    <w:rsid w:val="00CA00FC"/>
    <w:rsid w:val="00CA071D"/>
    <w:rsid w:val="00CA1C75"/>
    <w:rsid w:val="00CA6B3B"/>
    <w:rsid w:val="00CA78EB"/>
    <w:rsid w:val="00CB19B5"/>
    <w:rsid w:val="00CB5A16"/>
    <w:rsid w:val="00CB653C"/>
    <w:rsid w:val="00CB6BCD"/>
    <w:rsid w:val="00CB7CA4"/>
    <w:rsid w:val="00CC5164"/>
    <w:rsid w:val="00CD2E83"/>
    <w:rsid w:val="00CE269D"/>
    <w:rsid w:val="00CE4855"/>
    <w:rsid w:val="00D00168"/>
    <w:rsid w:val="00D233BD"/>
    <w:rsid w:val="00D26220"/>
    <w:rsid w:val="00D32074"/>
    <w:rsid w:val="00D33B28"/>
    <w:rsid w:val="00D3447B"/>
    <w:rsid w:val="00D36371"/>
    <w:rsid w:val="00D370B7"/>
    <w:rsid w:val="00D40BFB"/>
    <w:rsid w:val="00D44B3B"/>
    <w:rsid w:val="00D45B26"/>
    <w:rsid w:val="00D468D5"/>
    <w:rsid w:val="00D515BF"/>
    <w:rsid w:val="00D57444"/>
    <w:rsid w:val="00D706B3"/>
    <w:rsid w:val="00D707D5"/>
    <w:rsid w:val="00D72882"/>
    <w:rsid w:val="00D8313E"/>
    <w:rsid w:val="00D83FA2"/>
    <w:rsid w:val="00D853A6"/>
    <w:rsid w:val="00D86691"/>
    <w:rsid w:val="00D8698A"/>
    <w:rsid w:val="00D90088"/>
    <w:rsid w:val="00D95263"/>
    <w:rsid w:val="00D95CF2"/>
    <w:rsid w:val="00DA601C"/>
    <w:rsid w:val="00DA60FC"/>
    <w:rsid w:val="00DB3795"/>
    <w:rsid w:val="00DB7BD7"/>
    <w:rsid w:val="00DC0CD8"/>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1247C"/>
    <w:rsid w:val="00E136C4"/>
    <w:rsid w:val="00E16C3E"/>
    <w:rsid w:val="00E220AE"/>
    <w:rsid w:val="00E248D5"/>
    <w:rsid w:val="00E36858"/>
    <w:rsid w:val="00E4407C"/>
    <w:rsid w:val="00E4530D"/>
    <w:rsid w:val="00E47DFE"/>
    <w:rsid w:val="00E54326"/>
    <w:rsid w:val="00E578CE"/>
    <w:rsid w:val="00E611CD"/>
    <w:rsid w:val="00E61E6F"/>
    <w:rsid w:val="00E641DA"/>
    <w:rsid w:val="00E6521E"/>
    <w:rsid w:val="00E70A23"/>
    <w:rsid w:val="00E76DAD"/>
    <w:rsid w:val="00E77E5D"/>
    <w:rsid w:val="00E83C2B"/>
    <w:rsid w:val="00E8531C"/>
    <w:rsid w:val="00E91FFF"/>
    <w:rsid w:val="00EA51BB"/>
    <w:rsid w:val="00EA550A"/>
    <w:rsid w:val="00EB5DC7"/>
    <w:rsid w:val="00EC7765"/>
    <w:rsid w:val="00EF05A2"/>
    <w:rsid w:val="00EF0DF5"/>
    <w:rsid w:val="00EF62F6"/>
    <w:rsid w:val="00F02538"/>
    <w:rsid w:val="00F11F45"/>
    <w:rsid w:val="00F16962"/>
    <w:rsid w:val="00F17A94"/>
    <w:rsid w:val="00F25869"/>
    <w:rsid w:val="00F32371"/>
    <w:rsid w:val="00F333C5"/>
    <w:rsid w:val="00F336A3"/>
    <w:rsid w:val="00F353AE"/>
    <w:rsid w:val="00F3596F"/>
    <w:rsid w:val="00F414B4"/>
    <w:rsid w:val="00F54B55"/>
    <w:rsid w:val="00F611A9"/>
    <w:rsid w:val="00F61B42"/>
    <w:rsid w:val="00F627F3"/>
    <w:rsid w:val="00F663C0"/>
    <w:rsid w:val="00F72D85"/>
    <w:rsid w:val="00F73278"/>
    <w:rsid w:val="00F802B5"/>
    <w:rsid w:val="00F80840"/>
    <w:rsid w:val="00F844B1"/>
    <w:rsid w:val="00F8784D"/>
    <w:rsid w:val="00F95F0A"/>
    <w:rsid w:val="00F9609C"/>
    <w:rsid w:val="00F965F2"/>
    <w:rsid w:val="00FB3058"/>
    <w:rsid w:val="00FB4B99"/>
    <w:rsid w:val="00FC03D3"/>
    <w:rsid w:val="00FC0AD9"/>
    <w:rsid w:val="00FC2191"/>
    <w:rsid w:val="00FC402D"/>
    <w:rsid w:val="00FD5985"/>
    <w:rsid w:val="00FE197A"/>
    <w:rsid w:val="00FE60D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0F7DBA89-4B0D-4559-9D22-1E75CE20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8901D6"/>
    <w:rPr>
      <w:sz w:val="16"/>
      <w:szCs w:val="16"/>
    </w:rPr>
  </w:style>
  <w:style w:type="paragraph" w:styleId="CommentText">
    <w:name w:val="annotation text"/>
    <w:basedOn w:val="Normal"/>
    <w:link w:val="CommentTextChar"/>
    <w:uiPriority w:val="99"/>
    <w:semiHidden/>
    <w:unhideWhenUsed/>
    <w:rsid w:val="008901D6"/>
  </w:style>
  <w:style w:type="character" w:customStyle="1" w:styleId="CommentTextChar">
    <w:name w:val="Comment Text Char"/>
    <w:basedOn w:val="DefaultParagraphFont"/>
    <w:link w:val="CommentText"/>
    <w:uiPriority w:val="99"/>
    <w:semiHidden/>
    <w:rsid w:val="008901D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8901D6"/>
    <w:rPr>
      <w:b/>
      <w:bCs/>
    </w:rPr>
  </w:style>
  <w:style w:type="character" w:customStyle="1" w:styleId="CommentSubjectChar">
    <w:name w:val="Comment Subject Char"/>
    <w:basedOn w:val="CommentTextChar"/>
    <w:link w:val="CommentSubject"/>
    <w:uiPriority w:val="99"/>
    <w:semiHidden/>
    <w:rsid w:val="008901D6"/>
    <w:rPr>
      <w:rFonts w:ascii="Arial" w:hAnsi="Arial" w:cs="Arial"/>
      <w:b/>
      <w:bCs/>
      <w:lang w:eastAsia="ja-JP"/>
    </w:rPr>
  </w:style>
  <w:style w:type="paragraph" w:styleId="BalloonText">
    <w:name w:val="Balloon Text"/>
    <w:basedOn w:val="Normal"/>
    <w:link w:val="BalloonTextChar"/>
    <w:uiPriority w:val="99"/>
    <w:semiHidden/>
    <w:unhideWhenUsed/>
    <w:rsid w:val="00890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1D6"/>
    <w:rPr>
      <w:rFonts w:ascii="Segoe UI" w:hAnsi="Segoe UI" w:cs="Segoe UI"/>
      <w:sz w:val="18"/>
      <w:szCs w:val="18"/>
      <w:lang w:eastAsia="ja-JP"/>
    </w:rPr>
  </w:style>
  <w:style w:type="paragraph" w:customStyle="1" w:styleId="Default">
    <w:name w:val="Default"/>
    <w:rsid w:val="00D5744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81379343">
      <w:bodyDiv w:val="1"/>
      <w:marLeft w:val="0"/>
      <w:marRight w:val="0"/>
      <w:marTop w:val="0"/>
      <w:marBottom w:val="0"/>
      <w:divBdr>
        <w:top w:val="none" w:sz="0" w:space="0" w:color="auto"/>
        <w:left w:val="none" w:sz="0" w:space="0" w:color="auto"/>
        <w:bottom w:val="none" w:sz="0" w:space="0" w:color="auto"/>
        <w:right w:val="none" w:sz="0" w:space="0" w:color="auto"/>
      </w:divBdr>
    </w:div>
    <w:div w:id="1650861438">
      <w:bodyDiv w:val="1"/>
      <w:marLeft w:val="0"/>
      <w:marRight w:val="0"/>
      <w:marTop w:val="0"/>
      <w:marBottom w:val="0"/>
      <w:divBdr>
        <w:top w:val="none" w:sz="0" w:space="0" w:color="auto"/>
        <w:left w:val="none" w:sz="0" w:space="0" w:color="auto"/>
        <w:bottom w:val="none" w:sz="0" w:space="0" w:color="auto"/>
        <w:right w:val="none" w:sz="0" w:space="0" w:color="auto"/>
      </w:divBdr>
    </w:div>
    <w:div w:id="16983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B41A-641C-46DE-B0F7-602D73FB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1211</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Position Details - Administrative Services - CSOF5</vt:lpstr>
    </vt:vector>
  </TitlesOfParts>
  <Company>CSIRO</Company>
  <LinksUpToDate>false</LinksUpToDate>
  <CharactersWithSpaces>8845</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csof5</cp:keywords>
  <dc:description>Word document containing a Position Details (PD) form for a role summary on a Administrative Services – CSOF5 Position.</dc:description>
  <cp:lastModifiedBy>O'Brien, Cristina (HR, St. Lucia)</cp:lastModifiedBy>
  <cp:revision>6</cp:revision>
  <cp:lastPrinted>2014-02-06T04:28:00Z</cp:lastPrinted>
  <dcterms:created xsi:type="dcterms:W3CDTF">2018-05-10T22:38:00Z</dcterms:created>
  <dcterms:modified xsi:type="dcterms:W3CDTF">2018-05-10T23:22:00Z</dcterms:modified>
</cp:coreProperties>
</file>