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rsidR="00332C06" w:rsidRPr="00674783" w:rsidRDefault="00CC201B" w:rsidP="00674783">
          <w:pPr>
            <w:pStyle w:val="Heading1"/>
          </w:pPr>
          <w:r>
            <w:t>Position Details</w:t>
          </w:r>
          <w:bookmarkEnd w:id="0"/>
        </w:p>
        <w:p w:rsidR="006246C0" w:rsidRDefault="00B53BAB" w:rsidP="00B04E3F">
          <w:pPr>
            <w:pStyle w:val="Heading2"/>
          </w:pPr>
          <w:r>
            <w:t>Research</w:t>
          </w:r>
          <w:r w:rsidR="00D92D8B">
            <w:t xml:space="preserve"> Management –</w:t>
          </w:r>
          <w:r w:rsidR="00CC201B">
            <w:t xml:space="preserve"> CSOF</w:t>
          </w:r>
          <w:r w:rsidR="007B78A5">
            <w:t>8</w:t>
          </w:r>
        </w:p>
      </w:sdtContent>
    </w:sdt>
    <w:tbl>
      <w:tblPr>
        <w:tblStyle w:val="TableCSIRO"/>
        <w:tblW w:w="9474" w:type="dxa"/>
        <w:tblLook w:val="00A0" w:firstRow="1" w:lastRow="0" w:firstColumn="1" w:lastColumn="0" w:noHBand="0" w:noVBand="0"/>
      </w:tblPr>
      <w:tblGrid>
        <w:gridCol w:w="3856"/>
        <w:gridCol w:w="5618"/>
      </w:tblGrid>
      <w:tr w:rsidR="00452FD5" w:rsidRPr="0093721B"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rsidR="00452FD5" w:rsidRPr="0093721B" w:rsidRDefault="00452FD5" w:rsidP="00D83C52">
            <w:pPr>
              <w:pStyle w:val="ColumnHeading"/>
              <w:rPr>
                <w:sz w:val="22"/>
              </w:rPr>
            </w:pPr>
            <w:r w:rsidRPr="0093721B">
              <w:rPr>
                <w:sz w:val="22"/>
              </w:rPr>
              <w:t>The following information is for applicants</w:t>
            </w:r>
          </w:p>
        </w:tc>
      </w:tr>
      <w:tr w:rsidR="00CC201B" w:rsidRPr="0093721B"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Advertised Job Title</w:t>
            </w:r>
          </w:p>
        </w:tc>
        <w:tc>
          <w:tcPr>
            <w:tcW w:w="2965" w:type="pct"/>
          </w:tcPr>
          <w:p w:rsidR="00CC201B" w:rsidRPr="00556C76" w:rsidRDefault="00B53BAB"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556C76">
              <w:rPr>
                <w:sz w:val="22"/>
              </w:rPr>
              <w:t>Director of Data Standards Body - Group Leader</w:t>
            </w:r>
          </w:p>
        </w:tc>
      </w:tr>
      <w:tr w:rsidR="00CC201B" w:rsidRPr="0093721B"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Job Reference</w:t>
            </w:r>
          </w:p>
        </w:tc>
        <w:tc>
          <w:tcPr>
            <w:tcW w:w="2965" w:type="pct"/>
          </w:tcPr>
          <w:p w:rsidR="00CC201B" w:rsidRPr="00556C76" w:rsidRDefault="00B53BA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556C76">
              <w:rPr>
                <w:sz w:val="22"/>
              </w:rPr>
              <w:t>63422</w:t>
            </w:r>
          </w:p>
        </w:tc>
      </w:tr>
      <w:tr w:rsidR="00C45886"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Tenure</w:t>
            </w:r>
          </w:p>
        </w:tc>
        <w:tc>
          <w:tcPr>
            <w:tcW w:w="2965" w:type="pct"/>
          </w:tcPr>
          <w:p w:rsidR="00A63426" w:rsidRPr="00556C7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56C76">
              <w:rPr>
                <w:sz w:val="22"/>
              </w:rPr>
              <w:t xml:space="preserve">Specified Term of </w:t>
            </w:r>
            <w:r w:rsidR="00B53BAB" w:rsidRPr="00556C76">
              <w:rPr>
                <w:sz w:val="22"/>
              </w:rPr>
              <w:t>3 years</w:t>
            </w:r>
          </w:p>
          <w:p w:rsidR="00C45886" w:rsidRPr="00556C76"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56C76">
              <w:rPr>
                <w:sz w:val="22"/>
              </w:rPr>
              <w:t>F</w:t>
            </w:r>
            <w:r w:rsidR="005379CE" w:rsidRPr="00556C76">
              <w:rPr>
                <w:sz w:val="22"/>
              </w:rPr>
              <w:t xml:space="preserve">ull-time </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Salary Range</w:t>
            </w:r>
          </w:p>
        </w:tc>
        <w:tc>
          <w:tcPr>
            <w:tcW w:w="2965" w:type="pct"/>
          </w:tcPr>
          <w:p w:rsidR="00B53BAB" w:rsidRPr="00556C76" w:rsidRDefault="00B53BAB" w:rsidP="001D3A2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highlight w:val="yellow"/>
              </w:rPr>
            </w:pPr>
            <w:r w:rsidRPr="00556C76">
              <w:rPr>
                <w:rFonts w:asciiTheme="minorHAnsi" w:hAnsiTheme="minorHAnsi" w:cstheme="minorHAnsi"/>
                <w:sz w:val="22"/>
              </w:rPr>
              <w:t>Attractive Salary to be negotiated with</w:t>
            </w:r>
            <w:r w:rsidR="001D3A2A" w:rsidRPr="00556C76">
              <w:rPr>
                <w:rFonts w:asciiTheme="minorHAnsi" w:hAnsiTheme="minorHAnsi" w:cstheme="minorHAnsi"/>
                <w:sz w:val="22"/>
              </w:rPr>
              <w:t xml:space="preserve"> the</w:t>
            </w:r>
            <w:r w:rsidRPr="00556C76">
              <w:rPr>
                <w:rFonts w:asciiTheme="minorHAnsi" w:hAnsiTheme="minorHAnsi" w:cstheme="minorHAnsi"/>
                <w:sz w:val="22"/>
              </w:rPr>
              <w:t xml:space="preserve"> successful candidate</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rsidR="00926BE4" w:rsidRPr="00556C76" w:rsidRDefault="00B007B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56C76">
              <w:rPr>
                <w:sz w:val="22"/>
              </w:rPr>
              <w:t>Eveleigh NSW preferred. Other locations may be considered</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Relocation Assistance</w:t>
            </w:r>
          </w:p>
        </w:tc>
        <w:tc>
          <w:tcPr>
            <w:tcW w:w="2965" w:type="pct"/>
          </w:tcPr>
          <w:p w:rsidR="00926BE4" w:rsidRPr="00556C76"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56C76">
              <w:rPr>
                <w:sz w:val="22"/>
              </w:rPr>
              <w:t>Will be provided to the successful candidate if required</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Applications are open to</w:t>
            </w:r>
          </w:p>
        </w:tc>
        <w:tc>
          <w:tcPr>
            <w:tcW w:w="2965" w:type="pct"/>
          </w:tcPr>
          <w:p w:rsidR="00926BE4" w:rsidRPr="00556C76" w:rsidRDefault="00EA62ED" w:rsidP="00B53BA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56C76">
              <w:rPr>
                <w:sz w:val="22"/>
              </w:rPr>
              <w:t>Australian/New Zealand Citizens and Australian Permanent</w:t>
            </w:r>
            <w:r w:rsidR="00B53BAB" w:rsidRPr="00556C76">
              <w:rPr>
                <w:sz w:val="22"/>
              </w:rPr>
              <w:t xml:space="preserve"> </w:t>
            </w:r>
            <w:r w:rsidRPr="00556C76">
              <w:rPr>
                <w:sz w:val="22"/>
              </w:rPr>
              <w:t>Residents Only</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Position reports to the</w:t>
            </w:r>
          </w:p>
        </w:tc>
        <w:tc>
          <w:tcPr>
            <w:tcW w:w="2965" w:type="pct"/>
          </w:tcPr>
          <w:p w:rsidR="006F2A6B" w:rsidRPr="00556C76" w:rsidRDefault="006F2A6B" w:rsidP="006F2A6B">
            <w:pPr>
              <w:cnfStyle w:val="000000000000" w:firstRow="0" w:lastRow="0" w:firstColumn="0" w:lastColumn="0" w:oddVBand="0" w:evenVBand="0" w:oddHBand="0" w:evenHBand="0" w:firstRowFirstColumn="0" w:firstRowLastColumn="0" w:lastRowFirstColumn="0" w:lastRowLastColumn="0"/>
              <w:rPr>
                <w:rFonts w:cs="Calibri"/>
                <w:sz w:val="22"/>
              </w:rPr>
            </w:pPr>
            <w:r w:rsidRPr="00556C76">
              <w:rPr>
                <w:rFonts w:cs="Calibri"/>
                <w:sz w:val="22"/>
              </w:rPr>
              <w:t>SCS Program Director (line manager)</w:t>
            </w:r>
          </w:p>
          <w:p w:rsidR="006F2A6B" w:rsidRPr="00556C76" w:rsidRDefault="006F2A6B" w:rsidP="006F2A6B">
            <w:pPr>
              <w:cnfStyle w:val="000000000000" w:firstRow="0" w:lastRow="0" w:firstColumn="0" w:lastColumn="0" w:oddVBand="0" w:evenVBand="0" w:oddHBand="0" w:evenHBand="0" w:firstRowFirstColumn="0" w:firstRowLastColumn="0" w:lastRowFirstColumn="0" w:lastRowLastColumn="0"/>
              <w:rPr>
                <w:rFonts w:cs="Calibri"/>
                <w:sz w:val="22"/>
              </w:rPr>
            </w:pPr>
            <w:r w:rsidRPr="00556C76">
              <w:rPr>
                <w:rFonts w:cs="Calibri"/>
                <w:sz w:val="22"/>
              </w:rPr>
              <w:t>AND</w:t>
            </w:r>
          </w:p>
          <w:p w:rsidR="00C45886" w:rsidRPr="00556C76" w:rsidRDefault="006F2A6B" w:rsidP="006F2A6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56C76">
              <w:rPr>
                <w:rFonts w:cs="Calibri"/>
                <w:sz w:val="22"/>
              </w:rPr>
              <w:t>Chair of Consumer Data Right Data Standards Body (functional manager)</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Internal</w:t>
            </w:r>
          </w:p>
        </w:tc>
        <w:tc>
          <w:tcPr>
            <w:tcW w:w="2965" w:type="pct"/>
          </w:tcPr>
          <w:p w:rsidR="00926BE4" w:rsidRPr="00556C76"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56C76">
              <w:rPr>
                <w:sz w:val="22"/>
              </w:rPr>
              <w:t>0%</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External</w:t>
            </w:r>
          </w:p>
        </w:tc>
        <w:tc>
          <w:tcPr>
            <w:tcW w:w="2965" w:type="pct"/>
          </w:tcPr>
          <w:p w:rsidR="00926BE4" w:rsidRPr="00556C76" w:rsidRDefault="006F2A6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56C76">
              <w:rPr>
                <w:sz w:val="22"/>
              </w:rPr>
              <w:t>100%</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Number of Direct Reports</w:t>
            </w:r>
          </w:p>
        </w:tc>
        <w:tc>
          <w:tcPr>
            <w:tcW w:w="2965" w:type="pct"/>
          </w:tcPr>
          <w:p w:rsidR="00194B1C" w:rsidRPr="00556C76" w:rsidRDefault="006F2A6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56C76">
              <w:rPr>
                <w:sz w:val="22"/>
              </w:rPr>
              <w:t>10</w:t>
            </w:r>
          </w:p>
        </w:tc>
      </w:tr>
      <w:tr w:rsidR="00194B1C" w:rsidRPr="0093721B" w:rsidTr="00CC201B">
        <w:trPr>
          <w:trHeight w:val="413"/>
        </w:trPr>
        <w:tc>
          <w:tcPr>
            <w:tcW w:w="2035" w:type="pct"/>
          </w:tcPr>
          <w:p w:rsidR="00194B1C" w:rsidRPr="0093721B" w:rsidRDefault="00C45886" w:rsidP="00D83C52">
            <w:pPr>
              <w:pStyle w:val="TableText"/>
              <w:cnfStyle w:val="001000000000" w:firstRow="0" w:lastRow="0" w:firstColumn="1" w:lastColumn="0" w:oddVBand="0" w:evenVBand="0" w:oddHBand="0" w:evenHBand="0" w:firstRowFirstColumn="0" w:firstRowLastColumn="0" w:lastRowFirstColumn="0" w:lastRowLastColumn="0"/>
              <w:rPr>
                <w:sz w:val="22"/>
              </w:rPr>
            </w:pPr>
            <w:r w:rsidRPr="0093721B">
              <w:rPr>
                <w:sz w:val="22"/>
              </w:rPr>
              <w:t>Enquire about this job</w:t>
            </w:r>
          </w:p>
        </w:tc>
        <w:tc>
          <w:tcPr>
            <w:tcW w:w="2965" w:type="pct"/>
          </w:tcPr>
          <w:p w:rsidR="005F6D2F" w:rsidRDefault="006F2A6B" w:rsidP="00452FD5">
            <w:pPr>
              <w:pStyle w:val="TableBullet"/>
              <w:numPr>
                <w:ilvl w:val="0"/>
                <w:numId w:val="0"/>
              </w:numPr>
              <w:rPr>
                <w:rFonts w:cs="Calibri"/>
                <w:bCs/>
                <w:sz w:val="22"/>
              </w:rPr>
            </w:pPr>
            <w:r w:rsidRPr="00556C76">
              <w:rPr>
                <w:rFonts w:cs="Calibri"/>
                <w:sz w:val="22"/>
              </w:rPr>
              <w:t>M</w:t>
            </w:r>
            <w:r w:rsidRPr="00556C76">
              <w:rPr>
                <w:sz w:val="22"/>
              </w:rPr>
              <w:t>ark Staples</w:t>
            </w:r>
            <w:r w:rsidRPr="00556C76">
              <w:rPr>
                <w:rFonts w:cs="Calibri"/>
                <w:sz w:val="22"/>
              </w:rPr>
              <w:t xml:space="preserve"> at </w:t>
            </w:r>
            <w:hyperlink r:id="rId7" w:history="1">
              <w:r w:rsidRPr="00556C76">
                <w:rPr>
                  <w:rStyle w:val="Hyperlink"/>
                  <w:rFonts w:cs="Calibri"/>
                  <w:bCs/>
                  <w:sz w:val="22"/>
                </w:rPr>
                <w:t>m</w:t>
              </w:r>
              <w:r w:rsidRPr="00556C76">
                <w:rPr>
                  <w:rStyle w:val="Hyperlink"/>
                  <w:bCs/>
                  <w:sz w:val="22"/>
                </w:rPr>
                <w:t>ark.staples</w:t>
              </w:r>
              <w:r w:rsidRPr="00556C76">
                <w:rPr>
                  <w:rStyle w:val="Hyperlink"/>
                  <w:rFonts w:cs="Calibri"/>
                  <w:bCs/>
                  <w:sz w:val="22"/>
                </w:rPr>
                <w:t>@data61.csiro.au</w:t>
              </w:r>
            </w:hyperlink>
            <w:r w:rsidRPr="00556C76">
              <w:rPr>
                <w:rFonts w:cs="Calibri"/>
                <w:bCs/>
                <w:sz w:val="22"/>
              </w:rPr>
              <w:t xml:space="preserve"> </w:t>
            </w:r>
          </w:p>
          <w:p w:rsidR="00194B1C" w:rsidRPr="00556C76" w:rsidRDefault="00556C76" w:rsidP="00452FD5">
            <w:pPr>
              <w:pStyle w:val="TableBullet"/>
              <w:numPr>
                <w:ilvl w:val="0"/>
                <w:numId w:val="0"/>
              </w:numPr>
              <w:rPr>
                <w:rFonts w:cs="Calibri"/>
                <w:bCs/>
                <w:sz w:val="22"/>
              </w:rPr>
            </w:pPr>
            <w:bookmarkStart w:id="1" w:name="_GoBack"/>
            <w:bookmarkEnd w:id="1"/>
            <w:r w:rsidRPr="00556C76">
              <w:rPr>
                <w:rFonts w:cs="Calibri"/>
                <w:bCs/>
                <w:sz w:val="22"/>
              </w:rPr>
              <w:t>OR</w:t>
            </w:r>
          </w:p>
          <w:p w:rsidR="00556C76" w:rsidRPr="00556C76" w:rsidRDefault="00556C76" w:rsidP="00556C76">
            <w:pPr>
              <w:pStyle w:val="TableText"/>
              <w:rPr>
                <w:sz w:val="22"/>
              </w:rPr>
            </w:pPr>
            <w:r w:rsidRPr="00556C76">
              <w:rPr>
                <w:sz w:val="22"/>
              </w:rPr>
              <w:t xml:space="preserve">Liming Zhu at </w:t>
            </w:r>
            <w:hyperlink r:id="rId8" w:history="1">
              <w:r w:rsidRPr="00556C76">
                <w:rPr>
                  <w:rStyle w:val="Hyperlink"/>
                  <w:sz w:val="22"/>
                </w:rPr>
                <w:t>liming.zhu@data61.csiro.au</w:t>
              </w:r>
            </w:hyperlink>
            <w:r w:rsidRPr="00556C76">
              <w:rPr>
                <w:sz w:val="22"/>
              </w:rPr>
              <w:t xml:space="preserve"> </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How to apply</w:t>
            </w:r>
          </w:p>
        </w:tc>
        <w:tc>
          <w:tcPr>
            <w:tcW w:w="2965" w:type="pct"/>
          </w:tcPr>
          <w:p w:rsidR="00F54F83" w:rsidRPr="00556C76"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56C76">
              <w:rPr>
                <w:sz w:val="22"/>
              </w:rPr>
              <w:t>Apply online a</w:t>
            </w:r>
            <w:r w:rsidR="006F78A3" w:rsidRPr="00556C76">
              <w:rPr>
                <w:sz w:val="22"/>
              </w:rPr>
              <w:t xml:space="preserve">t  </w:t>
            </w:r>
            <w:hyperlink r:id="rId9" w:history="1">
              <w:r w:rsidR="006F78A3" w:rsidRPr="00556C76">
                <w:rPr>
                  <w:rStyle w:val="Hyperlink"/>
                  <w:sz w:val="22"/>
                </w:rPr>
                <w:t>https://jobs.csiro.au/</w:t>
              </w:r>
            </w:hyperlink>
            <w:r w:rsidR="006F78A3" w:rsidRPr="00556C76">
              <w:rPr>
                <w:sz w:val="22"/>
              </w:rPr>
              <w:t xml:space="preserve"> </w:t>
            </w:r>
          </w:p>
          <w:p w:rsidR="00CB4BEC" w:rsidRPr="00556C76"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56C76">
              <w:rPr>
                <w:sz w:val="22"/>
              </w:rPr>
              <w:t xml:space="preserve">Internal applicants please apply via </w:t>
            </w:r>
            <w:r w:rsidRPr="00556C76">
              <w:rPr>
                <w:b/>
                <w:sz w:val="22"/>
              </w:rPr>
              <w:t>Jobs Central</w:t>
            </w:r>
          </w:p>
          <w:p w:rsidR="00194B1C" w:rsidRPr="00556C76"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56C76">
              <w:rPr>
                <w:sz w:val="22"/>
              </w:rPr>
              <w:t xml:space="preserve">If you experience difficulties when applying, please email </w:t>
            </w:r>
            <w:hyperlink r:id="rId10" w:history="1">
              <w:r w:rsidRPr="00556C76">
                <w:rPr>
                  <w:rStyle w:val="Hyperlink"/>
                  <w:sz w:val="22"/>
                </w:rPr>
                <w:t>careers.online@csiro.au</w:t>
              </w:r>
            </w:hyperlink>
            <w:r w:rsidRPr="00556C76">
              <w:rPr>
                <w:sz w:val="22"/>
              </w:rPr>
              <w:t xml:space="preserve"> or call 1300 984 220.</w:t>
            </w:r>
          </w:p>
        </w:tc>
      </w:tr>
    </w:tbl>
    <w:p w:rsidR="005A5AEE" w:rsidRDefault="005A5AEE" w:rsidP="00D06E61">
      <w:pPr>
        <w:pStyle w:val="Heading3"/>
        <w:spacing w:after="0"/>
      </w:pPr>
    </w:p>
    <w:p w:rsidR="005A5AEE" w:rsidRPr="005A5AEE" w:rsidRDefault="005A5AEE" w:rsidP="005A5AEE">
      <w:pPr>
        <w:pStyle w:val="BodyText"/>
      </w:pPr>
    </w:p>
    <w:p w:rsidR="001D3A2A" w:rsidRDefault="001D3A2A">
      <w:pPr>
        <w:spacing w:before="0" w:after="0" w:line="240" w:lineRule="auto"/>
        <w:rPr>
          <w:rFonts w:cs="Arial"/>
          <w:b/>
          <w:bCs/>
          <w:color w:val="auto"/>
          <w:sz w:val="26"/>
          <w:szCs w:val="26"/>
        </w:rPr>
      </w:pPr>
      <w:r>
        <w:br w:type="page"/>
      </w:r>
    </w:p>
    <w:p w:rsidR="006246C0" w:rsidRPr="00674783" w:rsidRDefault="00B50C20" w:rsidP="00D06E61">
      <w:pPr>
        <w:pStyle w:val="Heading3"/>
        <w:spacing w:after="0"/>
      </w:pPr>
      <w:r>
        <w:lastRenderedPageBreak/>
        <w:t>Role Overview</w:t>
      </w:r>
    </w:p>
    <w:p w:rsidR="00547F40" w:rsidRPr="001D3A2A" w:rsidRDefault="00547F40" w:rsidP="00547F40">
      <w:pPr>
        <w:spacing w:before="180"/>
        <w:jc w:val="both"/>
        <w:rPr>
          <w:rFonts w:asciiTheme="minorHAnsi" w:hAnsiTheme="minorHAnsi" w:cstheme="minorHAnsi"/>
          <w:sz w:val="22"/>
        </w:rPr>
      </w:pPr>
      <w:bookmarkStart w:id="2" w:name="_Toc341085720"/>
      <w:r w:rsidRPr="001D3A2A">
        <w:rPr>
          <w:rFonts w:asciiTheme="minorHAnsi" w:hAnsiTheme="minorHAnsi" w:cstheme="minorHAnsi"/>
          <w:sz w:val="22"/>
        </w:rPr>
        <w:t>The Consumer Data Right (CDR) Data Standards Body delivers technical standards that empower Australian consumers to share and transfer their data simply and safely with organisations of their choosing. The first designated sector is banking, but other sectors are expected to be designated. The work of the Data Standard Body is a significant program of strategic importance for the Australian government. As Director for the Data Standards Body, you will manage the team and its development and delivery of binding data standards, consumer experience research and guidance, reference implementations, and other outputs as required.</w:t>
      </w:r>
    </w:p>
    <w:p w:rsidR="00547F40" w:rsidRPr="001D3A2A" w:rsidRDefault="00547F40" w:rsidP="00547F40">
      <w:pPr>
        <w:spacing w:before="180"/>
        <w:jc w:val="both"/>
        <w:rPr>
          <w:rFonts w:asciiTheme="minorHAnsi" w:hAnsiTheme="minorHAnsi" w:cstheme="minorHAnsi"/>
          <w:sz w:val="22"/>
        </w:rPr>
      </w:pPr>
      <w:r w:rsidRPr="001D3A2A">
        <w:rPr>
          <w:rFonts w:asciiTheme="minorHAnsi" w:hAnsiTheme="minorHAnsi" w:cstheme="minorHAnsi"/>
          <w:sz w:val="22"/>
        </w:rPr>
        <w:t>Data61 has been appointed the Data Standards Body by the Australian government. Data61 brings together exceptional people from research and industry to work at the cutting edge of ICT, data analytics and artificial intelligence research. The Consumer Data Standards Group in Data61 does the work of the Data Standards Body and sits within the Software and Computational Systems Program at Data61.</w:t>
      </w:r>
    </w:p>
    <w:p w:rsidR="00547F40" w:rsidRPr="001D3A2A" w:rsidRDefault="00547F40" w:rsidP="00547F40">
      <w:pPr>
        <w:spacing w:before="180"/>
        <w:jc w:val="both"/>
        <w:rPr>
          <w:rFonts w:asciiTheme="minorHAnsi" w:hAnsiTheme="minorHAnsi" w:cstheme="minorHAnsi"/>
          <w:sz w:val="22"/>
        </w:rPr>
      </w:pPr>
      <w:r w:rsidRPr="001D3A2A">
        <w:rPr>
          <w:rFonts w:asciiTheme="minorHAnsi" w:hAnsiTheme="minorHAnsi" w:cstheme="minorHAnsi"/>
          <w:sz w:val="22"/>
        </w:rPr>
        <w:t>The Director of the Data Standards Body will be a key member of the broader CDR strategic management team, with direct responsibility for the overall stakeholder management, development, maintenance and delivery of the standards for the Chair of the Data Standards Body. In this role, you will oversee the work of the Standards, CX and Engineering teams, as well as a broader cross-functional team delivering the technical standards to tight deadlines across multiple sectors.  You will be able to represent the Data Standards Body as required in discussions, meetings, and events with government, industry, and consumer stakeholders. You will also oversee the operation of the various Advisory Committees that provide input to the Chair on the relevant sector issues.</w:t>
      </w:r>
    </w:p>
    <w:p w:rsidR="000F61E8" w:rsidRPr="001D3A2A" w:rsidRDefault="00547F40" w:rsidP="000F61E8">
      <w:pPr>
        <w:spacing w:before="180"/>
        <w:jc w:val="both"/>
        <w:rPr>
          <w:rFonts w:asciiTheme="minorHAnsi" w:hAnsiTheme="minorHAnsi" w:cstheme="minorHAnsi"/>
          <w:sz w:val="22"/>
        </w:rPr>
      </w:pPr>
      <w:r w:rsidRPr="001D3A2A">
        <w:rPr>
          <w:rFonts w:asciiTheme="minorHAnsi" w:hAnsiTheme="minorHAnsi" w:cstheme="minorHAnsi"/>
          <w:vanish/>
          <w:sz w:val="22"/>
        </w:rPr>
        <w:t>It is expected that Group Leaders will devote significant capacity (e.g: 40%) to operational and capability management, while maintaining active involvement in Business Development, project and science leadership. It is understood that the proportion of time on various role elements will vary (sometimes significantly) in different domains and sectors, due to the size and composition of the Group.</w:t>
      </w:r>
      <w:r w:rsidR="000F61E8" w:rsidRPr="001D3A2A">
        <w:rPr>
          <w:rFonts w:asciiTheme="minorHAnsi" w:hAnsiTheme="minorHAnsi" w:cstheme="minorHAnsi"/>
          <w:vanish/>
          <w:sz w:val="22"/>
        </w:rPr>
        <w:t xml:space="preserve"> It is expected that Group Leaders will devote significant capacity (e.g: 40%) to operational and capability management, while maintaining active involvement in Business Development, project and science leadership. It is understood that the proportion of time on various role elements will vary (sometimes significantly) in different domains and sectors, due to the size and composition of the Group. It is expected that Group Leaders will devote significant capacity (e.g: 40%) to operational and capability management, while maintaining active involvement in Business Development, project and science leadership. It is understood that the proportion of time on various role elements will vary (sometimes significantly) in different domains and sectors, due to the size and composition of the Group.</w:t>
      </w:r>
      <w:r w:rsidR="000F61E8" w:rsidRPr="001D3A2A">
        <w:rPr>
          <w:rFonts w:asciiTheme="minorHAnsi" w:hAnsiTheme="minorHAnsi" w:cstheme="minorHAnsi"/>
          <w:sz w:val="22"/>
        </w:rPr>
        <w:t xml:space="preserve">The Research Group Leader implements the vision and direction of the Research Program, and contributes to its setting and planning, to deliver outputs, outcomes and impact through mission directed, multi-disciplinary and collaborative science. </w:t>
      </w:r>
    </w:p>
    <w:p w:rsidR="000F61E8" w:rsidRPr="001D3A2A" w:rsidRDefault="000F61E8" w:rsidP="000F61E8">
      <w:pPr>
        <w:spacing w:before="180"/>
        <w:jc w:val="both"/>
        <w:rPr>
          <w:rFonts w:asciiTheme="minorHAnsi" w:hAnsiTheme="minorHAnsi" w:cstheme="minorHAnsi"/>
          <w:sz w:val="22"/>
        </w:rPr>
      </w:pPr>
      <w:r w:rsidRPr="001D3A2A">
        <w:rPr>
          <w:rFonts w:asciiTheme="minorHAnsi" w:hAnsiTheme="minorHAnsi" w:cstheme="minorHAnsi"/>
          <w:sz w:val="22"/>
        </w:rPr>
        <w:t xml:space="preserve">The Group Leader role is focused on impact, capability science, and people leadership; and supports the Research Director in the management of the Program's portfolio of projects (e.g. monitoring performance - milestones and financial), infrastructure and other assets.  </w:t>
      </w:r>
    </w:p>
    <w:p w:rsidR="000F61E8" w:rsidRPr="001D3A2A" w:rsidRDefault="000F61E8" w:rsidP="000F61E8">
      <w:pPr>
        <w:spacing w:before="180"/>
        <w:jc w:val="both"/>
        <w:rPr>
          <w:rFonts w:asciiTheme="minorHAnsi" w:hAnsiTheme="minorHAnsi" w:cstheme="minorHAnsi"/>
          <w:sz w:val="22"/>
        </w:rPr>
      </w:pPr>
      <w:r w:rsidRPr="001D3A2A">
        <w:rPr>
          <w:rFonts w:asciiTheme="minorHAnsi" w:hAnsiTheme="minorHAnsi" w:cstheme="minorHAnsi"/>
          <w:sz w:val="22"/>
        </w:rPr>
        <w:t>The Group Leader will be expected to devote significant capacity (e.g 40%) of their time to operational and capability management, while maintaining active involvement in Business Development, project and science leadership typically of larger scale / high impact projects. It is</w:t>
      </w:r>
      <w:r w:rsidRPr="001D3A2A">
        <w:rPr>
          <w:rFonts w:asciiTheme="minorHAnsi" w:hAnsiTheme="minorHAnsi" w:cstheme="minorHAnsi"/>
          <w:spacing w:val="1"/>
          <w:sz w:val="22"/>
        </w:rPr>
        <w:t xml:space="preserve"> </w:t>
      </w:r>
      <w:r w:rsidRPr="001D3A2A">
        <w:rPr>
          <w:rFonts w:asciiTheme="minorHAnsi" w:hAnsiTheme="minorHAnsi" w:cstheme="minorHAnsi"/>
          <w:spacing w:val="-1"/>
          <w:sz w:val="22"/>
        </w:rPr>
        <w:t>und</w:t>
      </w:r>
      <w:r w:rsidRPr="001D3A2A">
        <w:rPr>
          <w:rFonts w:asciiTheme="minorHAnsi" w:hAnsiTheme="minorHAnsi" w:cstheme="minorHAnsi"/>
          <w:sz w:val="22"/>
        </w:rPr>
        <w:t>e</w:t>
      </w:r>
      <w:r w:rsidRPr="001D3A2A">
        <w:rPr>
          <w:rFonts w:asciiTheme="minorHAnsi" w:hAnsiTheme="minorHAnsi" w:cstheme="minorHAnsi"/>
          <w:spacing w:val="-2"/>
          <w:sz w:val="22"/>
        </w:rPr>
        <w:t>r</w:t>
      </w:r>
      <w:r w:rsidRPr="001D3A2A">
        <w:rPr>
          <w:rFonts w:asciiTheme="minorHAnsi" w:hAnsiTheme="minorHAnsi" w:cstheme="minorHAnsi"/>
          <w:sz w:val="22"/>
        </w:rPr>
        <w:t>st</w:t>
      </w:r>
      <w:r w:rsidRPr="001D3A2A">
        <w:rPr>
          <w:rFonts w:asciiTheme="minorHAnsi" w:hAnsiTheme="minorHAnsi" w:cstheme="minorHAnsi"/>
          <w:spacing w:val="-1"/>
          <w:sz w:val="22"/>
        </w:rPr>
        <w:t>o</w:t>
      </w:r>
      <w:r w:rsidRPr="001D3A2A">
        <w:rPr>
          <w:rFonts w:asciiTheme="minorHAnsi" w:hAnsiTheme="minorHAnsi" w:cstheme="minorHAnsi"/>
          <w:spacing w:val="1"/>
          <w:sz w:val="22"/>
        </w:rPr>
        <w:t>o</w:t>
      </w:r>
      <w:r w:rsidRPr="001D3A2A">
        <w:rPr>
          <w:rFonts w:asciiTheme="minorHAnsi" w:hAnsiTheme="minorHAnsi" w:cstheme="minorHAnsi"/>
          <w:sz w:val="22"/>
        </w:rPr>
        <w:t>d</w:t>
      </w:r>
      <w:r w:rsidRPr="001D3A2A">
        <w:rPr>
          <w:rFonts w:asciiTheme="minorHAnsi" w:hAnsiTheme="minorHAnsi" w:cstheme="minorHAnsi"/>
          <w:spacing w:val="-3"/>
          <w:sz w:val="22"/>
        </w:rPr>
        <w:t xml:space="preserve"> </w:t>
      </w:r>
      <w:r w:rsidRPr="001D3A2A">
        <w:rPr>
          <w:rFonts w:asciiTheme="minorHAnsi" w:hAnsiTheme="minorHAnsi" w:cstheme="minorHAnsi"/>
          <w:spacing w:val="1"/>
          <w:sz w:val="22"/>
        </w:rPr>
        <w:t>t</w:t>
      </w:r>
      <w:r w:rsidRPr="001D3A2A">
        <w:rPr>
          <w:rFonts w:asciiTheme="minorHAnsi" w:hAnsiTheme="minorHAnsi" w:cstheme="minorHAnsi"/>
          <w:spacing w:val="-1"/>
          <w:sz w:val="22"/>
        </w:rPr>
        <w:t>h</w:t>
      </w:r>
      <w:r w:rsidRPr="001D3A2A">
        <w:rPr>
          <w:rFonts w:asciiTheme="minorHAnsi" w:hAnsiTheme="minorHAnsi" w:cstheme="minorHAnsi"/>
          <w:sz w:val="22"/>
        </w:rPr>
        <w:t>at</w:t>
      </w:r>
      <w:r w:rsidRPr="001D3A2A">
        <w:rPr>
          <w:rFonts w:asciiTheme="minorHAnsi" w:hAnsiTheme="minorHAnsi" w:cstheme="minorHAnsi"/>
          <w:spacing w:val="1"/>
          <w:sz w:val="22"/>
        </w:rPr>
        <w:t xml:space="preserve"> </w:t>
      </w:r>
      <w:r w:rsidRPr="001D3A2A">
        <w:rPr>
          <w:rFonts w:asciiTheme="minorHAnsi" w:hAnsiTheme="minorHAnsi" w:cstheme="minorHAnsi"/>
          <w:sz w:val="22"/>
        </w:rPr>
        <w:t>t</w:t>
      </w:r>
      <w:r w:rsidRPr="001D3A2A">
        <w:rPr>
          <w:rFonts w:asciiTheme="minorHAnsi" w:hAnsiTheme="minorHAnsi" w:cstheme="minorHAnsi"/>
          <w:spacing w:val="-3"/>
          <w:sz w:val="22"/>
        </w:rPr>
        <w:t>h</w:t>
      </w:r>
      <w:r w:rsidRPr="001D3A2A">
        <w:rPr>
          <w:rFonts w:asciiTheme="minorHAnsi" w:hAnsiTheme="minorHAnsi" w:cstheme="minorHAnsi"/>
          <w:sz w:val="22"/>
        </w:rPr>
        <w:t>e</w:t>
      </w:r>
      <w:r w:rsidRPr="001D3A2A">
        <w:rPr>
          <w:rFonts w:asciiTheme="minorHAnsi" w:hAnsiTheme="minorHAnsi" w:cstheme="minorHAnsi"/>
          <w:spacing w:val="1"/>
          <w:sz w:val="22"/>
        </w:rPr>
        <w:t xml:space="preserve"> </w:t>
      </w:r>
      <w:r w:rsidRPr="001D3A2A">
        <w:rPr>
          <w:rFonts w:asciiTheme="minorHAnsi" w:hAnsiTheme="minorHAnsi" w:cstheme="minorHAnsi"/>
          <w:spacing w:val="-1"/>
          <w:sz w:val="22"/>
        </w:rPr>
        <w:t>p</w:t>
      </w:r>
      <w:r w:rsidRPr="001D3A2A">
        <w:rPr>
          <w:rFonts w:asciiTheme="minorHAnsi" w:hAnsiTheme="minorHAnsi" w:cstheme="minorHAnsi"/>
          <w:sz w:val="22"/>
        </w:rPr>
        <w:t>r</w:t>
      </w:r>
      <w:r w:rsidRPr="001D3A2A">
        <w:rPr>
          <w:rFonts w:asciiTheme="minorHAnsi" w:hAnsiTheme="minorHAnsi" w:cstheme="minorHAnsi"/>
          <w:spacing w:val="1"/>
          <w:sz w:val="22"/>
        </w:rPr>
        <w:t>o</w:t>
      </w:r>
      <w:r w:rsidRPr="001D3A2A">
        <w:rPr>
          <w:rFonts w:asciiTheme="minorHAnsi" w:hAnsiTheme="minorHAnsi" w:cstheme="minorHAnsi"/>
          <w:spacing w:val="-3"/>
          <w:sz w:val="22"/>
        </w:rPr>
        <w:t>p</w:t>
      </w:r>
      <w:r w:rsidRPr="001D3A2A">
        <w:rPr>
          <w:rFonts w:asciiTheme="minorHAnsi" w:hAnsiTheme="minorHAnsi" w:cstheme="minorHAnsi"/>
          <w:spacing w:val="1"/>
          <w:sz w:val="22"/>
        </w:rPr>
        <w:t>o</w:t>
      </w:r>
      <w:r w:rsidRPr="001D3A2A">
        <w:rPr>
          <w:rFonts w:asciiTheme="minorHAnsi" w:hAnsiTheme="minorHAnsi" w:cstheme="minorHAnsi"/>
          <w:sz w:val="22"/>
        </w:rPr>
        <w:t>rt</w:t>
      </w:r>
      <w:r w:rsidRPr="001D3A2A">
        <w:rPr>
          <w:rFonts w:asciiTheme="minorHAnsi" w:hAnsiTheme="minorHAnsi" w:cstheme="minorHAnsi"/>
          <w:spacing w:val="-2"/>
          <w:sz w:val="22"/>
        </w:rPr>
        <w:t>i</w:t>
      </w:r>
      <w:r w:rsidRPr="001D3A2A">
        <w:rPr>
          <w:rFonts w:asciiTheme="minorHAnsi" w:hAnsiTheme="minorHAnsi" w:cstheme="minorHAnsi"/>
          <w:spacing w:val="1"/>
          <w:sz w:val="22"/>
        </w:rPr>
        <w:t>o</w:t>
      </w:r>
      <w:r w:rsidRPr="001D3A2A">
        <w:rPr>
          <w:rFonts w:asciiTheme="minorHAnsi" w:hAnsiTheme="minorHAnsi" w:cstheme="minorHAnsi"/>
          <w:sz w:val="22"/>
        </w:rPr>
        <w:t>n</w:t>
      </w:r>
      <w:r w:rsidRPr="001D3A2A">
        <w:rPr>
          <w:rFonts w:asciiTheme="minorHAnsi" w:hAnsiTheme="minorHAnsi" w:cstheme="minorHAnsi"/>
          <w:spacing w:val="-3"/>
          <w:sz w:val="22"/>
        </w:rPr>
        <w:t xml:space="preserve"> </w:t>
      </w:r>
      <w:r w:rsidRPr="001D3A2A">
        <w:rPr>
          <w:rFonts w:asciiTheme="minorHAnsi" w:hAnsiTheme="minorHAnsi" w:cstheme="minorHAnsi"/>
          <w:spacing w:val="1"/>
          <w:sz w:val="22"/>
        </w:rPr>
        <w:t>o</w:t>
      </w:r>
      <w:r w:rsidRPr="001D3A2A">
        <w:rPr>
          <w:rFonts w:asciiTheme="minorHAnsi" w:hAnsiTheme="minorHAnsi" w:cstheme="minorHAnsi"/>
          <w:sz w:val="22"/>
        </w:rPr>
        <w:t xml:space="preserve">f </w:t>
      </w:r>
      <w:r w:rsidRPr="001D3A2A">
        <w:rPr>
          <w:rFonts w:asciiTheme="minorHAnsi" w:hAnsiTheme="minorHAnsi" w:cstheme="minorHAnsi"/>
          <w:spacing w:val="1"/>
          <w:sz w:val="22"/>
        </w:rPr>
        <w:t>t</w:t>
      </w:r>
      <w:r w:rsidRPr="001D3A2A">
        <w:rPr>
          <w:rFonts w:asciiTheme="minorHAnsi" w:hAnsiTheme="minorHAnsi" w:cstheme="minorHAnsi"/>
          <w:spacing w:val="-3"/>
          <w:sz w:val="22"/>
        </w:rPr>
        <w:t>i</w:t>
      </w:r>
      <w:r w:rsidRPr="001D3A2A">
        <w:rPr>
          <w:rFonts w:asciiTheme="minorHAnsi" w:hAnsiTheme="minorHAnsi" w:cstheme="minorHAnsi"/>
          <w:spacing w:val="-1"/>
          <w:sz w:val="22"/>
        </w:rPr>
        <w:t>m</w:t>
      </w:r>
      <w:r w:rsidRPr="001D3A2A">
        <w:rPr>
          <w:rFonts w:asciiTheme="minorHAnsi" w:hAnsiTheme="minorHAnsi" w:cstheme="minorHAnsi"/>
          <w:sz w:val="22"/>
        </w:rPr>
        <w:t>e</w:t>
      </w:r>
      <w:r w:rsidRPr="001D3A2A">
        <w:rPr>
          <w:rFonts w:asciiTheme="minorHAnsi" w:hAnsiTheme="minorHAnsi" w:cstheme="minorHAnsi"/>
          <w:spacing w:val="1"/>
          <w:sz w:val="22"/>
        </w:rPr>
        <w:t xml:space="preserve"> o</w:t>
      </w:r>
      <w:r w:rsidRPr="001D3A2A">
        <w:rPr>
          <w:rFonts w:asciiTheme="minorHAnsi" w:hAnsiTheme="minorHAnsi" w:cstheme="minorHAnsi"/>
          <w:sz w:val="22"/>
        </w:rPr>
        <w:t>n</w:t>
      </w:r>
      <w:r w:rsidRPr="001D3A2A">
        <w:rPr>
          <w:rFonts w:asciiTheme="minorHAnsi" w:hAnsiTheme="minorHAnsi" w:cstheme="minorHAnsi"/>
          <w:spacing w:val="-3"/>
          <w:sz w:val="22"/>
        </w:rPr>
        <w:t xml:space="preserve"> </w:t>
      </w:r>
      <w:r w:rsidRPr="001D3A2A">
        <w:rPr>
          <w:rFonts w:asciiTheme="minorHAnsi" w:hAnsiTheme="minorHAnsi" w:cstheme="minorHAnsi"/>
          <w:sz w:val="22"/>
        </w:rPr>
        <w:t>the</w:t>
      </w:r>
      <w:r w:rsidRPr="001D3A2A">
        <w:rPr>
          <w:rFonts w:asciiTheme="minorHAnsi" w:hAnsiTheme="minorHAnsi" w:cstheme="minorHAnsi"/>
          <w:spacing w:val="-2"/>
          <w:sz w:val="22"/>
        </w:rPr>
        <w:t xml:space="preserve"> </w:t>
      </w:r>
      <w:r w:rsidRPr="001D3A2A">
        <w:rPr>
          <w:rFonts w:asciiTheme="minorHAnsi" w:hAnsiTheme="minorHAnsi" w:cstheme="minorHAnsi"/>
          <w:spacing w:val="1"/>
          <w:sz w:val="22"/>
        </w:rPr>
        <w:t>v</w:t>
      </w:r>
      <w:r w:rsidRPr="001D3A2A">
        <w:rPr>
          <w:rFonts w:asciiTheme="minorHAnsi" w:hAnsiTheme="minorHAnsi" w:cstheme="minorHAnsi"/>
          <w:sz w:val="22"/>
        </w:rPr>
        <w:t>ar</w:t>
      </w:r>
      <w:r w:rsidRPr="001D3A2A">
        <w:rPr>
          <w:rFonts w:asciiTheme="minorHAnsi" w:hAnsiTheme="minorHAnsi" w:cstheme="minorHAnsi"/>
          <w:spacing w:val="-3"/>
          <w:sz w:val="22"/>
        </w:rPr>
        <w:t>i</w:t>
      </w:r>
      <w:r w:rsidRPr="001D3A2A">
        <w:rPr>
          <w:rFonts w:asciiTheme="minorHAnsi" w:hAnsiTheme="minorHAnsi" w:cstheme="minorHAnsi"/>
          <w:spacing w:val="1"/>
          <w:sz w:val="22"/>
        </w:rPr>
        <w:t>o</w:t>
      </w:r>
      <w:r w:rsidRPr="001D3A2A">
        <w:rPr>
          <w:rFonts w:asciiTheme="minorHAnsi" w:hAnsiTheme="minorHAnsi" w:cstheme="minorHAnsi"/>
          <w:spacing w:val="-1"/>
          <w:sz w:val="22"/>
        </w:rPr>
        <w:t>u</w:t>
      </w:r>
      <w:r w:rsidRPr="001D3A2A">
        <w:rPr>
          <w:rFonts w:asciiTheme="minorHAnsi" w:hAnsiTheme="minorHAnsi" w:cstheme="minorHAnsi"/>
          <w:sz w:val="22"/>
        </w:rPr>
        <w:t xml:space="preserve">s </w:t>
      </w:r>
      <w:r w:rsidRPr="001D3A2A">
        <w:rPr>
          <w:rFonts w:asciiTheme="minorHAnsi" w:hAnsiTheme="minorHAnsi" w:cstheme="minorHAnsi"/>
          <w:spacing w:val="-2"/>
          <w:sz w:val="22"/>
        </w:rPr>
        <w:t>r</w:t>
      </w:r>
      <w:r w:rsidRPr="001D3A2A">
        <w:rPr>
          <w:rFonts w:asciiTheme="minorHAnsi" w:hAnsiTheme="minorHAnsi" w:cstheme="minorHAnsi"/>
          <w:spacing w:val="1"/>
          <w:sz w:val="22"/>
        </w:rPr>
        <w:t>o</w:t>
      </w:r>
      <w:r w:rsidRPr="001D3A2A">
        <w:rPr>
          <w:rFonts w:asciiTheme="minorHAnsi" w:hAnsiTheme="minorHAnsi" w:cstheme="minorHAnsi"/>
          <w:sz w:val="22"/>
        </w:rPr>
        <w:t>le</w:t>
      </w:r>
      <w:r w:rsidRPr="001D3A2A">
        <w:rPr>
          <w:rFonts w:asciiTheme="minorHAnsi" w:hAnsiTheme="minorHAnsi" w:cstheme="minorHAnsi"/>
          <w:spacing w:val="-1"/>
          <w:sz w:val="22"/>
        </w:rPr>
        <w:t xml:space="preserve"> </w:t>
      </w:r>
      <w:r w:rsidRPr="001D3A2A">
        <w:rPr>
          <w:rFonts w:asciiTheme="minorHAnsi" w:hAnsiTheme="minorHAnsi" w:cstheme="minorHAnsi"/>
          <w:sz w:val="22"/>
        </w:rPr>
        <w:t>el</w:t>
      </w:r>
      <w:r w:rsidRPr="001D3A2A">
        <w:rPr>
          <w:rFonts w:asciiTheme="minorHAnsi" w:hAnsiTheme="minorHAnsi" w:cstheme="minorHAnsi"/>
          <w:spacing w:val="-2"/>
          <w:sz w:val="22"/>
        </w:rPr>
        <w:t>e</w:t>
      </w:r>
      <w:r w:rsidRPr="001D3A2A">
        <w:rPr>
          <w:rFonts w:asciiTheme="minorHAnsi" w:hAnsiTheme="minorHAnsi" w:cstheme="minorHAnsi"/>
          <w:spacing w:val="1"/>
          <w:sz w:val="22"/>
        </w:rPr>
        <w:t>m</w:t>
      </w:r>
      <w:r w:rsidRPr="001D3A2A">
        <w:rPr>
          <w:rFonts w:asciiTheme="minorHAnsi" w:hAnsiTheme="minorHAnsi" w:cstheme="minorHAnsi"/>
          <w:spacing w:val="-2"/>
          <w:sz w:val="22"/>
        </w:rPr>
        <w:t>e</w:t>
      </w:r>
      <w:r w:rsidRPr="001D3A2A">
        <w:rPr>
          <w:rFonts w:asciiTheme="minorHAnsi" w:hAnsiTheme="minorHAnsi" w:cstheme="minorHAnsi"/>
          <w:spacing w:val="-1"/>
          <w:sz w:val="22"/>
        </w:rPr>
        <w:t>n</w:t>
      </w:r>
      <w:r w:rsidRPr="001D3A2A">
        <w:rPr>
          <w:rFonts w:asciiTheme="minorHAnsi" w:hAnsiTheme="minorHAnsi" w:cstheme="minorHAnsi"/>
          <w:sz w:val="22"/>
        </w:rPr>
        <w:t>ts</w:t>
      </w:r>
      <w:r w:rsidRPr="001D3A2A">
        <w:rPr>
          <w:rFonts w:asciiTheme="minorHAnsi" w:hAnsiTheme="minorHAnsi" w:cstheme="minorHAnsi"/>
          <w:spacing w:val="1"/>
          <w:sz w:val="22"/>
        </w:rPr>
        <w:t xml:space="preserve"> </w:t>
      </w:r>
      <w:r w:rsidRPr="001D3A2A">
        <w:rPr>
          <w:rFonts w:asciiTheme="minorHAnsi" w:hAnsiTheme="minorHAnsi" w:cstheme="minorHAnsi"/>
          <w:sz w:val="22"/>
        </w:rPr>
        <w:t>will</w:t>
      </w:r>
      <w:r w:rsidRPr="001D3A2A">
        <w:rPr>
          <w:rFonts w:asciiTheme="minorHAnsi" w:hAnsiTheme="minorHAnsi" w:cstheme="minorHAnsi"/>
          <w:spacing w:val="-2"/>
          <w:sz w:val="22"/>
        </w:rPr>
        <w:t xml:space="preserve"> </w:t>
      </w:r>
      <w:r w:rsidRPr="001D3A2A">
        <w:rPr>
          <w:rFonts w:asciiTheme="minorHAnsi" w:hAnsiTheme="minorHAnsi" w:cstheme="minorHAnsi"/>
          <w:spacing w:val="1"/>
          <w:sz w:val="22"/>
        </w:rPr>
        <w:t>v</w:t>
      </w:r>
      <w:r w:rsidRPr="001D3A2A">
        <w:rPr>
          <w:rFonts w:asciiTheme="minorHAnsi" w:hAnsiTheme="minorHAnsi" w:cstheme="minorHAnsi"/>
          <w:sz w:val="22"/>
        </w:rPr>
        <w:t>ary (s</w:t>
      </w:r>
      <w:r w:rsidRPr="001D3A2A">
        <w:rPr>
          <w:rFonts w:asciiTheme="minorHAnsi" w:hAnsiTheme="minorHAnsi" w:cstheme="minorHAnsi"/>
          <w:spacing w:val="-1"/>
          <w:sz w:val="22"/>
        </w:rPr>
        <w:t>o</w:t>
      </w:r>
      <w:r w:rsidRPr="001D3A2A">
        <w:rPr>
          <w:rFonts w:asciiTheme="minorHAnsi" w:hAnsiTheme="minorHAnsi" w:cstheme="minorHAnsi"/>
          <w:spacing w:val="1"/>
          <w:sz w:val="22"/>
        </w:rPr>
        <w:t>m</w:t>
      </w:r>
      <w:r w:rsidRPr="001D3A2A">
        <w:rPr>
          <w:rFonts w:asciiTheme="minorHAnsi" w:hAnsiTheme="minorHAnsi" w:cstheme="minorHAnsi"/>
          <w:sz w:val="22"/>
        </w:rPr>
        <w:t>e</w:t>
      </w:r>
      <w:r w:rsidRPr="001D3A2A">
        <w:rPr>
          <w:rFonts w:asciiTheme="minorHAnsi" w:hAnsiTheme="minorHAnsi" w:cstheme="minorHAnsi"/>
          <w:spacing w:val="1"/>
          <w:sz w:val="22"/>
        </w:rPr>
        <w:t>t</w:t>
      </w:r>
      <w:r w:rsidRPr="001D3A2A">
        <w:rPr>
          <w:rFonts w:asciiTheme="minorHAnsi" w:hAnsiTheme="minorHAnsi" w:cstheme="minorHAnsi"/>
          <w:spacing w:val="-3"/>
          <w:sz w:val="22"/>
        </w:rPr>
        <w:t>i</w:t>
      </w:r>
      <w:r w:rsidRPr="001D3A2A">
        <w:rPr>
          <w:rFonts w:asciiTheme="minorHAnsi" w:hAnsiTheme="minorHAnsi" w:cstheme="minorHAnsi"/>
          <w:spacing w:val="-1"/>
          <w:sz w:val="22"/>
        </w:rPr>
        <w:t>m</w:t>
      </w:r>
      <w:r w:rsidRPr="001D3A2A">
        <w:rPr>
          <w:rFonts w:asciiTheme="minorHAnsi" w:hAnsiTheme="minorHAnsi" w:cstheme="minorHAnsi"/>
          <w:sz w:val="22"/>
        </w:rPr>
        <w:t>es</w:t>
      </w:r>
      <w:r w:rsidRPr="001D3A2A">
        <w:rPr>
          <w:rFonts w:asciiTheme="minorHAnsi" w:hAnsiTheme="minorHAnsi" w:cstheme="minorHAnsi"/>
          <w:spacing w:val="1"/>
          <w:sz w:val="22"/>
        </w:rPr>
        <w:t xml:space="preserve"> </w:t>
      </w:r>
      <w:r w:rsidRPr="001D3A2A">
        <w:rPr>
          <w:rFonts w:asciiTheme="minorHAnsi" w:hAnsiTheme="minorHAnsi" w:cstheme="minorHAnsi"/>
          <w:sz w:val="22"/>
        </w:rPr>
        <w:t>si</w:t>
      </w:r>
      <w:r w:rsidRPr="001D3A2A">
        <w:rPr>
          <w:rFonts w:asciiTheme="minorHAnsi" w:hAnsiTheme="minorHAnsi" w:cstheme="minorHAnsi"/>
          <w:spacing w:val="-1"/>
          <w:sz w:val="22"/>
        </w:rPr>
        <w:t>gn</w:t>
      </w:r>
      <w:r w:rsidRPr="001D3A2A">
        <w:rPr>
          <w:rFonts w:asciiTheme="minorHAnsi" w:hAnsiTheme="minorHAnsi" w:cstheme="minorHAnsi"/>
          <w:sz w:val="22"/>
        </w:rPr>
        <w:t>if</w:t>
      </w:r>
      <w:r w:rsidRPr="001D3A2A">
        <w:rPr>
          <w:rFonts w:asciiTheme="minorHAnsi" w:hAnsiTheme="minorHAnsi" w:cstheme="minorHAnsi"/>
          <w:spacing w:val="-1"/>
          <w:sz w:val="22"/>
        </w:rPr>
        <w:t>i</w:t>
      </w:r>
      <w:r w:rsidRPr="001D3A2A">
        <w:rPr>
          <w:rFonts w:asciiTheme="minorHAnsi" w:hAnsiTheme="minorHAnsi" w:cstheme="minorHAnsi"/>
          <w:sz w:val="22"/>
        </w:rPr>
        <w:t>ca</w:t>
      </w:r>
      <w:r w:rsidRPr="001D3A2A">
        <w:rPr>
          <w:rFonts w:asciiTheme="minorHAnsi" w:hAnsiTheme="minorHAnsi" w:cstheme="minorHAnsi"/>
          <w:spacing w:val="-1"/>
          <w:sz w:val="22"/>
        </w:rPr>
        <w:t>n</w:t>
      </w:r>
      <w:r w:rsidRPr="001D3A2A">
        <w:rPr>
          <w:rFonts w:asciiTheme="minorHAnsi" w:hAnsiTheme="minorHAnsi" w:cstheme="minorHAnsi"/>
          <w:sz w:val="22"/>
        </w:rPr>
        <w:t>t</w:t>
      </w:r>
      <w:r w:rsidRPr="001D3A2A">
        <w:rPr>
          <w:rFonts w:asciiTheme="minorHAnsi" w:hAnsiTheme="minorHAnsi" w:cstheme="minorHAnsi"/>
          <w:spacing w:val="-2"/>
          <w:sz w:val="22"/>
        </w:rPr>
        <w:t>l</w:t>
      </w:r>
      <w:r w:rsidRPr="001D3A2A">
        <w:rPr>
          <w:rFonts w:asciiTheme="minorHAnsi" w:hAnsiTheme="minorHAnsi" w:cstheme="minorHAnsi"/>
          <w:spacing w:val="1"/>
          <w:sz w:val="22"/>
        </w:rPr>
        <w:t>y</w:t>
      </w:r>
      <w:r w:rsidRPr="001D3A2A">
        <w:rPr>
          <w:rFonts w:asciiTheme="minorHAnsi" w:hAnsiTheme="minorHAnsi" w:cstheme="minorHAnsi"/>
          <w:sz w:val="22"/>
        </w:rPr>
        <w:t>)</w:t>
      </w:r>
      <w:r w:rsidRPr="001D3A2A">
        <w:rPr>
          <w:rFonts w:asciiTheme="minorHAnsi" w:hAnsiTheme="minorHAnsi" w:cstheme="minorHAnsi"/>
          <w:spacing w:val="1"/>
          <w:sz w:val="22"/>
        </w:rPr>
        <w:t xml:space="preserve"> </w:t>
      </w:r>
      <w:r w:rsidRPr="001D3A2A">
        <w:rPr>
          <w:rFonts w:asciiTheme="minorHAnsi" w:hAnsiTheme="minorHAnsi" w:cstheme="minorHAnsi"/>
          <w:sz w:val="22"/>
        </w:rPr>
        <w:t>in</w:t>
      </w:r>
      <w:r w:rsidRPr="001D3A2A">
        <w:rPr>
          <w:rFonts w:asciiTheme="minorHAnsi" w:hAnsiTheme="minorHAnsi" w:cstheme="minorHAnsi"/>
          <w:spacing w:val="-3"/>
          <w:sz w:val="22"/>
        </w:rPr>
        <w:t xml:space="preserve"> </w:t>
      </w:r>
      <w:r w:rsidRPr="001D3A2A">
        <w:rPr>
          <w:rFonts w:asciiTheme="minorHAnsi" w:hAnsiTheme="minorHAnsi" w:cstheme="minorHAnsi"/>
          <w:sz w:val="22"/>
        </w:rPr>
        <w:t>di</w:t>
      </w:r>
      <w:r w:rsidRPr="001D3A2A">
        <w:rPr>
          <w:rFonts w:asciiTheme="minorHAnsi" w:hAnsiTheme="minorHAnsi" w:cstheme="minorHAnsi"/>
          <w:spacing w:val="-1"/>
          <w:sz w:val="22"/>
        </w:rPr>
        <w:t>f</w:t>
      </w:r>
      <w:r w:rsidRPr="001D3A2A">
        <w:rPr>
          <w:rFonts w:asciiTheme="minorHAnsi" w:hAnsiTheme="minorHAnsi" w:cstheme="minorHAnsi"/>
          <w:sz w:val="22"/>
        </w:rPr>
        <w:t>ferent</w:t>
      </w:r>
      <w:r w:rsidRPr="001D3A2A">
        <w:rPr>
          <w:rFonts w:asciiTheme="minorHAnsi" w:hAnsiTheme="minorHAnsi" w:cstheme="minorHAnsi"/>
          <w:spacing w:val="1"/>
          <w:sz w:val="22"/>
        </w:rPr>
        <w:t xml:space="preserve"> </w:t>
      </w:r>
      <w:r w:rsidRPr="001D3A2A">
        <w:rPr>
          <w:rFonts w:asciiTheme="minorHAnsi" w:hAnsiTheme="minorHAnsi" w:cstheme="minorHAnsi"/>
          <w:spacing w:val="-3"/>
          <w:sz w:val="22"/>
        </w:rPr>
        <w:t>d</w:t>
      </w:r>
      <w:r w:rsidRPr="001D3A2A">
        <w:rPr>
          <w:rFonts w:asciiTheme="minorHAnsi" w:hAnsiTheme="minorHAnsi" w:cstheme="minorHAnsi"/>
          <w:spacing w:val="-1"/>
          <w:sz w:val="22"/>
        </w:rPr>
        <w:t>o</w:t>
      </w:r>
      <w:r w:rsidRPr="001D3A2A">
        <w:rPr>
          <w:rFonts w:asciiTheme="minorHAnsi" w:hAnsiTheme="minorHAnsi" w:cstheme="minorHAnsi"/>
          <w:spacing w:val="1"/>
          <w:sz w:val="22"/>
        </w:rPr>
        <w:t>m</w:t>
      </w:r>
      <w:r w:rsidRPr="001D3A2A">
        <w:rPr>
          <w:rFonts w:asciiTheme="minorHAnsi" w:hAnsiTheme="minorHAnsi" w:cstheme="minorHAnsi"/>
          <w:sz w:val="22"/>
        </w:rPr>
        <w:t>ai</w:t>
      </w:r>
      <w:r w:rsidRPr="001D3A2A">
        <w:rPr>
          <w:rFonts w:asciiTheme="minorHAnsi" w:hAnsiTheme="minorHAnsi" w:cstheme="minorHAnsi"/>
          <w:spacing w:val="-1"/>
          <w:sz w:val="22"/>
        </w:rPr>
        <w:t>n</w:t>
      </w:r>
      <w:r w:rsidRPr="001D3A2A">
        <w:rPr>
          <w:rFonts w:asciiTheme="minorHAnsi" w:hAnsiTheme="minorHAnsi" w:cstheme="minorHAnsi"/>
          <w:sz w:val="22"/>
        </w:rPr>
        <w:t>s and</w:t>
      </w:r>
      <w:r w:rsidRPr="001D3A2A">
        <w:rPr>
          <w:rFonts w:asciiTheme="minorHAnsi" w:hAnsiTheme="minorHAnsi" w:cstheme="minorHAnsi"/>
          <w:spacing w:val="-1"/>
          <w:sz w:val="22"/>
        </w:rPr>
        <w:t xml:space="preserve"> </w:t>
      </w:r>
      <w:r w:rsidRPr="001D3A2A">
        <w:rPr>
          <w:rFonts w:asciiTheme="minorHAnsi" w:hAnsiTheme="minorHAnsi" w:cstheme="minorHAnsi"/>
          <w:sz w:val="22"/>
        </w:rPr>
        <w:t>s</w:t>
      </w:r>
      <w:r w:rsidRPr="001D3A2A">
        <w:rPr>
          <w:rFonts w:asciiTheme="minorHAnsi" w:hAnsiTheme="minorHAnsi" w:cstheme="minorHAnsi"/>
          <w:spacing w:val="-1"/>
          <w:sz w:val="22"/>
        </w:rPr>
        <w:t>e</w:t>
      </w:r>
      <w:r w:rsidRPr="001D3A2A">
        <w:rPr>
          <w:rFonts w:asciiTheme="minorHAnsi" w:hAnsiTheme="minorHAnsi" w:cstheme="minorHAnsi"/>
          <w:sz w:val="22"/>
        </w:rPr>
        <w:t>c</w:t>
      </w:r>
      <w:r w:rsidRPr="001D3A2A">
        <w:rPr>
          <w:rFonts w:asciiTheme="minorHAnsi" w:hAnsiTheme="minorHAnsi" w:cstheme="minorHAnsi"/>
          <w:spacing w:val="-2"/>
          <w:sz w:val="22"/>
        </w:rPr>
        <w:t>t</w:t>
      </w:r>
      <w:r w:rsidRPr="001D3A2A">
        <w:rPr>
          <w:rFonts w:asciiTheme="minorHAnsi" w:hAnsiTheme="minorHAnsi" w:cstheme="minorHAnsi"/>
          <w:spacing w:val="1"/>
          <w:sz w:val="22"/>
        </w:rPr>
        <w:t>o</w:t>
      </w:r>
      <w:r w:rsidRPr="001D3A2A">
        <w:rPr>
          <w:rFonts w:asciiTheme="minorHAnsi" w:hAnsiTheme="minorHAnsi" w:cstheme="minorHAnsi"/>
          <w:sz w:val="22"/>
        </w:rPr>
        <w:t>rs, d</w:t>
      </w:r>
      <w:r w:rsidRPr="001D3A2A">
        <w:rPr>
          <w:rFonts w:asciiTheme="minorHAnsi" w:hAnsiTheme="minorHAnsi" w:cstheme="minorHAnsi"/>
          <w:spacing w:val="-1"/>
          <w:sz w:val="22"/>
        </w:rPr>
        <w:t>u</w:t>
      </w:r>
      <w:r w:rsidRPr="001D3A2A">
        <w:rPr>
          <w:rFonts w:asciiTheme="minorHAnsi" w:hAnsiTheme="minorHAnsi" w:cstheme="minorHAnsi"/>
          <w:sz w:val="22"/>
        </w:rPr>
        <w:t>e</w:t>
      </w:r>
      <w:r w:rsidRPr="001D3A2A">
        <w:rPr>
          <w:rFonts w:asciiTheme="minorHAnsi" w:hAnsiTheme="minorHAnsi" w:cstheme="minorHAnsi"/>
          <w:spacing w:val="-2"/>
          <w:sz w:val="22"/>
        </w:rPr>
        <w:t xml:space="preserve"> t</w:t>
      </w:r>
      <w:r w:rsidRPr="001D3A2A">
        <w:rPr>
          <w:rFonts w:asciiTheme="minorHAnsi" w:hAnsiTheme="minorHAnsi" w:cstheme="minorHAnsi"/>
          <w:sz w:val="22"/>
        </w:rPr>
        <w:t>o</w:t>
      </w:r>
      <w:r w:rsidRPr="001D3A2A">
        <w:rPr>
          <w:rFonts w:asciiTheme="minorHAnsi" w:hAnsiTheme="minorHAnsi" w:cstheme="minorHAnsi"/>
          <w:spacing w:val="1"/>
          <w:sz w:val="22"/>
        </w:rPr>
        <w:t xml:space="preserve"> t</w:t>
      </w:r>
      <w:r w:rsidRPr="001D3A2A">
        <w:rPr>
          <w:rFonts w:asciiTheme="minorHAnsi" w:hAnsiTheme="minorHAnsi" w:cstheme="minorHAnsi"/>
          <w:spacing w:val="-1"/>
          <w:sz w:val="22"/>
        </w:rPr>
        <w:t>h</w:t>
      </w:r>
      <w:r w:rsidRPr="001D3A2A">
        <w:rPr>
          <w:rFonts w:asciiTheme="minorHAnsi" w:hAnsiTheme="minorHAnsi" w:cstheme="minorHAnsi"/>
          <w:sz w:val="22"/>
        </w:rPr>
        <w:t>e</w:t>
      </w:r>
      <w:r w:rsidRPr="001D3A2A">
        <w:rPr>
          <w:rFonts w:asciiTheme="minorHAnsi" w:hAnsiTheme="minorHAnsi" w:cstheme="minorHAnsi"/>
          <w:spacing w:val="-2"/>
          <w:sz w:val="22"/>
        </w:rPr>
        <w:t xml:space="preserve"> </w:t>
      </w:r>
      <w:r w:rsidRPr="001D3A2A">
        <w:rPr>
          <w:rFonts w:asciiTheme="minorHAnsi" w:hAnsiTheme="minorHAnsi" w:cstheme="minorHAnsi"/>
          <w:sz w:val="22"/>
        </w:rPr>
        <w:t>size</w:t>
      </w:r>
      <w:r w:rsidRPr="001D3A2A">
        <w:rPr>
          <w:rFonts w:asciiTheme="minorHAnsi" w:hAnsiTheme="minorHAnsi" w:cstheme="minorHAnsi"/>
          <w:spacing w:val="4"/>
          <w:sz w:val="22"/>
        </w:rPr>
        <w:t xml:space="preserve"> </w:t>
      </w:r>
      <w:r w:rsidRPr="001D3A2A">
        <w:rPr>
          <w:rFonts w:asciiTheme="minorHAnsi" w:hAnsiTheme="minorHAnsi" w:cstheme="minorHAnsi"/>
          <w:sz w:val="22"/>
        </w:rPr>
        <w:t>a</w:t>
      </w:r>
      <w:r w:rsidRPr="001D3A2A">
        <w:rPr>
          <w:rFonts w:asciiTheme="minorHAnsi" w:hAnsiTheme="minorHAnsi" w:cstheme="minorHAnsi"/>
          <w:spacing w:val="-1"/>
          <w:sz w:val="22"/>
        </w:rPr>
        <w:t>n</w:t>
      </w:r>
      <w:r w:rsidRPr="001D3A2A">
        <w:rPr>
          <w:rFonts w:asciiTheme="minorHAnsi" w:hAnsiTheme="minorHAnsi" w:cstheme="minorHAnsi"/>
          <w:sz w:val="22"/>
        </w:rPr>
        <w:t>d</w:t>
      </w:r>
      <w:r w:rsidRPr="001D3A2A">
        <w:rPr>
          <w:rFonts w:asciiTheme="minorHAnsi" w:hAnsiTheme="minorHAnsi" w:cstheme="minorHAnsi"/>
          <w:spacing w:val="-1"/>
          <w:sz w:val="22"/>
        </w:rPr>
        <w:t xml:space="preserve"> </w:t>
      </w:r>
      <w:r w:rsidRPr="001D3A2A">
        <w:rPr>
          <w:rFonts w:asciiTheme="minorHAnsi" w:hAnsiTheme="minorHAnsi" w:cstheme="minorHAnsi"/>
          <w:spacing w:val="-2"/>
          <w:sz w:val="22"/>
        </w:rPr>
        <w:t>c</w:t>
      </w:r>
      <w:r w:rsidRPr="001D3A2A">
        <w:rPr>
          <w:rFonts w:asciiTheme="minorHAnsi" w:hAnsiTheme="minorHAnsi" w:cstheme="minorHAnsi"/>
          <w:spacing w:val="-1"/>
          <w:sz w:val="22"/>
        </w:rPr>
        <w:t>o</w:t>
      </w:r>
      <w:r w:rsidRPr="001D3A2A">
        <w:rPr>
          <w:rFonts w:asciiTheme="minorHAnsi" w:hAnsiTheme="minorHAnsi" w:cstheme="minorHAnsi"/>
          <w:spacing w:val="1"/>
          <w:sz w:val="22"/>
        </w:rPr>
        <w:t>m</w:t>
      </w:r>
      <w:r w:rsidRPr="001D3A2A">
        <w:rPr>
          <w:rFonts w:asciiTheme="minorHAnsi" w:hAnsiTheme="minorHAnsi" w:cstheme="minorHAnsi"/>
          <w:spacing w:val="-1"/>
          <w:sz w:val="22"/>
        </w:rPr>
        <w:t>p</w:t>
      </w:r>
      <w:r w:rsidRPr="001D3A2A">
        <w:rPr>
          <w:rFonts w:asciiTheme="minorHAnsi" w:hAnsiTheme="minorHAnsi" w:cstheme="minorHAnsi"/>
          <w:spacing w:val="1"/>
          <w:sz w:val="22"/>
        </w:rPr>
        <w:t>o</w:t>
      </w:r>
      <w:r w:rsidRPr="001D3A2A">
        <w:rPr>
          <w:rFonts w:asciiTheme="minorHAnsi" w:hAnsiTheme="minorHAnsi" w:cstheme="minorHAnsi"/>
          <w:sz w:val="22"/>
        </w:rPr>
        <w:t>s</w:t>
      </w:r>
      <w:r w:rsidRPr="001D3A2A">
        <w:rPr>
          <w:rFonts w:asciiTheme="minorHAnsi" w:hAnsiTheme="minorHAnsi" w:cstheme="minorHAnsi"/>
          <w:spacing w:val="-3"/>
          <w:sz w:val="22"/>
        </w:rPr>
        <w:t>i</w:t>
      </w:r>
      <w:r w:rsidRPr="001D3A2A">
        <w:rPr>
          <w:rFonts w:asciiTheme="minorHAnsi" w:hAnsiTheme="minorHAnsi" w:cstheme="minorHAnsi"/>
          <w:sz w:val="22"/>
        </w:rPr>
        <w:t>ti</w:t>
      </w:r>
      <w:r w:rsidRPr="001D3A2A">
        <w:rPr>
          <w:rFonts w:asciiTheme="minorHAnsi" w:hAnsiTheme="minorHAnsi" w:cstheme="minorHAnsi"/>
          <w:spacing w:val="1"/>
          <w:sz w:val="22"/>
        </w:rPr>
        <w:t>o</w:t>
      </w:r>
      <w:r w:rsidRPr="001D3A2A">
        <w:rPr>
          <w:rFonts w:asciiTheme="minorHAnsi" w:hAnsiTheme="minorHAnsi" w:cstheme="minorHAnsi"/>
          <w:sz w:val="22"/>
        </w:rPr>
        <w:t>n</w:t>
      </w:r>
      <w:r w:rsidRPr="001D3A2A">
        <w:rPr>
          <w:rFonts w:asciiTheme="minorHAnsi" w:hAnsiTheme="minorHAnsi" w:cstheme="minorHAnsi"/>
          <w:spacing w:val="-3"/>
          <w:sz w:val="22"/>
        </w:rPr>
        <w:t xml:space="preserve"> </w:t>
      </w:r>
      <w:r w:rsidRPr="001D3A2A">
        <w:rPr>
          <w:rFonts w:asciiTheme="minorHAnsi" w:hAnsiTheme="minorHAnsi" w:cstheme="minorHAnsi"/>
          <w:spacing w:val="1"/>
          <w:sz w:val="22"/>
        </w:rPr>
        <w:t>o</w:t>
      </w:r>
      <w:r w:rsidRPr="001D3A2A">
        <w:rPr>
          <w:rFonts w:asciiTheme="minorHAnsi" w:hAnsiTheme="minorHAnsi" w:cstheme="minorHAnsi"/>
          <w:sz w:val="22"/>
        </w:rPr>
        <w:t>f</w:t>
      </w:r>
      <w:r w:rsidRPr="001D3A2A">
        <w:rPr>
          <w:rFonts w:asciiTheme="minorHAnsi" w:hAnsiTheme="minorHAnsi" w:cstheme="minorHAnsi"/>
          <w:spacing w:val="-2"/>
          <w:sz w:val="22"/>
        </w:rPr>
        <w:t xml:space="preserve"> </w:t>
      </w:r>
      <w:r w:rsidRPr="001D3A2A">
        <w:rPr>
          <w:rFonts w:asciiTheme="minorHAnsi" w:hAnsiTheme="minorHAnsi" w:cstheme="minorHAnsi"/>
          <w:sz w:val="22"/>
        </w:rPr>
        <w:t>the Gr</w:t>
      </w:r>
      <w:r w:rsidRPr="001D3A2A">
        <w:rPr>
          <w:rFonts w:asciiTheme="minorHAnsi" w:hAnsiTheme="minorHAnsi" w:cstheme="minorHAnsi"/>
          <w:spacing w:val="1"/>
          <w:sz w:val="22"/>
        </w:rPr>
        <w:t>o</w:t>
      </w:r>
      <w:r w:rsidRPr="001D3A2A">
        <w:rPr>
          <w:rFonts w:asciiTheme="minorHAnsi" w:hAnsiTheme="minorHAnsi" w:cstheme="minorHAnsi"/>
          <w:spacing w:val="-1"/>
          <w:sz w:val="22"/>
        </w:rPr>
        <w:t>up</w:t>
      </w:r>
      <w:r w:rsidRPr="001D3A2A">
        <w:rPr>
          <w:rFonts w:asciiTheme="minorHAnsi" w:hAnsiTheme="minorHAnsi" w:cstheme="minorHAnsi"/>
          <w:sz w:val="22"/>
        </w:rPr>
        <w:t>.</w:t>
      </w:r>
    </w:p>
    <w:p w:rsidR="00B50C20" w:rsidRPr="00B50C20" w:rsidRDefault="00B50C20" w:rsidP="00547F40">
      <w:pPr>
        <w:pStyle w:val="Heading3"/>
      </w:pPr>
      <w:r w:rsidRPr="00B50C20">
        <w:t>Duties and Key Result Areas:</w:t>
      </w:r>
      <w:r w:rsidR="003E5564">
        <w:t xml:space="preserve">  </w:t>
      </w:r>
    </w:p>
    <w:p w:rsidR="00AD5AE4" w:rsidRPr="00AD5AE4" w:rsidRDefault="00AD5AE4" w:rsidP="00AD5AE4">
      <w:pPr>
        <w:rPr>
          <w:b/>
          <w:szCs w:val="24"/>
        </w:rPr>
      </w:pPr>
      <w:r w:rsidRPr="00AD5AE4">
        <w:rPr>
          <w:b/>
          <w:szCs w:val="24"/>
        </w:rPr>
        <w:t>Director of Data Standards Body</w:t>
      </w:r>
    </w:p>
    <w:p w:rsidR="00AD5AE4" w:rsidRPr="001D3A2A" w:rsidRDefault="00AD5AE4" w:rsidP="00AD5AE4">
      <w:pPr>
        <w:numPr>
          <w:ilvl w:val="0"/>
          <w:numId w:val="35"/>
        </w:numPr>
        <w:spacing w:before="0" w:after="0" w:line="240" w:lineRule="auto"/>
        <w:ind w:left="927"/>
        <w:jc w:val="both"/>
        <w:rPr>
          <w:rFonts w:cs="Calibri"/>
          <w:sz w:val="22"/>
        </w:rPr>
      </w:pPr>
      <w:r w:rsidRPr="001D3A2A">
        <w:rPr>
          <w:rFonts w:cs="Calibri"/>
          <w:sz w:val="22"/>
        </w:rPr>
        <w:t>Provide overall strategic and operational leadership regarding the development and delivery of the data standards and other materials, to rules and other requirements established by ACCC, OAIC, the Australian Treasury, and the Chair of the Data Standards Body</w:t>
      </w:r>
      <w:r w:rsidR="00DF2030">
        <w:rPr>
          <w:rFonts w:cs="Calibri"/>
          <w:sz w:val="22"/>
        </w:rPr>
        <w:t>;</w:t>
      </w:r>
    </w:p>
    <w:p w:rsidR="00AD5AE4" w:rsidRPr="001D3A2A" w:rsidRDefault="00AD5AE4" w:rsidP="00AD5AE4">
      <w:pPr>
        <w:numPr>
          <w:ilvl w:val="0"/>
          <w:numId w:val="35"/>
        </w:numPr>
        <w:spacing w:before="0" w:after="0" w:line="240" w:lineRule="auto"/>
        <w:ind w:left="927"/>
        <w:jc w:val="both"/>
        <w:rPr>
          <w:rFonts w:cs="Calibri"/>
          <w:sz w:val="22"/>
        </w:rPr>
      </w:pPr>
      <w:r w:rsidRPr="001D3A2A">
        <w:rPr>
          <w:rFonts w:cs="Calibri"/>
          <w:sz w:val="22"/>
        </w:rPr>
        <w:t>Manage recruitment, resource allocation, performance management, and staff development for the Data Standards Body team, spanning a mix of both contractors and Data61 staff</w:t>
      </w:r>
      <w:r w:rsidR="00DF2030">
        <w:rPr>
          <w:rFonts w:cs="Calibri"/>
          <w:sz w:val="22"/>
        </w:rPr>
        <w:t>;</w:t>
      </w:r>
    </w:p>
    <w:p w:rsidR="00AD5AE4" w:rsidRPr="001D3A2A" w:rsidRDefault="00AD5AE4" w:rsidP="00AD5AE4">
      <w:pPr>
        <w:numPr>
          <w:ilvl w:val="0"/>
          <w:numId w:val="35"/>
        </w:numPr>
        <w:spacing w:before="0" w:after="0" w:line="240" w:lineRule="auto"/>
        <w:ind w:left="927"/>
        <w:jc w:val="both"/>
        <w:rPr>
          <w:rFonts w:cs="Calibri"/>
          <w:sz w:val="22"/>
        </w:rPr>
      </w:pPr>
      <w:r w:rsidRPr="001D3A2A">
        <w:rPr>
          <w:rFonts w:cs="Calibri"/>
          <w:sz w:val="22"/>
        </w:rPr>
        <w:t>Ensure the effective delivery of programs of work across the data standards, information security and consumer experience work streams, while identifying issues and problems to be resolved</w:t>
      </w:r>
      <w:r w:rsidR="00DF2030">
        <w:rPr>
          <w:rFonts w:cs="Calibri"/>
          <w:sz w:val="22"/>
        </w:rPr>
        <w:t>;</w:t>
      </w:r>
    </w:p>
    <w:p w:rsidR="00AD5AE4" w:rsidRPr="001D3A2A" w:rsidRDefault="00AD5AE4" w:rsidP="00AD5AE4">
      <w:pPr>
        <w:numPr>
          <w:ilvl w:val="0"/>
          <w:numId w:val="35"/>
        </w:numPr>
        <w:spacing w:before="0" w:after="0" w:line="240" w:lineRule="auto"/>
        <w:ind w:left="927"/>
        <w:jc w:val="both"/>
        <w:rPr>
          <w:rFonts w:cs="Calibri"/>
          <w:sz w:val="22"/>
        </w:rPr>
      </w:pPr>
      <w:r w:rsidRPr="001D3A2A">
        <w:rPr>
          <w:rFonts w:cs="Calibri"/>
          <w:sz w:val="22"/>
        </w:rPr>
        <w:t xml:space="preserve">Communicate effectively and pragmatically regarding </w:t>
      </w:r>
      <w:proofErr w:type="spellStart"/>
      <w:r w:rsidRPr="001D3A2A">
        <w:rPr>
          <w:rFonts w:cs="Calibri"/>
          <w:sz w:val="22"/>
        </w:rPr>
        <w:t>standards</w:t>
      </w:r>
      <w:proofErr w:type="spellEnd"/>
      <w:r w:rsidRPr="001D3A2A">
        <w:rPr>
          <w:rFonts w:cs="Calibri"/>
          <w:sz w:val="22"/>
        </w:rPr>
        <w:t xml:space="preserve"> needs, delivery timelines and key criteria to be addressed with the Data Standards Body Chair and Data61 Program Director</w:t>
      </w:r>
      <w:r w:rsidR="00DF2030">
        <w:rPr>
          <w:rFonts w:cs="Calibri"/>
          <w:sz w:val="22"/>
        </w:rPr>
        <w:t>;</w:t>
      </w:r>
    </w:p>
    <w:p w:rsidR="00AD5AE4" w:rsidRPr="001D3A2A" w:rsidRDefault="00AD5AE4" w:rsidP="00AD5AE4">
      <w:pPr>
        <w:numPr>
          <w:ilvl w:val="0"/>
          <w:numId w:val="35"/>
        </w:numPr>
        <w:spacing w:before="0" w:after="0" w:line="240" w:lineRule="auto"/>
        <w:ind w:left="927"/>
        <w:jc w:val="both"/>
        <w:rPr>
          <w:rFonts w:cs="Calibri"/>
          <w:sz w:val="22"/>
        </w:rPr>
      </w:pPr>
      <w:r w:rsidRPr="001D3A2A">
        <w:rPr>
          <w:rFonts w:cs="Calibri"/>
          <w:sz w:val="22"/>
        </w:rPr>
        <w:t>Seek, allocate and monitor resources and expenditure associated with the Consumer Data Standards</w:t>
      </w:r>
      <w:r w:rsidR="00DF2030">
        <w:rPr>
          <w:rFonts w:cs="Calibri"/>
          <w:sz w:val="22"/>
        </w:rPr>
        <w:t>;</w:t>
      </w:r>
    </w:p>
    <w:p w:rsidR="00AD5AE4" w:rsidRPr="001D3A2A" w:rsidRDefault="00AD5AE4" w:rsidP="00AD5AE4">
      <w:pPr>
        <w:numPr>
          <w:ilvl w:val="0"/>
          <w:numId w:val="35"/>
        </w:numPr>
        <w:spacing w:before="0" w:after="0" w:line="240" w:lineRule="auto"/>
        <w:ind w:left="927"/>
        <w:jc w:val="both"/>
        <w:rPr>
          <w:rFonts w:cs="Calibri"/>
          <w:sz w:val="22"/>
        </w:rPr>
      </w:pPr>
      <w:r w:rsidRPr="001D3A2A">
        <w:rPr>
          <w:rFonts w:cs="Calibri"/>
          <w:sz w:val="22"/>
        </w:rPr>
        <w:lastRenderedPageBreak/>
        <w:t>Work with Data61 and other parts of CSIRO to secure financial, organisational, operational, and technical support for the work of the Data Standards Body</w:t>
      </w:r>
      <w:r w:rsidR="00DF2030">
        <w:rPr>
          <w:rFonts w:cs="Calibri"/>
          <w:sz w:val="22"/>
        </w:rPr>
        <w:t>;</w:t>
      </w:r>
    </w:p>
    <w:p w:rsidR="00AD5AE4" w:rsidRPr="001D3A2A" w:rsidRDefault="00AD5AE4" w:rsidP="00AD5AE4">
      <w:pPr>
        <w:numPr>
          <w:ilvl w:val="0"/>
          <w:numId w:val="35"/>
        </w:numPr>
        <w:spacing w:before="0" w:after="0" w:line="240" w:lineRule="auto"/>
        <w:ind w:left="927"/>
        <w:jc w:val="both"/>
        <w:rPr>
          <w:rFonts w:cs="Calibri"/>
          <w:sz w:val="22"/>
        </w:rPr>
      </w:pPr>
      <w:r w:rsidRPr="001D3A2A">
        <w:rPr>
          <w:rFonts w:cs="Calibri"/>
          <w:sz w:val="22"/>
        </w:rPr>
        <w:t>Represent the Data Standards Body in external settings, and work collaboratively and openly with internal and external colleagues, working group participants and interested stakeholders to ensure usability of standards and buy-in for implementation</w:t>
      </w:r>
      <w:r w:rsidR="00DF2030">
        <w:rPr>
          <w:rFonts w:cs="Calibri"/>
          <w:sz w:val="22"/>
        </w:rPr>
        <w:t>;</w:t>
      </w:r>
    </w:p>
    <w:p w:rsidR="00AD5AE4" w:rsidRPr="001D3A2A" w:rsidRDefault="00AD5AE4" w:rsidP="00AD5AE4">
      <w:pPr>
        <w:numPr>
          <w:ilvl w:val="0"/>
          <w:numId w:val="35"/>
        </w:numPr>
        <w:spacing w:before="0" w:after="0" w:line="240" w:lineRule="auto"/>
        <w:ind w:left="927"/>
        <w:jc w:val="both"/>
        <w:rPr>
          <w:rFonts w:cs="Calibri"/>
          <w:sz w:val="22"/>
        </w:rPr>
      </w:pPr>
      <w:r w:rsidRPr="001D3A2A">
        <w:rPr>
          <w:rFonts w:cs="Calibri"/>
          <w:sz w:val="22"/>
        </w:rPr>
        <w:t>Ensure coaching and on-the-job training is provided to technical and non-technical staff to facilitate the development of the consumer data standards</w:t>
      </w:r>
      <w:r w:rsidR="00DF2030">
        <w:rPr>
          <w:rFonts w:cs="Calibri"/>
          <w:sz w:val="22"/>
        </w:rPr>
        <w:t>;</w:t>
      </w:r>
    </w:p>
    <w:p w:rsidR="00AD5AE4" w:rsidRPr="001D3A2A" w:rsidRDefault="00AD5AE4" w:rsidP="00AD5AE4">
      <w:pPr>
        <w:numPr>
          <w:ilvl w:val="0"/>
          <w:numId w:val="35"/>
        </w:numPr>
        <w:spacing w:before="0" w:after="0" w:line="240" w:lineRule="auto"/>
        <w:ind w:left="927"/>
        <w:jc w:val="both"/>
        <w:rPr>
          <w:rFonts w:cs="Calibri"/>
          <w:sz w:val="22"/>
        </w:rPr>
      </w:pPr>
      <w:r w:rsidRPr="001D3A2A">
        <w:rPr>
          <w:rFonts w:cs="Calibri"/>
          <w:sz w:val="22"/>
        </w:rPr>
        <w:t>Adhere to the spirit and practice of CSIRO's Values, Health, Safety and Environment plans and policies, Diversity initiatives and Zero Harm goals</w:t>
      </w:r>
      <w:r w:rsidR="00DF2030">
        <w:rPr>
          <w:rFonts w:cs="Calibri"/>
          <w:sz w:val="22"/>
        </w:rPr>
        <w:t>;</w:t>
      </w:r>
    </w:p>
    <w:p w:rsidR="00AD5AE4" w:rsidRPr="001D3A2A" w:rsidRDefault="00AD5AE4" w:rsidP="00AD5AE4">
      <w:pPr>
        <w:pStyle w:val="ListParagraph"/>
        <w:numPr>
          <w:ilvl w:val="0"/>
          <w:numId w:val="35"/>
        </w:numPr>
        <w:spacing w:before="0" w:after="0"/>
        <w:ind w:left="927"/>
        <w:rPr>
          <w:sz w:val="22"/>
        </w:rPr>
      </w:pPr>
      <w:r w:rsidRPr="001D3A2A">
        <w:rPr>
          <w:rFonts w:cs="Calibri"/>
          <w:sz w:val="22"/>
        </w:rPr>
        <w:t>Other duties as directed.</w:t>
      </w:r>
    </w:p>
    <w:p w:rsidR="001D3A2A" w:rsidRDefault="001D3A2A" w:rsidP="00AD5AE4">
      <w:pPr>
        <w:rPr>
          <w:b/>
          <w:szCs w:val="24"/>
        </w:rPr>
      </w:pPr>
    </w:p>
    <w:p w:rsidR="00AD5AE4" w:rsidRPr="00AD5AE4" w:rsidRDefault="00AD5AE4" w:rsidP="00AD5AE4">
      <w:pPr>
        <w:rPr>
          <w:b/>
          <w:szCs w:val="24"/>
        </w:rPr>
      </w:pPr>
      <w:r w:rsidRPr="00AD5AE4">
        <w:rPr>
          <w:b/>
          <w:szCs w:val="24"/>
        </w:rPr>
        <w:t>Impact Science Leadership</w:t>
      </w:r>
    </w:p>
    <w:p w:rsidR="00AD5AE4" w:rsidRPr="001D3A2A" w:rsidRDefault="00AD5AE4" w:rsidP="00AD5AE4">
      <w:pPr>
        <w:numPr>
          <w:ilvl w:val="0"/>
          <w:numId w:val="32"/>
        </w:numPr>
        <w:spacing w:before="0" w:after="0" w:line="240" w:lineRule="auto"/>
        <w:rPr>
          <w:sz w:val="22"/>
        </w:rPr>
      </w:pPr>
      <w:r w:rsidRPr="001D3A2A">
        <w:rPr>
          <w:sz w:val="22"/>
        </w:rPr>
        <w:t>Contribute to science impact planning, implementation and review for the Research Program with a focus on the Research Group;</w:t>
      </w:r>
    </w:p>
    <w:p w:rsidR="00AD5AE4" w:rsidRPr="001D3A2A" w:rsidRDefault="00AD5AE4" w:rsidP="00AD5AE4">
      <w:pPr>
        <w:pStyle w:val="ListParagraph"/>
        <w:numPr>
          <w:ilvl w:val="0"/>
          <w:numId w:val="32"/>
        </w:numPr>
        <w:spacing w:before="0" w:after="0" w:line="240" w:lineRule="auto"/>
        <w:contextualSpacing w:val="0"/>
        <w:rPr>
          <w:rFonts w:asciiTheme="minorHAnsi" w:eastAsiaTheme="majorEastAsia" w:hAnsiTheme="minorHAnsi" w:cstheme="minorHAnsi"/>
          <w:iCs/>
          <w:sz w:val="22"/>
        </w:rPr>
      </w:pPr>
      <w:r w:rsidRPr="001D3A2A">
        <w:rPr>
          <w:rFonts w:asciiTheme="minorHAnsi" w:eastAsiaTheme="majorEastAsia" w:hAnsiTheme="minorHAnsi" w:cstheme="minorHAnsi"/>
          <w:iCs/>
          <w:sz w:val="22"/>
        </w:rPr>
        <w:t>Catalyse science thinking - form/support science networks, sponsor exploratory and capability development projects;</w:t>
      </w:r>
    </w:p>
    <w:p w:rsidR="00AD5AE4" w:rsidRPr="001D3A2A" w:rsidRDefault="00AD5AE4" w:rsidP="00AD5AE4">
      <w:pPr>
        <w:pStyle w:val="ListParagraph"/>
        <w:numPr>
          <w:ilvl w:val="0"/>
          <w:numId w:val="32"/>
        </w:numPr>
        <w:spacing w:before="0" w:after="0" w:line="240" w:lineRule="auto"/>
        <w:contextualSpacing w:val="0"/>
        <w:rPr>
          <w:rFonts w:asciiTheme="minorHAnsi" w:eastAsiaTheme="majorEastAsia" w:hAnsiTheme="minorHAnsi" w:cstheme="minorHAnsi"/>
          <w:iCs/>
          <w:sz w:val="22"/>
        </w:rPr>
      </w:pPr>
      <w:r w:rsidRPr="001D3A2A">
        <w:rPr>
          <w:rFonts w:asciiTheme="minorHAnsi" w:eastAsiaTheme="majorEastAsia" w:hAnsiTheme="minorHAnsi" w:cstheme="minorHAnsi"/>
          <w:iCs/>
          <w:sz w:val="22"/>
        </w:rPr>
        <w:t>Design, lead and deliver to projects of scale and/or complexity;</w:t>
      </w:r>
    </w:p>
    <w:p w:rsidR="00AD5AE4" w:rsidRPr="001D3A2A" w:rsidRDefault="00AD5AE4" w:rsidP="00AD5AE4">
      <w:pPr>
        <w:pStyle w:val="ListParagraph"/>
        <w:numPr>
          <w:ilvl w:val="0"/>
          <w:numId w:val="32"/>
        </w:numPr>
        <w:spacing w:before="0" w:after="0" w:line="240" w:lineRule="auto"/>
        <w:contextualSpacing w:val="0"/>
        <w:rPr>
          <w:rFonts w:asciiTheme="minorHAnsi" w:eastAsiaTheme="majorEastAsia" w:hAnsiTheme="minorHAnsi" w:cstheme="minorHAnsi"/>
          <w:iCs/>
          <w:sz w:val="22"/>
        </w:rPr>
      </w:pPr>
      <w:r w:rsidRPr="001D3A2A">
        <w:rPr>
          <w:rFonts w:asciiTheme="minorHAnsi" w:eastAsiaTheme="majorEastAsia" w:hAnsiTheme="minorHAnsi" w:cstheme="minorHAnsi"/>
          <w:iCs/>
          <w:sz w:val="22"/>
        </w:rPr>
        <w:t>Engage key stakeholders and clients to build support for investment in problem/opportunity;</w:t>
      </w:r>
    </w:p>
    <w:p w:rsidR="00AD5AE4" w:rsidRPr="001D3A2A" w:rsidRDefault="00AD5AE4" w:rsidP="00AD5AE4">
      <w:pPr>
        <w:numPr>
          <w:ilvl w:val="0"/>
          <w:numId w:val="32"/>
        </w:numPr>
        <w:spacing w:before="0" w:after="0" w:line="240" w:lineRule="auto"/>
        <w:rPr>
          <w:sz w:val="22"/>
        </w:rPr>
      </w:pPr>
      <w:r w:rsidRPr="001D3A2A">
        <w:rPr>
          <w:sz w:val="22"/>
        </w:rPr>
        <w:t>Develop an R&amp;D working environment characterised by science excellence, creativity, inclusion, innovation and flexibility;</w:t>
      </w:r>
    </w:p>
    <w:p w:rsidR="00AD5AE4" w:rsidRPr="001D3A2A" w:rsidRDefault="00AD5AE4" w:rsidP="00AD5AE4">
      <w:pPr>
        <w:numPr>
          <w:ilvl w:val="0"/>
          <w:numId w:val="32"/>
        </w:numPr>
        <w:spacing w:before="0" w:after="0" w:line="240" w:lineRule="auto"/>
        <w:rPr>
          <w:sz w:val="22"/>
        </w:rPr>
      </w:pPr>
      <w:r w:rsidRPr="001D3A2A">
        <w:rPr>
          <w:sz w:val="22"/>
        </w:rPr>
        <w:t>Identify new opportunities for science delivery, impact and adoption;</w:t>
      </w:r>
    </w:p>
    <w:p w:rsidR="00AD5AE4" w:rsidRPr="001D3A2A" w:rsidRDefault="00AD5AE4" w:rsidP="00AD5AE4">
      <w:pPr>
        <w:numPr>
          <w:ilvl w:val="0"/>
          <w:numId w:val="32"/>
        </w:numPr>
        <w:spacing w:before="0" w:after="0" w:line="240" w:lineRule="auto"/>
        <w:rPr>
          <w:sz w:val="22"/>
        </w:rPr>
      </w:pPr>
      <w:r w:rsidRPr="001D3A2A">
        <w:rPr>
          <w:sz w:val="22"/>
        </w:rPr>
        <w:t>Ensure compliance with CSIRO’s Project Management Standard across the Group.</w:t>
      </w:r>
    </w:p>
    <w:p w:rsidR="001D3A2A" w:rsidRDefault="001D3A2A" w:rsidP="00AD5AE4">
      <w:pPr>
        <w:rPr>
          <w:b/>
          <w:szCs w:val="24"/>
        </w:rPr>
      </w:pPr>
    </w:p>
    <w:p w:rsidR="00AD5AE4" w:rsidRPr="00AD5AE4" w:rsidRDefault="00AD5AE4" w:rsidP="00AD5AE4">
      <w:pPr>
        <w:rPr>
          <w:b/>
          <w:szCs w:val="24"/>
        </w:rPr>
      </w:pPr>
      <w:r w:rsidRPr="00AD5AE4">
        <w:rPr>
          <w:b/>
          <w:szCs w:val="24"/>
        </w:rPr>
        <w:t>Capability Leadership</w:t>
      </w:r>
    </w:p>
    <w:p w:rsidR="00AD5AE4" w:rsidRPr="001D3A2A" w:rsidRDefault="00AD5AE4" w:rsidP="00AD5AE4">
      <w:pPr>
        <w:numPr>
          <w:ilvl w:val="0"/>
          <w:numId w:val="32"/>
        </w:numPr>
        <w:spacing w:before="0" w:after="0" w:line="240" w:lineRule="auto"/>
        <w:rPr>
          <w:sz w:val="22"/>
        </w:rPr>
      </w:pPr>
      <w:r w:rsidRPr="001D3A2A">
        <w:rPr>
          <w:sz w:val="22"/>
        </w:rPr>
        <w:t>Strive for a healthy, safe and environmentally sustainable workplace;</w:t>
      </w:r>
    </w:p>
    <w:p w:rsidR="00AD5AE4" w:rsidRPr="001D3A2A" w:rsidRDefault="00AD5AE4" w:rsidP="00AD5AE4">
      <w:pPr>
        <w:pStyle w:val="ListParagraph"/>
        <w:numPr>
          <w:ilvl w:val="0"/>
          <w:numId w:val="32"/>
        </w:numPr>
        <w:spacing w:before="0" w:after="0" w:line="240" w:lineRule="auto"/>
        <w:contextualSpacing w:val="0"/>
        <w:rPr>
          <w:rFonts w:asciiTheme="minorHAnsi" w:eastAsiaTheme="majorEastAsia" w:hAnsiTheme="minorHAnsi" w:cstheme="minorHAnsi"/>
          <w:iCs/>
          <w:sz w:val="22"/>
        </w:rPr>
      </w:pPr>
      <w:r w:rsidRPr="001D3A2A">
        <w:rPr>
          <w:rFonts w:asciiTheme="minorHAnsi" w:eastAsiaTheme="majorEastAsia" w:hAnsiTheme="minorHAnsi" w:cstheme="minorHAnsi"/>
          <w:iCs/>
          <w:sz w:val="22"/>
        </w:rPr>
        <w:t>Create an environment that enables others to achieve personal and CSIRO goals that align with CSIRO strategy;</w:t>
      </w:r>
    </w:p>
    <w:p w:rsidR="00AD5AE4" w:rsidRPr="001D3A2A" w:rsidRDefault="00AD5AE4" w:rsidP="00AD5AE4">
      <w:pPr>
        <w:pStyle w:val="ListParagraph"/>
        <w:numPr>
          <w:ilvl w:val="0"/>
          <w:numId w:val="32"/>
        </w:numPr>
        <w:spacing w:before="0" w:after="0" w:line="240" w:lineRule="auto"/>
        <w:contextualSpacing w:val="0"/>
        <w:rPr>
          <w:rFonts w:asciiTheme="minorHAnsi" w:eastAsiaTheme="majorEastAsia" w:hAnsiTheme="minorHAnsi" w:cstheme="minorHAnsi"/>
          <w:iCs/>
          <w:sz w:val="22"/>
        </w:rPr>
      </w:pPr>
      <w:r w:rsidRPr="001D3A2A">
        <w:rPr>
          <w:rFonts w:asciiTheme="minorHAnsi" w:eastAsiaTheme="majorEastAsia" w:hAnsiTheme="minorHAnsi" w:cstheme="minorHAnsi"/>
          <w:iCs/>
          <w:sz w:val="22"/>
        </w:rPr>
        <w:t>Attract, develop and retain world class talent which will meet current future needs of the Program;</w:t>
      </w:r>
    </w:p>
    <w:p w:rsidR="00AD5AE4" w:rsidRPr="001D3A2A" w:rsidRDefault="00AD5AE4" w:rsidP="00AD5AE4">
      <w:pPr>
        <w:pStyle w:val="ListParagraph"/>
        <w:numPr>
          <w:ilvl w:val="0"/>
          <w:numId w:val="32"/>
        </w:numPr>
        <w:spacing w:before="0" w:after="0" w:line="240" w:lineRule="auto"/>
        <w:contextualSpacing w:val="0"/>
        <w:rPr>
          <w:sz w:val="22"/>
        </w:rPr>
      </w:pPr>
      <w:r w:rsidRPr="001D3A2A">
        <w:rPr>
          <w:sz w:val="22"/>
        </w:rPr>
        <w:t>Communicate openly, effectively and respectfully with all staff, clients and collaborators in the interests of good business practice, collaboration and enhancement of CSIRO’s reputation.</w:t>
      </w:r>
    </w:p>
    <w:p w:rsidR="00AD5AE4" w:rsidRPr="001D3A2A" w:rsidRDefault="00AD5AE4" w:rsidP="00AD5AE4">
      <w:pPr>
        <w:pStyle w:val="ListParagraph"/>
        <w:numPr>
          <w:ilvl w:val="0"/>
          <w:numId w:val="32"/>
        </w:numPr>
        <w:spacing w:before="0" w:after="0" w:line="240" w:lineRule="auto"/>
        <w:contextualSpacing w:val="0"/>
        <w:rPr>
          <w:rFonts w:asciiTheme="minorHAnsi" w:eastAsiaTheme="majorEastAsia" w:hAnsiTheme="minorHAnsi" w:cstheme="minorHAnsi"/>
          <w:iCs/>
          <w:sz w:val="22"/>
        </w:rPr>
      </w:pPr>
      <w:r w:rsidRPr="001D3A2A">
        <w:rPr>
          <w:rFonts w:asciiTheme="minorHAnsi" w:eastAsiaTheme="majorEastAsia" w:hAnsiTheme="minorHAnsi" w:cstheme="minorHAnsi"/>
          <w:iCs/>
          <w:sz w:val="22"/>
        </w:rPr>
        <w:t>Model appropriate and professional behaviour in the workplace and manage people matters proactively;</w:t>
      </w:r>
    </w:p>
    <w:p w:rsidR="00AD5AE4" w:rsidRPr="001D3A2A" w:rsidRDefault="00AD5AE4" w:rsidP="00AD5AE4">
      <w:pPr>
        <w:numPr>
          <w:ilvl w:val="0"/>
          <w:numId w:val="32"/>
        </w:numPr>
        <w:spacing w:before="0" w:after="0" w:line="240" w:lineRule="auto"/>
        <w:rPr>
          <w:sz w:val="22"/>
        </w:rPr>
      </w:pPr>
      <w:r w:rsidRPr="001D3A2A">
        <w:rPr>
          <w:sz w:val="22"/>
        </w:rPr>
        <w:t>Contribute to the development of the science and capability strategy for the Program, Business Unit and CSIRO;</w:t>
      </w:r>
    </w:p>
    <w:p w:rsidR="00AD5AE4" w:rsidRPr="001D3A2A" w:rsidRDefault="00AD5AE4" w:rsidP="00AD5AE4">
      <w:pPr>
        <w:numPr>
          <w:ilvl w:val="0"/>
          <w:numId w:val="32"/>
        </w:numPr>
        <w:spacing w:before="0" w:after="0" w:line="240" w:lineRule="auto"/>
        <w:rPr>
          <w:sz w:val="22"/>
        </w:rPr>
      </w:pPr>
      <w:r w:rsidRPr="001D3A2A">
        <w:rPr>
          <w:sz w:val="22"/>
        </w:rPr>
        <w:t xml:space="preserve">Manage project priorities, staff allocation and delivery; </w:t>
      </w:r>
    </w:p>
    <w:p w:rsidR="00AD5AE4" w:rsidRPr="001D3A2A" w:rsidRDefault="00AD5AE4" w:rsidP="001D3A2A">
      <w:pPr>
        <w:numPr>
          <w:ilvl w:val="0"/>
          <w:numId w:val="32"/>
        </w:numPr>
        <w:spacing w:before="0" w:after="0" w:line="240" w:lineRule="auto"/>
        <w:rPr>
          <w:sz w:val="22"/>
        </w:rPr>
      </w:pPr>
      <w:r w:rsidRPr="001D3A2A">
        <w:rPr>
          <w:sz w:val="22"/>
        </w:rPr>
        <w:t>Lead change initiatives and deliver change messages across the Research Group and the Program.</w:t>
      </w:r>
    </w:p>
    <w:p w:rsidR="001D3A2A" w:rsidRDefault="001D3A2A" w:rsidP="00AD5AE4">
      <w:pPr>
        <w:rPr>
          <w:b/>
          <w:szCs w:val="24"/>
        </w:rPr>
      </w:pPr>
    </w:p>
    <w:p w:rsidR="00AD5AE4" w:rsidRPr="00AD5AE4" w:rsidRDefault="00AD5AE4" w:rsidP="00AD5AE4">
      <w:pPr>
        <w:rPr>
          <w:b/>
          <w:szCs w:val="24"/>
        </w:rPr>
      </w:pPr>
      <w:r w:rsidRPr="00AD5AE4">
        <w:rPr>
          <w:b/>
          <w:szCs w:val="24"/>
        </w:rPr>
        <w:t>Resource Leadership</w:t>
      </w:r>
    </w:p>
    <w:p w:rsidR="00AD5AE4" w:rsidRPr="001D3A2A" w:rsidRDefault="00AD5AE4" w:rsidP="00AD5AE4">
      <w:pPr>
        <w:numPr>
          <w:ilvl w:val="0"/>
          <w:numId w:val="32"/>
        </w:numPr>
        <w:spacing w:before="0" w:after="0" w:line="240" w:lineRule="auto"/>
        <w:rPr>
          <w:sz w:val="22"/>
        </w:rPr>
      </w:pPr>
      <w:r w:rsidRPr="001D3A2A">
        <w:rPr>
          <w:sz w:val="22"/>
        </w:rPr>
        <w:t>Support the Research Director in resource management and long-term planning;</w:t>
      </w:r>
    </w:p>
    <w:p w:rsidR="00AD5AE4" w:rsidRPr="001D3A2A" w:rsidRDefault="00AD5AE4" w:rsidP="00AD5AE4">
      <w:pPr>
        <w:numPr>
          <w:ilvl w:val="0"/>
          <w:numId w:val="32"/>
        </w:numPr>
        <w:spacing w:before="0" w:after="0" w:line="240" w:lineRule="auto"/>
        <w:rPr>
          <w:sz w:val="22"/>
        </w:rPr>
      </w:pPr>
      <w:r w:rsidRPr="001D3A2A">
        <w:rPr>
          <w:sz w:val="22"/>
        </w:rPr>
        <w:t>Monitor financial and project performance;</w:t>
      </w:r>
    </w:p>
    <w:p w:rsidR="00AD5AE4" w:rsidRPr="001D3A2A" w:rsidRDefault="00AD5AE4" w:rsidP="00AD5AE4">
      <w:pPr>
        <w:numPr>
          <w:ilvl w:val="0"/>
          <w:numId w:val="32"/>
        </w:numPr>
        <w:spacing w:before="0" w:after="0" w:line="240" w:lineRule="auto"/>
        <w:rPr>
          <w:sz w:val="22"/>
        </w:rPr>
      </w:pPr>
      <w:r w:rsidRPr="001D3A2A">
        <w:rPr>
          <w:sz w:val="22"/>
        </w:rPr>
        <w:t xml:space="preserve">Comply with best practice governance and management of commercial activities and intellectual property in the Program. </w:t>
      </w:r>
    </w:p>
    <w:p w:rsidR="00AD5AE4" w:rsidRDefault="00AD5AE4" w:rsidP="00AD5AE4">
      <w:pPr>
        <w:rPr>
          <w:b/>
          <w:szCs w:val="24"/>
        </w:rPr>
      </w:pPr>
    </w:p>
    <w:p w:rsidR="001D3A2A" w:rsidRPr="00AD5AE4" w:rsidRDefault="001D3A2A" w:rsidP="00AD5AE4">
      <w:pPr>
        <w:rPr>
          <w:b/>
          <w:szCs w:val="24"/>
        </w:rPr>
      </w:pPr>
    </w:p>
    <w:p w:rsidR="00AD5AE4" w:rsidRPr="00AD5AE4" w:rsidRDefault="00AD5AE4" w:rsidP="00AD5AE4">
      <w:pPr>
        <w:rPr>
          <w:b/>
          <w:szCs w:val="24"/>
        </w:rPr>
      </w:pPr>
      <w:r w:rsidRPr="00AD5AE4">
        <w:rPr>
          <w:b/>
          <w:szCs w:val="24"/>
        </w:rPr>
        <w:lastRenderedPageBreak/>
        <w:t>Engagement and Partnerships</w:t>
      </w:r>
    </w:p>
    <w:p w:rsidR="00AD5AE4" w:rsidRPr="001D3A2A" w:rsidRDefault="00AD5AE4" w:rsidP="00AD5AE4">
      <w:pPr>
        <w:numPr>
          <w:ilvl w:val="0"/>
          <w:numId w:val="32"/>
        </w:numPr>
        <w:spacing w:before="0" w:after="0" w:line="240" w:lineRule="auto"/>
        <w:rPr>
          <w:sz w:val="22"/>
        </w:rPr>
      </w:pPr>
      <w:r w:rsidRPr="001D3A2A">
        <w:rPr>
          <w:sz w:val="22"/>
        </w:rPr>
        <w:t>Convey Business Unit strategy and Program goals to internal and external stakeholders;</w:t>
      </w:r>
    </w:p>
    <w:p w:rsidR="00AD5AE4" w:rsidRPr="001D3A2A" w:rsidRDefault="00AD5AE4" w:rsidP="00AD5AE4">
      <w:pPr>
        <w:numPr>
          <w:ilvl w:val="0"/>
          <w:numId w:val="32"/>
        </w:numPr>
        <w:spacing w:before="0" w:after="0" w:line="240" w:lineRule="auto"/>
        <w:rPr>
          <w:sz w:val="22"/>
        </w:rPr>
      </w:pPr>
      <w:r w:rsidRPr="001D3A2A">
        <w:rPr>
          <w:sz w:val="22"/>
        </w:rPr>
        <w:t>Cultivate cross-CSIRO networks to execute the Group, Program and Business Unit strategy;</w:t>
      </w:r>
    </w:p>
    <w:p w:rsidR="00AD5AE4" w:rsidRPr="001D3A2A" w:rsidRDefault="00AD5AE4" w:rsidP="00AD5AE4">
      <w:pPr>
        <w:numPr>
          <w:ilvl w:val="0"/>
          <w:numId w:val="32"/>
        </w:numPr>
        <w:spacing w:before="0" w:after="0" w:line="240" w:lineRule="auto"/>
        <w:rPr>
          <w:sz w:val="22"/>
        </w:rPr>
      </w:pPr>
      <w:r w:rsidRPr="001D3A2A">
        <w:rPr>
          <w:sz w:val="22"/>
        </w:rPr>
        <w:t>Co-ordinate engagement of Group staff with key stakeholders and clients;</w:t>
      </w:r>
    </w:p>
    <w:p w:rsidR="00DA239A" w:rsidRPr="001D3A2A" w:rsidRDefault="00AD5AE4" w:rsidP="00AD5AE4">
      <w:pPr>
        <w:numPr>
          <w:ilvl w:val="0"/>
          <w:numId w:val="32"/>
        </w:numPr>
        <w:spacing w:before="0" w:after="0" w:line="240" w:lineRule="auto"/>
        <w:rPr>
          <w:sz w:val="22"/>
        </w:rPr>
      </w:pPr>
      <w:r w:rsidRPr="001D3A2A">
        <w:rPr>
          <w:sz w:val="22"/>
        </w:rPr>
        <w:t>Develop and maintain national and/or international research collaborations and professional networks.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rsidR="00B50C20" w:rsidRPr="00B50C20" w:rsidRDefault="00B50C20" w:rsidP="005114B8">
          <w:pPr>
            <w:pStyle w:val="Heading2"/>
            <w:rPr>
              <w:b/>
              <w:iCs w:val="0"/>
              <w:color w:val="auto"/>
              <w:sz w:val="26"/>
              <w:szCs w:val="26"/>
            </w:rPr>
          </w:pPr>
          <w:r w:rsidRPr="00B50C20">
            <w:rPr>
              <w:b/>
              <w:iCs w:val="0"/>
              <w:color w:val="auto"/>
              <w:sz w:val="26"/>
              <w:szCs w:val="26"/>
            </w:rPr>
            <w:t xml:space="preserve">Required Competencies: </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6F2A6B" w:rsidRPr="00E93627">
            <w:rPr>
              <w:szCs w:val="24"/>
            </w:rPr>
            <w:t>Creates and fosters an environment in which there is a high level of cooperation within and between teams. Facilitates positive team relationships to build interactions across Business Units and the organisation.</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0E3D44" w:rsidRPr="000E3D44">
            <w:rPr>
              <w:szCs w:val="24"/>
            </w:rPr>
            <w:t>Uses complex influencing strategies, for example, assembling strategic coalitions, building behind the scenes support and the tactical use of information to gain support.</w:t>
          </w:r>
        </w:p>
        <w:p w:rsidR="00F77622" w:rsidRDefault="00B50C20" w:rsidP="00587498">
          <w:pPr>
            <w:pStyle w:val="ListParagraph"/>
            <w:numPr>
              <w:ilvl w:val="0"/>
              <w:numId w:val="27"/>
            </w:numPr>
            <w:spacing w:before="0" w:after="60" w:line="240" w:lineRule="auto"/>
            <w:contextualSpacing w:val="0"/>
            <w:rPr>
              <w:szCs w:val="24"/>
            </w:rPr>
          </w:pPr>
          <w:r w:rsidRPr="00F77622">
            <w:rPr>
              <w:b/>
              <w:szCs w:val="24"/>
            </w:rPr>
            <w:t>Resource Management/Leadership:</w:t>
          </w:r>
          <w:r w:rsidRPr="00F77622">
            <w:rPr>
              <w:szCs w:val="24"/>
            </w:rPr>
            <w:t xml:space="preserve">  </w:t>
          </w:r>
          <w:r w:rsidR="003F007C" w:rsidRPr="003F007C">
            <w:rPr>
              <w:szCs w:val="24"/>
            </w:rPr>
            <w:t>Contributes to or defines Business Unit / organisational policy directions, strategic planning and operationalises the vision for staff and gains commitment to the direction chosen. Plans, seeks, allocates resources and monitors to achieve outcomes. Adopts a mentor role.</w:t>
          </w:r>
        </w:p>
        <w:p w:rsidR="00B50C20" w:rsidRPr="00F77622" w:rsidRDefault="00B50C20" w:rsidP="00587498">
          <w:pPr>
            <w:pStyle w:val="ListParagraph"/>
            <w:numPr>
              <w:ilvl w:val="0"/>
              <w:numId w:val="27"/>
            </w:numPr>
            <w:spacing w:before="0" w:after="60" w:line="240" w:lineRule="auto"/>
            <w:contextualSpacing w:val="0"/>
            <w:rPr>
              <w:szCs w:val="24"/>
            </w:rPr>
          </w:pPr>
          <w:r w:rsidRPr="00F77622">
            <w:rPr>
              <w:b/>
              <w:szCs w:val="24"/>
            </w:rPr>
            <w:t>Judgement and Problem Solving:</w:t>
          </w:r>
          <w:r w:rsidRPr="00F77622">
            <w:rPr>
              <w:szCs w:val="24"/>
            </w:rPr>
            <w:t xml:space="preserve">  </w:t>
          </w:r>
          <w:r w:rsidR="003F007C" w:rsidRPr="003F007C">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0E3D44" w:rsidRPr="000E3D44">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rsidR="00B50C20" w:rsidRPr="000E3D44" w:rsidRDefault="00B50C20" w:rsidP="000E3D44">
          <w:pPr>
            <w:pStyle w:val="ListParagraph"/>
            <w:numPr>
              <w:ilvl w:val="0"/>
              <w:numId w:val="27"/>
            </w:numPr>
            <w:rPr>
              <w:bCs/>
              <w:iCs/>
              <w:szCs w:val="24"/>
            </w:rPr>
          </w:pPr>
          <w:r w:rsidRPr="000E3D44">
            <w:rPr>
              <w:b/>
              <w:szCs w:val="24"/>
            </w:rPr>
            <w:t>Adaptability:</w:t>
          </w:r>
          <w:r w:rsidRPr="000E3D44">
            <w:rPr>
              <w:b/>
              <w:bCs/>
              <w:i/>
              <w:iCs/>
              <w:szCs w:val="24"/>
            </w:rPr>
            <w:t xml:space="preserve"> </w:t>
          </w:r>
          <w:r w:rsidR="000E3D44" w:rsidRPr="000E3D44">
            <w:rPr>
              <w:bCs/>
              <w:iCs/>
              <w:szCs w:val="24"/>
            </w:rPr>
            <w:t>Is flexible in response to external change or when faced with external constraints. Identifies and promotes the opportunities arising as a result of change.</w:t>
          </w:r>
        </w:p>
      </w:sdtContent>
    </w:sdt>
    <w:p w:rsidR="00B50C20" w:rsidRDefault="00B50C20" w:rsidP="00D83C52">
      <w:pPr>
        <w:pStyle w:val="Heading2"/>
        <w:rPr>
          <w:b/>
          <w:iCs w:val="0"/>
          <w:color w:val="auto"/>
          <w:sz w:val="26"/>
          <w:szCs w:val="26"/>
        </w:rPr>
      </w:pPr>
      <w:r w:rsidRPr="00B50C20">
        <w:rPr>
          <w:b/>
          <w:iCs w:val="0"/>
          <w:color w:val="auto"/>
          <w:sz w:val="26"/>
          <w:szCs w:val="26"/>
        </w:rPr>
        <w:t>Selection Criteria</w:t>
      </w:r>
    </w:p>
    <w:p w:rsidR="000B3207" w:rsidRPr="000B3207" w:rsidRDefault="000B3207" w:rsidP="000B3207">
      <w:pPr>
        <w:pStyle w:val="Heading4"/>
      </w:pPr>
      <w:r>
        <w:t>Essential</w:t>
      </w:r>
    </w:p>
    <w:p w:rsidR="00B50C20" w:rsidRPr="00B50C20" w:rsidRDefault="00B50C20" w:rsidP="00D83C52">
      <w:pPr>
        <w:rPr>
          <w:i/>
          <w:iCs/>
          <w:szCs w:val="24"/>
        </w:rPr>
      </w:pPr>
      <w:r w:rsidRPr="00B50C20">
        <w:rPr>
          <w:i/>
          <w:iCs/>
          <w:szCs w:val="24"/>
        </w:rPr>
        <w:t>Under CSIRO policy only those who meet all essential criteria can be appointed.</w:t>
      </w:r>
    </w:p>
    <w:p w:rsidR="001D3A2A" w:rsidRPr="00643422" w:rsidRDefault="001D3A2A" w:rsidP="001D3A2A">
      <w:pPr>
        <w:numPr>
          <w:ilvl w:val="0"/>
          <w:numId w:val="25"/>
        </w:numPr>
        <w:tabs>
          <w:tab w:val="clear" w:pos="360"/>
        </w:tabs>
        <w:spacing w:before="0" w:after="0" w:line="240" w:lineRule="auto"/>
        <w:jc w:val="both"/>
        <w:rPr>
          <w:rStyle w:val="Emphasis"/>
          <w:rFonts w:cs="Calibri"/>
          <w:b/>
          <w:i w:val="0"/>
          <w:iCs/>
          <w:sz w:val="22"/>
        </w:rPr>
      </w:pPr>
      <w:r w:rsidRPr="00643422">
        <w:rPr>
          <w:rFonts w:cs="Calibri"/>
          <w:sz w:val="22"/>
        </w:rPr>
        <w:t>Significant experience planning and executing strategic programs of related projects and implementing results, particularly in digital and data areas</w:t>
      </w:r>
      <w:r w:rsidRPr="00643422">
        <w:rPr>
          <w:rFonts w:cs="Calibri"/>
          <w:iCs/>
          <w:sz w:val="22"/>
        </w:rPr>
        <w:t xml:space="preserve">. </w:t>
      </w:r>
    </w:p>
    <w:p w:rsidR="001D3A2A" w:rsidRPr="00643422" w:rsidRDefault="001D3A2A" w:rsidP="001D3A2A">
      <w:pPr>
        <w:numPr>
          <w:ilvl w:val="0"/>
          <w:numId w:val="25"/>
        </w:numPr>
        <w:tabs>
          <w:tab w:val="clear" w:pos="360"/>
        </w:tabs>
        <w:spacing w:before="0" w:after="0" w:line="240" w:lineRule="auto"/>
        <w:jc w:val="both"/>
        <w:rPr>
          <w:rFonts w:cs="Calibri"/>
          <w:b/>
          <w:iCs/>
          <w:sz w:val="22"/>
        </w:rPr>
      </w:pPr>
      <w:r w:rsidRPr="00643422">
        <w:rPr>
          <w:rFonts w:cs="Calibri"/>
          <w:iCs/>
          <w:sz w:val="22"/>
        </w:rPr>
        <w:t>Demonstrated ability seeking, managing and allocating resources across projects and leading diverse teams</w:t>
      </w:r>
      <w:r>
        <w:rPr>
          <w:rFonts w:cs="Calibri"/>
          <w:iCs/>
          <w:sz w:val="22"/>
        </w:rPr>
        <w:t>.</w:t>
      </w:r>
    </w:p>
    <w:p w:rsidR="001D3A2A" w:rsidRPr="00643422" w:rsidRDefault="001D3A2A" w:rsidP="001D3A2A">
      <w:pPr>
        <w:numPr>
          <w:ilvl w:val="0"/>
          <w:numId w:val="25"/>
        </w:numPr>
        <w:tabs>
          <w:tab w:val="clear" w:pos="360"/>
        </w:tabs>
        <w:spacing w:before="0" w:after="0" w:line="240" w:lineRule="auto"/>
        <w:jc w:val="both"/>
        <w:rPr>
          <w:rFonts w:cs="Calibri"/>
          <w:b/>
          <w:iCs/>
          <w:sz w:val="22"/>
        </w:rPr>
      </w:pPr>
      <w:r w:rsidRPr="00643422">
        <w:rPr>
          <w:rFonts w:cs="Calibri"/>
          <w:iCs/>
          <w:sz w:val="22"/>
        </w:rPr>
        <w:t>Significant experience in open standards, data standards, API implementation or other data-driven delivery projects</w:t>
      </w:r>
      <w:r>
        <w:rPr>
          <w:rFonts w:cs="Calibri"/>
          <w:iCs/>
          <w:sz w:val="22"/>
        </w:rPr>
        <w:t>.</w:t>
      </w:r>
    </w:p>
    <w:p w:rsidR="001D3A2A" w:rsidRPr="00643422" w:rsidRDefault="001D3A2A" w:rsidP="001D3A2A">
      <w:pPr>
        <w:numPr>
          <w:ilvl w:val="0"/>
          <w:numId w:val="25"/>
        </w:numPr>
        <w:tabs>
          <w:tab w:val="clear" w:pos="360"/>
        </w:tabs>
        <w:spacing w:before="0" w:after="0" w:line="240" w:lineRule="auto"/>
        <w:jc w:val="both"/>
        <w:rPr>
          <w:rStyle w:val="Emphasis"/>
          <w:rFonts w:cs="Calibri"/>
          <w:b/>
          <w:i w:val="0"/>
          <w:iCs/>
          <w:sz w:val="22"/>
        </w:rPr>
      </w:pPr>
      <w:r w:rsidRPr="00643422">
        <w:rPr>
          <w:rFonts w:cs="Calibri"/>
          <w:iCs/>
          <w:sz w:val="22"/>
        </w:rPr>
        <w:t xml:space="preserve"> Deep conceptual and creative </w:t>
      </w:r>
      <w:proofErr w:type="gramStart"/>
      <w:r w:rsidRPr="00643422">
        <w:rPr>
          <w:rFonts w:cs="Calibri"/>
          <w:iCs/>
          <w:sz w:val="22"/>
        </w:rPr>
        <w:t>problem solving</w:t>
      </w:r>
      <w:proofErr w:type="gramEnd"/>
      <w:r w:rsidRPr="00643422">
        <w:rPr>
          <w:rFonts w:cs="Calibri"/>
          <w:iCs/>
          <w:sz w:val="22"/>
        </w:rPr>
        <w:t xml:space="preserve"> abilities, to meet a range of objectives.</w:t>
      </w:r>
    </w:p>
    <w:p w:rsidR="001D3A2A" w:rsidRPr="00643422" w:rsidRDefault="001D3A2A" w:rsidP="001D3A2A">
      <w:pPr>
        <w:numPr>
          <w:ilvl w:val="0"/>
          <w:numId w:val="25"/>
        </w:numPr>
        <w:tabs>
          <w:tab w:val="clear" w:pos="360"/>
        </w:tabs>
        <w:spacing w:before="0" w:after="0" w:line="240" w:lineRule="auto"/>
        <w:jc w:val="both"/>
        <w:rPr>
          <w:rStyle w:val="Emphasis"/>
          <w:rFonts w:cs="Calibri"/>
          <w:b/>
          <w:i w:val="0"/>
          <w:iCs/>
          <w:sz w:val="22"/>
        </w:rPr>
      </w:pPr>
      <w:r w:rsidRPr="00643422">
        <w:rPr>
          <w:rStyle w:val="Strong"/>
          <w:rFonts w:cs="Calibri"/>
          <w:b w:val="0"/>
          <w:sz w:val="22"/>
        </w:rPr>
        <w:t>The ability to lead and motivate multi-disciplinary, regionally dispersed teams, seeking feedback internally and externally and flexibly adjusting technical delivery as required to meet the needs of the Data Standards Body.</w:t>
      </w:r>
    </w:p>
    <w:p w:rsidR="001D3A2A" w:rsidRPr="005B5E35" w:rsidRDefault="001D3A2A" w:rsidP="001D3A2A">
      <w:pPr>
        <w:numPr>
          <w:ilvl w:val="0"/>
          <w:numId w:val="25"/>
        </w:numPr>
        <w:tabs>
          <w:tab w:val="clear" w:pos="360"/>
        </w:tabs>
        <w:spacing w:before="0" w:after="0" w:line="240" w:lineRule="auto"/>
        <w:jc w:val="both"/>
        <w:rPr>
          <w:rStyle w:val="Emphasis"/>
          <w:rFonts w:cs="Calibri"/>
          <w:b/>
          <w:i w:val="0"/>
          <w:iCs/>
          <w:sz w:val="22"/>
        </w:rPr>
      </w:pPr>
      <w:r w:rsidRPr="00643422">
        <w:rPr>
          <w:rStyle w:val="Emphasis"/>
          <w:rFonts w:cs="Calibri"/>
          <w:i w:val="0"/>
          <w:sz w:val="22"/>
        </w:rPr>
        <w:t xml:space="preserve">A track record </w:t>
      </w:r>
      <w:r w:rsidRPr="005B5E35">
        <w:rPr>
          <w:rStyle w:val="Emphasis"/>
          <w:rFonts w:cs="Calibri"/>
          <w:i w:val="0"/>
          <w:sz w:val="22"/>
        </w:rPr>
        <w:t>establishing and maintaining cross-industry partnerships to achieve tangible results.</w:t>
      </w:r>
    </w:p>
    <w:p w:rsidR="00CE5EBE" w:rsidRPr="001D3A2A" w:rsidRDefault="001D3A2A" w:rsidP="001D3A2A">
      <w:pPr>
        <w:numPr>
          <w:ilvl w:val="0"/>
          <w:numId w:val="25"/>
        </w:numPr>
        <w:tabs>
          <w:tab w:val="clear" w:pos="360"/>
        </w:tabs>
        <w:spacing w:before="0" w:after="0" w:line="240" w:lineRule="auto"/>
        <w:jc w:val="both"/>
        <w:rPr>
          <w:rStyle w:val="Emphasis"/>
          <w:rFonts w:cs="Calibri"/>
          <w:b/>
          <w:i w:val="0"/>
          <w:iCs/>
          <w:sz w:val="22"/>
        </w:rPr>
      </w:pPr>
      <w:r w:rsidRPr="005B5E35">
        <w:rPr>
          <w:rStyle w:val="Emphasis"/>
          <w:rFonts w:cs="Calibri"/>
          <w:i w:val="0"/>
          <w:sz w:val="22"/>
        </w:rPr>
        <w:t xml:space="preserve">Balance opposing </w:t>
      </w:r>
      <w:r>
        <w:rPr>
          <w:rStyle w:val="Emphasis"/>
          <w:rFonts w:cs="Calibri"/>
          <w:i w:val="0"/>
          <w:sz w:val="22"/>
        </w:rPr>
        <w:t>inputs from different stakeholders to achieve an effective solution for the standards and for the Consumer Data Right more broadly.</w:t>
      </w:r>
    </w:p>
    <w:p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lastRenderedPageBreak/>
        <w:t>Desirable:</w:t>
      </w:r>
    </w:p>
    <w:p w:rsidR="001D3A2A" w:rsidRPr="00643422" w:rsidRDefault="001D3A2A" w:rsidP="001D3A2A">
      <w:pPr>
        <w:numPr>
          <w:ilvl w:val="0"/>
          <w:numId w:val="37"/>
        </w:numPr>
        <w:spacing w:before="0" w:after="0" w:line="240" w:lineRule="auto"/>
        <w:jc w:val="both"/>
        <w:rPr>
          <w:rFonts w:cs="Calibri"/>
          <w:iCs/>
          <w:sz w:val="22"/>
        </w:rPr>
      </w:pPr>
      <w:r w:rsidRPr="00643422">
        <w:rPr>
          <w:rFonts w:cs="Calibri"/>
          <w:sz w:val="22"/>
        </w:rPr>
        <w:t>Good understanding of systems and products</w:t>
      </w:r>
      <w:r>
        <w:rPr>
          <w:rFonts w:cs="Calibri"/>
          <w:sz w:val="22"/>
        </w:rPr>
        <w:t xml:space="preserve"> in the banking sector, energy sector, and telecommunications sector</w:t>
      </w:r>
      <w:r w:rsidRPr="00643422">
        <w:rPr>
          <w:rFonts w:cs="Calibri"/>
          <w:sz w:val="22"/>
        </w:rPr>
        <w:t>.</w:t>
      </w:r>
    </w:p>
    <w:p w:rsidR="001D3A2A" w:rsidRPr="00643422" w:rsidRDefault="001D3A2A" w:rsidP="001D3A2A">
      <w:pPr>
        <w:numPr>
          <w:ilvl w:val="0"/>
          <w:numId w:val="37"/>
        </w:numPr>
        <w:spacing w:before="0" w:after="0" w:line="240" w:lineRule="auto"/>
        <w:jc w:val="both"/>
        <w:rPr>
          <w:rFonts w:cs="Calibri"/>
          <w:iCs/>
          <w:sz w:val="22"/>
        </w:rPr>
      </w:pPr>
      <w:r w:rsidRPr="00643422">
        <w:rPr>
          <w:rFonts w:cs="Calibri"/>
          <w:sz w:val="22"/>
        </w:rPr>
        <w:t>Experience and skills in data modelling.</w:t>
      </w:r>
    </w:p>
    <w:p w:rsidR="001D3A2A" w:rsidRPr="00643422" w:rsidRDefault="001D3A2A" w:rsidP="001D3A2A">
      <w:pPr>
        <w:numPr>
          <w:ilvl w:val="0"/>
          <w:numId w:val="37"/>
        </w:numPr>
        <w:spacing w:before="0" w:after="0" w:line="240" w:lineRule="auto"/>
        <w:jc w:val="both"/>
        <w:rPr>
          <w:rStyle w:val="Emphasis"/>
          <w:rFonts w:cs="Calibri"/>
          <w:i w:val="0"/>
          <w:iCs/>
          <w:sz w:val="22"/>
        </w:rPr>
      </w:pPr>
      <w:r w:rsidRPr="00643422">
        <w:rPr>
          <w:rFonts w:cs="Calibri"/>
          <w:sz w:val="22"/>
        </w:rPr>
        <w:t>Experience in software development.</w:t>
      </w:r>
    </w:p>
    <w:p w:rsidR="0094126A" w:rsidRDefault="0094126A" w:rsidP="0094126A">
      <w:pPr>
        <w:spacing w:before="0" w:after="60" w:line="240" w:lineRule="auto"/>
        <w:ind w:left="360"/>
        <w:rPr>
          <w:iCs/>
          <w:szCs w:val="24"/>
        </w:rPr>
      </w:pPr>
    </w:p>
    <w:p w:rsidR="00B50C20" w:rsidRPr="000B3207" w:rsidRDefault="00B50C20" w:rsidP="00D83C52">
      <w:pPr>
        <w:pStyle w:val="Heading2"/>
        <w:rPr>
          <w:b/>
          <w:iCs w:val="0"/>
          <w:color w:val="auto"/>
          <w:sz w:val="26"/>
          <w:szCs w:val="26"/>
        </w:rPr>
      </w:pPr>
      <w:r w:rsidRPr="000B3207">
        <w:rPr>
          <w:b/>
          <w:iCs w:val="0"/>
          <w:color w:val="auto"/>
          <w:sz w:val="26"/>
          <w:szCs w:val="26"/>
        </w:rPr>
        <w:t>About CSIRO:</w:t>
      </w:r>
    </w:p>
    <w:p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1" w:tooltip="CSIRO Website" w:history="1">
        <w:r w:rsidR="00B50C20" w:rsidRPr="00B50C20">
          <w:rPr>
            <w:rStyle w:val="Hyperlink"/>
            <w:rFonts w:cs="Arial"/>
            <w:bCs/>
            <w:szCs w:val="24"/>
          </w:rPr>
          <w:t>online</w:t>
        </w:r>
      </w:hyperlink>
      <w:r w:rsidR="00B50C20" w:rsidRPr="00B50C20">
        <w:rPr>
          <w:bCs/>
          <w:szCs w:val="24"/>
        </w:rPr>
        <w:t xml:space="preserve">! </w:t>
      </w:r>
    </w:p>
    <w:p w:rsidR="00B50C20" w:rsidRPr="00B50C20" w:rsidRDefault="00B50C20" w:rsidP="00D83C52">
      <w:pPr>
        <w:rPr>
          <w:bCs/>
          <w:szCs w:val="24"/>
        </w:rPr>
      </w:pPr>
    </w:p>
    <w:bookmarkEnd w:id="2"/>
    <w:p w:rsidR="001D3A2A" w:rsidRDefault="001D3A2A" w:rsidP="001D3A2A">
      <w:pPr>
        <w:spacing w:after="180"/>
        <w:rPr>
          <w:rStyle w:val="Hyperlink"/>
          <w:rFonts w:cs="Arial"/>
          <w:bCs/>
        </w:rPr>
      </w:pPr>
      <w:r>
        <w:rPr>
          <w:bCs/>
        </w:rPr>
        <w:t>F</w:t>
      </w:r>
      <w:r w:rsidRPr="008109BB">
        <w:rPr>
          <w:bCs/>
        </w:rPr>
        <w:t xml:space="preserve">ind out more about the </w:t>
      </w:r>
      <w:r>
        <w:rPr>
          <w:bCs/>
        </w:rPr>
        <w:t xml:space="preserve">CSIRO </w:t>
      </w:r>
      <w:hyperlink r:id="rId12" w:history="1">
        <w:r w:rsidRPr="005B7F1F">
          <w:rPr>
            <w:rStyle w:val="Hyperlink"/>
            <w:rFonts w:cs="Arial"/>
            <w:bCs/>
          </w:rPr>
          <w:t>Data61</w:t>
        </w:r>
      </w:hyperlink>
    </w:p>
    <w:p w:rsidR="00B50C20" w:rsidRPr="00B50C20" w:rsidRDefault="00B50C20" w:rsidP="001D3A2A">
      <w:pPr>
        <w:rPr>
          <w:bCs/>
          <w:szCs w:val="24"/>
        </w:rPr>
      </w:pPr>
    </w:p>
    <w:sectPr w:rsidR="00B50C20" w:rsidRPr="00B50C20" w:rsidSect="00246B35">
      <w:footerReference w:type="default" r:id="rId13"/>
      <w:headerReference w:type="first" r:id="rId14"/>
      <w:footerReference w:type="first" r:id="rId15"/>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1C5" w:rsidRDefault="00FD51C5" w:rsidP="000A377A">
      <w:r>
        <w:separator/>
      </w:r>
    </w:p>
  </w:endnote>
  <w:endnote w:type="continuationSeparator" w:id="0">
    <w:p w:rsidR="00FD51C5" w:rsidRDefault="00FD51C5"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1C5" w:rsidRDefault="00FD51C5" w:rsidP="000A377A">
      <w:r>
        <w:separator/>
      </w:r>
    </w:p>
  </w:footnote>
  <w:footnote w:type="continuationSeparator" w:id="0">
    <w:p w:rsidR="00FD51C5" w:rsidRDefault="00FD51C5"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0F61E8">
    <w:pPr>
      <w:rPr>
        <w:noProof/>
      </w:rPr>
    </w:pPr>
    <w:r w:rsidRPr="003E4E41">
      <w:rPr>
        <w:noProof/>
      </w:rPr>
      <w:drawing>
        <wp:anchor distT="0" distB="0" distL="114300" distR="114300" simplePos="0" relativeHeight="251659264" behindDoc="0" locked="1" layoutInCell="1" allowOverlap="1" wp14:anchorId="7F48CC25" wp14:editId="26CCA313">
          <wp:simplePos x="0" y="0"/>
          <wp:positionH relativeFrom="page">
            <wp:posOffset>720090</wp:posOffset>
          </wp:positionH>
          <wp:positionV relativeFrom="page">
            <wp:posOffset>449580</wp:posOffset>
          </wp:positionV>
          <wp:extent cx="1452539" cy="684000"/>
          <wp:effectExtent l="0" t="0" r="0" b="0"/>
          <wp:wrapNone/>
          <wp:docPr id="1" name="Picture 1"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52539" cy="68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F61E8" w:rsidRDefault="000F61E8">
    <w:pPr>
      <w:rPr>
        <w:noProof/>
      </w:rPr>
    </w:pPr>
  </w:p>
  <w:p w:rsidR="000F61E8" w:rsidRDefault="000F61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0414295"/>
    <w:multiLevelType w:val="hybridMultilevel"/>
    <w:tmpl w:val="B602E6CA"/>
    <w:lvl w:ilvl="0" w:tplc="68422A68">
      <w:start w:val="1"/>
      <w:numFmt w:val="decimal"/>
      <w:lvlText w:val="%1."/>
      <w:lvlJc w:val="left"/>
      <w:pPr>
        <w:ind w:left="394" w:hanging="360"/>
      </w:pPr>
      <w:rPr>
        <w:rFonts w:hint="default"/>
        <w:b w:val="0"/>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473321C"/>
    <w:multiLevelType w:val="hybridMultilevel"/>
    <w:tmpl w:val="2B9A3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CE04339"/>
    <w:multiLevelType w:val="hybridMultilevel"/>
    <w:tmpl w:val="59B86FF4"/>
    <w:lvl w:ilvl="0" w:tplc="7F989196">
      <w:numFmt w:val="bullet"/>
      <w:lvlText w:val="•"/>
      <w:lvlJc w:val="left"/>
      <w:pPr>
        <w:ind w:left="725" w:hanging="612"/>
      </w:pPr>
      <w:rPr>
        <w:rFonts w:ascii="Calibri" w:eastAsia="Calibri" w:hAnsi="Calibri" w:cs="Calibr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177420"/>
    <w:multiLevelType w:val="hybridMultilevel"/>
    <w:tmpl w:val="890C15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5"/>
  </w:num>
  <w:num w:numId="13">
    <w:abstractNumId w:val="14"/>
  </w:num>
  <w:num w:numId="14">
    <w:abstractNumId w:val="27"/>
  </w:num>
  <w:num w:numId="15">
    <w:abstractNumId w:val="32"/>
  </w:num>
  <w:num w:numId="16">
    <w:abstractNumId w:val="30"/>
  </w:num>
  <w:num w:numId="17">
    <w:abstractNumId w:val="19"/>
  </w:num>
  <w:num w:numId="18">
    <w:abstractNumId w:val="21"/>
  </w:num>
  <w:num w:numId="19">
    <w:abstractNumId w:val="17"/>
  </w:num>
  <w:num w:numId="20">
    <w:abstractNumId w:val="12"/>
  </w:num>
  <w:num w:numId="21">
    <w:abstractNumId w:val="13"/>
  </w:num>
  <w:num w:numId="22">
    <w:abstractNumId w:val="11"/>
  </w:num>
  <w:num w:numId="23">
    <w:abstractNumId w:val="10"/>
  </w:num>
  <w:num w:numId="24">
    <w:abstractNumId w:val="18"/>
  </w:num>
  <w:num w:numId="25">
    <w:abstractNumId w:val="31"/>
  </w:num>
  <w:num w:numId="26">
    <w:abstractNumId w:val="20"/>
  </w:num>
  <w:num w:numId="27">
    <w:abstractNumId w:val="26"/>
  </w:num>
  <w:num w:numId="28">
    <w:abstractNumId w:val="25"/>
  </w:num>
  <w:num w:numId="29">
    <w:abstractNumId w:val="10"/>
  </w:num>
  <w:num w:numId="30">
    <w:abstractNumId w:val="25"/>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8"/>
  </w:num>
  <w:num w:numId="35">
    <w:abstractNumId w:val="29"/>
  </w:num>
  <w:num w:numId="36">
    <w:abstractNumId w:val="16"/>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6D55"/>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1F7F"/>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3D44"/>
    <w:rsid w:val="000E6BEA"/>
    <w:rsid w:val="000E7B0B"/>
    <w:rsid w:val="000F081F"/>
    <w:rsid w:val="000F0DFF"/>
    <w:rsid w:val="000F0FC8"/>
    <w:rsid w:val="000F3130"/>
    <w:rsid w:val="000F33F4"/>
    <w:rsid w:val="000F500A"/>
    <w:rsid w:val="000F55E1"/>
    <w:rsid w:val="000F61E8"/>
    <w:rsid w:val="000F62E7"/>
    <w:rsid w:val="000F71B9"/>
    <w:rsid w:val="00101F0A"/>
    <w:rsid w:val="00102228"/>
    <w:rsid w:val="001046AE"/>
    <w:rsid w:val="00106E4A"/>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A2A"/>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1BB"/>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07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14B8"/>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47F40"/>
    <w:rsid w:val="005521E3"/>
    <w:rsid w:val="00555296"/>
    <w:rsid w:val="00555AB3"/>
    <w:rsid w:val="00556C76"/>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07D7"/>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D2F"/>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2A6B"/>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B78A5"/>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18E3"/>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126A"/>
    <w:rsid w:val="00942923"/>
    <w:rsid w:val="00945580"/>
    <w:rsid w:val="00945A76"/>
    <w:rsid w:val="009472B3"/>
    <w:rsid w:val="009511DD"/>
    <w:rsid w:val="00952973"/>
    <w:rsid w:val="009538A7"/>
    <w:rsid w:val="0095567F"/>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1134"/>
    <w:rsid w:val="00AD2C68"/>
    <w:rsid w:val="00AD38F3"/>
    <w:rsid w:val="00AD3B98"/>
    <w:rsid w:val="00AD5AE4"/>
    <w:rsid w:val="00AD5CAE"/>
    <w:rsid w:val="00AD6B50"/>
    <w:rsid w:val="00AD757D"/>
    <w:rsid w:val="00AE40AA"/>
    <w:rsid w:val="00AF33CD"/>
    <w:rsid w:val="00AF3F4D"/>
    <w:rsid w:val="00AF58F0"/>
    <w:rsid w:val="00AF67F8"/>
    <w:rsid w:val="00AF7181"/>
    <w:rsid w:val="00AF71DC"/>
    <w:rsid w:val="00B0062E"/>
    <w:rsid w:val="00B007B4"/>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3BAB"/>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066D"/>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5EBE"/>
    <w:rsid w:val="00CE7C9F"/>
    <w:rsid w:val="00CF3D01"/>
    <w:rsid w:val="00CF4D05"/>
    <w:rsid w:val="00CF6704"/>
    <w:rsid w:val="00D002C1"/>
    <w:rsid w:val="00D006AE"/>
    <w:rsid w:val="00D007E2"/>
    <w:rsid w:val="00D009D8"/>
    <w:rsid w:val="00D00FC7"/>
    <w:rsid w:val="00D019F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27BE"/>
    <w:rsid w:val="00D544A3"/>
    <w:rsid w:val="00D55AC8"/>
    <w:rsid w:val="00D56FE1"/>
    <w:rsid w:val="00D576A5"/>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D8B"/>
    <w:rsid w:val="00D93A7D"/>
    <w:rsid w:val="00D94861"/>
    <w:rsid w:val="00D94B6B"/>
    <w:rsid w:val="00D95F4B"/>
    <w:rsid w:val="00D96A66"/>
    <w:rsid w:val="00DA239A"/>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030"/>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627"/>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1C5"/>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2A383B9"/>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1D3A2A"/>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ming.zhu@data61.csiro.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staples@data61.csiro.au" TargetMode="External"/><Relationship Id="rId12" Type="http://schemas.openxmlformats.org/officeDocument/2006/relationships/hyperlink" Target="https://www.data61.csiro.au/"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areers.online@csiro.au" TargetMode="External"/><Relationship Id="rId4" Type="http://schemas.openxmlformats.org/officeDocument/2006/relationships/webSettings" Target="webSettings.xml"/><Relationship Id="rId9" Type="http://schemas.openxmlformats.org/officeDocument/2006/relationships/hyperlink" Target="https://jobs.csiro.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73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3C6F9C"/>
    <w:rsid w:val="00414F94"/>
    <w:rsid w:val="007C7613"/>
    <w:rsid w:val="0083493E"/>
    <w:rsid w:val="008541FF"/>
    <w:rsid w:val="00875004"/>
    <w:rsid w:val="00B36C21"/>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10</TotalTime>
  <Pages>5</Pages>
  <Words>1518</Words>
  <Characters>10812</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12306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Marshall, Jane-Anne (HR, Clayton)</cp:lastModifiedBy>
  <cp:revision>6</cp:revision>
  <cp:lastPrinted>2012-02-01T05:32:00Z</cp:lastPrinted>
  <dcterms:created xsi:type="dcterms:W3CDTF">2019-09-23T23:21:00Z</dcterms:created>
  <dcterms:modified xsi:type="dcterms:W3CDTF">2019-09-24T01:45:00Z</dcterms:modified>
</cp:coreProperties>
</file>