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01BA7D49"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w:t>
            </w:r>
            <w:r w:rsidR="00177655">
              <w:rPr>
                <w:rFonts w:ascii="Calibri" w:hAnsi="Calibri"/>
                <w:sz w:val="22"/>
                <w:szCs w:val="22"/>
              </w:rPr>
              <w:t>n Bioinformatics for Immuno-Engineering</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3D2B3D5A" w:rsidR="000745A4" w:rsidRPr="0097618D" w:rsidRDefault="00177655" w:rsidP="000745A4">
            <w:pPr>
              <w:rPr>
                <w:rFonts w:ascii="Calibri" w:hAnsi="Calibri"/>
                <w:sz w:val="22"/>
                <w:szCs w:val="22"/>
              </w:rPr>
            </w:pPr>
            <w:r>
              <w:rPr>
                <w:rFonts w:ascii="Calibri" w:hAnsi="Calibri"/>
                <w:sz w:val="22"/>
                <w:szCs w:val="22"/>
              </w:rPr>
              <w:t>61912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3EDD860E"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24F5A">
              <w:rPr>
                <w:rFonts w:ascii="Calibri" w:hAnsi="Calibri"/>
                <w:sz w:val="22"/>
                <w:szCs w:val="22"/>
              </w:rPr>
            </w:r>
            <w:r w:rsidR="00C24F5A">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C24F5A">
              <w:rPr>
                <w:rFonts w:ascii="Calibri" w:hAnsi="Calibri"/>
                <w:sz w:val="22"/>
                <w:szCs w:val="22"/>
              </w:rPr>
            </w:r>
            <w:r w:rsidR="00C24F5A">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094E1A11" w:rsidR="000745A4" w:rsidRPr="0097618D" w:rsidRDefault="00177655"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C24F5A">
              <w:rPr>
                <w:rFonts w:ascii="Calibri" w:hAnsi="Calibri"/>
                <w:sz w:val="22"/>
                <w:szCs w:val="22"/>
              </w:rPr>
            </w:r>
            <w:r w:rsidR="00C24F5A">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919A7FA"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100%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4B61239"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177655" w:rsidRDefault="000745A4" w:rsidP="000745A4">
            <w:pPr>
              <w:pStyle w:val="ListParagraph"/>
              <w:ind w:left="0"/>
              <w:rPr>
                <w:rFonts w:ascii="Calibri" w:hAnsi="Calibri"/>
                <w:sz w:val="22"/>
                <w:szCs w:val="22"/>
              </w:rPr>
            </w:pPr>
            <w:r w:rsidRPr="00177655">
              <w:rPr>
                <w:rFonts w:ascii="Calibri" w:hAnsi="Calibri"/>
                <w:bCs/>
                <w:sz w:val="22"/>
                <w:szCs w:val="22"/>
              </w:rPr>
              <w:t xml:space="preserve">Please apply online at </w:t>
            </w:r>
            <w:hyperlink r:id="rId8" w:history="1">
              <w:r w:rsidRPr="00177655">
                <w:rPr>
                  <w:rStyle w:val="Hyperlink"/>
                  <w:rFonts w:ascii="Calibri" w:hAnsi="Calibri" w:cs="Arial"/>
                  <w:bCs/>
                  <w:sz w:val="22"/>
                  <w:szCs w:val="22"/>
                </w:rPr>
                <w:t>jobs.csiro.au</w:t>
              </w:r>
            </w:hyperlink>
            <w:r w:rsidRPr="00177655">
              <w:rPr>
                <w:rFonts w:ascii="Calibri" w:hAnsi="Calibri"/>
                <w:bCs/>
                <w:sz w:val="22"/>
                <w:szCs w:val="22"/>
              </w:rPr>
              <w:t xml:space="preserve"> and enter the requisition number</w:t>
            </w:r>
            <w:r w:rsidRPr="00177655">
              <w:rPr>
                <w:rFonts w:ascii="Calibri" w:hAnsi="Calibri"/>
                <w:b/>
                <w:bCs/>
                <w:sz w:val="22"/>
                <w:szCs w:val="22"/>
              </w:rPr>
              <w:t>.</w:t>
            </w:r>
            <w:r w:rsidRPr="00177655">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63C13A10" w:rsidR="000745A4" w:rsidRPr="00177655" w:rsidRDefault="00177655" w:rsidP="00177655">
            <w:pPr>
              <w:spacing w:after="120"/>
              <w:rPr>
                <w:rFonts w:ascii="Calibri" w:hAnsi="Calibri"/>
                <w:bCs/>
                <w:sz w:val="22"/>
                <w:szCs w:val="22"/>
              </w:rPr>
            </w:pPr>
            <w:r w:rsidRPr="00177655">
              <w:rPr>
                <w:rFonts w:ascii="Calibri" w:hAnsi="Calibri"/>
                <w:sz w:val="22"/>
                <w:szCs w:val="22"/>
              </w:rPr>
              <w:t>Dr Laurence Wilson via email at Laurence.Wilson@csiro.au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6B5FE86C" w14:textId="77777777" w:rsidR="00C24F5A" w:rsidRPr="00C24F5A" w:rsidRDefault="00C24F5A" w:rsidP="00C24F5A">
      <w:pPr>
        <w:jc w:val="both"/>
        <w:rPr>
          <w:rFonts w:ascii="Calibri" w:hAnsi="Calibri" w:cs="Calibri"/>
          <w:color w:val="000000"/>
          <w:sz w:val="22"/>
          <w:szCs w:val="22"/>
        </w:rPr>
      </w:pPr>
      <w:r w:rsidRPr="00C24F5A">
        <w:rPr>
          <w:rFonts w:ascii="Calibri" w:hAnsi="Calibri" w:cs="Calibri"/>
          <w:color w:val="000000"/>
          <w:sz w:val="22"/>
          <w:szCs w:val="22"/>
        </w:rPr>
        <w:lastRenderedPageBreak/>
        <w:t>We are seeking a PhD qualified Bioinformatician to join the Digital Genome Eng</w:t>
      </w:r>
      <w:bookmarkStart w:id="3" w:name="_GoBack"/>
      <w:bookmarkEnd w:id="3"/>
      <w:r w:rsidRPr="00C24F5A">
        <w:rPr>
          <w:rFonts w:ascii="Calibri" w:hAnsi="Calibri" w:cs="Calibri"/>
          <w:color w:val="000000"/>
          <w:sz w:val="22"/>
          <w:szCs w:val="22"/>
        </w:rPr>
        <w:t>ineering Team with experience in human immunology or gene editing technologies to help us develop new treatment regimens that boost the capabilities of the native immune system.</w:t>
      </w:r>
    </w:p>
    <w:p w14:paraId="793FCE16" w14:textId="77777777" w:rsidR="00177655" w:rsidRDefault="00177655" w:rsidP="00177655">
      <w:pPr>
        <w:jc w:val="both"/>
        <w:rPr>
          <w:rFonts w:ascii="Calibri" w:hAnsi="Calibri"/>
          <w:sz w:val="22"/>
          <w:szCs w:val="22"/>
        </w:rPr>
      </w:pPr>
    </w:p>
    <w:p w14:paraId="1FD21037" w14:textId="77777777" w:rsidR="00177655" w:rsidRDefault="00177655" w:rsidP="00177655">
      <w:pPr>
        <w:jc w:val="both"/>
        <w:rPr>
          <w:rFonts w:ascii="Calibri" w:hAnsi="Calibri" w:cs="Calibri"/>
          <w:color w:val="000000"/>
          <w:sz w:val="22"/>
          <w:szCs w:val="22"/>
        </w:rPr>
      </w:pPr>
      <w:r w:rsidRPr="00E3024D">
        <w:rPr>
          <w:rFonts w:ascii="Calibri" w:hAnsi="Calibri" w:cs="Calibri"/>
          <w:color w:val="000000"/>
          <w:sz w:val="22"/>
          <w:szCs w:val="22"/>
        </w:rPr>
        <w:t xml:space="preserve">You will join the high-performing </w:t>
      </w:r>
      <w:r>
        <w:rPr>
          <w:rFonts w:ascii="Calibri" w:hAnsi="Calibri" w:cs="Calibri"/>
          <w:color w:val="000000"/>
          <w:sz w:val="22"/>
          <w:szCs w:val="22"/>
        </w:rPr>
        <w:t>Transformational Bioinformatics Group</w:t>
      </w:r>
      <w:r w:rsidRPr="00E3024D">
        <w:rPr>
          <w:rFonts w:ascii="Calibri" w:hAnsi="Calibri" w:cs="Calibri"/>
          <w:color w:val="000000"/>
          <w:sz w:val="22"/>
          <w:szCs w:val="22"/>
        </w:rPr>
        <w:t xml:space="preserve"> from the Australian e-Health Research Centre (AEHRC) and collaborate closely with</w:t>
      </w:r>
      <w:r>
        <w:rPr>
          <w:rFonts w:ascii="Calibri" w:hAnsi="Calibri" w:cs="Calibri"/>
          <w:color w:val="000000"/>
          <w:sz w:val="22"/>
          <w:szCs w:val="22"/>
        </w:rPr>
        <w:t xml:space="preserve"> world experts in Gene Therapy from Westmead, Children’s Medical Research Institute as well as molecular technology from Jinan University, China. </w:t>
      </w:r>
    </w:p>
    <w:p w14:paraId="58C4C8F3" w14:textId="77777777" w:rsidR="00177655" w:rsidRDefault="00177655" w:rsidP="00177655">
      <w:pPr>
        <w:jc w:val="both"/>
        <w:rPr>
          <w:rFonts w:ascii="Times New Roman" w:hAnsi="Times New Roman" w:cs="Times New Roman"/>
          <w:sz w:val="22"/>
          <w:szCs w:val="22"/>
          <w:lang w:eastAsia="en-US"/>
        </w:rPr>
      </w:pPr>
    </w:p>
    <w:p w14:paraId="105DEA3F" w14:textId="77777777" w:rsidR="00177655" w:rsidRPr="00E3024D" w:rsidRDefault="00177655" w:rsidP="00177655">
      <w:pPr>
        <w:spacing w:line="211" w:lineRule="atLeast"/>
        <w:jc w:val="both"/>
        <w:rPr>
          <w:rFonts w:eastAsia="Times New Roman"/>
          <w:color w:val="000000"/>
          <w:sz w:val="22"/>
          <w:szCs w:val="22"/>
          <w:lang w:eastAsia="en-US"/>
        </w:rPr>
      </w:pPr>
      <w:r w:rsidRPr="00E3024D">
        <w:rPr>
          <w:rFonts w:ascii="Calibri" w:eastAsia="Times New Roman" w:hAnsi="Calibri" w:cs="Calibri"/>
          <w:sz w:val="22"/>
          <w:szCs w:val="22"/>
          <w:lang w:eastAsia="en-US"/>
        </w:rPr>
        <w:t>CSIRO’s e-Health research program, the Australian e-health Research Centre, is a specialist research organisation in delivering innovation to the health system. CSIRO’s research scientists work with clinicians and researchers to identify the clinical and/or health challenge and how advanced data science can address the key issue.</w:t>
      </w:r>
    </w:p>
    <w:p w14:paraId="7DF02FCD" w14:textId="77777777" w:rsidR="00177655" w:rsidRPr="00E3024D" w:rsidRDefault="00177655" w:rsidP="00177655">
      <w:pPr>
        <w:spacing w:line="211" w:lineRule="atLeast"/>
        <w:jc w:val="both"/>
        <w:rPr>
          <w:rFonts w:eastAsia="Times New Roman"/>
          <w:color w:val="000000"/>
          <w:sz w:val="22"/>
          <w:szCs w:val="22"/>
          <w:lang w:eastAsia="en-US"/>
        </w:rPr>
      </w:pPr>
      <w:r w:rsidRPr="00E3024D">
        <w:rPr>
          <w:rFonts w:ascii="Calibri" w:eastAsia="Times New Roman" w:hAnsi="Calibri" w:cs="Calibri"/>
          <w:sz w:val="22"/>
          <w:szCs w:val="22"/>
          <w:lang w:eastAsia="en-US"/>
        </w:rPr>
        <w:t> </w:t>
      </w:r>
    </w:p>
    <w:p w14:paraId="0266BF2B" w14:textId="2DF9A22E" w:rsidR="00177655" w:rsidRPr="00E3024D" w:rsidRDefault="00177655" w:rsidP="00177655">
      <w:pPr>
        <w:jc w:val="both"/>
        <w:rPr>
          <w:rFonts w:ascii="Calibri" w:eastAsia="Times New Roman" w:hAnsi="Calibri" w:cs="Calibri"/>
          <w:color w:val="000000"/>
          <w:sz w:val="22"/>
          <w:szCs w:val="22"/>
          <w:lang w:eastAsia="en-US"/>
        </w:rPr>
      </w:pPr>
      <w:r w:rsidRPr="00E3024D">
        <w:rPr>
          <w:rFonts w:ascii="Calibri" w:eastAsia="Times New Roman" w:hAnsi="Calibri" w:cs="Calibri"/>
          <w:color w:val="000000"/>
          <w:sz w:val="22"/>
          <w:szCs w:val="22"/>
          <w:lang w:eastAsia="en-US"/>
        </w:rPr>
        <w:t xml:space="preserve">The charter of the </w:t>
      </w:r>
      <w:r w:rsidRPr="00815390">
        <w:rPr>
          <w:rFonts w:ascii="Calibri" w:eastAsia="Times New Roman" w:hAnsi="Calibri" w:cs="Calibri"/>
          <w:color w:val="000000"/>
          <w:sz w:val="22"/>
          <w:szCs w:val="22"/>
          <w:lang w:eastAsia="en-US"/>
        </w:rPr>
        <w:t>Transformational Bioinformatics Group</w:t>
      </w:r>
      <w:r w:rsidRPr="00E3024D">
        <w:rPr>
          <w:rFonts w:ascii="Calibri" w:eastAsia="Times New Roman" w:hAnsi="Calibri" w:cs="Calibri"/>
          <w:color w:val="000000"/>
          <w:sz w:val="22"/>
          <w:szCs w:val="22"/>
          <w:lang w:eastAsia="en-US"/>
        </w:rPr>
        <w:t xml:space="preserve"> is to develop novel bioinformatics solutions for research and industry using the latest in cloud and </w:t>
      </w:r>
      <w:proofErr w:type="spellStart"/>
      <w:r w:rsidRPr="00E3024D">
        <w:rPr>
          <w:rFonts w:ascii="Calibri" w:eastAsia="Times New Roman" w:hAnsi="Calibri" w:cs="Calibri"/>
          <w:color w:val="000000"/>
          <w:sz w:val="22"/>
          <w:szCs w:val="22"/>
          <w:lang w:eastAsia="en-US"/>
        </w:rPr>
        <w:t>BigData</w:t>
      </w:r>
      <w:proofErr w:type="spellEnd"/>
      <w:r w:rsidRPr="00E3024D">
        <w:rPr>
          <w:rFonts w:ascii="Calibri" w:eastAsia="Times New Roman" w:hAnsi="Calibri" w:cs="Calibri"/>
          <w:color w:val="000000"/>
          <w:sz w:val="22"/>
          <w:szCs w:val="22"/>
          <w:lang w:eastAsia="en-US"/>
        </w:rPr>
        <w:t xml:space="preserve"> infrastructure. </w:t>
      </w:r>
      <w:r w:rsidRPr="00815390">
        <w:rPr>
          <w:rFonts w:ascii="Calibri" w:eastAsia="Times New Roman" w:hAnsi="Calibri" w:cs="Calibri"/>
          <w:color w:val="000000"/>
          <w:sz w:val="22"/>
          <w:szCs w:val="22"/>
          <w:lang w:eastAsia="en-US"/>
        </w:rPr>
        <w:t xml:space="preserve">We specifically focus on population-scale 'omics (genomics, transcriptomics, </w:t>
      </w:r>
      <w:proofErr w:type="spellStart"/>
      <w:r w:rsidRPr="00815390">
        <w:rPr>
          <w:rFonts w:ascii="Calibri" w:eastAsia="Times New Roman" w:hAnsi="Calibri" w:cs="Calibri"/>
          <w:color w:val="000000"/>
          <w:sz w:val="22"/>
          <w:szCs w:val="22"/>
          <w:lang w:eastAsia="en-US"/>
        </w:rPr>
        <w:t>methylomics</w:t>
      </w:r>
      <w:proofErr w:type="spellEnd"/>
      <w:r w:rsidRPr="00815390">
        <w:rPr>
          <w:rFonts w:ascii="Calibri" w:eastAsia="Times New Roman" w:hAnsi="Calibri" w:cs="Calibri"/>
          <w:color w:val="000000"/>
          <w:sz w:val="22"/>
          <w:szCs w:val="22"/>
          <w:lang w:eastAsia="en-US"/>
        </w:rPr>
        <w:t>) analysis as well as genome engineering applications in the context of precision medicine and biosecurity.</w:t>
      </w:r>
      <w:r w:rsidRPr="00E3024D">
        <w:rPr>
          <w:rFonts w:ascii="Calibri" w:eastAsia="Times New Roman" w:hAnsi="Calibri" w:cs="Calibri"/>
          <w:color w:val="000000"/>
          <w:sz w:val="22"/>
          <w:szCs w:val="22"/>
          <w:lang w:eastAsia="en-US"/>
        </w:rPr>
        <w:t xml:space="preserve"> </w:t>
      </w:r>
    </w:p>
    <w:p w14:paraId="01FE3347" w14:textId="65588EBC" w:rsidR="000A37C8" w:rsidRPr="00177655" w:rsidRDefault="000A37C8" w:rsidP="00C77A17">
      <w:pPr>
        <w:rPr>
          <w:rFonts w:ascii="Calibri" w:hAnsi="Calibri"/>
          <w:sz w:val="22"/>
          <w:szCs w:val="22"/>
        </w:rPr>
      </w:pPr>
    </w:p>
    <w:p w14:paraId="1001CB04" w14:textId="77777777" w:rsidR="000E2AAA" w:rsidRPr="001A208B" w:rsidRDefault="000E2AAA" w:rsidP="00C77A17">
      <w:pPr>
        <w:rPr>
          <w:rFonts w:asciiTheme="minorHAnsi" w:hAnsiTheme="minorHAnsi" w:cstheme="minorHAnsi"/>
          <w:b/>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6417D0AE"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36D3D26C" w14:textId="77777777" w:rsidR="00C659ED" w:rsidRDefault="00C659ED" w:rsidP="00C659ED">
      <w:pPr>
        <w:pStyle w:val="ListParagraph"/>
        <w:numPr>
          <w:ilvl w:val="1"/>
          <w:numId w:val="47"/>
        </w:numPr>
        <w:spacing w:before="120" w:after="60"/>
        <w:ind w:left="851"/>
        <w:jc w:val="both"/>
        <w:rPr>
          <w:rFonts w:ascii="Calibri" w:hAnsi="Calibri"/>
          <w:sz w:val="22"/>
          <w:szCs w:val="22"/>
        </w:rPr>
      </w:pPr>
      <w:r>
        <w:rPr>
          <w:rFonts w:ascii="Calibri" w:hAnsi="Calibri"/>
          <w:sz w:val="22"/>
          <w:szCs w:val="22"/>
        </w:rPr>
        <w:t xml:space="preserve">Develop innovate concepts, theories, tools and techniques related to the analysis of the </w:t>
      </w:r>
      <w:r w:rsidRPr="00DB0516">
        <w:rPr>
          <w:rFonts w:ascii="Calibri" w:hAnsi="Calibri"/>
          <w:sz w:val="22"/>
          <w:szCs w:val="22"/>
        </w:rPr>
        <w:t>T-cell repertoire</w:t>
      </w:r>
      <w:r>
        <w:rPr>
          <w:rFonts w:ascii="Calibri" w:hAnsi="Calibri"/>
          <w:sz w:val="22"/>
          <w:szCs w:val="22"/>
        </w:rPr>
        <w:t xml:space="preserve">. </w:t>
      </w:r>
    </w:p>
    <w:p w14:paraId="23BF1ED7"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Undertake regular reviews of relevant literature and patents. </w:t>
      </w:r>
    </w:p>
    <w:p w14:paraId="2B6277A0"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Produce high quality scientific and/or engineering papers suitable for publication in quality journals, for client reports and granting of patents.</w:t>
      </w:r>
    </w:p>
    <w:p w14:paraId="3B95FDF9"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Prepare appropriate conference papers and present those at conferences as agreed with your supervisor. </w:t>
      </w:r>
    </w:p>
    <w:p w14:paraId="7D6DABD6" w14:textId="6E3D2A8B" w:rsidR="00C659ED" w:rsidRP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Work collaboratively with colleagues within your team, the business unit and across CSIRO.</w:t>
      </w:r>
    </w:p>
    <w:p w14:paraId="7366285D"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Recognise and exploit opportunities for innovation and the generation of new theoretical perspectives, and progress opportunities for the further development or creation of new lines of research</w:t>
      </w:r>
    </w:p>
    <w:p w14:paraId="31276482" w14:textId="3539E65F"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Utilise design thinking methodology to plan and prepare research proposals and apply non-academic impact methodology to research projects.</w:t>
      </w:r>
    </w:p>
    <w:p w14:paraId="08A9DFD2"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Record, manage, and analyse data/information using relevant domain data science techniques.</w:t>
      </w:r>
    </w:p>
    <w:p w14:paraId="77FC30B6" w14:textId="0BC5FC07" w:rsidR="00C659ED" w:rsidRPr="003A739C" w:rsidRDefault="00C659ED" w:rsidP="00C659ED">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Pr>
          <w:rFonts w:asciiTheme="minorHAnsi" w:hAnsiTheme="minorHAnsi" w:cstheme="minorHAnsi"/>
          <w:sz w:val="22"/>
          <w:szCs w:val="22"/>
        </w:rPr>
        <w:t>.</w:t>
      </w:r>
    </w:p>
    <w:p w14:paraId="20E5A384" w14:textId="22ACE470"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Pr>
          <w:rFonts w:ascii="Calibri" w:hAnsi="Calibri"/>
          <w:sz w:val="22"/>
          <w:szCs w:val="22"/>
        </w:rPr>
        <w:t>.</w:t>
      </w:r>
    </w:p>
    <w:p w14:paraId="24BEB9EC" w14:textId="77777777"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Other duties as directed.</w:t>
      </w:r>
    </w:p>
    <w:p w14:paraId="00AD9D6C" w14:textId="77777777" w:rsidR="00C659ED" w:rsidRPr="00C659ED" w:rsidRDefault="00C659ED" w:rsidP="00C659ED">
      <w:pPr>
        <w:spacing w:before="120" w:after="60"/>
        <w:ind w:left="487"/>
        <w:rPr>
          <w:rFonts w:ascii="Calibri" w:hAnsi="Calibri"/>
          <w:sz w:val="22"/>
          <w:szCs w:val="22"/>
        </w:rPr>
      </w:pP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xml:space="preserve">. The program will focus on enhancing the Fellows’ </w:t>
      </w:r>
      <w:r w:rsidR="00C77A17" w:rsidRPr="007549D9">
        <w:rPr>
          <w:rFonts w:ascii="Calibri" w:hAnsi="Calibri"/>
          <w:sz w:val="22"/>
          <w:szCs w:val="22"/>
        </w:rPr>
        <w:lastRenderedPageBreak/>
        <w:t>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C24F5A"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7F2086B6"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4486D8E7"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C659ED">
        <w:rPr>
          <w:rFonts w:ascii="Calibri" w:hAnsi="Calibri"/>
          <w:sz w:val="22"/>
          <w:szCs w:val="22"/>
        </w:rPr>
        <w:t xml:space="preserve"> Bioinformatics, Immunology or Gene Therapy.</w:t>
      </w:r>
    </w:p>
    <w:p w14:paraId="45C6E95D" w14:textId="0DAB20A6" w:rsidR="00C3034F" w:rsidRDefault="00C3034F" w:rsidP="00C3034F">
      <w:pPr>
        <w:spacing w:after="60"/>
        <w:ind w:left="318"/>
        <w:rPr>
          <w:rFonts w:ascii="Calibri" w:hAnsi="Calibri"/>
          <w:i/>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55F4F1D1" w14:textId="413B0E36" w:rsidR="00C24F5A" w:rsidRPr="00C24F5A" w:rsidRDefault="00C24F5A" w:rsidP="00C24F5A">
      <w:pPr>
        <w:numPr>
          <w:ilvl w:val="0"/>
          <w:numId w:val="16"/>
        </w:numPr>
        <w:tabs>
          <w:tab w:val="clear" w:pos="720"/>
          <w:tab w:val="num" w:pos="6"/>
        </w:tabs>
        <w:spacing w:after="60"/>
        <w:ind w:left="318" w:hanging="284"/>
        <w:rPr>
          <w:rStyle w:val="Emphasis"/>
          <w:rFonts w:ascii="Calibri" w:hAnsi="Calibri" w:cs="Arial"/>
          <w:i w:val="0"/>
          <w:iCs/>
          <w:sz w:val="22"/>
          <w:szCs w:val="22"/>
        </w:rPr>
      </w:pPr>
      <w:r w:rsidRPr="00C24F5A">
        <w:rPr>
          <w:rStyle w:val="Emphasis"/>
          <w:rFonts w:ascii="Calibri" w:hAnsi="Calibri" w:cs="Arial"/>
          <w:i w:val="0"/>
          <w:iCs/>
          <w:sz w:val="22"/>
          <w:szCs w:val="22"/>
        </w:rPr>
        <w:t>Published evidence of research on human immunology and/or gene editing technologies.</w:t>
      </w:r>
    </w:p>
    <w:p w14:paraId="48D2E135" w14:textId="7F2BFF7A"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Evidence of developing machine learning methodology (e.g. RF, SVM, ANN) as well as more than one language relevant for bioinformatics (e.g. Python, Java, C++, Scala, BASH, R).</w:t>
      </w:r>
    </w:p>
    <w:p w14:paraId="5D168ADD" w14:textId="77777777"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 xml:space="preserve">Proven impact from developing solutions on public cloud infrastructure (AWS, Alibaba cloud, GCP Azure) or high-performance compute (HPC) with demonstrated software engineering practices (use of repositories, deployment standards, efficiency analysis). </w:t>
      </w:r>
    </w:p>
    <w:p w14:paraId="44DA2D9B" w14:textId="77777777"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The ability to work effectively as part of a multi-disciplinary, regionally dispersed research team, plus the motivation and discipline to carry out autonomous research.</w:t>
      </w:r>
    </w:p>
    <w:p w14:paraId="491C1E3E" w14:textId="01146DAD"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28A90DD4" w14:textId="2F2D716E"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lastRenderedPageBreak/>
        <w:t>A sound history of publication in peer reviewed journals and/or authorship of scientific papers, reports, grant applications or patents.</w:t>
      </w:r>
      <w:r w:rsidR="006D46F6">
        <w:rPr>
          <w:rStyle w:val="Strong"/>
          <w:rFonts w:ascii="Calibri" w:hAnsi="Calibri"/>
          <w:b w:val="0"/>
          <w:sz w:val="22"/>
          <w:szCs w:val="22"/>
        </w:rPr>
        <w:t xml:space="preserve">  Please provide impact criterion on your papers (IF, or number of citations).</w:t>
      </w:r>
    </w:p>
    <w:p w14:paraId="669742BB" w14:textId="77777777" w:rsidR="001A208B" w:rsidRDefault="00DD3A8A" w:rsidP="001A208B">
      <w:pPr>
        <w:numPr>
          <w:ilvl w:val="0"/>
          <w:numId w:val="16"/>
        </w:numPr>
        <w:tabs>
          <w:tab w:val="clear" w:pos="720"/>
          <w:tab w:val="num" w:pos="6"/>
        </w:tabs>
        <w:spacing w:after="60"/>
        <w:ind w:left="318" w:hanging="284"/>
        <w:rPr>
          <w:rStyle w:val="Emphasis"/>
          <w:rFonts w:ascii="Calibri" w:hAnsi="Calibri" w:cs="Calibr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31CAD491" w14:textId="0D9563A1" w:rsidR="00C659ED" w:rsidRDefault="00C659ED" w:rsidP="00C659ED">
      <w:pPr>
        <w:numPr>
          <w:ilvl w:val="0"/>
          <w:numId w:val="17"/>
        </w:numPr>
        <w:tabs>
          <w:tab w:val="clear" w:pos="720"/>
          <w:tab w:val="num" w:pos="393"/>
        </w:tabs>
        <w:spacing w:after="60"/>
        <w:ind w:left="393"/>
        <w:rPr>
          <w:rStyle w:val="Emphasis"/>
          <w:rFonts w:ascii="Calibri" w:hAnsi="Calibri" w:cs="Arial"/>
          <w:i w:val="0"/>
          <w:iCs/>
          <w:sz w:val="22"/>
          <w:szCs w:val="22"/>
        </w:rPr>
      </w:pPr>
      <w:r>
        <w:rPr>
          <w:rStyle w:val="Emphasis"/>
          <w:rFonts w:ascii="Calibri" w:hAnsi="Calibri" w:cs="Arial"/>
          <w:i w:val="0"/>
          <w:iCs/>
          <w:sz w:val="22"/>
          <w:szCs w:val="22"/>
        </w:rPr>
        <w:t>Experience in CAR-T cell workflows.</w:t>
      </w:r>
    </w:p>
    <w:p w14:paraId="4D498B8D" w14:textId="01FE231B" w:rsidR="00C659ED" w:rsidRDefault="00C659ED" w:rsidP="00C659ED">
      <w:pPr>
        <w:numPr>
          <w:ilvl w:val="0"/>
          <w:numId w:val="17"/>
        </w:numPr>
        <w:tabs>
          <w:tab w:val="clear" w:pos="720"/>
          <w:tab w:val="num" w:pos="393"/>
        </w:tabs>
        <w:spacing w:after="60"/>
        <w:ind w:left="393"/>
        <w:rPr>
          <w:rStyle w:val="Emphasis"/>
          <w:rFonts w:ascii="Calibri" w:hAnsi="Calibri" w:cs="Arial"/>
          <w:i w:val="0"/>
          <w:iCs/>
          <w:sz w:val="22"/>
          <w:szCs w:val="22"/>
        </w:rPr>
      </w:pPr>
      <w:r>
        <w:rPr>
          <w:rStyle w:val="Emphasis"/>
          <w:rFonts w:ascii="Calibri" w:hAnsi="Calibri" w:cs="Arial"/>
          <w:i w:val="0"/>
          <w:iCs/>
          <w:sz w:val="22"/>
          <w:szCs w:val="22"/>
        </w:rPr>
        <w:t>Experience human clinical trials.</w:t>
      </w:r>
    </w:p>
    <w:p w14:paraId="197B8800" w14:textId="331D316E" w:rsidR="00C659ED" w:rsidRPr="007D006B" w:rsidRDefault="00C659ED" w:rsidP="00C659ED">
      <w:pPr>
        <w:numPr>
          <w:ilvl w:val="0"/>
          <w:numId w:val="17"/>
        </w:numPr>
        <w:tabs>
          <w:tab w:val="clear" w:pos="720"/>
          <w:tab w:val="num" w:pos="393"/>
        </w:tabs>
        <w:spacing w:after="60"/>
        <w:ind w:left="393"/>
        <w:rPr>
          <w:rStyle w:val="Emphasis"/>
          <w:rFonts w:ascii="Calibri" w:hAnsi="Calibri" w:cs="Arial"/>
          <w:i w:val="0"/>
          <w:iCs/>
          <w:sz w:val="22"/>
          <w:szCs w:val="22"/>
        </w:rPr>
      </w:pPr>
      <w:r w:rsidRPr="007D006B">
        <w:rPr>
          <w:rStyle w:val="Emphasis"/>
          <w:rFonts w:ascii="Calibri" w:hAnsi="Calibri" w:cs="Arial"/>
          <w:i w:val="0"/>
          <w:iCs/>
          <w:sz w:val="22"/>
          <w:szCs w:val="22"/>
        </w:rPr>
        <w:t xml:space="preserve">Experience with containerized elastic cloud-computing </w:t>
      </w:r>
      <w:r>
        <w:rPr>
          <w:rStyle w:val="Emphasis"/>
          <w:rFonts w:ascii="Calibri" w:hAnsi="Calibri" w:cs="Arial"/>
          <w:i w:val="0"/>
          <w:iCs/>
          <w:sz w:val="22"/>
          <w:szCs w:val="22"/>
        </w:rPr>
        <w:t>deployment systems</w:t>
      </w:r>
      <w:r w:rsidRPr="007D006B">
        <w:rPr>
          <w:rStyle w:val="Emphasis"/>
          <w:rFonts w:ascii="Calibri" w:hAnsi="Calibri" w:cs="Arial"/>
          <w:i w:val="0"/>
          <w:iCs/>
          <w:sz w:val="22"/>
          <w:szCs w:val="22"/>
        </w:rPr>
        <w:t xml:space="preserve"> (e.g. Kubernetes, Docker, </w:t>
      </w:r>
      <w:r>
        <w:rPr>
          <w:rStyle w:val="Emphasis"/>
          <w:rFonts w:ascii="Calibri" w:hAnsi="Calibri" w:cs="Arial"/>
          <w:i w:val="0"/>
          <w:iCs/>
          <w:sz w:val="22"/>
          <w:szCs w:val="22"/>
        </w:rPr>
        <w:t>Terraform</w:t>
      </w:r>
      <w:r w:rsidRPr="007D006B">
        <w:rPr>
          <w:rStyle w:val="Emphasis"/>
          <w:rFonts w:ascii="Calibri" w:hAnsi="Calibri" w:cs="Arial"/>
          <w:i w:val="0"/>
          <w:iCs/>
          <w:sz w:val="22"/>
          <w:szCs w:val="22"/>
        </w:rPr>
        <w:t>)</w:t>
      </w:r>
      <w:r>
        <w:rPr>
          <w:rStyle w:val="Emphasis"/>
          <w:rFonts w:ascii="Calibri" w:hAnsi="Calibri" w:cs="Arial"/>
          <w:i w:val="0"/>
          <w:iCs/>
          <w:sz w:val="22"/>
          <w:szCs w:val="22"/>
        </w:rPr>
        <w:t xml:space="preserve"> and </w:t>
      </w:r>
      <w:r w:rsidRPr="007D006B">
        <w:rPr>
          <w:rStyle w:val="Emphasis"/>
          <w:rFonts w:ascii="Calibri" w:hAnsi="Calibri" w:cs="Arial"/>
          <w:i w:val="0"/>
          <w:iCs/>
          <w:sz w:val="22"/>
          <w:szCs w:val="22"/>
        </w:rPr>
        <w:t>Hadoop-based distributed compute systems (SPARK, FLINK</w:t>
      </w:r>
      <w:r>
        <w:rPr>
          <w:rStyle w:val="Emphasis"/>
          <w:rFonts w:ascii="Calibri" w:hAnsi="Calibri" w:cs="Arial"/>
          <w:i w:val="0"/>
          <w:iCs/>
          <w:sz w:val="22"/>
          <w:szCs w:val="22"/>
        </w:rPr>
        <w:t>).</w:t>
      </w:r>
    </w:p>
    <w:p w14:paraId="5B098418" w14:textId="77777777" w:rsidR="003B37AE" w:rsidRPr="00977024" w:rsidRDefault="003B37AE" w:rsidP="006B0636">
      <w:pPr>
        <w:spacing w:after="60"/>
        <w:rPr>
          <w:rFonts w:ascii="Calibri" w:hAnsi="Calibri"/>
          <w:i/>
          <w:iCs/>
          <w:sz w:val="22"/>
          <w:szCs w:val="22"/>
        </w:rPr>
      </w:pPr>
    </w:p>
    <w:p w14:paraId="171D6164" w14:textId="55B850FB"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C659ED">
        <w:rPr>
          <w:rFonts w:ascii="Calibri" w:hAnsi="Calibri"/>
          <w:sz w:val="22"/>
          <w:szCs w:val="22"/>
        </w:rPr>
        <w:t xml:space="preserve">1 </w:t>
      </w:r>
      <w:r w:rsidR="00C659ED" w:rsidRPr="00C659ED">
        <w:rPr>
          <w:rFonts w:ascii="Calibri" w:hAnsi="Calibri"/>
          <w:sz w:val="22"/>
          <w:szCs w:val="22"/>
        </w:rPr>
        <w:t>($83</w:t>
      </w:r>
      <w:r w:rsidR="00C24F5A">
        <w:rPr>
          <w:rFonts w:ascii="Calibri" w:hAnsi="Calibri"/>
          <w:sz w:val="22"/>
          <w:szCs w:val="22"/>
        </w:rPr>
        <w:t>,</w:t>
      </w:r>
      <w:r w:rsidR="00C659ED" w:rsidRPr="00C659ED">
        <w:rPr>
          <w:rFonts w:ascii="Calibri" w:hAnsi="Calibri"/>
          <w:sz w:val="22"/>
          <w:szCs w:val="22"/>
        </w:rPr>
        <w:t xml:space="preserve">687). </w:t>
      </w:r>
      <w:r w:rsidRPr="00C659ED">
        <w:rPr>
          <w:rFonts w:ascii="Calibri" w:hAnsi="Calibri"/>
          <w:sz w:val="22"/>
          <w:szCs w:val="22"/>
        </w:rPr>
        <w:t>Upon</w:t>
      </w:r>
      <w:r w:rsidRPr="00771569">
        <w:rPr>
          <w:rFonts w:ascii="Calibri" w:hAnsi="Calibri"/>
          <w:sz w:val="22"/>
          <w:szCs w:val="22"/>
        </w:rPr>
        <w:t xml:space="preserve">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2"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286600E" w14:textId="77777777" w:rsidR="00C659ED" w:rsidRPr="00E3024D" w:rsidRDefault="00C659ED" w:rsidP="00C659ED">
      <w:pPr>
        <w:jc w:val="both"/>
        <w:rPr>
          <w:rFonts w:ascii="Calibri" w:eastAsia="Times New Roman" w:hAnsi="Calibri" w:cs="Calibri"/>
          <w:color w:val="000000"/>
          <w:sz w:val="24"/>
          <w:szCs w:val="24"/>
          <w:lang w:eastAsia="en-US"/>
        </w:rPr>
      </w:pPr>
      <w:r w:rsidRPr="00E3024D">
        <w:rPr>
          <w:rFonts w:ascii="Calibri" w:eastAsia="Times New Roman" w:hAnsi="Calibri" w:cs="Calibri"/>
          <w:color w:val="000000"/>
          <w:sz w:val="22"/>
          <w:szCs w:val="22"/>
          <w:lang w:eastAsia="en-US"/>
        </w:rPr>
        <w:t>Besides recent publications in high impact peer reviewed journals like Blood,</w:t>
      </w:r>
      <w:r>
        <w:rPr>
          <w:rFonts w:ascii="Calibri" w:eastAsia="Times New Roman" w:hAnsi="Calibri" w:cs="Calibri"/>
          <w:color w:val="000000"/>
          <w:sz w:val="22"/>
          <w:szCs w:val="22"/>
          <w:lang w:eastAsia="en-US"/>
        </w:rPr>
        <w:t xml:space="preserve"> Nature Communications</w:t>
      </w:r>
      <w:r w:rsidRPr="00E3024D">
        <w:rPr>
          <w:rFonts w:ascii="Calibri" w:eastAsia="Times New Roman" w:hAnsi="Calibri" w:cs="Calibri"/>
          <w:color w:val="000000"/>
          <w:sz w:val="22"/>
          <w:szCs w:val="22"/>
          <w:lang w:eastAsia="en-US"/>
        </w:rPr>
        <w:t xml:space="preserve"> and Genome Research, our work was highlighted by </w:t>
      </w:r>
      <w:proofErr w:type="spellStart"/>
      <w:r w:rsidRPr="00E3024D">
        <w:rPr>
          <w:rFonts w:ascii="Calibri" w:eastAsia="Times New Roman" w:hAnsi="Calibri" w:cs="Calibri"/>
          <w:color w:val="000000"/>
          <w:sz w:val="22"/>
          <w:szCs w:val="22"/>
          <w:lang w:eastAsia="en-US"/>
        </w:rPr>
        <w:t>ComputerWeekly</w:t>
      </w:r>
      <w:proofErr w:type="spellEnd"/>
      <w:r w:rsidRPr="00E3024D">
        <w:rPr>
          <w:rFonts w:ascii="Calibri" w:eastAsia="Times New Roman" w:hAnsi="Calibri" w:cs="Calibri"/>
          <w:color w:val="000000"/>
          <w:sz w:val="22"/>
          <w:szCs w:val="22"/>
          <w:lang w:eastAsia="en-US"/>
        </w:rPr>
        <w:t xml:space="preserve"> as one of the Top-10 IT stories of 2017, presented by Amazon Web Service (AWS Summit), as well as </w:t>
      </w:r>
      <w:proofErr w:type="spellStart"/>
      <w:r w:rsidRPr="00E3024D">
        <w:rPr>
          <w:rFonts w:ascii="Calibri" w:eastAsia="Times New Roman" w:hAnsi="Calibri" w:cs="Calibri"/>
          <w:color w:val="000000"/>
          <w:sz w:val="22"/>
          <w:szCs w:val="22"/>
          <w:lang w:eastAsia="en-US"/>
        </w:rPr>
        <w:t>GenomeWeb</w:t>
      </w:r>
      <w:proofErr w:type="spellEnd"/>
      <w:r w:rsidRPr="00E3024D">
        <w:rPr>
          <w:rFonts w:ascii="Calibri" w:eastAsia="Times New Roman" w:hAnsi="Calibri" w:cs="Calibri"/>
          <w:color w:val="000000"/>
          <w:sz w:val="22"/>
          <w:szCs w:val="22"/>
          <w:lang w:eastAsia="en-US"/>
        </w:rPr>
        <w:t xml:space="preserve">, one of the largest online news outlets for genomics and life Science developments. We partner with both industry (AWS, Alibaba cloud, Microsoft research), as well as national and international academic research institutes (Project </w:t>
      </w:r>
      <w:proofErr w:type="spellStart"/>
      <w:r w:rsidRPr="00E3024D">
        <w:rPr>
          <w:rFonts w:ascii="Calibri" w:eastAsia="Times New Roman" w:hAnsi="Calibri" w:cs="Calibri"/>
          <w:color w:val="000000"/>
          <w:sz w:val="22"/>
          <w:szCs w:val="22"/>
          <w:lang w:eastAsia="en-US"/>
        </w:rPr>
        <w:t>MinE</w:t>
      </w:r>
      <w:proofErr w:type="spellEnd"/>
      <w:r w:rsidRPr="00E3024D">
        <w:rPr>
          <w:rFonts w:ascii="Calibri" w:eastAsia="Times New Roman" w:hAnsi="Calibri" w:cs="Calibri"/>
          <w:color w:val="000000"/>
          <w:sz w:val="22"/>
          <w:szCs w:val="22"/>
          <w:lang w:eastAsia="en-US"/>
        </w:rPr>
        <w:t xml:space="preserve">, AIBL, Harvard, ANU, MQ, </w:t>
      </w:r>
      <w:proofErr w:type="spellStart"/>
      <w:r w:rsidRPr="00E3024D">
        <w:rPr>
          <w:rFonts w:ascii="Calibri" w:eastAsia="Times New Roman" w:hAnsi="Calibri" w:cs="Calibri"/>
          <w:color w:val="000000"/>
          <w:sz w:val="22"/>
          <w:szCs w:val="22"/>
          <w:lang w:eastAsia="en-US"/>
        </w:rPr>
        <w:t>PeterMac</w:t>
      </w:r>
      <w:proofErr w:type="spellEnd"/>
      <w:r w:rsidRPr="00E3024D">
        <w:rPr>
          <w:rFonts w:ascii="Calibri" w:eastAsia="Times New Roman" w:hAnsi="Calibri" w:cs="Calibri"/>
          <w:color w:val="000000"/>
          <w:sz w:val="22"/>
          <w:szCs w:val="22"/>
          <w:lang w:eastAsia="en-US"/>
        </w:rPr>
        <w:t>, JCSMR, WEHI, FU Berlin).</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531B4D55" w14:textId="77777777" w:rsidR="00C659ED" w:rsidRDefault="00C659ED" w:rsidP="00C659ED">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5"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6D444F62" w14:textId="281FED3A"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427A" w14:textId="77777777" w:rsidR="0062545D" w:rsidRDefault="0062545D">
      <w:r>
        <w:separator/>
      </w:r>
    </w:p>
  </w:endnote>
  <w:endnote w:type="continuationSeparator" w:id="0">
    <w:p w14:paraId="22BDD6D1" w14:textId="77777777" w:rsidR="0062545D" w:rsidRDefault="006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B4DC" w14:textId="77777777" w:rsidR="0062545D" w:rsidRDefault="0062545D">
      <w:r>
        <w:separator/>
      </w:r>
    </w:p>
  </w:footnote>
  <w:footnote w:type="continuationSeparator" w:id="0">
    <w:p w14:paraId="63DD35C8" w14:textId="77777777" w:rsidR="0062545D" w:rsidRDefault="0062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77655"/>
    <w:rsid w:val="00192930"/>
    <w:rsid w:val="001A0AFE"/>
    <w:rsid w:val="001A208B"/>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5CAC"/>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545D"/>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46F6"/>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570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24F5A"/>
    <w:rsid w:val="00C3034F"/>
    <w:rsid w:val="00C34CA6"/>
    <w:rsid w:val="00C40A38"/>
    <w:rsid w:val="00C4173B"/>
    <w:rsid w:val="00C41899"/>
    <w:rsid w:val="00C43943"/>
    <w:rsid w:val="00C46712"/>
    <w:rsid w:val="00C50222"/>
    <w:rsid w:val="00C55539"/>
    <w:rsid w:val="00C57512"/>
    <w:rsid w:val="00C57D01"/>
    <w:rsid w:val="00C60877"/>
    <w:rsid w:val="00C61A1E"/>
    <w:rsid w:val="00C64F6D"/>
    <w:rsid w:val="00C659E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6056866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385734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9183730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Facilities/AAH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DD7E-18DC-4D45-82EB-D4AEE149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11196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3</cp:revision>
  <cp:lastPrinted>2019-01-16T00:59:00Z</cp:lastPrinted>
  <dcterms:created xsi:type="dcterms:W3CDTF">2019-06-07T06:32:00Z</dcterms:created>
  <dcterms:modified xsi:type="dcterms:W3CDTF">2019-07-30T22:33:00Z</dcterms:modified>
</cp:coreProperties>
</file>