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ContentLocked"/>
        <w:placeholder>
          <w:docPart w:val="DefaultPlaceholder_-1854013440"/>
        </w:placeholder>
      </w:sdtPr>
      <w:sdtEndPr/>
      <w:sdtContent>
        <w:p w:rsidR="00332C06" w:rsidRPr="00674783" w:rsidRDefault="00CC201B" w:rsidP="00674783">
          <w:pPr>
            <w:pStyle w:val="Heading1"/>
          </w:pPr>
          <w:r>
            <w:t>Position Details</w:t>
          </w:r>
          <w:bookmarkEnd w:id="0"/>
        </w:p>
        <w:p w:rsidR="006246C0" w:rsidRDefault="00045692" w:rsidP="00B04E3F">
          <w:pPr>
            <w:pStyle w:val="Heading2"/>
          </w:pPr>
          <w:r>
            <w:t>Technical Services</w:t>
          </w:r>
          <w:r w:rsidR="00CC201B">
            <w:t>- CSOF</w:t>
          </w:r>
          <w:r w:rsidR="00FF27A3">
            <w:t>3</w:t>
          </w:r>
        </w:p>
      </w:sdtContent>
    </w:sdt>
    <w:tbl>
      <w:tblPr>
        <w:tblStyle w:val="TableCSIRO"/>
        <w:tblW w:w="9474" w:type="dxa"/>
        <w:tblLook w:val="00A0" w:firstRow="1" w:lastRow="0" w:firstColumn="1" w:lastColumn="0" w:noHBand="0" w:noVBand="0"/>
      </w:tblPr>
      <w:tblGrid>
        <w:gridCol w:w="3856"/>
        <w:gridCol w:w="5618"/>
      </w:tblGrid>
      <w:tr w:rsidR="00452FD5" w:rsidRPr="0093721B" w:rsidTr="00452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Advertised Job Title</w:t>
            </w:r>
          </w:p>
        </w:tc>
        <w:tc>
          <w:tcPr>
            <w:tcW w:w="2965" w:type="pct"/>
          </w:tcPr>
          <w:p w:rsidR="00CC201B" w:rsidRPr="0093721B" w:rsidRDefault="00217957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17957">
              <w:rPr>
                <w:sz w:val="22"/>
              </w:rPr>
              <w:t>Technical Services Officer - IMT, Client Services Delivery</w:t>
            </w:r>
          </w:p>
        </w:tc>
      </w:tr>
      <w:tr w:rsidR="00CC201B" w:rsidRPr="0093721B" w:rsidTr="00BB763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Job Reference</w:t>
            </w:r>
          </w:p>
        </w:tc>
        <w:tc>
          <w:tcPr>
            <w:tcW w:w="2965" w:type="pct"/>
          </w:tcPr>
          <w:p w:rsidR="00CC201B" w:rsidRPr="0093721B" w:rsidRDefault="00217957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64233</w:t>
            </w:r>
          </w:p>
        </w:tc>
      </w:tr>
      <w:tr w:rsidR="00C45886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Tenure</w:t>
            </w:r>
          </w:p>
        </w:tc>
        <w:tc>
          <w:tcPr>
            <w:tcW w:w="2965" w:type="pct"/>
          </w:tcPr>
          <w:p w:rsidR="00A63426" w:rsidRDefault="005379CE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Indefinite </w:t>
            </w:r>
          </w:p>
          <w:p w:rsidR="00C45886" w:rsidRPr="0093721B" w:rsidRDefault="00A63426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</w:t>
            </w:r>
            <w:r w:rsidR="005379CE" w:rsidRPr="0093721B">
              <w:rPr>
                <w:sz w:val="22"/>
              </w:rPr>
              <w:t xml:space="preserve">ull-time </w:t>
            </w:r>
          </w:p>
        </w:tc>
      </w:tr>
      <w:tr w:rsidR="00C45886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Salary Range</w:t>
            </w:r>
          </w:p>
        </w:tc>
        <w:tc>
          <w:tcPr>
            <w:tcW w:w="2965" w:type="pct"/>
          </w:tcPr>
          <w:p w:rsidR="00C45886" w:rsidRPr="0093721B" w:rsidRDefault="00217957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AU$</w:t>
            </w:r>
            <w:r>
              <w:rPr>
                <w:sz w:val="22"/>
              </w:rPr>
              <w:t>63</w:t>
            </w:r>
            <w:r w:rsidRPr="0093721B">
              <w:rPr>
                <w:sz w:val="22"/>
              </w:rPr>
              <w:t>,</w:t>
            </w:r>
            <w:r>
              <w:rPr>
                <w:sz w:val="22"/>
              </w:rPr>
              <w:t xml:space="preserve">594 </w:t>
            </w:r>
            <w:r w:rsidRPr="0093721B">
              <w:rPr>
                <w:sz w:val="22"/>
              </w:rPr>
              <w:t>to AU$</w:t>
            </w:r>
            <w:r>
              <w:rPr>
                <w:sz w:val="22"/>
              </w:rPr>
              <w:t>80</w:t>
            </w:r>
            <w:r w:rsidRPr="0093721B">
              <w:rPr>
                <w:sz w:val="22"/>
              </w:rPr>
              <w:t>,</w:t>
            </w:r>
            <w:r>
              <w:rPr>
                <w:sz w:val="22"/>
              </w:rPr>
              <w:t>937</w:t>
            </w:r>
            <w:r w:rsidRPr="0093721B">
              <w:rPr>
                <w:sz w:val="22"/>
              </w:rPr>
              <w:t xml:space="preserve"> </w:t>
            </w:r>
            <w:r w:rsidR="005379CE" w:rsidRPr="0093721B">
              <w:rPr>
                <w:sz w:val="22"/>
              </w:rPr>
              <w:t>pa</w:t>
            </w:r>
            <w:r>
              <w:rPr>
                <w:sz w:val="22"/>
              </w:rPr>
              <w:t xml:space="preserve"> </w:t>
            </w:r>
            <w:r w:rsidR="005379CE" w:rsidRPr="0093721B">
              <w:rPr>
                <w:sz w:val="22"/>
              </w:rPr>
              <w:t>+ up to 15.4% superannuation</w:t>
            </w:r>
          </w:p>
        </w:tc>
      </w:tr>
      <w:tr w:rsidR="00926BE4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Location</w:t>
            </w:r>
            <w:r w:rsidR="00C45886" w:rsidRPr="0093721B">
              <w:rPr>
                <w:sz w:val="22"/>
              </w:rPr>
              <w:t>(s)</w:t>
            </w:r>
          </w:p>
        </w:tc>
        <w:tc>
          <w:tcPr>
            <w:tcW w:w="2965" w:type="pct"/>
          </w:tcPr>
          <w:p w:rsidR="00926BE4" w:rsidRPr="0093721B" w:rsidRDefault="00217957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Geelong, VIC</w:t>
            </w:r>
          </w:p>
        </w:tc>
      </w:tr>
      <w:tr w:rsidR="00926BE4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Relocation Assistance</w:t>
            </w:r>
          </w:p>
        </w:tc>
        <w:tc>
          <w:tcPr>
            <w:tcW w:w="2965" w:type="pct"/>
          </w:tcPr>
          <w:p w:rsidR="00926BE4" w:rsidRPr="0093721B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Applications are open to</w:t>
            </w:r>
          </w:p>
        </w:tc>
        <w:tc>
          <w:tcPr>
            <w:tcW w:w="2965" w:type="pct"/>
          </w:tcPr>
          <w:p w:rsidR="00926BE4" w:rsidRPr="0093721B" w:rsidRDefault="00EA62ED" w:rsidP="00217957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Australian Citizens Only</w:t>
            </w:r>
          </w:p>
        </w:tc>
      </w:tr>
      <w:tr w:rsidR="00C45886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Position reports to the</w:t>
            </w:r>
          </w:p>
        </w:tc>
        <w:tc>
          <w:tcPr>
            <w:tcW w:w="2965" w:type="pct"/>
          </w:tcPr>
          <w:p w:rsidR="00C45886" w:rsidRPr="00FA5E43" w:rsidRDefault="00FA5E43" w:rsidP="00FA5E4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color w:val="auto"/>
                <w:sz w:val="22"/>
              </w:rPr>
            </w:pPr>
            <w:r>
              <w:rPr>
                <w:sz w:val="22"/>
              </w:rPr>
              <w:t>Client Services Delivery - Team Lead</w:t>
            </w:r>
          </w:p>
        </w:tc>
      </w:tr>
      <w:tr w:rsidR="00926BE4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Internal</w:t>
            </w:r>
          </w:p>
        </w:tc>
        <w:tc>
          <w:tcPr>
            <w:tcW w:w="2965" w:type="pct"/>
          </w:tcPr>
          <w:p w:rsidR="00926BE4" w:rsidRPr="00FA5E43" w:rsidRDefault="00FA5E4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A5E43">
              <w:rPr>
                <w:sz w:val="22"/>
              </w:rPr>
              <w:t>10</w:t>
            </w:r>
            <w:r w:rsidR="00F54F83" w:rsidRPr="00FA5E43">
              <w:rPr>
                <w:sz w:val="22"/>
              </w:rPr>
              <w:t>0%</w:t>
            </w:r>
          </w:p>
        </w:tc>
      </w:tr>
      <w:tr w:rsidR="00926BE4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External</w:t>
            </w:r>
          </w:p>
        </w:tc>
        <w:tc>
          <w:tcPr>
            <w:tcW w:w="2965" w:type="pct"/>
          </w:tcPr>
          <w:p w:rsidR="00926BE4" w:rsidRPr="00FA5E43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A5E43">
              <w:rPr>
                <w:sz w:val="22"/>
              </w:rPr>
              <w:t>0%</w:t>
            </w:r>
          </w:p>
        </w:tc>
      </w:tr>
      <w:tr w:rsidR="00194B1C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Number of Direct Reports</w:t>
            </w:r>
          </w:p>
        </w:tc>
        <w:tc>
          <w:tcPr>
            <w:tcW w:w="2965" w:type="pct"/>
          </w:tcPr>
          <w:p w:rsidR="00194B1C" w:rsidRPr="00FA5E43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A5E43">
              <w:rPr>
                <w:sz w:val="22"/>
              </w:rPr>
              <w:t>0</w:t>
            </w:r>
          </w:p>
        </w:tc>
      </w:tr>
      <w:tr w:rsidR="00194B1C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Enquire about this job</w:t>
            </w:r>
          </w:p>
        </w:tc>
        <w:tc>
          <w:tcPr>
            <w:tcW w:w="2965" w:type="pct"/>
          </w:tcPr>
          <w:p w:rsidR="00194B1C" w:rsidRPr="00FA5E43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A5E43">
              <w:rPr>
                <w:sz w:val="22"/>
              </w:rPr>
              <w:t>Contact</w:t>
            </w:r>
            <w:r w:rsidR="00FA5E43" w:rsidRPr="00FA5E43">
              <w:rPr>
                <w:sz w:val="22"/>
              </w:rPr>
              <w:t xml:space="preserve"> Davor Topalovic via email: davor.topalovic@csiro.au or phone: (03) 9545 2927.</w:t>
            </w:r>
          </w:p>
        </w:tc>
      </w:tr>
      <w:tr w:rsidR="00194B1C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How to apply</w:t>
            </w:r>
          </w:p>
        </w:tc>
        <w:tc>
          <w:tcPr>
            <w:tcW w:w="2965" w:type="pct"/>
          </w:tcPr>
          <w:p w:rsidR="00F54F83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Apply online a</w:t>
            </w:r>
            <w:r w:rsidR="006F78A3">
              <w:rPr>
                <w:sz w:val="22"/>
              </w:rPr>
              <w:t xml:space="preserve">t  </w:t>
            </w:r>
            <w:hyperlink r:id="rId7" w:history="1">
              <w:r w:rsidR="006F78A3" w:rsidRPr="0059296E">
                <w:rPr>
                  <w:rStyle w:val="Hyperlink"/>
                  <w:sz w:val="22"/>
                </w:rPr>
                <w:t>https://jobs.csiro.au/</w:t>
              </w:r>
            </w:hyperlink>
            <w:r w:rsidR="006F78A3">
              <w:rPr>
                <w:sz w:val="22"/>
              </w:rPr>
              <w:t xml:space="preserve"> </w:t>
            </w:r>
          </w:p>
          <w:p w:rsidR="00CB4BE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Internal applicants please apply via </w:t>
            </w:r>
            <w:r w:rsidRPr="006F78A3">
              <w:rPr>
                <w:b/>
                <w:sz w:val="22"/>
              </w:rPr>
              <w:t>Jobs Central</w:t>
            </w:r>
          </w:p>
          <w:p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If you experience difficulties when applying, please email </w:t>
            </w:r>
            <w:hyperlink r:id="rId8" w:history="1">
              <w:r w:rsidRPr="0093721B">
                <w:rPr>
                  <w:rStyle w:val="Hyperlink"/>
                  <w:sz w:val="22"/>
                </w:rPr>
                <w:t>careers.online@csiro.au</w:t>
              </w:r>
            </w:hyperlink>
            <w:r w:rsidRPr="0093721B">
              <w:rPr>
                <w:sz w:val="22"/>
              </w:rPr>
              <w:t xml:space="preserve"> or call 1300 984 220.</w:t>
            </w:r>
          </w:p>
        </w:tc>
      </w:tr>
    </w:tbl>
    <w:p w:rsidR="006246C0" w:rsidRPr="00674783" w:rsidRDefault="00DA6FF0" w:rsidP="00D06E61">
      <w:pPr>
        <w:pStyle w:val="Heading3"/>
        <w:spacing w:after="0"/>
      </w:pPr>
      <w:r>
        <w:lastRenderedPageBreak/>
        <w:t>R</w:t>
      </w:r>
      <w:r w:rsidR="00B50C20">
        <w:t>ole Overview</w:t>
      </w:r>
    </w:p>
    <w:p w:rsidR="00DA6FF0" w:rsidRDefault="00CA414A" w:rsidP="00CA414A">
      <w:pPr>
        <w:pStyle w:val="Heading3"/>
        <w:rPr>
          <w:rFonts w:cs="Times New Roman"/>
          <w:b w:val="0"/>
          <w:bCs w:val="0"/>
          <w:color w:val="000000"/>
          <w:sz w:val="24"/>
          <w:szCs w:val="22"/>
        </w:rPr>
      </w:pPr>
      <w:bookmarkStart w:id="1" w:name="_Toc341085720"/>
      <w:r w:rsidRPr="00CA414A">
        <w:rPr>
          <w:rFonts w:cs="Times New Roman"/>
          <w:b w:val="0"/>
          <w:bCs w:val="0"/>
          <w:color w:val="000000"/>
          <w:sz w:val="24"/>
          <w:szCs w:val="22"/>
        </w:rPr>
        <w:t>The role of th</w:t>
      </w:r>
      <w:r>
        <w:rPr>
          <w:rFonts w:cs="Times New Roman"/>
          <w:b w:val="0"/>
          <w:bCs w:val="0"/>
          <w:color w:val="000000"/>
          <w:sz w:val="24"/>
          <w:szCs w:val="22"/>
        </w:rPr>
        <w:t>e</w:t>
      </w:r>
      <w:r w:rsidRPr="00CA414A">
        <w:rPr>
          <w:rFonts w:cs="Times New Roman"/>
          <w:b w:val="0"/>
          <w:bCs w:val="0"/>
          <w:color w:val="000000"/>
          <w:sz w:val="24"/>
          <w:szCs w:val="22"/>
        </w:rPr>
        <w:t xml:space="preserve"> Technical Services Officer - IMT, Client Services Delivery is to work with the Client Services Delivery (CSD) team to aid in the delivery of effective and timely IT support within CSIRO.</w:t>
      </w:r>
      <w:r w:rsidR="00422705"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Pr="00CA414A">
        <w:rPr>
          <w:rFonts w:cs="Times New Roman"/>
          <w:b w:val="0"/>
          <w:bCs w:val="0"/>
          <w:color w:val="000000"/>
          <w:sz w:val="24"/>
          <w:szCs w:val="22"/>
        </w:rPr>
        <w:t>IMT’s CSD group is responsible for providing effective and timely IT support to all of CSIRO and has staff at most CSIRO sites across Australia. Services are delivered through a mixture of physical and remote channels, depending on the location of the site and the type of support required.</w:t>
      </w:r>
    </w:p>
    <w:p w:rsidR="00CA414A" w:rsidRPr="00CA414A" w:rsidRDefault="00CA414A" w:rsidP="00CA414A">
      <w:pPr>
        <w:pStyle w:val="Heading3"/>
        <w:rPr>
          <w:rFonts w:cs="Times New Roman"/>
          <w:b w:val="0"/>
          <w:bCs w:val="0"/>
          <w:color w:val="000000"/>
          <w:sz w:val="24"/>
          <w:szCs w:val="22"/>
        </w:rPr>
      </w:pPr>
      <w:r w:rsidRPr="00CA414A">
        <w:rPr>
          <w:rFonts w:cs="Times New Roman"/>
          <w:b w:val="0"/>
          <w:bCs w:val="0"/>
          <w:color w:val="000000"/>
          <w:sz w:val="24"/>
          <w:szCs w:val="22"/>
        </w:rPr>
        <w:t>CSD is the primary point of contact for all IMT services in CSIRO. Its main functions are</w:t>
      </w:r>
      <w:r w:rsidR="00D72E5D">
        <w:rPr>
          <w:rFonts w:cs="Times New Roman"/>
          <w:b w:val="0"/>
          <w:bCs w:val="0"/>
          <w:color w:val="000000"/>
          <w:sz w:val="24"/>
          <w:szCs w:val="22"/>
        </w:rPr>
        <w:t>: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1) </w:t>
      </w:r>
      <w:r w:rsidRPr="00CA414A">
        <w:rPr>
          <w:rFonts w:cs="Times New Roman"/>
          <w:b w:val="0"/>
          <w:bCs w:val="0"/>
          <w:color w:val="000000"/>
          <w:sz w:val="24"/>
          <w:szCs w:val="22"/>
        </w:rPr>
        <w:t>On Site Support: Hands-on support for tasks requiring physical assistance to solve a problem or fulfil a request</w:t>
      </w:r>
      <w:r w:rsidR="00D72E5D">
        <w:rPr>
          <w:rFonts w:cs="Times New Roman"/>
          <w:b w:val="0"/>
          <w:bCs w:val="0"/>
          <w:color w:val="000000"/>
          <w:sz w:val="24"/>
          <w:szCs w:val="22"/>
        </w:rPr>
        <w:t xml:space="preserve">; 2) </w:t>
      </w:r>
      <w:r w:rsidRPr="00CA414A">
        <w:rPr>
          <w:rFonts w:cs="Times New Roman"/>
          <w:b w:val="0"/>
          <w:bCs w:val="0"/>
          <w:color w:val="000000"/>
          <w:sz w:val="24"/>
          <w:szCs w:val="22"/>
        </w:rPr>
        <w:t>Service Desk: The first point of call for IMT’s clients, responsible for logging and management of all calls, telephone support, call resolution using remote desktop technology, and escalation to second- and third-level support for resolution where necessary</w:t>
      </w:r>
      <w:r w:rsidR="00D72E5D">
        <w:rPr>
          <w:rFonts w:cs="Times New Roman"/>
          <w:b w:val="0"/>
          <w:bCs w:val="0"/>
          <w:color w:val="000000"/>
          <w:sz w:val="24"/>
          <w:szCs w:val="22"/>
        </w:rPr>
        <w:t xml:space="preserve">; 3) </w:t>
      </w:r>
      <w:r w:rsidRPr="00CA414A">
        <w:rPr>
          <w:rFonts w:cs="Times New Roman"/>
          <w:b w:val="0"/>
          <w:bCs w:val="0"/>
          <w:color w:val="000000"/>
          <w:sz w:val="24"/>
          <w:szCs w:val="22"/>
        </w:rPr>
        <w:t>Incident Management: managing the response to major incidents and collaborating with IMT’s technical teams to diagnose and resolve them.</w:t>
      </w:r>
    </w:p>
    <w:p w:rsidR="00CA414A" w:rsidRPr="00CA414A" w:rsidRDefault="00D72E5D" w:rsidP="00CA414A">
      <w:pPr>
        <w:pStyle w:val="Heading3"/>
        <w:rPr>
          <w:rFonts w:cs="Times New Roman"/>
          <w:b w:val="0"/>
          <w:bCs w:val="0"/>
          <w:color w:val="000000"/>
          <w:sz w:val="24"/>
          <w:szCs w:val="22"/>
        </w:rPr>
      </w:pPr>
      <w:r>
        <w:rPr>
          <w:rFonts w:cs="Times New Roman"/>
          <w:b w:val="0"/>
          <w:bCs w:val="0"/>
          <w:color w:val="000000"/>
          <w:sz w:val="24"/>
          <w:szCs w:val="22"/>
        </w:rPr>
        <w:t>The Technical Services Officer</w:t>
      </w:r>
      <w:r w:rsidR="00CA414A" w:rsidRPr="00CA414A">
        <w:rPr>
          <w:rFonts w:cs="Times New Roman"/>
          <w:b w:val="0"/>
          <w:bCs w:val="0"/>
          <w:color w:val="000000"/>
          <w:sz w:val="24"/>
          <w:szCs w:val="22"/>
        </w:rPr>
        <w:t xml:space="preserve"> will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 w:rsidR="00CA414A" w:rsidRPr="00CA414A">
        <w:rPr>
          <w:rFonts w:cs="Times New Roman"/>
          <w:b w:val="0"/>
          <w:bCs w:val="0"/>
          <w:color w:val="000000"/>
          <w:sz w:val="24"/>
          <w:szCs w:val="22"/>
        </w:rPr>
        <w:t>actively contribute to IMT’s service direction, participating in applying adaptive and innovative solutions to complex and/or ambiguous issues across one or more service and/or technical streams. Your demonstrated client focus will gain the support of key stakeholders and contribute to integrating IMT technical solutions with business requirements to achieve CSIRO’s strategic and organisational objectives.</w:t>
      </w:r>
    </w:p>
    <w:p w:rsidR="00D72E5D" w:rsidRDefault="00D72E5D" w:rsidP="00D72E5D">
      <w:pPr>
        <w:rPr>
          <w:rFonts w:eastAsia="Times New Roman"/>
          <w:szCs w:val="24"/>
          <w:lang w:val="en-US" w:eastAsia="en-US"/>
        </w:rPr>
      </w:pPr>
      <w:r w:rsidRPr="00D22D47">
        <w:rPr>
          <w:rFonts w:eastAsia="Times New Roman"/>
          <w:szCs w:val="24"/>
          <w:lang w:val="en-US" w:eastAsia="en-US"/>
        </w:rPr>
        <w:t>You must abide by and promote AAHL’s microbiological security regulations and conduct work consistent with CSIRO’s Equal Employment Opportunity and Occupational Health, Safety &amp; Environment principles.</w:t>
      </w:r>
    </w:p>
    <w:p w:rsidR="0092462E" w:rsidRDefault="0092462E" w:rsidP="0092462E">
      <w:pPr>
        <w:pStyle w:val="Default"/>
        <w:spacing w:before="120"/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</w:pPr>
    </w:p>
    <w:p w:rsidR="0092462E" w:rsidRPr="0092462E" w:rsidRDefault="0092462E" w:rsidP="0092462E">
      <w:pPr>
        <w:pStyle w:val="Default"/>
        <w:spacing w:before="120"/>
        <w:rPr>
          <w:rFonts w:asciiTheme="majorHAnsi" w:eastAsiaTheme="minorHAnsi" w:hAnsiTheme="majorHAnsi" w:cstheme="majorHAnsi"/>
          <w:b/>
          <w:bCs/>
          <w:i/>
          <w:iCs/>
          <w:color w:val="auto"/>
        </w:rPr>
      </w:pPr>
      <w:r w:rsidRPr="0092462E">
        <w:rPr>
          <w:rFonts w:asciiTheme="majorHAnsi" w:hAnsiTheme="majorHAnsi" w:cstheme="majorHAnsi"/>
          <w:b/>
          <w:bCs/>
          <w:i/>
          <w:iCs/>
          <w:color w:val="auto"/>
        </w:rPr>
        <w:t>Security Clearance:</w:t>
      </w:r>
    </w:p>
    <w:p w:rsidR="0092462E" w:rsidRPr="0092462E" w:rsidRDefault="0092462E" w:rsidP="0092462E">
      <w:pPr>
        <w:rPr>
          <w:rFonts w:asciiTheme="majorHAnsi" w:hAnsiTheme="majorHAnsi" w:cstheme="majorHAnsi"/>
          <w:i/>
          <w:iCs/>
          <w:color w:val="auto"/>
          <w:szCs w:val="24"/>
        </w:rPr>
      </w:pPr>
      <w:r w:rsidRPr="0092462E">
        <w:rPr>
          <w:rFonts w:asciiTheme="majorHAnsi" w:hAnsiTheme="majorHAnsi" w:cstheme="majorHAnsi"/>
          <w:i/>
          <w:iCs/>
          <w:szCs w:val="24"/>
        </w:rPr>
        <w:t>This is a security assessed position. Applicants must be an Australian citizen, with successful candidate either holding or having the ability to obtain a Negative Vetting 1 Australian Government security clearance or undergo other employment suitability checks.</w:t>
      </w:r>
    </w:p>
    <w:p w:rsidR="0092462E" w:rsidRPr="0092462E" w:rsidRDefault="0092462E" w:rsidP="0092462E">
      <w:pPr>
        <w:spacing w:after="240"/>
        <w:rPr>
          <w:rFonts w:asciiTheme="majorHAnsi" w:hAnsiTheme="majorHAnsi" w:cstheme="majorHAnsi"/>
          <w:i/>
          <w:iCs/>
          <w:szCs w:val="24"/>
          <w:lang w:eastAsia="en-US"/>
        </w:rPr>
      </w:pPr>
      <w:r w:rsidRPr="0092462E">
        <w:rPr>
          <w:rFonts w:asciiTheme="majorHAnsi" w:hAnsiTheme="majorHAnsi" w:cstheme="majorHAnsi"/>
          <w:i/>
          <w:iCs/>
          <w:szCs w:val="24"/>
        </w:rPr>
        <w:t xml:space="preserve">Note: </w:t>
      </w:r>
      <w:r w:rsidRPr="0092462E">
        <w:rPr>
          <w:rFonts w:asciiTheme="majorHAnsi" w:hAnsiTheme="majorHAnsi" w:cstheme="majorHAnsi"/>
          <w:i/>
          <w:iCs/>
          <w:szCs w:val="24"/>
        </w:rPr>
        <w:br/>
        <w:t>-</w:t>
      </w:r>
      <w:r w:rsidRPr="0092462E">
        <w:rPr>
          <w:rFonts w:asciiTheme="majorHAnsi" w:hAnsiTheme="majorHAnsi" w:cstheme="majorHAnsi"/>
          <w:i/>
          <w:iCs/>
          <w:szCs w:val="24"/>
        </w:rPr>
        <w:t xml:space="preserve"> </w:t>
      </w:r>
      <w:r w:rsidRPr="0092462E">
        <w:rPr>
          <w:rFonts w:asciiTheme="majorHAnsi" w:hAnsiTheme="majorHAnsi" w:cstheme="majorHAnsi"/>
          <w:i/>
          <w:iCs/>
          <w:szCs w:val="24"/>
        </w:rPr>
        <w:t xml:space="preserve">CSIRO utilises the Australian Government Security Vetting Agency to conduct its security clearances. Further information regarding security clearances may be found at </w:t>
      </w:r>
      <w:hyperlink r:id="rId9" w:history="1">
        <w:r w:rsidRPr="0092462E">
          <w:rPr>
            <w:rStyle w:val="Hyperlink"/>
            <w:rFonts w:asciiTheme="majorHAnsi" w:hAnsiTheme="majorHAnsi" w:cstheme="majorHAnsi"/>
            <w:i/>
            <w:iCs/>
            <w:color w:val="auto"/>
            <w:szCs w:val="24"/>
          </w:rPr>
          <w:t>http://defence.gov.au/AGSVA/resources.asp</w:t>
        </w:r>
      </w:hyperlink>
    </w:p>
    <w:p w:rsidR="0092462E" w:rsidRPr="0092462E" w:rsidRDefault="0092462E" w:rsidP="0092462E">
      <w:pPr>
        <w:rPr>
          <w:rFonts w:asciiTheme="majorHAnsi" w:hAnsiTheme="majorHAnsi" w:cstheme="majorHAnsi"/>
          <w:i/>
          <w:iCs/>
          <w:szCs w:val="24"/>
        </w:rPr>
      </w:pPr>
      <w:r w:rsidRPr="0092462E">
        <w:rPr>
          <w:rFonts w:asciiTheme="majorHAnsi" w:hAnsiTheme="majorHAnsi" w:cstheme="majorHAnsi"/>
          <w:i/>
          <w:iCs/>
          <w:szCs w:val="24"/>
        </w:rPr>
        <w:t xml:space="preserve">- </w:t>
      </w:r>
      <w:r w:rsidRPr="0092462E">
        <w:rPr>
          <w:rFonts w:asciiTheme="majorHAnsi" w:hAnsiTheme="majorHAnsi" w:cstheme="majorHAnsi"/>
          <w:i/>
          <w:iCs/>
          <w:szCs w:val="24"/>
        </w:rPr>
        <w:t>To obtain an Australian Government security clearance, 10 years’ worth of background information verifiable by independent and reliable sources is required.</w:t>
      </w:r>
    </w:p>
    <w:p w:rsidR="0092462E" w:rsidRDefault="0092462E" w:rsidP="00CA414A">
      <w:pPr>
        <w:pStyle w:val="Heading3"/>
      </w:pPr>
    </w:p>
    <w:p w:rsidR="0092462E" w:rsidRDefault="0092462E" w:rsidP="0092462E">
      <w:pPr>
        <w:pStyle w:val="BodyText"/>
      </w:pPr>
    </w:p>
    <w:p w:rsidR="0092462E" w:rsidRPr="0092462E" w:rsidRDefault="0092462E" w:rsidP="0092462E">
      <w:pPr>
        <w:pStyle w:val="BodyText"/>
      </w:pPr>
    </w:p>
    <w:p w:rsidR="00B50C20" w:rsidRPr="006577F0" w:rsidRDefault="0092462E" w:rsidP="00CA414A">
      <w:pPr>
        <w:pStyle w:val="Heading3"/>
      </w:pPr>
      <w:r>
        <w:lastRenderedPageBreak/>
        <w:t>D</w:t>
      </w:r>
      <w:r w:rsidR="00B50C20" w:rsidRPr="006577F0">
        <w:t>uties and Key Result Areas:</w:t>
      </w:r>
      <w:r w:rsidR="003E5564" w:rsidRPr="006577F0">
        <w:t xml:space="preserve">  </w:t>
      </w:r>
    </w:p>
    <w:p w:rsidR="00F45D52" w:rsidRPr="00FD511C" w:rsidRDefault="006577F0" w:rsidP="006577F0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>
        <w:rPr>
          <w:szCs w:val="24"/>
        </w:rPr>
        <w:t>P</w:t>
      </w:r>
      <w:r w:rsidR="00F45D52" w:rsidRPr="006577F0">
        <w:rPr>
          <w:szCs w:val="24"/>
        </w:rPr>
        <w:t>rovide resolution</w:t>
      </w:r>
      <w:r>
        <w:rPr>
          <w:szCs w:val="24"/>
        </w:rPr>
        <w:t>s</w:t>
      </w:r>
      <w:r w:rsidR="00F45D52" w:rsidRPr="006577F0">
        <w:rPr>
          <w:szCs w:val="24"/>
        </w:rPr>
        <w:t xml:space="preserve"> in a timely manner to problems or requests that require </w:t>
      </w:r>
      <w:r w:rsidR="00422705">
        <w:rPr>
          <w:szCs w:val="24"/>
        </w:rPr>
        <w:t>‘</w:t>
      </w:r>
      <w:r w:rsidR="00F45D52" w:rsidRPr="006577F0">
        <w:rPr>
          <w:szCs w:val="24"/>
        </w:rPr>
        <w:t>On Site</w:t>
      </w:r>
      <w:r w:rsidR="00422705">
        <w:rPr>
          <w:szCs w:val="24"/>
        </w:rPr>
        <w:t>’</w:t>
      </w:r>
      <w:r w:rsidR="00F45D52" w:rsidRPr="006577F0">
        <w:rPr>
          <w:szCs w:val="24"/>
        </w:rPr>
        <w:t xml:space="preserve"> attendance.  Examples include:</w:t>
      </w:r>
    </w:p>
    <w:p w:rsidR="00FD511C" w:rsidRPr="006577F0" w:rsidRDefault="00FD511C" w:rsidP="00FD511C">
      <w:pPr>
        <w:pStyle w:val="ListParagraph"/>
        <w:numPr>
          <w:ilvl w:val="0"/>
          <w:numId w:val="37"/>
        </w:numPr>
        <w:spacing w:before="0" w:after="0" w:line="240" w:lineRule="auto"/>
        <w:rPr>
          <w:szCs w:val="24"/>
        </w:rPr>
      </w:pPr>
      <w:r w:rsidRPr="006577F0">
        <w:rPr>
          <w:szCs w:val="24"/>
        </w:rPr>
        <w:t xml:space="preserve">Deployment of PC desktops, laptops, LCD monitors, printers and other IT related equipment. </w:t>
      </w:r>
    </w:p>
    <w:p w:rsidR="00FD511C" w:rsidRPr="006577F0" w:rsidRDefault="00FD511C" w:rsidP="00FD511C">
      <w:pPr>
        <w:pStyle w:val="ListParagraph"/>
        <w:numPr>
          <w:ilvl w:val="0"/>
          <w:numId w:val="37"/>
        </w:numPr>
        <w:spacing w:before="0" w:after="0" w:line="240" w:lineRule="auto"/>
        <w:rPr>
          <w:szCs w:val="24"/>
        </w:rPr>
      </w:pPr>
      <w:r w:rsidRPr="006577F0">
        <w:rPr>
          <w:szCs w:val="24"/>
        </w:rPr>
        <w:t>Network Port patching</w:t>
      </w:r>
    </w:p>
    <w:p w:rsidR="00FD511C" w:rsidRDefault="00FD511C" w:rsidP="00FD511C">
      <w:pPr>
        <w:pStyle w:val="ListParagraph"/>
        <w:numPr>
          <w:ilvl w:val="0"/>
          <w:numId w:val="37"/>
        </w:numPr>
        <w:spacing w:before="0" w:after="0" w:line="240" w:lineRule="auto"/>
        <w:rPr>
          <w:szCs w:val="24"/>
        </w:rPr>
      </w:pPr>
      <w:r w:rsidRPr="006577F0">
        <w:rPr>
          <w:szCs w:val="24"/>
        </w:rPr>
        <w:t>Software fault assistance</w:t>
      </w:r>
    </w:p>
    <w:p w:rsidR="00AF63DC" w:rsidRPr="006577F0" w:rsidRDefault="00AF63DC" w:rsidP="00AF63D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bookmarkStart w:id="2" w:name="_Hlk26357528"/>
      <w:r w:rsidRPr="006577F0">
        <w:rPr>
          <w:szCs w:val="24"/>
        </w:rPr>
        <w:t>Deliver first contact remote IT support to provide response</w:t>
      </w:r>
      <w:r>
        <w:rPr>
          <w:szCs w:val="24"/>
        </w:rPr>
        <w:t>s</w:t>
      </w:r>
      <w:r w:rsidRPr="006577F0">
        <w:rPr>
          <w:szCs w:val="24"/>
        </w:rPr>
        <w:t xml:space="preserve"> and resolution</w:t>
      </w:r>
      <w:r>
        <w:rPr>
          <w:szCs w:val="24"/>
        </w:rPr>
        <w:t>s</w:t>
      </w:r>
      <w:r w:rsidRPr="006577F0">
        <w:rPr>
          <w:szCs w:val="24"/>
        </w:rPr>
        <w:t xml:space="preserve"> in a timely manner to incidents or requests </w:t>
      </w:r>
    </w:p>
    <w:bookmarkEnd w:id="2"/>
    <w:p w:rsidR="00F45D52" w:rsidRPr="00FD511C" w:rsidRDefault="00F45D52" w:rsidP="00FD511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FD511C">
        <w:rPr>
          <w:szCs w:val="24"/>
        </w:rPr>
        <w:t xml:space="preserve">Conduct analysis of service contacts, classify contacts into service </w:t>
      </w:r>
      <w:r w:rsidRPr="00FD511C">
        <w:rPr>
          <w:color w:val="auto"/>
          <w:szCs w:val="24"/>
        </w:rPr>
        <w:t>areas and assign</w:t>
      </w:r>
      <w:r w:rsidRPr="00FD511C">
        <w:rPr>
          <w:szCs w:val="24"/>
        </w:rPr>
        <w:t xml:space="preserve"> to the relevant support groups via the service management toolset</w:t>
      </w:r>
    </w:p>
    <w:p w:rsidR="00F45D52" w:rsidRPr="00FD511C" w:rsidRDefault="00F45D52" w:rsidP="00FD511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F45D52">
        <w:t xml:space="preserve">Develop and maintain relationships contributing to virtual teams across the CSIRO IMT model to ensure the delivery of best practice service </w:t>
      </w:r>
    </w:p>
    <w:p w:rsidR="00F45D52" w:rsidRPr="00FD511C" w:rsidRDefault="00F45D52" w:rsidP="00FD511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F45D52">
        <w:t>Contribute positively to stimulate and promote a team approach, and develop sound working relationships with clients on a day to day basis as a representative of CSIRO IMT</w:t>
      </w:r>
    </w:p>
    <w:p w:rsidR="00FD511C" w:rsidRPr="00FD511C" w:rsidRDefault="00F45D52" w:rsidP="00FD511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F45D52">
        <w:t>Keep management and other team members informed of progress and issues</w:t>
      </w:r>
    </w:p>
    <w:p w:rsidR="00FD511C" w:rsidRPr="00FD511C" w:rsidRDefault="00F45D52" w:rsidP="00FD511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FD511C">
        <w:rPr>
          <w:szCs w:val="24"/>
        </w:rPr>
        <w:t>Identify tasks/issues that cannot be resolved and refer them to senior CSD staff and/or Technical Specialist Teams</w:t>
      </w:r>
    </w:p>
    <w:p w:rsidR="00F45D52" w:rsidRPr="002D7360" w:rsidRDefault="00F45D52" w:rsidP="00FD511C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FD511C">
        <w:rPr>
          <w:szCs w:val="24"/>
        </w:rPr>
        <w:t>Develop, maintain and expand individual skills which are of benefit to the services delivered by CSIRO IMT and that contribute to the skill set of the Client Services Delivery Team</w:t>
      </w:r>
    </w:p>
    <w:p w:rsidR="00F45D52" w:rsidRPr="002D7360" w:rsidRDefault="00F45D52" w:rsidP="002D7360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2D7360">
        <w:rPr>
          <w:szCs w:val="24"/>
        </w:rPr>
        <w:t>Adhere to the spirit and practice of CSIRO’s Values, Health, Safety and Environment plans and policies, Diversity initiatives and Zero Harm goals.</w:t>
      </w:r>
    </w:p>
    <w:p w:rsidR="00F45D52" w:rsidRPr="002D7360" w:rsidRDefault="00F45D52" w:rsidP="002D7360">
      <w:pPr>
        <w:pStyle w:val="ListParagraph"/>
        <w:numPr>
          <w:ilvl w:val="0"/>
          <w:numId w:val="29"/>
        </w:numPr>
        <w:spacing w:after="60" w:line="240" w:lineRule="auto"/>
        <w:ind w:left="470" w:hanging="364"/>
        <w:rPr>
          <w:rFonts w:eastAsiaTheme="minorHAnsi"/>
          <w:szCs w:val="24"/>
        </w:rPr>
      </w:pPr>
      <w:r w:rsidRPr="002D7360">
        <w:rPr>
          <w:szCs w:val="24"/>
        </w:rPr>
        <w:t xml:space="preserve">Other duties as directed. </w:t>
      </w: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0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  <w:sz w:val="22"/>
        </w:rPr>
      </w:sdtEndPr>
      <w:sdtContent>
        <w:p w:rsidR="00B50C20" w:rsidRPr="00B50C20" w:rsidRDefault="00B50C20" w:rsidP="00D83C52">
          <w:pPr>
            <w:pStyle w:val="Heading2"/>
            <w:rPr>
              <w:b/>
              <w:iCs w:val="0"/>
              <w:color w:val="auto"/>
              <w:sz w:val="26"/>
              <w:szCs w:val="26"/>
            </w:rPr>
          </w:pPr>
          <w:r w:rsidRPr="00B50C20">
            <w:rPr>
              <w:b/>
              <w:iCs w:val="0"/>
              <w:color w:val="auto"/>
              <w:sz w:val="26"/>
              <w:szCs w:val="26"/>
            </w:rPr>
            <w:t xml:space="preserve">Required Competencies: 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 xml:space="preserve">Teamwork and Collaboration: </w:t>
          </w:r>
          <w:r w:rsidR="00A34ED5" w:rsidRPr="00A34ED5">
            <w:rPr>
              <w:szCs w:val="24"/>
            </w:rPr>
            <w:t>Proactively seeks and considers the ideas and opinions of others from within and outside the team to help form decisions, plans or actions.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Influence and Communication:</w:t>
          </w:r>
          <w:r w:rsidRPr="00B50C20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Puts forward ideas by presenting factual information supported by data, definitions, examples, illustrations or other aids, which will assist in conveying meaning.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Resource Management/Leadership:</w:t>
          </w:r>
          <w:r w:rsidRPr="00B50C20">
            <w:rPr>
              <w:szCs w:val="24"/>
            </w:rPr>
            <w:t xml:space="preserve">  </w:t>
          </w:r>
          <w:r w:rsidR="009514B3" w:rsidRPr="009514B3">
            <w:rPr>
              <w:szCs w:val="24"/>
            </w:rPr>
            <w:t>Provides instruction and assists other staff to complete allocated tasks and activities.</w:t>
          </w:r>
        </w:p>
        <w:p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szCs w:val="24"/>
            </w:rPr>
          </w:pPr>
          <w:r w:rsidRPr="00A34ED5">
            <w:rPr>
              <w:b/>
              <w:szCs w:val="24"/>
            </w:rPr>
            <w:t>Judgement and Problem Solving:</w:t>
          </w:r>
          <w:r w:rsidRPr="00A34ED5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Identifies and considers the implications of a range of available alternatives in order to select the most appropriate response to problems of a familiar or recurring nature.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Cs w:val="24"/>
            </w:rPr>
          </w:pPr>
          <w:r w:rsidRPr="00B50C20">
            <w:rPr>
              <w:b/>
              <w:szCs w:val="24"/>
            </w:rPr>
            <w:t xml:space="preserve">Independence: </w:t>
          </w:r>
          <w:r w:rsidR="00A34ED5" w:rsidRPr="00A34ED5">
            <w:rPr>
              <w:szCs w:val="24"/>
            </w:rPr>
            <w:t>Recognise and makes immediate changes to improve performance (faster, better, lower cost, more efficiently, better quality, improved client satisfaction).</w:t>
          </w:r>
        </w:p>
        <w:p w:rsidR="0092462E" w:rsidRPr="0092462E" w:rsidRDefault="00B50C20" w:rsidP="00D83C52">
          <w:pPr>
            <w:pStyle w:val="ListParagraph"/>
            <w:numPr>
              <w:ilvl w:val="0"/>
              <w:numId w:val="27"/>
            </w:numPr>
            <w:rPr>
              <w:bCs/>
              <w:iCs/>
              <w:szCs w:val="24"/>
            </w:rPr>
          </w:pPr>
          <w:r w:rsidRPr="00A34ED5">
            <w:rPr>
              <w:b/>
              <w:szCs w:val="24"/>
            </w:rPr>
            <w:t>Adaptability:</w:t>
          </w:r>
          <w:r w:rsidRPr="00A34ED5">
            <w:rPr>
              <w:b/>
              <w:bCs/>
              <w:i/>
              <w:iCs/>
              <w:szCs w:val="24"/>
            </w:rPr>
            <w:t xml:space="preserve"> </w:t>
          </w:r>
          <w:r w:rsidR="00A34ED5" w:rsidRPr="00A34ED5">
            <w:rPr>
              <w:bCs/>
              <w:iCs/>
              <w:szCs w:val="24"/>
            </w:rPr>
            <w:t>Willingness to change ideas or perceptions based on new information, contrary evidence or other people's points of view. Prepared to try out different approaches.</w:t>
          </w:r>
          <w:r w:rsidRPr="00A34ED5">
            <w:rPr>
              <w:bCs/>
              <w:iCs/>
              <w:sz w:val="22"/>
            </w:rPr>
            <w:t xml:space="preserve"> </w:t>
          </w:r>
        </w:p>
      </w:sdtContent>
    </w:sdt>
    <w:p w:rsidR="00BA6422" w:rsidRDefault="00BA6422" w:rsidP="00BA6422">
      <w:pPr>
        <w:pStyle w:val="BodyText"/>
      </w:pPr>
      <w:bookmarkStart w:id="3" w:name="_GoBack"/>
      <w:bookmarkEnd w:id="3"/>
    </w:p>
    <w:p w:rsidR="00B50C20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lastRenderedPageBreak/>
        <w:t>Selection Criteria</w:t>
      </w:r>
    </w:p>
    <w:p w:rsidR="000B3207" w:rsidRPr="000B3207" w:rsidRDefault="000B3207" w:rsidP="000B3207">
      <w:pPr>
        <w:pStyle w:val="Heading4"/>
      </w:pPr>
      <w:r>
        <w:t>Essential</w:t>
      </w:r>
    </w:p>
    <w:p w:rsidR="00B50C20" w:rsidRPr="002D7360" w:rsidRDefault="00B50C20" w:rsidP="00D83C52">
      <w:pPr>
        <w:rPr>
          <w:i/>
          <w:iCs/>
          <w:szCs w:val="24"/>
        </w:rPr>
      </w:pPr>
      <w:r w:rsidRPr="002D7360">
        <w:rPr>
          <w:i/>
          <w:iCs/>
          <w:szCs w:val="24"/>
        </w:rPr>
        <w:t>Under CSIRO policy only those who meet all essential criteria can be appointed.</w:t>
      </w:r>
    </w:p>
    <w:p w:rsidR="002D7360" w:rsidRPr="002D7360" w:rsidRDefault="002D7360" w:rsidP="002D7360">
      <w:pPr>
        <w:numPr>
          <w:ilvl w:val="0"/>
          <w:numId w:val="25"/>
        </w:numPr>
        <w:spacing w:before="0" w:after="0" w:line="293" w:lineRule="atLeast"/>
        <w:rPr>
          <w:rFonts w:eastAsia="MS Mincho"/>
          <w:color w:val="auto"/>
          <w:szCs w:val="24"/>
        </w:rPr>
      </w:pPr>
      <w:r w:rsidRPr="002D7360">
        <w:rPr>
          <w:szCs w:val="24"/>
        </w:rPr>
        <w:t>Previous experience in a customer service environment supporting a broad range of IT services, including</w:t>
      </w:r>
      <w:r>
        <w:rPr>
          <w:szCs w:val="24"/>
        </w:rPr>
        <w:t>:</w:t>
      </w:r>
      <w:r w:rsidRPr="002D7360">
        <w:rPr>
          <w:szCs w:val="24"/>
        </w:rPr>
        <w:t xml:space="preserve"> </w:t>
      </w:r>
    </w:p>
    <w:p w:rsidR="002D7360" w:rsidRPr="002D7360" w:rsidRDefault="002D7360" w:rsidP="002D7360">
      <w:pPr>
        <w:numPr>
          <w:ilvl w:val="1"/>
          <w:numId w:val="25"/>
        </w:numPr>
        <w:spacing w:before="0" w:after="0" w:line="293" w:lineRule="atLeast"/>
        <w:rPr>
          <w:szCs w:val="24"/>
        </w:rPr>
      </w:pPr>
      <w:r w:rsidRPr="002D7360">
        <w:rPr>
          <w:szCs w:val="24"/>
        </w:rPr>
        <w:t xml:space="preserve">Network services, both local and wide area; </w:t>
      </w:r>
    </w:p>
    <w:p w:rsidR="002D7360" w:rsidRPr="002D7360" w:rsidRDefault="002D7360" w:rsidP="002D7360">
      <w:pPr>
        <w:numPr>
          <w:ilvl w:val="1"/>
          <w:numId w:val="25"/>
        </w:numPr>
        <w:spacing w:before="0" w:after="0" w:line="293" w:lineRule="atLeast"/>
        <w:rPr>
          <w:szCs w:val="24"/>
        </w:rPr>
      </w:pPr>
      <w:r w:rsidRPr="002D7360">
        <w:rPr>
          <w:szCs w:val="24"/>
        </w:rPr>
        <w:t xml:space="preserve">Videoconferencing/IP telephony services; </w:t>
      </w:r>
    </w:p>
    <w:p w:rsidR="002D7360" w:rsidRPr="002D7360" w:rsidRDefault="002D7360" w:rsidP="002D7360">
      <w:pPr>
        <w:numPr>
          <w:ilvl w:val="1"/>
          <w:numId w:val="25"/>
        </w:numPr>
        <w:spacing w:before="0" w:after="0" w:line="293" w:lineRule="atLeast"/>
        <w:rPr>
          <w:szCs w:val="24"/>
        </w:rPr>
      </w:pPr>
      <w:r w:rsidRPr="002D7360">
        <w:rPr>
          <w:szCs w:val="24"/>
        </w:rPr>
        <w:t xml:space="preserve">Microsoft Windows-based workstation environments in an Active Directory framework; </w:t>
      </w:r>
    </w:p>
    <w:p w:rsidR="002D7360" w:rsidRPr="002D7360" w:rsidRDefault="002D7360" w:rsidP="002D7360">
      <w:pPr>
        <w:numPr>
          <w:ilvl w:val="1"/>
          <w:numId w:val="25"/>
        </w:numPr>
        <w:spacing w:before="0" w:after="0" w:line="293" w:lineRule="atLeast"/>
        <w:rPr>
          <w:szCs w:val="24"/>
        </w:rPr>
      </w:pPr>
      <w:r w:rsidRPr="002D7360">
        <w:rPr>
          <w:szCs w:val="24"/>
        </w:rPr>
        <w:t>PC hardware and software installation, configuration and troubleshooting.</w:t>
      </w:r>
    </w:p>
    <w:p w:rsidR="002D7360" w:rsidRPr="002D7360" w:rsidRDefault="002D7360" w:rsidP="002D7360">
      <w:pPr>
        <w:pStyle w:val="Default"/>
        <w:numPr>
          <w:ilvl w:val="0"/>
          <w:numId w:val="25"/>
        </w:numPr>
      </w:pPr>
      <w:r w:rsidRPr="002D7360">
        <w:t xml:space="preserve">A strong service delivery </w:t>
      </w:r>
      <w:r w:rsidR="00422705">
        <w:t>background</w:t>
      </w:r>
      <w:r w:rsidRPr="002D7360">
        <w:t>,</w:t>
      </w:r>
      <w:r>
        <w:t xml:space="preserve"> with</w:t>
      </w:r>
      <w:r w:rsidRPr="002D7360">
        <w:t xml:space="preserve"> </w:t>
      </w:r>
      <w:r>
        <w:t xml:space="preserve">the ability to communicate </w:t>
      </w:r>
      <w:r w:rsidRPr="002D7360">
        <w:t>effective</w:t>
      </w:r>
      <w:r>
        <w:t>ly (both written and verbally)</w:t>
      </w:r>
      <w:r w:rsidRPr="002D7360">
        <w:t xml:space="preserve"> with clients regardless of their levels of IT skill and experience. </w:t>
      </w:r>
    </w:p>
    <w:p w:rsidR="002D7360" w:rsidRPr="002D7360" w:rsidRDefault="00DA6FF0" w:rsidP="002D7360">
      <w:pPr>
        <w:pStyle w:val="Default"/>
        <w:numPr>
          <w:ilvl w:val="0"/>
          <w:numId w:val="25"/>
        </w:numPr>
      </w:pPr>
      <w:r>
        <w:t>Experience</w:t>
      </w:r>
      <w:r w:rsidR="002D7360" w:rsidRPr="002D7360">
        <w:t xml:space="preserve"> collaborat</w:t>
      </w:r>
      <w:r>
        <w:t>ing</w:t>
      </w:r>
      <w:r w:rsidR="002D7360" w:rsidRPr="002D7360">
        <w:t xml:space="preserve"> with </w:t>
      </w:r>
      <w:r>
        <w:t>various stakeholders</w:t>
      </w:r>
      <w:r w:rsidR="002D7360" w:rsidRPr="002D7360">
        <w:t xml:space="preserve"> to achieve operational objectives including assist</w:t>
      </w:r>
      <w:r>
        <w:t>ing</w:t>
      </w:r>
      <w:r w:rsidR="002D7360" w:rsidRPr="002D7360">
        <w:t xml:space="preserve"> with project work </w:t>
      </w:r>
      <w:r>
        <w:t>focusing on</w:t>
      </w:r>
      <w:r w:rsidR="002D7360" w:rsidRPr="002D7360">
        <w:t xml:space="preserve"> new installations, upgrades, configuration and troubleshooting</w:t>
      </w:r>
    </w:p>
    <w:p w:rsidR="002D7360" w:rsidRPr="002D7360" w:rsidRDefault="002D7360" w:rsidP="002D7360">
      <w:pPr>
        <w:pStyle w:val="Default"/>
        <w:numPr>
          <w:ilvl w:val="0"/>
          <w:numId w:val="25"/>
        </w:numPr>
        <w:rPr>
          <w:rStyle w:val="Emphasis"/>
          <w:i w:val="0"/>
        </w:rPr>
      </w:pPr>
      <w:r w:rsidRPr="002D7360">
        <w:t>Strong organisational skills including the ability to multi</w:t>
      </w:r>
      <w:r w:rsidR="00195782">
        <w:t>-</w:t>
      </w:r>
      <w:r w:rsidRPr="002D7360">
        <w:t xml:space="preserve">task. </w:t>
      </w:r>
    </w:p>
    <w:p w:rsidR="00B50C20" w:rsidRPr="000B3207" w:rsidRDefault="00B50C20" w:rsidP="00D83C52">
      <w:pPr>
        <w:pStyle w:val="Heading2"/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</w:pPr>
      <w:r w:rsidRPr="000B3207"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  <w:t>Desirable:</w:t>
      </w:r>
    </w:p>
    <w:p w:rsidR="00DA6FF0" w:rsidRPr="00422705" w:rsidRDefault="00DA6FF0" w:rsidP="00DA6FF0">
      <w:pPr>
        <w:numPr>
          <w:ilvl w:val="0"/>
          <w:numId w:val="39"/>
        </w:numPr>
        <w:spacing w:before="0" w:after="0" w:line="293" w:lineRule="atLeast"/>
        <w:rPr>
          <w:rFonts w:eastAsia="MS Mincho"/>
          <w:bCs/>
          <w:color w:val="auto"/>
          <w:szCs w:val="24"/>
        </w:rPr>
      </w:pPr>
      <w:r w:rsidRPr="00422705">
        <w:rPr>
          <w:szCs w:val="24"/>
        </w:rPr>
        <w:t>Experience in supporting operating environments other than Microsoft Windows, especially Apple Macintosh OS X and Linux/Unix operating systems.</w:t>
      </w:r>
    </w:p>
    <w:p w:rsidR="00DA6FF0" w:rsidRPr="0092462E" w:rsidRDefault="00DA6FF0" w:rsidP="00DA6FF0">
      <w:pPr>
        <w:numPr>
          <w:ilvl w:val="0"/>
          <w:numId w:val="39"/>
        </w:numPr>
        <w:spacing w:before="0" w:after="0" w:line="293" w:lineRule="atLeast"/>
        <w:rPr>
          <w:bCs/>
          <w:szCs w:val="24"/>
        </w:rPr>
      </w:pPr>
      <w:r w:rsidRPr="00422705">
        <w:rPr>
          <w:szCs w:val="24"/>
        </w:rPr>
        <w:t>Experience in supporting mobile devices such as Apple iPhones / iPads and/or Android-based smartphones and tablets</w:t>
      </w: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92462E" w:rsidRDefault="0092462E" w:rsidP="0092462E">
      <w:pPr>
        <w:spacing w:before="0" w:after="0" w:line="293" w:lineRule="atLeast"/>
        <w:rPr>
          <w:szCs w:val="24"/>
        </w:rPr>
      </w:pPr>
    </w:p>
    <w:p w:rsidR="00E673A0" w:rsidRPr="003044E2" w:rsidRDefault="00E673A0" w:rsidP="00E673A0">
      <w:pPr>
        <w:pStyle w:val="Boxedheading"/>
      </w:pPr>
      <w:r>
        <w:lastRenderedPageBreak/>
        <w:t>Special Requirements</w:t>
      </w:r>
    </w:p>
    <w:p w:rsidR="00E673A0" w:rsidRPr="00091815" w:rsidRDefault="00DA6FF0" w:rsidP="00DA6FF0">
      <w:pPr>
        <w:pStyle w:val="Boxedlistbullet"/>
        <w:numPr>
          <w:ilvl w:val="0"/>
          <w:numId w:val="0"/>
        </w:numPr>
        <w:ind w:left="227"/>
        <w:rPr>
          <w:i/>
          <w:highlight w:val="yellow"/>
        </w:rPr>
      </w:pPr>
      <w:r>
        <w:rPr>
          <w:noProof/>
        </w:rPr>
        <w:drawing>
          <wp:inline distT="0" distB="0" distL="0" distR="0" wp14:anchorId="31E97BE3">
            <wp:extent cx="5629275" cy="66770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67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5AA5">
        <w:rPr>
          <w:highlight w:val="yellow"/>
        </w:rPr>
        <w:t xml:space="preserve"> </w:t>
      </w:r>
    </w:p>
    <w:p w:rsidR="00B50C20" w:rsidRPr="000B3207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0B3207">
        <w:rPr>
          <w:b/>
          <w:iCs w:val="0"/>
          <w:color w:val="auto"/>
          <w:sz w:val="26"/>
          <w:szCs w:val="26"/>
        </w:rPr>
        <w:t>About CSIRO:</w:t>
      </w:r>
    </w:p>
    <w:p w:rsidR="00B50C20" w:rsidRPr="00B50C20" w:rsidRDefault="008A0DC4" w:rsidP="00D83C52">
      <w:pPr>
        <w:rPr>
          <w:bCs/>
          <w:szCs w:val="24"/>
        </w:rPr>
      </w:pPr>
      <w:r>
        <w:rPr>
          <w:bCs/>
          <w:szCs w:val="24"/>
        </w:rPr>
        <w:t xml:space="preserve">We solve the greatest challenges through </w:t>
      </w:r>
      <w:r w:rsidR="00BE3D33">
        <w:rPr>
          <w:bCs/>
          <w:szCs w:val="24"/>
        </w:rPr>
        <w:t xml:space="preserve">innovative </w:t>
      </w:r>
      <w:r>
        <w:rPr>
          <w:bCs/>
          <w:szCs w:val="24"/>
        </w:rPr>
        <w:t>science and technology</w:t>
      </w:r>
      <w:r w:rsidR="00276530">
        <w:rPr>
          <w:bCs/>
          <w:szCs w:val="24"/>
        </w:rPr>
        <w:t xml:space="preserve">. </w:t>
      </w:r>
      <w:r w:rsidR="00B50C20" w:rsidRPr="00B50C20">
        <w:rPr>
          <w:bCs/>
          <w:szCs w:val="24"/>
        </w:rPr>
        <w:t xml:space="preserve">To find out more visit us </w:t>
      </w:r>
      <w:hyperlink r:id="rId11" w:tooltip="CSIRO Website" w:history="1">
        <w:r w:rsidR="00B50C20" w:rsidRPr="00B50C20">
          <w:rPr>
            <w:rStyle w:val="Hyperlink"/>
            <w:rFonts w:cs="Arial"/>
            <w:bCs/>
            <w:szCs w:val="24"/>
          </w:rPr>
          <w:t>online</w:t>
        </w:r>
      </w:hyperlink>
      <w:r w:rsidR="00B50C20" w:rsidRPr="00B50C20">
        <w:rPr>
          <w:bCs/>
          <w:szCs w:val="24"/>
        </w:rPr>
        <w:t xml:space="preserve">! </w:t>
      </w:r>
    </w:p>
    <w:p w:rsidR="00B50C20" w:rsidRPr="00B50C20" w:rsidRDefault="00B50C20" w:rsidP="00D83C52">
      <w:pPr>
        <w:rPr>
          <w:bCs/>
          <w:szCs w:val="24"/>
        </w:rPr>
      </w:pPr>
    </w:p>
    <w:p w:rsidR="00B50C20" w:rsidRPr="00B50C20" w:rsidRDefault="00B50C20" w:rsidP="00D83C52">
      <w:pPr>
        <w:spacing w:after="180"/>
        <w:rPr>
          <w:bCs/>
          <w:szCs w:val="24"/>
        </w:rPr>
      </w:pPr>
      <w:r w:rsidRPr="00B50C20">
        <w:rPr>
          <w:bCs/>
          <w:szCs w:val="24"/>
        </w:rPr>
        <w:t xml:space="preserve">Find out more about the CSIRO </w:t>
      </w:r>
      <w:hyperlink r:id="rId12" w:tooltip="AAHL- CSIRO website" w:history="1">
        <w:r w:rsidRPr="00E673A0">
          <w:rPr>
            <w:rStyle w:val="Hyperlink"/>
            <w:rFonts w:cs="Arial"/>
            <w:bCs/>
            <w:szCs w:val="24"/>
          </w:rPr>
          <w:t>Australian Animal Health Laboratory</w:t>
        </w:r>
      </w:hyperlink>
      <w:r w:rsidRPr="00B50C20">
        <w:rPr>
          <w:bCs/>
          <w:szCs w:val="24"/>
        </w:rPr>
        <w:t xml:space="preserve"> </w:t>
      </w:r>
      <w:bookmarkEnd w:id="1"/>
    </w:p>
    <w:sectPr w:rsidR="00B50C20" w:rsidRPr="00B50C20" w:rsidSect="00246B35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B8" w:rsidRDefault="00A874B8" w:rsidP="000A377A">
      <w:r>
        <w:separator/>
      </w:r>
    </w:p>
  </w:endnote>
  <w:endnote w:type="continuationSeparator" w:id="0">
    <w:p w:rsidR="00A874B8" w:rsidRDefault="00A874B8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B8" w:rsidRDefault="00A874B8" w:rsidP="000A377A">
      <w:r>
        <w:separator/>
      </w:r>
    </w:p>
  </w:footnote>
  <w:footnote w:type="continuationSeparator" w:id="0">
    <w:p w:rsidR="00A874B8" w:rsidRDefault="00A874B8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DD" w:rsidRDefault="00ED212D">
    <w:r>
      <w:rPr>
        <w:noProof/>
      </w:rPr>
      <w:drawing>
        <wp:anchor distT="0" distB="71755" distL="114300" distR="360045" simplePos="0" relativeHeight="251661824" behindDoc="1" locked="1" layoutInCell="1" allowOverlap="1" wp14:anchorId="77C2B853" wp14:editId="0426412A">
          <wp:simplePos x="0" y="0"/>
          <wp:positionH relativeFrom="page">
            <wp:posOffset>723900</wp:posOffset>
          </wp:positionH>
          <wp:positionV relativeFrom="page">
            <wp:posOffset>544195</wp:posOffset>
          </wp:positionV>
          <wp:extent cx="791362" cy="792000"/>
          <wp:effectExtent l="0" t="0" r="8890" b="8255"/>
          <wp:wrapTopAndBottom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362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5139E"/>
    <w:multiLevelType w:val="hybridMultilevel"/>
    <w:tmpl w:val="8FAC1FE6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84380"/>
    <w:multiLevelType w:val="hybridMultilevel"/>
    <w:tmpl w:val="1CB483A2"/>
    <w:lvl w:ilvl="0" w:tplc="E89AE2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1270A42"/>
    <w:multiLevelType w:val="hybridMultilevel"/>
    <w:tmpl w:val="757A42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51227"/>
    <w:multiLevelType w:val="hybridMultilevel"/>
    <w:tmpl w:val="4266B9DE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1FD66A6"/>
    <w:multiLevelType w:val="hybridMultilevel"/>
    <w:tmpl w:val="757A42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7" w15:restartNumberingAfterBreak="0">
    <w:nsid w:val="4A044189"/>
    <w:multiLevelType w:val="hybridMultilevel"/>
    <w:tmpl w:val="D904E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4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7"/>
  </w:num>
  <w:num w:numId="13">
    <w:abstractNumId w:val="16"/>
  </w:num>
  <w:num w:numId="14">
    <w:abstractNumId w:val="30"/>
  </w:num>
  <w:num w:numId="15">
    <w:abstractNumId w:val="33"/>
  </w:num>
  <w:num w:numId="16">
    <w:abstractNumId w:val="31"/>
  </w:num>
  <w:num w:numId="17">
    <w:abstractNumId w:val="22"/>
  </w:num>
  <w:num w:numId="18">
    <w:abstractNumId w:val="25"/>
  </w:num>
  <w:num w:numId="19">
    <w:abstractNumId w:val="20"/>
  </w:num>
  <w:num w:numId="20">
    <w:abstractNumId w:val="14"/>
  </w:num>
  <w:num w:numId="21">
    <w:abstractNumId w:val="15"/>
  </w:num>
  <w:num w:numId="22">
    <w:abstractNumId w:val="13"/>
  </w:num>
  <w:num w:numId="23">
    <w:abstractNumId w:val="11"/>
  </w:num>
  <w:num w:numId="24">
    <w:abstractNumId w:val="21"/>
  </w:num>
  <w:num w:numId="25">
    <w:abstractNumId w:val="32"/>
  </w:num>
  <w:num w:numId="26">
    <w:abstractNumId w:val="24"/>
  </w:num>
  <w:num w:numId="27">
    <w:abstractNumId w:val="29"/>
  </w:num>
  <w:num w:numId="28">
    <w:abstractNumId w:val="28"/>
  </w:num>
  <w:num w:numId="29">
    <w:abstractNumId w:val="11"/>
  </w:num>
  <w:num w:numId="30">
    <w:abstractNumId w:val="28"/>
  </w:num>
  <w:num w:numId="31">
    <w:abstractNumId w:val="34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5"/>
  </w:num>
  <w:num w:numId="35">
    <w:abstractNumId w:val="27"/>
  </w:num>
  <w:num w:numId="36">
    <w:abstractNumId w:val="19"/>
  </w:num>
  <w:num w:numId="37">
    <w:abstractNumId w:val="10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5554"/>
    <w:rsid w:val="00006C19"/>
    <w:rsid w:val="000072A2"/>
    <w:rsid w:val="00012B21"/>
    <w:rsid w:val="00014F95"/>
    <w:rsid w:val="00015AC3"/>
    <w:rsid w:val="00015D9B"/>
    <w:rsid w:val="000166E8"/>
    <w:rsid w:val="000175CC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6D29"/>
    <w:rsid w:val="0003716F"/>
    <w:rsid w:val="0004014A"/>
    <w:rsid w:val="00041E38"/>
    <w:rsid w:val="00041F4A"/>
    <w:rsid w:val="00042EAD"/>
    <w:rsid w:val="00044F96"/>
    <w:rsid w:val="00045692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4500"/>
    <w:rsid w:val="000963A6"/>
    <w:rsid w:val="00097D05"/>
    <w:rsid w:val="000A0722"/>
    <w:rsid w:val="000A1762"/>
    <w:rsid w:val="000A377A"/>
    <w:rsid w:val="000A59F9"/>
    <w:rsid w:val="000A6A79"/>
    <w:rsid w:val="000A79FB"/>
    <w:rsid w:val="000B19E5"/>
    <w:rsid w:val="000B3142"/>
    <w:rsid w:val="000B3207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4B1C"/>
    <w:rsid w:val="00195215"/>
    <w:rsid w:val="00195782"/>
    <w:rsid w:val="00196123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17957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46D6B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D7360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47A9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5A1E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705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2F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4CAD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48E5"/>
    <w:rsid w:val="005055C0"/>
    <w:rsid w:val="0051507C"/>
    <w:rsid w:val="0051554D"/>
    <w:rsid w:val="005213AD"/>
    <w:rsid w:val="0052199B"/>
    <w:rsid w:val="005236C1"/>
    <w:rsid w:val="005241D0"/>
    <w:rsid w:val="00530B96"/>
    <w:rsid w:val="0053240A"/>
    <w:rsid w:val="00534B7C"/>
    <w:rsid w:val="00534E19"/>
    <w:rsid w:val="005379CE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262C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3FC7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577F0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2C4F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169"/>
    <w:rsid w:val="006D17A9"/>
    <w:rsid w:val="006D4802"/>
    <w:rsid w:val="006D49F3"/>
    <w:rsid w:val="006D70E7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2F73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1B7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5ED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62E"/>
    <w:rsid w:val="00924B38"/>
    <w:rsid w:val="00925815"/>
    <w:rsid w:val="00926BE4"/>
    <w:rsid w:val="009272A8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72B3"/>
    <w:rsid w:val="009511DD"/>
    <w:rsid w:val="009514B3"/>
    <w:rsid w:val="00952973"/>
    <w:rsid w:val="009538A7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3C0A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4ED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6085"/>
    <w:rsid w:val="00A615A5"/>
    <w:rsid w:val="00A63426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874B8"/>
    <w:rsid w:val="00A90034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B7207"/>
    <w:rsid w:val="00AB7F7D"/>
    <w:rsid w:val="00AC323C"/>
    <w:rsid w:val="00AC3EED"/>
    <w:rsid w:val="00AC4708"/>
    <w:rsid w:val="00AC4A49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3DC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360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31CB"/>
    <w:rsid w:val="00B84DEE"/>
    <w:rsid w:val="00B8689A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6422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70C6"/>
    <w:rsid w:val="00BE7249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4D9"/>
    <w:rsid w:val="00C41C92"/>
    <w:rsid w:val="00C44269"/>
    <w:rsid w:val="00C44564"/>
    <w:rsid w:val="00C45886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A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065C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6E61"/>
    <w:rsid w:val="00D07D44"/>
    <w:rsid w:val="00D07E71"/>
    <w:rsid w:val="00D1089E"/>
    <w:rsid w:val="00D111AB"/>
    <w:rsid w:val="00D11BE7"/>
    <w:rsid w:val="00D173B2"/>
    <w:rsid w:val="00D22432"/>
    <w:rsid w:val="00D23943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51C"/>
    <w:rsid w:val="00D44BA2"/>
    <w:rsid w:val="00D45617"/>
    <w:rsid w:val="00D45B9A"/>
    <w:rsid w:val="00D46468"/>
    <w:rsid w:val="00D464E9"/>
    <w:rsid w:val="00D46C32"/>
    <w:rsid w:val="00D476E9"/>
    <w:rsid w:val="00D544A3"/>
    <w:rsid w:val="00D55AC8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2E5D"/>
    <w:rsid w:val="00D73DDD"/>
    <w:rsid w:val="00D743F6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0C10"/>
    <w:rsid w:val="00DA2C61"/>
    <w:rsid w:val="00DA579A"/>
    <w:rsid w:val="00DA61EB"/>
    <w:rsid w:val="00DA6FF0"/>
    <w:rsid w:val="00DA7D30"/>
    <w:rsid w:val="00DB00B5"/>
    <w:rsid w:val="00DB10E2"/>
    <w:rsid w:val="00DB346A"/>
    <w:rsid w:val="00DB44D3"/>
    <w:rsid w:val="00DB4DC8"/>
    <w:rsid w:val="00DC1EEA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673A0"/>
    <w:rsid w:val="00E71A8F"/>
    <w:rsid w:val="00E739BF"/>
    <w:rsid w:val="00E75FED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A62ED"/>
    <w:rsid w:val="00EB029A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27C2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F72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31C2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5D52"/>
    <w:rsid w:val="00F4614F"/>
    <w:rsid w:val="00F4732A"/>
    <w:rsid w:val="00F50FE5"/>
    <w:rsid w:val="00F53968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0959"/>
    <w:rsid w:val="00FA22A1"/>
    <w:rsid w:val="00FA2553"/>
    <w:rsid w:val="00FA5104"/>
    <w:rsid w:val="00FA5413"/>
    <w:rsid w:val="00FA5E4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3E49"/>
    <w:rsid w:val="00FD511C"/>
    <w:rsid w:val="00FD572C"/>
    <w:rsid w:val="00FD6672"/>
    <w:rsid w:val="00FE11E1"/>
    <w:rsid w:val="00FE1279"/>
    <w:rsid w:val="00FE34AA"/>
    <w:rsid w:val="00FE38D4"/>
    <w:rsid w:val="00FE6B37"/>
    <w:rsid w:val="00FF27A3"/>
    <w:rsid w:val="00FF682B"/>
    <w:rsid w:val="00FF698C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D43DF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  <w:style w:type="paragraph" w:customStyle="1" w:styleId="Default">
    <w:name w:val="Default"/>
    <w:uiPriority w:val="99"/>
    <w:rsid w:val="00F45D52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bs.csiro.au/" TargetMode="External"/><Relationship Id="rId12" Type="http://schemas.openxmlformats.org/officeDocument/2006/relationships/hyperlink" Target="https://www.csiro.au/en/Research/Facilities/AAH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iro.a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defence.gov.au/AGSVA/resources.as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084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64278"/>
    <w:rsid w:val="000F4229"/>
    <w:rsid w:val="001561B4"/>
    <w:rsid w:val="0019205C"/>
    <w:rsid w:val="00280119"/>
    <w:rsid w:val="003C6F9C"/>
    <w:rsid w:val="00414F94"/>
    <w:rsid w:val="007B2EFD"/>
    <w:rsid w:val="007C7613"/>
    <w:rsid w:val="0083493E"/>
    <w:rsid w:val="009B43F3"/>
    <w:rsid w:val="00B36C21"/>
    <w:rsid w:val="00CF4BD8"/>
    <w:rsid w:val="00E47B01"/>
    <w:rsid w:val="00E51523"/>
    <w:rsid w:val="00E85434"/>
    <w:rsid w:val="00EA6D03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102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7517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Redmond, Mark (HR, Clayton)</cp:lastModifiedBy>
  <cp:revision>12</cp:revision>
  <cp:lastPrinted>2012-02-01T05:32:00Z</cp:lastPrinted>
  <dcterms:created xsi:type="dcterms:W3CDTF">2019-12-04T01:16:00Z</dcterms:created>
  <dcterms:modified xsi:type="dcterms:W3CDTF">2019-12-05T05:46:00Z</dcterms:modified>
</cp:coreProperties>
</file>