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bnr-Chpt_General"/>
      </w:tblPr>
      <w:tblGrid>
        <w:gridCol w:w="8908"/>
        <w:gridCol w:w="1600"/>
      </w:tblGrid>
      <w:tr w:rsidR="00C57072" w14:paraId="4D0882EE" w14:textId="77777777" w:rsidTr="00C57072">
        <w:trPr>
          <w:trHeight w:hRule="exact" w:val="382"/>
        </w:trPr>
        <w:tc>
          <w:tcPr>
            <w:tcW w:w="8908" w:type="dxa"/>
            <w:shd w:val="clear" w:color="auto" w:fill="9D57A6"/>
          </w:tcPr>
          <w:p w14:paraId="2CC0F3E2" w14:textId="77777777" w:rsidR="00C57072" w:rsidRDefault="00C57072" w:rsidP="00C57072">
            <w:pPr>
              <w:pStyle w:val="tagchapterBanner"/>
              <w:pageBreakBefore w:val="0"/>
            </w:pPr>
            <w:r>
              <w:rPr>
                <w:noProof/>
                <w:lang w:eastAsia="en-AU"/>
              </w:rPr>
              <mc:AlternateContent>
                <mc:Choice Requires="wps">
                  <w:drawing>
                    <wp:anchor distT="0" distB="0" distL="114300" distR="114300" simplePos="0" relativeHeight="251659264" behindDoc="0" locked="1" layoutInCell="1" allowOverlap="1" wp14:anchorId="62D2B7BC" wp14:editId="48DF8E79">
                      <wp:simplePos x="0" y="0"/>
                      <wp:positionH relativeFrom="page">
                        <wp:posOffset>158750</wp:posOffset>
                      </wp:positionH>
                      <wp:positionV relativeFrom="page">
                        <wp:posOffset>6350</wp:posOffset>
                      </wp:positionV>
                      <wp:extent cx="439560" cy="215280"/>
                      <wp:effectExtent l="0" t="0" r="0" b="0"/>
                      <wp:wrapNone/>
                      <wp:docPr id="1"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9560" cy="21528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2ED118" id="Freeform 5" o:spid="_x0000_s1026" style="position:absolute;margin-left:12.5pt;margin-top:.5pt;width:34.6pt;height:1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" path="m822,r,828l,828,822,xm863,828r823,l1686,,863,828xe" fillcolor="#ffaf3a" stroked="f">
                      <v:path arrowok="t" o:connecttype="custom" o:connectlocs="214305,0;214305,215280;0,215280;214305,0;224994,215280;439560,215280;439560,0;224994,215280" o:connectangles="0,0,0,0,0,0,0,0"/>
                      <o:lock v:ext="edit" aspectratio="t" verticies="t"/>
                      <w10:wrap anchorx="page" anchory="page"/>
                      <w10:anchorlock/>
                    </v:shape>
                  </w:pict>
                </mc:Fallback>
              </mc:AlternateContent>
            </w:r>
          </w:p>
        </w:tc>
        <w:tc>
          <w:tcPr>
            <w:tcW w:w="1600" w:type="dxa"/>
            <w:shd w:val="clear" w:color="auto" w:fill="9D57A6"/>
          </w:tcPr>
          <w:p w14:paraId="0158F701" w14:textId="77777777" w:rsidR="00C57072" w:rsidRDefault="00C57072" w:rsidP="0089015A">
            <w:pPr>
              <w:pStyle w:val="spacer"/>
            </w:pPr>
          </w:p>
        </w:tc>
      </w:tr>
      <w:tr w:rsidR="00C57072" w:rsidRPr="003D3CD2" w14:paraId="3A4E078D" w14:textId="77777777" w:rsidTr="00C57072">
        <w:trPr>
          <w:trHeight w:val="960"/>
        </w:trPr>
        <w:tc>
          <w:tcPr>
            <w:tcW w:w="8908" w:type="dxa"/>
            <w:shd w:val="clear" w:color="auto" w:fill="9D57A6"/>
            <w:tcMar>
              <w:left w:w="0" w:type="dxa"/>
              <w:bottom w:w="0" w:type="dxa"/>
            </w:tcMar>
            <w:vAlign w:val="center"/>
          </w:tcPr>
          <w:p w14:paraId="5A93CCB0" w14:textId="77777777" w:rsidR="00C57072" w:rsidRPr="0014019A" w:rsidRDefault="00801DBB" w:rsidP="00801DBB">
            <w:pPr>
              <w:pStyle w:val="Heading1"/>
              <w:outlineLvl w:val="0"/>
            </w:pPr>
            <w:r>
              <w:t>Northern Australia</w:t>
            </w:r>
            <w:r w:rsidR="00C57072">
              <w:t xml:space="preserve"> </w:t>
            </w:r>
            <w:r w:rsidR="00C953C7">
              <w:br/>
            </w:r>
            <w:r w:rsidR="00C953C7">
              <w:rPr>
                <w:color w:val="FFAE3B"/>
              </w:rPr>
              <w:t>CASE STUDY</w:t>
            </w:r>
          </w:p>
        </w:tc>
        <w:tc>
          <w:tcPr>
            <w:tcW w:w="1600" w:type="dxa"/>
            <w:shd w:val="clear" w:color="auto" w:fill="9D57A6"/>
            <w:tcMar>
              <w:right w:w="344" w:type="dxa"/>
            </w:tcMar>
            <w:vAlign w:val="center"/>
          </w:tcPr>
          <w:p w14:paraId="73205446" w14:textId="77777777" w:rsidR="00C57072" w:rsidRPr="00F5723F" w:rsidRDefault="001C599A" w:rsidP="00C57072">
            <w:pPr>
              <w:pStyle w:val="HeadingChapter"/>
            </w:pPr>
            <w:fldSimple w:instr=" SEQ ChptNum\* Arabic \* MERGEFORMAT ">
              <w:bookmarkStart w:id="0" w:name="_Toc413151233"/>
              <w:r w:rsidR="00C57072">
                <w:t>1</w:t>
              </w:r>
              <w:bookmarkEnd w:id="0"/>
            </w:fldSimple>
          </w:p>
        </w:tc>
      </w:tr>
      <w:tr w:rsidR="00C57072" w14:paraId="3C996791" w14:textId="77777777" w:rsidTr="00C57072">
        <w:trPr>
          <w:trHeight w:hRule="exact" w:val="232"/>
        </w:trPr>
        <w:tc>
          <w:tcPr>
            <w:tcW w:w="8908" w:type="dxa"/>
            <w:shd w:val="clear" w:color="auto" w:fill="9D57A6"/>
          </w:tcPr>
          <w:p w14:paraId="5E848B74" w14:textId="77777777" w:rsidR="00C57072" w:rsidRDefault="00C57072" w:rsidP="0089015A">
            <w:pPr>
              <w:pStyle w:val="Chpt-Context"/>
            </w:pPr>
          </w:p>
        </w:tc>
        <w:tc>
          <w:tcPr>
            <w:tcW w:w="1600" w:type="dxa"/>
            <w:shd w:val="clear" w:color="auto" w:fill="9D57A6"/>
          </w:tcPr>
          <w:p w14:paraId="1DE6DC2D" w14:textId="77777777" w:rsidR="00C57072" w:rsidRPr="008A4E3C" w:rsidRDefault="001C599A" w:rsidP="0089015A">
            <w:pPr>
              <w:pStyle w:val="Chpt-Context"/>
            </w:pPr>
            <w:fldSimple w:instr=" STYLEREF  &quot;Heading 1&quot; \l  \* MERGEFORMAT ">
              <w:bookmarkStart w:id="1" w:name="_Toc413151234"/>
              <w:r w:rsidR="00C57072">
                <w:rPr>
                  <w:noProof/>
                </w:rPr>
                <w:t>OverType Here as Required</w:t>
              </w:r>
              <w:bookmarkEnd w:id="1"/>
            </w:fldSimple>
          </w:p>
        </w:tc>
      </w:tr>
      <w:tr w:rsidR="00C57072" w14:paraId="3C22A315" w14:textId="77777777" w:rsidTr="00C57072">
        <w:trPr>
          <w:trHeight w:hRule="exact" w:val="228"/>
        </w:trPr>
        <w:tc>
          <w:tcPr>
            <w:tcW w:w="8908" w:type="dxa"/>
            <w:tcBorders>
              <w:top w:val="single" w:sz="4" w:space="0" w:color="9D57A6"/>
            </w:tcBorders>
            <w:shd w:val="clear" w:color="auto" w:fill="auto"/>
          </w:tcPr>
          <w:p w14:paraId="6426E883" w14:textId="77777777" w:rsidR="00C57072" w:rsidRDefault="00C57072" w:rsidP="0089015A">
            <w:pPr>
              <w:pStyle w:val="spacer"/>
            </w:pPr>
          </w:p>
        </w:tc>
        <w:tc>
          <w:tcPr>
            <w:tcW w:w="1600" w:type="dxa"/>
            <w:tcBorders>
              <w:top w:val="single" w:sz="4" w:space="0" w:color="9D57A6"/>
            </w:tcBorders>
            <w:shd w:val="clear" w:color="auto" w:fill="auto"/>
          </w:tcPr>
          <w:p w14:paraId="43B2C454" w14:textId="77777777" w:rsidR="00C57072" w:rsidRDefault="00C57072" w:rsidP="0089015A">
            <w:pPr>
              <w:pStyle w:val="spacer"/>
            </w:pPr>
          </w:p>
        </w:tc>
      </w:tr>
    </w:tbl>
    <w:p w14:paraId="17D72AEF" w14:textId="77777777" w:rsidR="00C57072" w:rsidRDefault="00C57072" w:rsidP="0089015A">
      <w:pPr>
        <w:pStyle w:val="BodyText"/>
      </w:pP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bl_prt_hBox-Std"/>
      </w:tblPr>
      <w:tblGrid>
        <w:gridCol w:w="10954"/>
      </w:tblGrid>
      <w:tr w:rsidR="00C953C7" w:rsidRPr="0022286A" w14:paraId="163135EF" w14:textId="77777777" w:rsidTr="00C953C7">
        <w:trPr>
          <w:cantSplit/>
        </w:trPr>
        <w:tc>
          <w:tcPr>
            <w:tcW w:w="10954" w:type="dxa"/>
            <w:shd w:val="clear" w:color="auto" w:fill="auto"/>
            <w:tcMar>
              <w:top w:w="160" w:type="dxa"/>
              <w:left w:w="446" w:type="dxa"/>
            </w:tcMar>
          </w:tcPr>
          <w:p w14:paraId="3496BF2F" w14:textId="77777777" w:rsidR="00C953C7" w:rsidRPr="0022286A" w:rsidRDefault="00C953C7" w:rsidP="00C953C7">
            <w:pPr>
              <w:pStyle w:val="Caption"/>
            </w:pPr>
            <w:r>
              <w:rPr>
                <w:rStyle w:val="CaptionLabel"/>
              </w:rPr>
              <w:t>Box  </w:t>
            </w:r>
            <w:r w:rsidRPr="0022286A">
              <w:rPr>
                <w:rStyle w:val="CaptionLabel"/>
              </w:rPr>
              <w:fldChar w:fldCharType="begin"/>
            </w:r>
            <w:r w:rsidRPr="0022286A">
              <w:rPr>
                <w:rStyle w:val="CaptionLabel"/>
              </w:rPr>
              <w:instrText xml:space="preserve"> SEQ Key_Finding \* ARABIC </w:instrText>
            </w:r>
            <w:r w:rsidRPr="0022286A">
              <w:rPr>
                <w:rStyle w:val="CaptionLabel"/>
              </w:rPr>
              <w:fldChar w:fldCharType="separate"/>
            </w:r>
            <w:r>
              <w:rPr>
                <w:rStyle w:val="CaptionLabel"/>
                <w:noProof/>
              </w:rPr>
              <w:t>1</w:t>
            </w:r>
            <w:r w:rsidRPr="0022286A">
              <w:rPr>
                <w:rStyle w:val="CaptionLabel"/>
              </w:rPr>
              <w:fldChar w:fldCharType="end"/>
            </w:r>
            <w:r>
              <w:tab/>
            </w:r>
            <w:r w:rsidR="00801DBB">
              <w:t xml:space="preserve">Northern Australia Case Study - </w:t>
            </w:r>
            <w:r>
              <w:t>Executive summary</w:t>
            </w:r>
          </w:p>
        </w:tc>
      </w:tr>
      <w:tr w:rsidR="00C953C7" w14:paraId="14CED017" w14:textId="77777777" w:rsidTr="00C953C7">
        <w:trPr>
          <w:cantSplit/>
        </w:trPr>
        <w:tc>
          <w:tcPr>
            <w:tcW w:w="10954" w:type="dxa"/>
            <w:shd w:val="clear" w:color="auto" w:fill="E4E0DD"/>
            <w:tcMar>
              <w:top w:w="276" w:type="dxa"/>
              <w:bottom w:w="0" w:type="dxa"/>
              <w:right w:w="120" w:type="dxa"/>
            </w:tcMar>
          </w:tcPr>
          <w:p w14:paraId="78EECCB7" w14:textId="77777777" w:rsidR="00C953C7" w:rsidRDefault="00C953C7" w:rsidP="00C953C7">
            <w:pPr>
              <w:pStyle w:val="BoxSideHeading1"/>
            </w:pPr>
            <w:r>
              <w:t>Key findings</w:t>
            </w:r>
          </w:p>
          <w:p w14:paraId="7C307FD7" w14:textId="7EBDAFBC" w:rsidR="00C953C7" w:rsidRPr="00D44E44" w:rsidRDefault="003877EA" w:rsidP="00C953C7">
            <w:pPr>
              <w:pStyle w:val="BoxText"/>
            </w:pPr>
            <w:r w:rsidRPr="003877EA">
              <w:t>This impact study focus</w:t>
            </w:r>
            <w:r>
              <w:t>ses</w:t>
            </w:r>
            <w:r w:rsidRPr="003877EA">
              <w:t xml:space="preserve"> on two projects, </w:t>
            </w:r>
            <w:r>
              <w:t>however</w:t>
            </w:r>
            <w:r w:rsidRPr="003877EA">
              <w:t xml:space="preserve"> these are just examples of a larger portfolio of work </w:t>
            </w:r>
            <w:r>
              <w:t>in relation</w:t>
            </w:r>
            <w:r w:rsidRPr="003877EA">
              <w:t xml:space="preserve"> to the Australian Government’s northern development agenda</w:t>
            </w:r>
            <w:r w:rsidR="00DE1602">
              <w:t xml:space="preserve">. </w:t>
            </w:r>
            <w:r w:rsidR="00D000DD">
              <w:t xml:space="preserve">Much of CSIRO’s work since 2009 has arisen </w:t>
            </w:r>
            <w:r w:rsidRPr="003877EA">
              <w:t>from CSIRO</w:t>
            </w:r>
            <w:r w:rsidR="00D000DD">
              <w:t xml:space="preserve"> delivering the Northern Australia Science Review to the </w:t>
            </w:r>
            <w:r w:rsidRPr="003877EA">
              <w:t>Northern Australian Land and Water Taskforce.</w:t>
            </w:r>
            <w:r>
              <w:t xml:space="preserve"> </w:t>
            </w:r>
            <w:r w:rsidR="00C953C7">
              <w:t>The</w:t>
            </w:r>
            <w:r w:rsidR="00456FDA">
              <w:t xml:space="preserve"> FGARA and </w:t>
            </w:r>
            <w:proofErr w:type="spellStart"/>
            <w:r w:rsidR="00456FDA">
              <w:t>TraNSIT</w:t>
            </w:r>
            <w:proofErr w:type="spellEnd"/>
            <w:r w:rsidR="00456FDA">
              <w:t xml:space="preserve"> projects are part of a portfolio of activities</w:t>
            </w:r>
            <w:r w:rsidRPr="003877EA">
              <w:t xml:space="preserve"> </w:t>
            </w:r>
            <w:r>
              <w:t>by the</w:t>
            </w:r>
            <w:r w:rsidRPr="003877EA">
              <w:t xml:space="preserve"> CSIRO</w:t>
            </w:r>
            <w:r>
              <w:t>’s</w:t>
            </w:r>
            <w:r w:rsidRPr="003877EA">
              <w:t xml:space="preserve"> Agriculture &amp; Food and Land &amp; Water </w:t>
            </w:r>
            <w:r>
              <w:t xml:space="preserve">Business Units </w:t>
            </w:r>
            <w:r w:rsidR="00D000DD">
              <w:t>since 2009</w:t>
            </w:r>
            <w:r w:rsidR="00456FDA">
              <w:t>.</w:t>
            </w:r>
            <w:r w:rsidR="00D000DD">
              <w:t xml:space="preserve"> </w:t>
            </w:r>
            <w:r w:rsidR="00456FDA">
              <w:t xml:space="preserve">The </w:t>
            </w:r>
            <w:r>
              <w:t xml:space="preserve">FGARA and </w:t>
            </w:r>
            <w:proofErr w:type="spellStart"/>
            <w:r>
              <w:t>TraNSIT</w:t>
            </w:r>
            <w:proofErr w:type="spellEnd"/>
            <w:r w:rsidR="00C953C7">
              <w:t xml:space="preserve"> project</w:t>
            </w:r>
            <w:r>
              <w:t>s</w:t>
            </w:r>
            <w:r w:rsidR="00C953C7">
              <w:t xml:space="preserve"> ha</w:t>
            </w:r>
            <w:r>
              <w:t>ve</w:t>
            </w:r>
            <w:r w:rsidR="00C953C7">
              <w:t xml:space="preserve"> produced the following outputs:</w:t>
            </w:r>
          </w:p>
          <w:p w14:paraId="6BA54294" w14:textId="3AB6EE73" w:rsidR="00C953C7" w:rsidRDefault="00C65B92" w:rsidP="00C65B92">
            <w:pPr>
              <w:pStyle w:val="BoxListBullet"/>
            </w:pPr>
            <w:r>
              <w:t xml:space="preserve">The FGARA project developed a </w:t>
            </w:r>
            <w:r w:rsidR="00C13A09">
              <w:t>robust</w:t>
            </w:r>
            <w:r>
              <w:t>,</w:t>
            </w:r>
            <w:r w:rsidR="00C13A09">
              <w:t xml:space="preserve"> science based </w:t>
            </w:r>
            <w:r>
              <w:t xml:space="preserve">methodology for </w:t>
            </w:r>
            <w:r w:rsidR="00C13A09">
              <w:t>assess</w:t>
            </w:r>
            <w:r>
              <w:t>ing</w:t>
            </w:r>
            <w:r w:rsidR="00C13A09">
              <w:t xml:space="preserve"> </w:t>
            </w:r>
            <w:r w:rsidRPr="00C65B92">
              <w:t>future land and water developments</w:t>
            </w:r>
            <w:r w:rsidR="001D3E1B">
              <w:t xml:space="preserve"> to help ensure that they are environmentally and economically sustainable</w:t>
            </w:r>
            <w:r>
              <w:t>.</w:t>
            </w:r>
          </w:p>
          <w:p w14:paraId="3DF82220" w14:textId="77777777" w:rsidR="00EC634A" w:rsidRDefault="00EC634A" w:rsidP="00EC634A">
            <w:pPr>
              <w:pStyle w:val="BoxListBullet"/>
            </w:pPr>
            <w:r>
              <w:t xml:space="preserve">The success of </w:t>
            </w:r>
            <w:r w:rsidRPr="00C65B92">
              <w:t xml:space="preserve">FGARA </w:t>
            </w:r>
            <w:r>
              <w:t xml:space="preserve">was instrumental in </w:t>
            </w:r>
            <w:r w:rsidRPr="00C65B92">
              <w:t xml:space="preserve">the decision by the </w:t>
            </w:r>
            <w:r w:rsidR="00327D87">
              <w:t>Australian G</w:t>
            </w:r>
            <w:r w:rsidRPr="00C65B92">
              <w:t xml:space="preserve">overnment to allocate $15 million as part of the Northern Australia White Paper to </w:t>
            </w:r>
            <w:r>
              <w:t>commission</w:t>
            </w:r>
            <w:r w:rsidRPr="00C65B92">
              <w:t xml:space="preserve"> CSIRO </w:t>
            </w:r>
            <w:r>
              <w:t>to do similar assessments</w:t>
            </w:r>
            <w:r w:rsidRPr="00C65B92">
              <w:t xml:space="preserve"> in three other catchments across </w:t>
            </w:r>
            <w:r w:rsidR="00C0505B">
              <w:t xml:space="preserve">northern </w:t>
            </w:r>
            <w:r w:rsidRPr="00C65B92">
              <w:t>Australia</w:t>
            </w:r>
            <w:r>
              <w:t>.</w:t>
            </w:r>
          </w:p>
          <w:p w14:paraId="7341F0ED" w14:textId="1896B3A4" w:rsidR="00EC634A" w:rsidRDefault="00EC634A" w:rsidP="00327D87">
            <w:pPr>
              <w:pStyle w:val="BoxListBullet"/>
            </w:pPr>
            <w:r>
              <w:t xml:space="preserve">The findings of the FGARA </w:t>
            </w:r>
            <w:r w:rsidR="00250ECF">
              <w:t xml:space="preserve">project drove a review of the Gulf Water Resources Plan. That review confirmed additional unallocated water resources. The subsequent water tender raised </w:t>
            </w:r>
            <w:r w:rsidR="00B570B0">
              <w:t xml:space="preserve">around </w:t>
            </w:r>
            <w:r w:rsidR="00250ECF">
              <w:t>$10 million in license fees paid to the Queensland Government</w:t>
            </w:r>
            <w:r w:rsidR="00456FDA">
              <w:t>. A</w:t>
            </w:r>
            <w:r w:rsidR="00FD7277">
              <w:t xml:space="preserve"> subsequent tender process in late 2017 </w:t>
            </w:r>
            <w:r w:rsidR="00456FDA">
              <w:t xml:space="preserve">is </w:t>
            </w:r>
            <w:r w:rsidR="00FD7277">
              <w:t xml:space="preserve">expected to raise </w:t>
            </w:r>
            <w:r w:rsidR="00456FDA">
              <w:t>a similar amount</w:t>
            </w:r>
            <w:r w:rsidR="00250ECF">
              <w:t>.</w:t>
            </w:r>
            <w:r w:rsidR="00327D87">
              <w:t xml:space="preserve"> There is also the potential for</w:t>
            </w:r>
            <w:r w:rsidR="00327D87" w:rsidRPr="00327D87">
              <w:t xml:space="preserve"> significant flow-on benefits </w:t>
            </w:r>
            <w:r w:rsidR="00456FDA">
              <w:t>if</w:t>
            </w:r>
            <w:r w:rsidR="00456FDA" w:rsidRPr="00327D87">
              <w:t xml:space="preserve"> </w:t>
            </w:r>
            <w:r w:rsidR="00327D87">
              <w:t xml:space="preserve">and </w:t>
            </w:r>
            <w:r w:rsidR="00456FDA">
              <w:t xml:space="preserve">when </w:t>
            </w:r>
            <w:r w:rsidR="00327D87" w:rsidRPr="00327D87">
              <w:t>that water is used to grow crops and forage</w:t>
            </w:r>
            <w:r w:rsidR="00327D87">
              <w:t>.</w:t>
            </w:r>
          </w:p>
          <w:p w14:paraId="43C4A2FE" w14:textId="77777777" w:rsidR="00C953C7" w:rsidRDefault="00C65B92" w:rsidP="00250ECF">
            <w:pPr>
              <w:pStyle w:val="BoxListBullet"/>
            </w:pPr>
            <w:r>
              <w:t xml:space="preserve">The </w:t>
            </w:r>
            <w:proofErr w:type="spellStart"/>
            <w:r w:rsidRPr="00C65B92">
              <w:t>TraNSIT</w:t>
            </w:r>
            <w:proofErr w:type="spellEnd"/>
            <w:r w:rsidRPr="00C65B92">
              <w:t xml:space="preserve"> </w:t>
            </w:r>
            <w:r>
              <w:t xml:space="preserve">model </w:t>
            </w:r>
            <w:r w:rsidR="00327D87">
              <w:t>has been</w:t>
            </w:r>
            <w:r>
              <w:t xml:space="preserve"> used </w:t>
            </w:r>
            <w:r w:rsidR="00250ECF" w:rsidRPr="00250ECF">
              <w:t>by both industry and government across the whole of Australia to holistically evaluate the relative merits of proposed investments in new infrastructure and or potential policy changes</w:t>
            </w:r>
            <w:r w:rsidR="00C953C7" w:rsidRPr="00D44E44">
              <w:t>.</w:t>
            </w:r>
          </w:p>
          <w:p w14:paraId="69ADBD84" w14:textId="77777777" w:rsidR="00C65B92" w:rsidRDefault="00250ECF" w:rsidP="00250ECF">
            <w:pPr>
              <w:pStyle w:val="BoxListBullet"/>
            </w:pPr>
            <w:r w:rsidRPr="00250ECF">
              <w:t xml:space="preserve">The </w:t>
            </w:r>
            <w:proofErr w:type="spellStart"/>
            <w:r w:rsidRPr="00250ECF">
              <w:t>TraNSIT</w:t>
            </w:r>
            <w:proofErr w:type="spellEnd"/>
            <w:r w:rsidRPr="00250ECF">
              <w:t xml:space="preserve"> model was used to help inform project funding decisions for the $100 million Beef Roads Fund. </w:t>
            </w:r>
            <w:r>
              <w:t>T</w:t>
            </w:r>
            <w:r w:rsidRPr="00250ECF">
              <w:t xml:space="preserve">he use of the model </w:t>
            </w:r>
            <w:r>
              <w:t xml:space="preserve">is estimated to have </w:t>
            </w:r>
            <w:r w:rsidRPr="00250ECF">
              <w:t xml:space="preserve">increased the annual benefits of the projects supported by the Fund by $400,000 </w:t>
            </w:r>
            <w:r w:rsidR="009E4E7F">
              <w:t>in 2015/16, $600,000 in 2016/17 and up to $1 million by 2017/18.</w:t>
            </w:r>
          </w:p>
          <w:p w14:paraId="494C6996" w14:textId="48107A91" w:rsidR="00250ECF" w:rsidRDefault="00250ECF" w:rsidP="00250ECF">
            <w:pPr>
              <w:pStyle w:val="BoxListBullet"/>
            </w:pPr>
            <w:r>
              <w:t xml:space="preserve">The CSIRO is </w:t>
            </w:r>
            <w:r w:rsidR="00F33A38">
              <w:t xml:space="preserve">currently </w:t>
            </w:r>
            <w:r>
              <w:t>earning fees of around $</w:t>
            </w:r>
            <w:r w:rsidR="009E4E7F">
              <w:t>5</w:t>
            </w:r>
            <w:r>
              <w:t xml:space="preserve">50,000 a year for the use of </w:t>
            </w:r>
            <w:proofErr w:type="spellStart"/>
            <w:r>
              <w:t>TraNSIT</w:t>
            </w:r>
            <w:proofErr w:type="spellEnd"/>
            <w:r>
              <w:t xml:space="preserve"> by Australian and overseas users.</w:t>
            </w:r>
          </w:p>
          <w:p w14:paraId="137B8A45" w14:textId="77777777" w:rsidR="00C953C7" w:rsidRDefault="00C953C7" w:rsidP="00C953C7">
            <w:pPr>
              <w:pStyle w:val="BoxSideHeading1"/>
            </w:pPr>
            <w:r>
              <w:t>Innovation impact</w:t>
            </w:r>
          </w:p>
          <w:p w14:paraId="05742654" w14:textId="77777777" w:rsidR="00C953C7" w:rsidRDefault="00C65B92" w:rsidP="00250ECF">
            <w:pPr>
              <w:pStyle w:val="BoxText"/>
            </w:pPr>
            <w:r>
              <w:t>T</w:t>
            </w:r>
            <w:r w:rsidRPr="00C65B92">
              <w:t xml:space="preserve">he </w:t>
            </w:r>
            <w:r>
              <w:t xml:space="preserve">methodology developed for the </w:t>
            </w:r>
            <w:r w:rsidRPr="00C65B92">
              <w:t xml:space="preserve">FGARA </w:t>
            </w:r>
            <w:r w:rsidR="00EC634A">
              <w:t xml:space="preserve">can be used to much more </w:t>
            </w:r>
            <w:r w:rsidR="00EC634A" w:rsidRPr="00EC634A">
              <w:t xml:space="preserve">rapidly </w:t>
            </w:r>
            <w:r w:rsidR="00250ECF">
              <w:t xml:space="preserve">and inexpensively </w:t>
            </w:r>
            <w:r w:rsidR="00EC634A" w:rsidRPr="00EC634A">
              <w:t>assess future land and water developments</w:t>
            </w:r>
            <w:r w:rsidR="00EC634A">
              <w:t>. It</w:t>
            </w:r>
            <w:r w:rsidR="00EC634A" w:rsidRPr="00EC634A">
              <w:t xml:space="preserve"> </w:t>
            </w:r>
            <w:r w:rsidRPr="00C65B92">
              <w:t>can be tailored to</w:t>
            </w:r>
            <w:r>
              <w:t xml:space="preserve"> provide information that</w:t>
            </w:r>
            <w:r w:rsidRPr="00C65B92">
              <w:t xml:space="preserve"> meet</w:t>
            </w:r>
            <w:r>
              <w:t>s</w:t>
            </w:r>
            <w:r w:rsidRPr="00C65B92">
              <w:t xml:space="preserve"> the due diligence requirements of private investors and lenders, by addressing questions of profitability and income reliability of agricultural and other developments</w:t>
            </w:r>
            <w:r>
              <w:t xml:space="preserve">. </w:t>
            </w:r>
          </w:p>
          <w:p w14:paraId="53EF0CE7" w14:textId="77777777" w:rsidR="00250ECF" w:rsidRDefault="00250ECF" w:rsidP="00250ECF">
            <w:pPr>
              <w:pStyle w:val="BoxText"/>
            </w:pPr>
            <w:r>
              <w:t xml:space="preserve">The </w:t>
            </w:r>
            <w:proofErr w:type="spellStart"/>
            <w:r>
              <w:t>TraNSIT</w:t>
            </w:r>
            <w:proofErr w:type="spellEnd"/>
            <w:r>
              <w:t xml:space="preserve"> model can be used to </w:t>
            </w:r>
            <w:r w:rsidRPr="00250ECF">
              <w:t>holistically evaluate the relative merits of proposed investments in new infrastructure and or potential policy changes</w:t>
            </w:r>
            <w:r>
              <w:t>.</w:t>
            </w:r>
          </w:p>
        </w:tc>
      </w:tr>
      <w:tr w:rsidR="00C953C7" w:rsidRPr="008B3E19" w14:paraId="0AD2C58E" w14:textId="77777777" w:rsidTr="00C953C7">
        <w:trPr>
          <w:cantSplit/>
          <w:trHeight w:hRule="exact" w:val="376"/>
        </w:trPr>
        <w:tc>
          <w:tcPr>
            <w:tcW w:w="10954" w:type="dxa"/>
            <w:shd w:val="clear" w:color="auto" w:fill="E4E0DD"/>
            <w:tcMar>
              <w:top w:w="0" w:type="dxa"/>
              <w:bottom w:w="0" w:type="dxa"/>
              <w:right w:w="0" w:type="dxa"/>
            </w:tcMar>
          </w:tcPr>
          <w:p w14:paraId="5D11B17C" w14:textId="77777777" w:rsidR="00C953C7" w:rsidRPr="008B3E19" w:rsidRDefault="00C953C7" w:rsidP="0089015A">
            <w:pPr>
              <w:pStyle w:val="spacer"/>
            </w:pPr>
          </w:p>
        </w:tc>
      </w:tr>
      <w:tr w:rsidR="00C953C7" w:rsidRPr="008B3E19" w14:paraId="18D90501" w14:textId="77777777" w:rsidTr="00C953C7">
        <w:trPr>
          <w:cantSplit/>
          <w:trHeight w:hRule="exact" w:val="180"/>
        </w:trPr>
        <w:tc>
          <w:tcPr>
            <w:tcW w:w="10954" w:type="dxa"/>
            <w:shd w:val="clear" w:color="auto" w:fill="auto"/>
            <w:tcMar>
              <w:top w:w="0" w:type="dxa"/>
              <w:left w:w="446" w:type="dxa"/>
              <w:bottom w:w="0" w:type="dxa"/>
            </w:tcMar>
          </w:tcPr>
          <w:p w14:paraId="52F19474" w14:textId="77777777" w:rsidR="00C953C7" w:rsidRPr="008B3E19" w:rsidRDefault="00C953C7" w:rsidP="0089015A">
            <w:pPr>
              <w:pStyle w:val="spacertbl"/>
            </w:pPr>
            <w:r w:rsidRPr="008B3E19">
              <w:rPr>
                <w:noProof/>
                <w:lang w:eastAsia="en-AU"/>
              </w:rPr>
              <mc:AlternateContent>
                <mc:Choice Requires="wps">
                  <w:drawing>
                    <wp:anchor distT="0" distB="0" distL="114300" distR="114300" simplePos="0" relativeHeight="251661312" behindDoc="0" locked="1" layoutInCell="1" allowOverlap="1" wp14:anchorId="4369965E" wp14:editId="44BA68E4">
                      <wp:simplePos x="0" y="0"/>
                      <wp:positionH relativeFrom="rightMargin">
                        <wp:posOffset>-772795</wp:posOffset>
                      </wp:positionH>
                      <wp:positionV relativeFrom="page">
                        <wp:posOffset>-237490</wp:posOffset>
                      </wp:positionV>
                      <wp:extent cx="436880" cy="213360"/>
                      <wp:effectExtent l="0" t="0" r="1270" b="0"/>
                      <wp:wrapNone/>
                      <wp:docPr id="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FFAF3A"/>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18FE427" id="Freeform 5" o:spid="_x0000_s1026" style="position:absolute;margin-left:-60.85pt;margin-top:-18.7pt;width:34.4pt;height:16.8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" path="m822,r,828l,828,822,xm863,828r823,l1686,,863,828xe" fillcolor="#ffaf3a"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58A1A930" w14:textId="2776F61E" w:rsidR="00C953C7" w:rsidRDefault="00C953C7" w:rsidP="00C953C7">
      <w:pPr>
        <w:pStyle w:val="BodyText"/>
      </w:pPr>
      <w:r w:rsidRPr="00393831">
        <w:t xml:space="preserve">This case study uses the evaluation framework outlined in the CSIRO Impact Evaluation Guide. The results of applying that framework to the </w:t>
      </w:r>
      <w:r w:rsidR="00801DBB">
        <w:t>Northern Australia</w:t>
      </w:r>
      <w:r w:rsidRPr="00393831">
        <w:t xml:space="preserve"> case study are summarised in Figure 1.</w:t>
      </w:r>
      <w:r w:rsidR="00990432">
        <w:t>1.</w:t>
      </w:r>
    </w:p>
    <w:p w14:paraId="4CE48E9F" w14:textId="77777777" w:rsidR="00C953C7" w:rsidRDefault="00C953C7" w:rsidP="00C953C7">
      <w:pPr>
        <w:pStyle w:val="BodyText"/>
      </w:pPr>
    </w:p>
    <w:tbl>
      <w:tblPr>
        <w:tblStyle w:val="TableGrid"/>
        <w:tblW w:w="109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994"/>
      </w:tblGrid>
      <w:tr w:rsidR="00C953C7" w:rsidRPr="00AA4DEE" w14:paraId="7973A556" w14:textId="77777777" w:rsidTr="00C953C7">
        <w:trPr>
          <w:cantSplit/>
          <w:trHeight w:hRule="exact" w:val="160"/>
        </w:trPr>
        <w:tc>
          <w:tcPr>
            <w:tcW w:w="10994" w:type="dxa"/>
            <w:tcBorders>
              <w:bottom w:val="single" w:sz="4" w:space="0" w:color="auto"/>
            </w:tcBorders>
            <w:shd w:val="clear" w:color="auto" w:fill="auto"/>
          </w:tcPr>
          <w:p w14:paraId="77405116" w14:textId="77777777" w:rsidR="00C953C7" w:rsidRPr="00AA4DEE" w:rsidRDefault="00C953C7" w:rsidP="0089015A">
            <w:pPr>
              <w:pStyle w:val="spacer"/>
            </w:pPr>
          </w:p>
        </w:tc>
      </w:tr>
      <w:tr w:rsidR="00C953C7" w:rsidRPr="00897E60" w14:paraId="20DB01ED" w14:textId="77777777" w:rsidTr="00C953C7">
        <w:trPr>
          <w:cantSplit/>
        </w:trPr>
        <w:tc>
          <w:tcPr>
            <w:tcW w:w="10994" w:type="dxa"/>
            <w:tcBorders>
              <w:top w:val="single" w:sz="4" w:space="0" w:color="auto"/>
            </w:tcBorders>
            <w:shd w:val="clear" w:color="auto" w:fill="auto"/>
            <w:tcMar>
              <w:left w:w="0" w:type="dxa"/>
            </w:tcMar>
          </w:tcPr>
          <w:p w14:paraId="649AC741" w14:textId="77777777" w:rsidR="00C953C7" w:rsidRPr="00897E60" w:rsidRDefault="00C953C7" w:rsidP="00801DBB">
            <w:pPr>
              <w:pStyle w:val="Caption"/>
            </w:pPr>
            <w:bookmarkStart w:id="2" w:name="_Ref490902362"/>
            <w:r>
              <w:rPr>
                <w:rStyle w:val="CaptionLabel"/>
              </w:rPr>
              <w:t>Figure </w:t>
            </w:r>
            <w:r>
              <w:rPr>
                <w:rStyle w:val="CaptionLabel"/>
              </w:rPr>
              <w:fldChar w:fldCharType="begin"/>
            </w:r>
            <w:r>
              <w:rPr>
                <w:rStyle w:val="CaptionLabel"/>
              </w:rPr>
              <w:instrText xml:space="preserve"> STYLEREF 1 \s </w:instrText>
            </w:r>
            <w:r>
              <w:rPr>
                <w:rStyle w:val="CaptionLabel"/>
              </w:rPr>
              <w:fldChar w:fldCharType="separate"/>
            </w:r>
            <w:r>
              <w:rPr>
                <w:rStyle w:val="CaptionLabel"/>
                <w:noProof/>
              </w:rPr>
              <w:t>1</w:t>
            </w:r>
            <w:r>
              <w:rPr>
                <w:rStyle w:val="CaptionLabel"/>
              </w:rPr>
              <w:fldChar w:fldCharType="end"/>
            </w:r>
            <w:r>
              <w:rPr>
                <w:rStyle w:val="CaptionLabel"/>
              </w:rPr>
              <w:t>.</w:t>
            </w:r>
            <w:r>
              <w:rPr>
                <w:rStyle w:val="CaptionLabel"/>
              </w:rPr>
              <w:fldChar w:fldCharType="begin"/>
            </w:r>
            <w:r>
              <w:rPr>
                <w:rStyle w:val="CaptionLabel"/>
              </w:rPr>
              <w:instrText xml:space="preserve"> SEQ Figure \* ARABIC \S 1 </w:instrText>
            </w:r>
            <w:r>
              <w:rPr>
                <w:rStyle w:val="CaptionLabel"/>
              </w:rPr>
              <w:fldChar w:fldCharType="separate"/>
            </w:r>
            <w:r>
              <w:rPr>
                <w:rStyle w:val="CaptionLabel"/>
                <w:noProof/>
              </w:rPr>
              <w:t>1</w:t>
            </w:r>
            <w:r>
              <w:rPr>
                <w:rStyle w:val="CaptionLabel"/>
              </w:rPr>
              <w:fldChar w:fldCharType="end"/>
            </w:r>
            <w:bookmarkEnd w:id="2"/>
            <w:r>
              <w:tab/>
            </w:r>
            <w:r w:rsidR="00801DBB">
              <w:t>Northern Australia</w:t>
            </w:r>
            <w:r>
              <w:t xml:space="preserve"> Case Study – Impact Framework Diagram</w:t>
            </w:r>
          </w:p>
        </w:tc>
      </w:tr>
      <w:tr w:rsidR="00C953C7" w:rsidRPr="00AA4DEE" w14:paraId="5EF1B807" w14:textId="77777777" w:rsidTr="00C953C7">
        <w:trPr>
          <w:cantSplit/>
          <w:trHeight w:hRule="exact" w:val="380"/>
        </w:trPr>
        <w:tc>
          <w:tcPr>
            <w:tcW w:w="10994" w:type="dxa"/>
            <w:tcBorders>
              <w:bottom w:val="single" w:sz="4" w:space="0" w:color="auto"/>
            </w:tcBorders>
            <w:shd w:val="clear" w:color="auto" w:fill="auto"/>
          </w:tcPr>
          <w:p w14:paraId="0CE59780" w14:textId="77777777" w:rsidR="00C953C7" w:rsidRPr="00AA4DEE" w:rsidRDefault="00C953C7" w:rsidP="0089015A">
            <w:pPr>
              <w:pStyle w:val="spacer"/>
            </w:pPr>
            <w:r w:rsidRPr="00AA4DEE">
              <w:rPr>
                <w:noProof/>
                <w:lang w:eastAsia="en-AU"/>
              </w:rPr>
              <mc:AlternateContent>
                <mc:Choice Requires="wps">
                  <w:drawing>
                    <wp:anchor distT="0" distB="0" distL="114300" distR="114300" simplePos="0" relativeHeight="251663360" behindDoc="0" locked="1" layoutInCell="1" allowOverlap="1" wp14:anchorId="3E56DD60" wp14:editId="257790F5">
                      <wp:simplePos x="0" y="0"/>
                      <wp:positionH relativeFrom="rightMargin">
                        <wp:posOffset>-772795</wp:posOffset>
                      </wp:positionH>
                      <wp:positionV relativeFrom="page">
                        <wp:posOffset>0</wp:posOffset>
                      </wp:positionV>
                      <wp:extent cx="436880" cy="213360"/>
                      <wp:effectExtent l="0" t="0" r="1270" b="0"/>
                      <wp:wrapNone/>
                      <wp:docPr id="3"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7B2BC18" id="Freeform 5" o:spid="_x0000_s1026" style="position:absolute;margin-left:-60.85pt;margin-top:0;width:34.4pt;height:16.8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bl>
    <w:p w14:paraId="7A2DDD06" w14:textId="77777777" w:rsidR="00C953C7" w:rsidRPr="00393831" w:rsidRDefault="00C953C7" w:rsidP="00C953C7">
      <w:pPr>
        <w:pStyle w:val="Caption"/>
        <w:ind w:left="-1418" w:hanging="1134"/>
      </w:pPr>
    </w:p>
    <w:tbl>
      <w:tblPr>
        <w:tblW w:w="5277" w:type="pct"/>
        <w:tblInd w:w="-44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45"/>
        <w:gridCol w:w="365"/>
        <w:gridCol w:w="1902"/>
        <w:gridCol w:w="226"/>
        <w:gridCol w:w="2050"/>
        <w:gridCol w:w="276"/>
        <w:gridCol w:w="1842"/>
        <w:gridCol w:w="294"/>
        <w:gridCol w:w="2258"/>
      </w:tblGrid>
      <w:tr w:rsidR="00C953C7" w:rsidRPr="00B03BA4" w14:paraId="13405420" w14:textId="77777777" w:rsidTr="00156827">
        <w:trPr>
          <w:cantSplit/>
          <w:trHeight w:val="591"/>
        </w:trPr>
        <w:tc>
          <w:tcPr>
            <w:tcW w:w="834"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9757A6" w:themeFill="accent1"/>
            <w:vAlign w:val="center"/>
          </w:tcPr>
          <w:p w14:paraId="4C853261" w14:textId="77777777" w:rsidR="00C953C7" w:rsidRPr="00393831" w:rsidRDefault="00C953C7" w:rsidP="0089015A">
            <w:pPr>
              <w:keepNext/>
              <w:spacing w:after="0" w:line="240" w:lineRule="auto"/>
              <w:jc w:val="center"/>
              <w:rPr>
                <w:rFonts w:cstheme="majorHAnsi"/>
                <w:b/>
                <w:color w:val="FFFFFF" w:themeColor="background1"/>
              </w:rPr>
            </w:pPr>
            <w:r w:rsidRPr="00393831">
              <w:rPr>
                <w:rFonts w:cstheme="majorHAnsi"/>
                <w:b/>
                <w:color w:val="FFFFFF" w:themeColor="background1"/>
              </w:rPr>
              <w:t>INPUTS</w:t>
            </w:r>
          </w:p>
        </w:tc>
        <w:tc>
          <w:tcPr>
            <w:tcW w:w="165" w:type="pct"/>
            <w:tcBorders>
              <w:top w:val="single" w:sz="12" w:space="0" w:color="FFFFFF" w:themeColor="background1"/>
              <w:left w:val="single" w:sz="12" w:space="0" w:color="9757A6" w:themeColor="text2"/>
              <w:bottom w:val="single" w:sz="12" w:space="0" w:color="FFFFFF" w:themeColor="background1"/>
              <w:right w:val="single" w:sz="12" w:space="0" w:color="9757A6" w:themeColor="accent1"/>
            </w:tcBorders>
            <w:shd w:val="clear" w:color="auto" w:fill="auto"/>
            <w:vAlign w:val="center"/>
          </w:tcPr>
          <w:p w14:paraId="2CEA8F2D" w14:textId="77777777" w:rsidR="00C953C7" w:rsidRPr="00393831" w:rsidRDefault="00C953C7" w:rsidP="0089015A">
            <w:pPr>
              <w:keepNext/>
              <w:spacing w:after="0" w:line="240" w:lineRule="auto"/>
              <w:jc w:val="center"/>
              <w:rPr>
                <w:rFonts w:cstheme="majorHAnsi"/>
                <w:b/>
                <w:color w:val="FFFFFF" w:themeColor="background1"/>
              </w:rPr>
            </w:pPr>
          </w:p>
        </w:tc>
        <w:tc>
          <w:tcPr>
            <w:tcW w:w="860"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9757A6" w:themeFill="accent1"/>
            <w:vAlign w:val="center"/>
          </w:tcPr>
          <w:p w14:paraId="3D838651" w14:textId="77777777" w:rsidR="00C953C7" w:rsidRPr="00393831" w:rsidRDefault="00C953C7" w:rsidP="0089015A">
            <w:pPr>
              <w:keepNext/>
              <w:spacing w:after="0" w:line="240" w:lineRule="auto"/>
              <w:jc w:val="center"/>
              <w:rPr>
                <w:rFonts w:cstheme="majorHAnsi"/>
                <w:b/>
                <w:color w:val="FFFFFF" w:themeColor="background1"/>
              </w:rPr>
            </w:pPr>
            <w:r w:rsidRPr="00393831">
              <w:rPr>
                <w:rFonts w:cstheme="majorHAnsi"/>
                <w:b/>
                <w:color w:val="FFFFFF" w:themeColor="background1"/>
              </w:rPr>
              <w:t>ACTIVITIES</w:t>
            </w:r>
          </w:p>
        </w:tc>
        <w:tc>
          <w:tcPr>
            <w:tcW w:w="102" w:type="pct"/>
            <w:tcBorders>
              <w:top w:val="single" w:sz="12" w:space="0" w:color="FFFFFF" w:themeColor="background1"/>
              <w:left w:val="single" w:sz="12" w:space="0" w:color="9757A6" w:themeColor="accent1"/>
              <w:bottom w:val="single" w:sz="12" w:space="0" w:color="FFFFFF" w:themeColor="background1"/>
              <w:right w:val="single" w:sz="12" w:space="0" w:color="9757A6" w:themeColor="accent1"/>
            </w:tcBorders>
            <w:shd w:val="clear" w:color="auto" w:fill="auto"/>
            <w:vAlign w:val="center"/>
          </w:tcPr>
          <w:p w14:paraId="79C4AA83" w14:textId="77777777" w:rsidR="00C953C7" w:rsidRPr="00393831" w:rsidRDefault="00C953C7" w:rsidP="0089015A">
            <w:pPr>
              <w:keepNext/>
              <w:spacing w:after="0" w:line="240" w:lineRule="auto"/>
              <w:ind w:firstLine="34"/>
              <w:jc w:val="center"/>
              <w:rPr>
                <w:rFonts w:cstheme="majorHAnsi"/>
                <w:b/>
                <w:color w:val="FFFFFF" w:themeColor="background1"/>
              </w:rPr>
            </w:pPr>
          </w:p>
        </w:tc>
        <w:tc>
          <w:tcPr>
            <w:tcW w:w="927"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9757A6" w:themeFill="accent1"/>
            <w:vAlign w:val="center"/>
          </w:tcPr>
          <w:p w14:paraId="08CE62AC" w14:textId="77777777" w:rsidR="00C953C7" w:rsidRPr="00393831" w:rsidRDefault="00C953C7" w:rsidP="0089015A">
            <w:pPr>
              <w:keepNext/>
              <w:spacing w:after="0" w:line="240" w:lineRule="auto"/>
              <w:ind w:left="118"/>
              <w:jc w:val="center"/>
              <w:rPr>
                <w:rFonts w:cstheme="majorHAnsi"/>
                <w:b/>
                <w:color w:val="FFFFFF" w:themeColor="background1"/>
              </w:rPr>
            </w:pPr>
            <w:r w:rsidRPr="00393831">
              <w:rPr>
                <w:rFonts w:cstheme="majorHAnsi"/>
                <w:b/>
                <w:color w:val="FFFFFF" w:themeColor="background1"/>
              </w:rPr>
              <w:t>OUTPUTS</w:t>
            </w:r>
          </w:p>
        </w:tc>
        <w:tc>
          <w:tcPr>
            <w:tcW w:w="125" w:type="pct"/>
            <w:tcBorders>
              <w:top w:val="single" w:sz="12" w:space="0" w:color="FFFFFF" w:themeColor="background1"/>
              <w:left w:val="single" w:sz="12" w:space="0" w:color="9757A6" w:themeColor="accent1"/>
              <w:bottom w:val="single" w:sz="12" w:space="0" w:color="FFFFFF" w:themeColor="background1"/>
              <w:right w:val="single" w:sz="12" w:space="0" w:color="9757A6" w:themeColor="text2"/>
            </w:tcBorders>
            <w:shd w:val="clear" w:color="auto" w:fill="auto"/>
            <w:vAlign w:val="center"/>
          </w:tcPr>
          <w:p w14:paraId="70AC165B" w14:textId="77777777" w:rsidR="00C953C7" w:rsidRPr="00393831" w:rsidRDefault="00C953C7" w:rsidP="0089015A">
            <w:pPr>
              <w:keepNext/>
              <w:spacing w:after="0" w:line="240" w:lineRule="auto"/>
              <w:ind w:firstLine="32"/>
              <w:jc w:val="center"/>
              <w:rPr>
                <w:rFonts w:cstheme="majorHAnsi"/>
                <w:b/>
                <w:color w:val="FFFFFF" w:themeColor="background1"/>
              </w:rPr>
            </w:pPr>
          </w:p>
        </w:tc>
        <w:tc>
          <w:tcPr>
            <w:tcW w:w="833" w:type="pct"/>
            <w:tcBorders>
              <w:top w:val="single" w:sz="12" w:space="0" w:color="9757A6" w:themeColor="text2"/>
              <w:left w:val="single" w:sz="12" w:space="0" w:color="9757A6" w:themeColor="text2"/>
              <w:bottom w:val="single" w:sz="12" w:space="0" w:color="9757A6" w:themeColor="text2"/>
              <w:right w:val="single" w:sz="12" w:space="0" w:color="9757A6" w:themeColor="text2"/>
            </w:tcBorders>
            <w:shd w:val="clear" w:color="auto" w:fill="9757A6" w:themeFill="accent1"/>
            <w:vAlign w:val="center"/>
          </w:tcPr>
          <w:p w14:paraId="14E291E7" w14:textId="77777777" w:rsidR="00C953C7" w:rsidRPr="00393831" w:rsidRDefault="00C953C7" w:rsidP="0089015A">
            <w:pPr>
              <w:spacing w:after="0" w:line="240" w:lineRule="auto"/>
              <w:ind w:left="61"/>
              <w:jc w:val="center"/>
              <w:rPr>
                <w:rFonts w:cstheme="majorHAnsi"/>
                <w:b/>
                <w:color w:val="FFFFFF" w:themeColor="background1"/>
                <w:lang w:eastAsia="en-AU"/>
              </w:rPr>
            </w:pPr>
            <w:r w:rsidRPr="00393831">
              <w:rPr>
                <w:rFonts w:cstheme="majorHAnsi"/>
                <w:b/>
                <w:color w:val="FFFFFF" w:themeColor="background1"/>
                <w:lang w:eastAsia="en-AU"/>
              </w:rPr>
              <w:t>OUTCOMES</w:t>
            </w:r>
          </w:p>
        </w:tc>
        <w:tc>
          <w:tcPr>
            <w:tcW w:w="133" w:type="pct"/>
            <w:tcBorders>
              <w:top w:val="single" w:sz="12" w:space="0" w:color="FFFFFF" w:themeColor="background1"/>
              <w:left w:val="single" w:sz="12" w:space="0" w:color="9757A6" w:themeColor="text2"/>
              <w:bottom w:val="single" w:sz="12" w:space="0" w:color="FFFFFF" w:themeColor="background1"/>
              <w:right w:val="single" w:sz="12" w:space="0" w:color="9757A6" w:themeColor="accent1"/>
            </w:tcBorders>
            <w:shd w:val="clear" w:color="auto" w:fill="auto"/>
            <w:vAlign w:val="center"/>
          </w:tcPr>
          <w:p w14:paraId="530413AC" w14:textId="77777777" w:rsidR="00C953C7" w:rsidRPr="00393831" w:rsidRDefault="00C953C7" w:rsidP="0089015A">
            <w:pPr>
              <w:keepNext/>
              <w:spacing w:after="0" w:line="240" w:lineRule="auto"/>
              <w:ind w:left="-17" w:firstLine="32"/>
              <w:jc w:val="center"/>
              <w:rPr>
                <w:rFonts w:cstheme="majorHAnsi"/>
                <w:b/>
                <w:color w:val="FFFFFF" w:themeColor="background1"/>
              </w:rPr>
            </w:pPr>
          </w:p>
        </w:tc>
        <w:tc>
          <w:tcPr>
            <w:tcW w:w="1021" w:type="pct"/>
            <w:tcBorders>
              <w:top w:val="single" w:sz="12" w:space="0" w:color="9757A6" w:themeColor="accent1"/>
              <w:left w:val="single" w:sz="12" w:space="0" w:color="9757A6" w:themeColor="accent1"/>
              <w:bottom w:val="single" w:sz="12" w:space="0" w:color="9757A6" w:themeColor="accent1"/>
              <w:right w:val="single" w:sz="12" w:space="0" w:color="9757A6" w:themeColor="accent1"/>
            </w:tcBorders>
            <w:shd w:val="clear" w:color="auto" w:fill="9757A6" w:themeFill="accent1"/>
            <w:vAlign w:val="center"/>
          </w:tcPr>
          <w:p w14:paraId="5E7395A2" w14:textId="77777777" w:rsidR="00C953C7" w:rsidRPr="00393831" w:rsidRDefault="00C953C7" w:rsidP="00156827">
            <w:pPr>
              <w:spacing w:after="0" w:line="240" w:lineRule="auto"/>
              <w:ind w:left="61"/>
              <w:jc w:val="center"/>
              <w:rPr>
                <w:rFonts w:cstheme="majorHAnsi"/>
                <w:b/>
                <w:color w:val="FFFFFF" w:themeColor="background1"/>
                <w:lang w:eastAsia="en-AU"/>
              </w:rPr>
            </w:pPr>
            <w:r w:rsidRPr="00393831">
              <w:rPr>
                <w:rFonts w:cstheme="majorHAnsi"/>
                <w:b/>
                <w:color w:val="FFFFFF" w:themeColor="background1"/>
                <w:lang w:eastAsia="en-AU"/>
              </w:rPr>
              <w:t>IMPACTS</w:t>
            </w:r>
          </w:p>
        </w:tc>
      </w:tr>
      <w:tr w:rsidR="00C953C7" w:rsidRPr="00B03BA4" w14:paraId="73C8C6F1" w14:textId="77777777" w:rsidTr="002E5CC4">
        <w:trPr>
          <w:cantSplit/>
          <w:trHeight w:val="114"/>
        </w:trPr>
        <w:tc>
          <w:tcPr>
            <w:tcW w:w="834" w:type="pct"/>
            <w:tcBorders>
              <w:top w:val="single" w:sz="12" w:space="0" w:color="9757A6" w:themeColor="text2"/>
              <w:bottom w:val="single" w:sz="18" w:space="0" w:color="9757A6"/>
              <w:right w:val="single" w:sz="12" w:space="0" w:color="FFFFFF" w:themeColor="background1"/>
            </w:tcBorders>
          </w:tcPr>
          <w:p w14:paraId="25E81529" w14:textId="77777777" w:rsidR="00C953C7" w:rsidRPr="00B03BA4" w:rsidRDefault="00C953C7" w:rsidP="0089015A">
            <w:pPr>
              <w:keepNext/>
              <w:spacing w:after="0" w:line="240" w:lineRule="auto"/>
              <w:ind w:hanging="3402"/>
              <w:jc w:val="center"/>
              <w:rPr>
                <w:rFonts w:ascii="Calibri" w:hAnsi="Calibri"/>
              </w:rPr>
            </w:pPr>
          </w:p>
        </w:tc>
        <w:tc>
          <w:tcPr>
            <w:tcW w:w="16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3808EF3" w14:textId="77777777" w:rsidR="00C953C7" w:rsidRPr="00B03BA4" w:rsidRDefault="00C953C7" w:rsidP="0089015A">
            <w:pPr>
              <w:keepNext/>
              <w:spacing w:after="0" w:line="240" w:lineRule="auto"/>
              <w:jc w:val="center"/>
              <w:rPr>
                <w:rFonts w:ascii="Calibri" w:hAnsi="Calibri"/>
              </w:rPr>
            </w:pPr>
          </w:p>
        </w:tc>
        <w:tc>
          <w:tcPr>
            <w:tcW w:w="860" w:type="pct"/>
            <w:tcBorders>
              <w:top w:val="single" w:sz="12" w:space="0" w:color="9757A6" w:themeColor="accent1"/>
              <w:left w:val="single" w:sz="12" w:space="0" w:color="FFFFFF" w:themeColor="background1"/>
              <w:bottom w:val="single" w:sz="18" w:space="0" w:color="9757A6"/>
              <w:right w:val="single" w:sz="12" w:space="0" w:color="FFFFFF" w:themeColor="background1"/>
            </w:tcBorders>
          </w:tcPr>
          <w:p w14:paraId="05F8DDF1" w14:textId="77777777" w:rsidR="00C953C7" w:rsidRPr="00B03BA4" w:rsidRDefault="00C953C7" w:rsidP="0089015A">
            <w:pPr>
              <w:keepNext/>
              <w:spacing w:after="0" w:line="240" w:lineRule="auto"/>
              <w:ind w:left="-108"/>
              <w:jc w:val="center"/>
              <w:rPr>
                <w:rFonts w:ascii="Calibri" w:hAnsi="Calibri"/>
              </w:rPr>
            </w:pPr>
          </w:p>
        </w:tc>
        <w:tc>
          <w:tcPr>
            <w:tcW w:w="10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7671BFA" w14:textId="77777777" w:rsidR="00C953C7" w:rsidRPr="00B03BA4" w:rsidRDefault="00C953C7" w:rsidP="0089015A">
            <w:pPr>
              <w:keepNext/>
              <w:spacing w:after="0" w:line="240" w:lineRule="auto"/>
              <w:ind w:firstLine="34"/>
              <w:jc w:val="center"/>
              <w:rPr>
                <w:rFonts w:ascii="Calibri" w:hAnsi="Calibri"/>
              </w:rPr>
            </w:pPr>
          </w:p>
        </w:tc>
        <w:tc>
          <w:tcPr>
            <w:tcW w:w="927" w:type="pct"/>
            <w:tcBorders>
              <w:top w:val="single" w:sz="12" w:space="0" w:color="9757A6" w:themeColor="accent1"/>
              <w:left w:val="single" w:sz="12" w:space="0" w:color="FFFFFF" w:themeColor="background1"/>
              <w:bottom w:val="single" w:sz="18" w:space="0" w:color="9757A6"/>
              <w:right w:val="single" w:sz="12" w:space="0" w:color="FFFFFF" w:themeColor="background1"/>
            </w:tcBorders>
          </w:tcPr>
          <w:p w14:paraId="09A90CDB" w14:textId="77777777" w:rsidR="00C953C7" w:rsidRPr="00B03BA4" w:rsidRDefault="00C953C7" w:rsidP="0089015A">
            <w:pPr>
              <w:pStyle w:val="Tablelistbullet"/>
              <w:numPr>
                <w:ilvl w:val="0"/>
                <w:numId w:val="0"/>
              </w:numPr>
              <w:ind w:left="227"/>
              <w:rPr>
                <w:rFonts w:ascii="Calibri" w:hAnsi="Calibri" w:cs="Arial"/>
                <w:sz w:val="22"/>
              </w:rPr>
            </w:pPr>
          </w:p>
        </w:tc>
        <w:tc>
          <w:tcPr>
            <w:tcW w:w="12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55EE887" w14:textId="77777777" w:rsidR="00C953C7" w:rsidRPr="00B03BA4" w:rsidRDefault="00C953C7" w:rsidP="0089015A">
            <w:pPr>
              <w:keepNext/>
              <w:spacing w:after="0" w:line="240" w:lineRule="auto"/>
              <w:ind w:hanging="3402"/>
              <w:jc w:val="center"/>
              <w:rPr>
                <w:rFonts w:ascii="Calibri" w:hAnsi="Calibri"/>
              </w:rPr>
            </w:pPr>
          </w:p>
        </w:tc>
        <w:tc>
          <w:tcPr>
            <w:tcW w:w="833" w:type="pct"/>
            <w:tcBorders>
              <w:top w:val="single" w:sz="12" w:space="0" w:color="9757A6" w:themeColor="text2"/>
              <w:left w:val="single" w:sz="12" w:space="0" w:color="FFFFFF" w:themeColor="background1"/>
              <w:bottom w:val="single" w:sz="18" w:space="0" w:color="9757A6"/>
              <w:right w:val="single" w:sz="12" w:space="0" w:color="FFFFFF" w:themeColor="background1"/>
            </w:tcBorders>
          </w:tcPr>
          <w:p w14:paraId="150B5B03" w14:textId="77777777" w:rsidR="00C953C7" w:rsidRPr="00B03BA4" w:rsidRDefault="00C953C7" w:rsidP="0089015A">
            <w:pPr>
              <w:keepNext/>
              <w:spacing w:after="0" w:line="240" w:lineRule="auto"/>
              <w:jc w:val="center"/>
              <w:rPr>
                <w:rFonts w:ascii="Calibri" w:hAnsi="Calibri"/>
              </w:rPr>
            </w:pPr>
          </w:p>
        </w:tc>
        <w:tc>
          <w:tcPr>
            <w:tcW w:w="133"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FAF3F01" w14:textId="77777777" w:rsidR="00C953C7" w:rsidRPr="00B03BA4" w:rsidRDefault="00C953C7" w:rsidP="0089015A">
            <w:pPr>
              <w:keepNext/>
              <w:spacing w:after="0" w:line="240" w:lineRule="auto"/>
              <w:ind w:left="-17" w:firstLine="32"/>
              <w:jc w:val="center"/>
              <w:rPr>
                <w:rFonts w:ascii="Calibri" w:hAnsi="Calibri"/>
              </w:rPr>
            </w:pPr>
          </w:p>
        </w:tc>
        <w:tc>
          <w:tcPr>
            <w:tcW w:w="1021" w:type="pct"/>
            <w:tcBorders>
              <w:top w:val="single" w:sz="12" w:space="0" w:color="9757A6" w:themeColor="accent1"/>
              <w:left w:val="single" w:sz="12" w:space="0" w:color="FFFFFF" w:themeColor="background1"/>
              <w:bottom w:val="single" w:sz="18" w:space="0" w:color="9757A6"/>
              <w:right w:val="single" w:sz="12" w:space="0" w:color="FFFFFF" w:themeColor="background1"/>
            </w:tcBorders>
          </w:tcPr>
          <w:p w14:paraId="3110FD0E" w14:textId="77777777" w:rsidR="00C953C7" w:rsidRPr="00B03BA4" w:rsidRDefault="00C953C7" w:rsidP="0089015A">
            <w:pPr>
              <w:keepNext/>
              <w:spacing w:after="0" w:line="240" w:lineRule="auto"/>
              <w:ind w:left="96"/>
              <w:jc w:val="center"/>
              <w:rPr>
                <w:rFonts w:ascii="Calibri" w:hAnsi="Calibri"/>
              </w:rPr>
            </w:pPr>
          </w:p>
        </w:tc>
      </w:tr>
      <w:tr w:rsidR="00C953C7" w:rsidRPr="00B03BA4" w14:paraId="20D84107" w14:textId="77777777" w:rsidTr="002E5CC4">
        <w:trPr>
          <w:cantSplit/>
          <w:trHeight w:val="390"/>
        </w:trPr>
        <w:tc>
          <w:tcPr>
            <w:tcW w:w="834" w:type="pct"/>
            <w:tcBorders>
              <w:top w:val="single" w:sz="18" w:space="0" w:color="9757A6"/>
              <w:left w:val="single" w:sz="18" w:space="0" w:color="9757A6"/>
              <w:bottom w:val="single" w:sz="18" w:space="0" w:color="9757A6"/>
              <w:right w:val="single" w:sz="18" w:space="0" w:color="9757A6"/>
            </w:tcBorders>
            <w:shd w:val="clear" w:color="auto" w:fill="F1E6F2"/>
          </w:tcPr>
          <w:p w14:paraId="788508FA" w14:textId="77777777" w:rsidR="00C953C7" w:rsidRDefault="0075328F" w:rsidP="0075328F">
            <w:pPr>
              <w:pStyle w:val="Tablelistbullet"/>
            </w:pPr>
            <w:r>
              <w:t>$200,000 in cash and in-kind support from CSIRO and the Department of Infrastructure and Regional Development (</w:t>
            </w:r>
            <w:proofErr w:type="spellStart"/>
            <w:r>
              <w:t>TraNSIT</w:t>
            </w:r>
            <w:proofErr w:type="spellEnd"/>
            <w:r>
              <w:t>)</w:t>
            </w:r>
          </w:p>
          <w:p w14:paraId="39E7B017" w14:textId="77777777" w:rsidR="0075328F" w:rsidRDefault="0075328F" w:rsidP="00C0505B">
            <w:pPr>
              <w:pStyle w:val="Tablelistbullet"/>
            </w:pPr>
            <w:r>
              <w:t>$6.8 million (FGARA)</w:t>
            </w:r>
          </w:p>
          <w:p w14:paraId="22B661B9" w14:textId="085B2C8A" w:rsidR="00FD7277" w:rsidRPr="00B03BA4" w:rsidRDefault="00FD7277" w:rsidP="00C0505B">
            <w:pPr>
              <w:pStyle w:val="Tablelistbullet"/>
            </w:pPr>
            <w:r>
              <w:t>Background IP, models and skills held by CSIRO</w:t>
            </w:r>
          </w:p>
        </w:tc>
        <w:tc>
          <w:tcPr>
            <w:tcW w:w="165" w:type="pct"/>
            <w:tcBorders>
              <w:top w:val="single" w:sz="12" w:space="0" w:color="FFFFFF" w:themeColor="background1"/>
              <w:left w:val="single" w:sz="18" w:space="0" w:color="9757A6"/>
              <w:bottom w:val="nil"/>
              <w:right w:val="single" w:sz="18" w:space="0" w:color="9757A6"/>
            </w:tcBorders>
          </w:tcPr>
          <w:p w14:paraId="49CFB645" w14:textId="77777777" w:rsidR="00C953C7" w:rsidRPr="00B03BA4" w:rsidRDefault="00DF516B" w:rsidP="0089015A">
            <w:pPr>
              <w:pStyle w:val="BodyText"/>
            </w:pPr>
            <w:r>
              <w:rPr>
                <w:rFonts w:cstheme="majorHAnsi"/>
                <w:b/>
                <w:noProof/>
                <w:color w:val="FFFFFF" w:themeColor="background1"/>
                <w:lang w:eastAsia="en-AU"/>
              </w:rPr>
              <mc:AlternateContent>
                <mc:Choice Requires="wpg">
                  <w:drawing>
                    <wp:anchor distT="0" distB="0" distL="114300" distR="114300" simplePos="0" relativeHeight="251667456" behindDoc="0" locked="0" layoutInCell="1" allowOverlap="1" wp14:anchorId="7700BBC0" wp14:editId="722FB027">
                      <wp:simplePos x="0" y="0"/>
                      <wp:positionH relativeFrom="column">
                        <wp:posOffset>41547</wp:posOffset>
                      </wp:positionH>
                      <wp:positionV relativeFrom="paragraph">
                        <wp:posOffset>1584960</wp:posOffset>
                      </wp:positionV>
                      <wp:extent cx="4342765" cy="279400"/>
                      <wp:effectExtent l="76200" t="57150" r="95885" b="101600"/>
                      <wp:wrapNone/>
                      <wp:docPr id="5" name="Group 5"/>
                      <wp:cNvGraphicFramePr/>
                      <a:graphic xmlns:a="http://schemas.openxmlformats.org/drawingml/2006/main">
                        <a:graphicData uri="http://schemas.microsoft.com/office/word/2010/wordprocessingGroup">
                          <wpg:wgp>
                            <wpg:cNvGrpSpPr/>
                            <wpg:grpSpPr>
                              <a:xfrm>
                                <a:off x="0" y="0"/>
                                <a:ext cx="4342765" cy="279400"/>
                                <a:chOff x="-128992" y="117474"/>
                                <a:chExt cx="4345064" cy="280821"/>
                              </a:xfrm>
                            </wpg:grpSpPr>
                            <wps:wsp>
                              <wps:cNvPr id="6" name="Chevron 6"/>
                              <wps:cNvSpPr/>
                              <wps:spPr>
                                <a:xfrm>
                                  <a:off x="-128992" y="117474"/>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hevron 7"/>
                              <wps:cNvSpPr/>
                              <wps:spPr>
                                <a:xfrm>
                                  <a:off x="1268160" y="135104"/>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hevron 8"/>
                              <wps:cNvSpPr/>
                              <wps:spPr>
                                <a:xfrm>
                                  <a:off x="2700152" y="134979"/>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Chevron 9"/>
                              <wps:cNvSpPr/>
                              <wps:spPr>
                                <a:xfrm>
                                  <a:off x="4078277" y="141120"/>
                                  <a:ext cx="137795" cy="257175"/>
                                </a:xfrm>
                                <a:prstGeom prst="chevron">
                                  <a:avLst/>
                                </a:prstGeom>
                                <a:solidFill>
                                  <a:srgbClr val="FFAE3B"/>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5753F2" id="Group 5" o:spid="_x0000_s1026" style="position:absolute;margin-left:3.25pt;margin-top:124.8pt;width:341.95pt;height:22pt;z-index:251667456;mso-width-relative:margin;mso-height-relative:margin" coordorigin="-1289,1174" coordsize="43450,2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6" o:spid="_x0000_s1027" type="#_x0000_t55" style="position:absolute;left:-1289;top:1174;width:1377;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0AiMMA&#10;AADaAAAADwAAAGRycy9kb3ducmV2LnhtbESPT2vCQBTE7wW/w/IK3uqmPYSYuooIYsGLxh56fM0+&#10;k2D2bdhd8+fbu4WCx2FmfsOsNqNpRU/ON5YVvC8SEMSl1Q1XCr4v+7cMhA/IGlvLpGAiD5v17GWF&#10;ubYDn6kvQiUihH2OCuoQulxKX9Zk0C9sRxy9q3UGQ5SuktrhEOGmlR9JkkqDDceFGjva1VTeirtR&#10;sDsdkun3R7rL2R4zv+/D/VYslZq/jttPEIHG8Az/t7+0ghT+rsQb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0AiMMAAADaAAAADwAAAAAAAAAAAAAAAACYAgAAZHJzL2Rv&#10;d25yZXYueG1sUEsFBgAAAAAEAAQA9QAAAIgDAAAAAA==&#10;" adj="10800" fillcolor="#ffae3b" stroked="f" strokeweight="2pt">
                        <v:shadow on="t" color="black" opacity="20971f" offset="0,2.2pt"/>
                      </v:shape>
                      <v:shape id="Chevron 7" o:spid="_x0000_s1028" type="#_x0000_t55" style="position:absolute;left:12681;top:1351;width:1378;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GlE8MA&#10;AADaAAAADwAAAGRycy9kb3ducmV2LnhtbESPT2vCQBTE7wW/w/KE3uqmHmwaXaUIotCLiT30+Jp9&#10;JsHs27C75s+3dwuFHoeZ+Q2z2Y2mFT0531hW8LpIQBCXVjdcKfi6HF5SED4ga2wtk4KJPOy2s6cN&#10;ZtoOnFNfhEpECPsMFdQhdJmUvqzJoF/Yjjh6V+sMhihdJbXDIcJNK5dJspIGG44LNXa0r6m8FXej&#10;YH8+JtPPt3SX3H6m/tCH+614V+p5Pn6sQQQaw3/4r33SCt7g90q8AX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GlE8MAAADaAAAADwAAAAAAAAAAAAAAAACYAgAAZHJzL2Rv&#10;d25yZXYueG1sUEsFBgAAAAAEAAQA9QAAAIgDAAAAAA==&#10;" adj="10800" fillcolor="#ffae3b" stroked="f" strokeweight="2pt">
                        <v:shadow on="t" color="black" opacity="20971f" offset="0,2.2pt"/>
                      </v:shape>
                      <v:shape id="Chevron 8" o:spid="_x0000_s1029" type="#_x0000_t55" style="position:absolute;left:27001;top:1349;width:1378;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4xYb8A&#10;AADaAAAADwAAAGRycy9kb3ducmV2LnhtbERPTYvCMBC9L/gfwizsbZuuB9FqLIsgCl60evA4NrNt&#10;aTMpSaz1328OgsfH+17lo+nEQM43lhX8JCkI4tLqhisFl/P2ew7CB2SNnWVS8CQP+XryscJM2wef&#10;aChCJWII+wwV1CH0mZS+rMmgT2xPHLk/6wyGCF0ltcNHDDednKbpTBpsODbU2NOmprIt7kbB5rhL&#10;n7erdOeTPcz9dgj3tlgo9fU5/i5BBBrDW/xy77WCuDVeiTd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HjFhvwAAANoAAAAPAAAAAAAAAAAAAAAAAJgCAABkcnMvZG93bnJl&#10;di54bWxQSwUGAAAAAAQABAD1AAAAhAMAAAAA&#10;" adj="10800" fillcolor="#ffae3b" stroked="f" strokeweight="2pt">
                        <v:shadow on="t" color="black" opacity="20971f" offset="0,2.2pt"/>
                      </v:shape>
                      <v:shape id="Chevron 9" o:spid="_x0000_s1030" type="#_x0000_t55" style="position:absolute;left:40782;top:1411;width:1378;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U+sMA&#10;AADaAAAADwAAAGRycy9kb3ducmV2LnhtbESPT2vCQBTE74LfYXmF3nTTHiSmriKCWPBiYg89vmaf&#10;STD7Nuyu+fPtu0Khx2FmfsNsdqNpRU/ON5YVvC0TEMSl1Q1XCr6ux0UKwgdkja1lUjCRh912Pttg&#10;pu3AOfVFqESEsM9QQR1Cl0npy5oM+qXtiKN3s85giNJVUjscIty08j1JVtJgw3Ghxo4ONZX34mEU&#10;HC6nZPr5lu6a23Pqj3143Iu1Uq8v4/4DRKAx/If/2p9awRqeV+IN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KU+sMAAADaAAAADwAAAAAAAAAAAAAAAACYAgAAZHJzL2Rv&#10;d25yZXYueG1sUEsFBgAAAAAEAAQA9QAAAIgDAAAAAA==&#10;" adj="10800" fillcolor="#ffae3b" stroked="f" strokeweight="2pt">
                        <v:shadow on="t" color="black" opacity="20971f" offset="0,2.2pt"/>
                      </v:shape>
                    </v:group>
                  </w:pict>
                </mc:Fallback>
              </mc:AlternateContent>
            </w:r>
          </w:p>
        </w:tc>
        <w:tc>
          <w:tcPr>
            <w:tcW w:w="860" w:type="pct"/>
            <w:tcBorders>
              <w:top w:val="single" w:sz="18" w:space="0" w:color="9757A6"/>
              <w:left w:val="single" w:sz="18" w:space="0" w:color="9757A6"/>
              <w:bottom w:val="single" w:sz="18" w:space="0" w:color="9757A6"/>
              <w:right w:val="single" w:sz="18" w:space="0" w:color="9757A6"/>
            </w:tcBorders>
            <w:shd w:val="clear" w:color="auto" w:fill="F1E6F2"/>
          </w:tcPr>
          <w:p w14:paraId="40905A85" w14:textId="77777777" w:rsidR="00C953C7" w:rsidRDefault="006644D7" w:rsidP="0089015A">
            <w:pPr>
              <w:pStyle w:val="Tablelistbullet"/>
            </w:pPr>
            <w:proofErr w:type="spellStart"/>
            <w:r>
              <w:t>TraNSIT</w:t>
            </w:r>
            <w:proofErr w:type="spellEnd"/>
            <w:r>
              <w:t xml:space="preserve"> model tool built to simulate cattle transport across NT</w:t>
            </w:r>
          </w:p>
          <w:p w14:paraId="7CED77E7" w14:textId="77777777" w:rsidR="006644D7" w:rsidRDefault="006644D7" w:rsidP="006644D7">
            <w:pPr>
              <w:pStyle w:val="Tablelistbullet"/>
            </w:pPr>
            <w:r>
              <w:t xml:space="preserve">CSIRO developed an </w:t>
            </w:r>
            <w:r w:rsidRPr="006644D7">
              <w:t>innovative approach for assessing the suitability of land for different agricultural uses</w:t>
            </w:r>
          </w:p>
          <w:p w14:paraId="2CC856DE" w14:textId="37E7B25C" w:rsidR="00FD7277" w:rsidRDefault="00FD7277" w:rsidP="006644D7">
            <w:pPr>
              <w:pStyle w:val="Tablelistbullet"/>
            </w:pPr>
            <w:r>
              <w:t xml:space="preserve">Multi-discipline </w:t>
            </w:r>
            <w:r w:rsidR="00B570B0">
              <w:t xml:space="preserve">research </w:t>
            </w:r>
            <w:r>
              <w:t>to assess ag</w:t>
            </w:r>
            <w:r w:rsidR="00B570B0">
              <w:t>riculture</w:t>
            </w:r>
            <w:r>
              <w:t xml:space="preserve"> and water resource opportunities and the risks that attend these.</w:t>
            </w:r>
          </w:p>
          <w:p w14:paraId="3D1DE615" w14:textId="77777777" w:rsidR="006644D7" w:rsidRPr="00B03BA4" w:rsidRDefault="006644D7" w:rsidP="006644D7">
            <w:pPr>
              <w:pStyle w:val="Tablelistbullet"/>
            </w:pPr>
            <w:r w:rsidRPr="006644D7">
              <w:t xml:space="preserve">FGARA </w:t>
            </w:r>
            <w:r>
              <w:t>included</w:t>
            </w:r>
            <w:r w:rsidRPr="006644D7">
              <w:t xml:space="preserve"> the first operational application of the </w:t>
            </w:r>
            <w:r>
              <w:t xml:space="preserve">CSIRO’s </w:t>
            </w:r>
            <w:r w:rsidRPr="006644D7">
              <w:t>‘</w:t>
            </w:r>
            <w:proofErr w:type="spellStart"/>
            <w:r w:rsidRPr="006644D7">
              <w:t>DamSite</w:t>
            </w:r>
            <w:proofErr w:type="spellEnd"/>
            <w:r w:rsidRPr="006644D7">
              <w:t>’ model</w:t>
            </w:r>
          </w:p>
        </w:tc>
        <w:tc>
          <w:tcPr>
            <w:tcW w:w="102" w:type="pct"/>
            <w:tcBorders>
              <w:top w:val="single" w:sz="12" w:space="0" w:color="FFFFFF" w:themeColor="background1"/>
              <w:left w:val="single" w:sz="18" w:space="0" w:color="9757A6"/>
              <w:bottom w:val="nil"/>
              <w:right w:val="single" w:sz="18" w:space="0" w:color="9757A6"/>
            </w:tcBorders>
          </w:tcPr>
          <w:p w14:paraId="3F109590" w14:textId="77777777" w:rsidR="00C953C7" w:rsidRPr="00B03BA4" w:rsidRDefault="00C953C7" w:rsidP="0089015A">
            <w:pPr>
              <w:pStyle w:val="Tabletext"/>
            </w:pPr>
          </w:p>
        </w:tc>
        <w:tc>
          <w:tcPr>
            <w:tcW w:w="927" w:type="pct"/>
            <w:tcBorders>
              <w:top w:val="single" w:sz="18" w:space="0" w:color="9757A6"/>
              <w:left w:val="single" w:sz="18" w:space="0" w:color="9757A6"/>
              <w:bottom w:val="single" w:sz="18" w:space="0" w:color="9757A6"/>
              <w:right w:val="single" w:sz="18" w:space="0" w:color="9757A6"/>
            </w:tcBorders>
            <w:shd w:val="clear" w:color="auto" w:fill="F1E6F2"/>
          </w:tcPr>
          <w:p w14:paraId="7A46784C" w14:textId="77777777" w:rsidR="006644D7" w:rsidRDefault="006644D7" w:rsidP="006644D7">
            <w:pPr>
              <w:pStyle w:val="Tablelistbullet"/>
            </w:pPr>
            <w:proofErr w:type="spellStart"/>
            <w:r>
              <w:t>TraNSIT</w:t>
            </w:r>
            <w:proofErr w:type="spellEnd"/>
            <w:r>
              <w:t xml:space="preserve"> tool now includes </w:t>
            </w:r>
            <w:r w:rsidRPr="006644D7">
              <w:t>every road, rail track and vehicle used for goods transport in Australia</w:t>
            </w:r>
          </w:p>
          <w:p w14:paraId="7C81E448" w14:textId="77777777" w:rsidR="00C953C7" w:rsidRDefault="006644D7" w:rsidP="006644D7">
            <w:pPr>
              <w:pStyle w:val="Tablelistbullet"/>
            </w:pPr>
            <w:proofErr w:type="spellStart"/>
            <w:r w:rsidRPr="006644D7">
              <w:t>TraNSIT</w:t>
            </w:r>
            <w:proofErr w:type="spellEnd"/>
            <w:r w:rsidRPr="006644D7">
              <w:t xml:space="preserve"> to inform the </w:t>
            </w:r>
            <w:r>
              <w:t xml:space="preserve">decisions for the </w:t>
            </w:r>
            <w:r w:rsidRPr="006644D7">
              <w:t>$100 million Northern Australia Beef Roads Program</w:t>
            </w:r>
          </w:p>
          <w:p w14:paraId="0AE4FE34" w14:textId="77777777" w:rsidR="00C953C7" w:rsidRDefault="006644D7" w:rsidP="006644D7">
            <w:pPr>
              <w:pStyle w:val="Tablelistbullet"/>
            </w:pPr>
            <w:r>
              <w:t xml:space="preserve">FGARA included </w:t>
            </w:r>
            <w:r w:rsidRPr="006644D7">
              <w:t>the creation of high-resolution digital elevation models for dam sites</w:t>
            </w:r>
          </w:p>
          <w:p w14:paraId="1E1F94EC" w14:textId="7079466F" w:rsidR="00FD7277" w:rsidRPr="00B03BA4" w:rsidRDefault="00FD7277" w:rsidP="003A2660">
            <w:pPr>
              <w:pStyle w:val="Tablelistbullet"/>
            </w:pPr>
            <w:r>
              <w:t>Reports, maps and data showing the scale of opportunity for ag</w:t>
            </w:r>
            <w:r w:rsidR="00B570B0">
              <w:t>riculture</w:t>
            </w:r>
            <w:r>
              <w:t xml:space="preserve"> &amp; water resource development in the </w:t>
            </w:r>
            <w:r w:rsidR="003A2660">
              <w:t xml:space="preserve">Flinders </w:t>
            </w:r>
            <w:r w:rsidR="00B570B0">
              <w:t xml:space="preserve">and Gilbert </w:t>
            </w:r>
            <w:r>
              <w:t>catchments,</w:t>
            </w:r>
          </w:p>
        </w:tc>
        <w:tc>
          <w:tcPr>
            <w:tcW w:w="125" w:type="pct"/>
            <w:tcBorders>
              <w:top w:val="single" w:sz="12" w:space="0" w:color="FFFFFF" w:themeColor="background1"/>
              <w:left w:val="single" w:sz="18" w:space="0" w:color="9757A6"/>
              <w:bottom w:val="nil"/>
              <w:right w:val="single" w:sz="18" w:space="0" w:color="9757A6"/>
            </w:tcBorders>
          </w:tcPr>
          <w:p w14:paraId="3CA0D177" w14:textId="77777777" w:rsidR="00C953C7" w:rsidRPr="00B03BA4" w:rsidRDefault="00C953C7" w:rsidP="0089015A">
            <w:pPr>
              <w:pStyle w:val="Tabletext"/>
            </w:pPr>
          </w:p>
        </w:tc>
        <w:tc>
          <w:tcPr>
            <w:tcW w:w="833" w:type="pct"/>
            <w:tcBorders>
              <w:top w:val="single" w:sz="18" w:space="0" w:color="9757A6"/>
              <w:left w:val="single" w:sz="18" w:space="0" w:color="9757A6"/>
              <w:bottom w:val="single" w:sz="18" w:space="0" w:color="9757A6"/>
              <w:right w:val="single" w:sz="18" w:space="0" w:color="9757A6"/>
            </w:tcBorders>
            <w:shd w:val="clear" w:color="auto" w:fill="F1E6F2"/>
          </w:tcPr>
          <w:p w14:paraId="25ABA479" w14:textId="3546EE63" w:rsidR="003F3037" w:rsidRPr="00B570B0" w:rsidRDefault="00B570B0" w:rsidP="00B570B0">
            <w:pPr>
              <w:pStyle w:val="Tablelistbullet"/>
            </w:pPr>
            <w:proofErr w:type="spellStart"/>
            <w:r>
              <w:t>TraNSIT</w:t>
            </w:r>
            <w:proofErr w:type="spellEnd"/>
            <w:r w:rsidRPr="00B570B0">
              <w:t xml:space="preserve"> used by both industry and government across Australia to holistically evaluate the relative merits of proposed investments in new infrastructure and or potential policy changes</w:t>
            </w:r>
          </w:p>
          <w:p w14:paraId="009090C2" w14:textId="77777777" w:rsidR="00C953C7" w:rsidRDefault="006644D7" w:rsidP="006644D7">
            <w:pPr>
              <w:pStyle w:val="Tablelistbullet"/>
            </w:pPr>
            <w:r w:rsidRPr="006644D7">
              <w:t>FGARA analyse</w:t>
            </w:r>
            <w:r>
              <w:t>d</w:t>
            </w:r>
            <w:r w:rsidRPr="006644D7">
              <w:t xml:space="preserve"> the commercial viability of water development and infrastructure choices, with reference to current and future water supply and supply reliability</w:t>
            </w:r>
          </w:p>
          <w:p w14:paraId="450E23BD" w14:textId="3571CD7D" w:rsidR="006644D7" w:rsidRPr="00B03BA4" w:rsidRDefault="006644D7" w:rsidP="003749AD">
            <w:pPr>
              <w:pStyle w:val="Tablelistbullet"/>
            </w:pPr>
            <w:r>
              <w:t>The FGARA methodology has been applied to:</w:t>
            </w:r>
            <w:r w:rsidR="003749AD">
              <w:t xml:space="preserve"> a</w:t>
            </w:r>
            <w:r>
              <w:t xml:space="preserve"> revision of the Gulf Water Resource Plan</w:t>
            </w:r>
            <w:r w:rsidR="003749AD">
              <w:t>; i</w:t>
            </w:r>
            <w:r>
              <w:t>nforming the Northern Australia White Paper</w:t>
            </w:r>
            <w:r w:rsidR="003749AD">
              <w:t xml:space="preserve">; </w:t>
            </w:r>
            <w:r w:rsidR="003F3037">
              <w:t>the Ag</w:t>
            </w:r>
            <w:r w:rsidR="00B570B0">
              <w:t>riculture</w:t>
            </w:r>
            <w:r w:rsidR="003F3037">
              <w:t xml:space="preserve"> Competitiveness White Paper; </w:t>
            </w:r>
            <w:r w:rsidR="003749AD">
              <w:t>t</w:t>
            </w:r>
            <w:r>
              <w:t>he Australian Water Resources Assessment forecast</w:t>
            </w:r>
            <w:r w:rsidR="003749AD">
              <w:t>; and a</w:t>
            </w:r>
            <w:r>
              <w:t>dditional work on catchments in the NT, Queensland and WA</w:t>
            </w:r>
          </w:p>
        </w:tc>
        <w:tc>
          <w:tcPr>
            <w:tcW w:w="133" w:type="pct"/>
            <w:tcBorders>
              <w:top w:val="single" w:sz="12" w:space="0" w:color="FFFFFF" w:themeColor="background1"/>
              <w:left w:val="single" w:sz="18" w:space="0" w:color="9757A6"/>
              <w:bottom w:val="nil"/>
              <w:right w:val="single" w:sz="18" w:space="0" w:color="9757A6"/>
            </w:tcBorders>
          </w:tcPr>
          <w:p w14:paraId="4A7DEB84" w14:textId="77777777" w:rsidR="00C953C7" w:rsidRPr="00B03BA4" w:rsidRDefault="00C953C7" w:rsidP="0089015A">
            <w:pPr>
              <w:pStyle w:val="Tabletext"/>
            </w:pPr>
          </w:p>
        </w:tc>
        <w:tc>
          <w:tcPr>
            <w:tcW w:w="1021" w:type="pct"/>
            <w:tcBorders>
              <w:top w:val="single" w:sz="18" w:space="0" w:color="9757A6"/>
              <w:left w:val="single" w:sz="18" w:space="0" w:color="9757A6"/>
              <w:bottom w:val="single" w:sz="18" w:space="0" w:color="9757A6"/>
              <w:right w:val="single" w:sz="18" w:space="0" w:color="9757A6"/>
            </w:tcBorders>
            <w:shd w:val="clear" w:color="auto" w:fill="F1E6F2"/>
          </w:tcPr>
          <w:p w14:paraId="5BC114CC" w14:textId="1F79EBF6" w:rsidR="00C953C7" w:rsidRDefault="006644D7" w:rsidP="006644D7">
            <w:pPr>
              <w:pStyle w:val="Tablelistbullet"/>
            </w:pPr>
            <w:r w:rsidRPr="006644D7">
              <w:t xml:space="preserve">CSIRO estimate that </w:t>
            </w:r>
            <w:proofErr w:type="spellStart"/>
            <w:r>
              <w:t>TraNSIT</w:t>
            </w:r>
            <w:proofErr w:type="spellEnd"/>
            <w:r w:rsidRPr="006644D7">
              <w:t xml:space="preserve"> </w:t>
            </w:r>
            <w:r w:rsidR="00B055DC">
              <w:t xml:space="preserve">will </w:t>
            </w:r>
            <w:r w:rsidRPr="006644D7">
              <w:t>increase the annual benefits of the projects supported by the Northern Australia Beef Roads Program by $</w:t>
            </w:r>
            <w:r w:rsidR="00B055DC">
              <w:t>1 million</w:t>
            </w:r>
            <w:r w:rsidRPr="006644D7">
              <w:t xml:space="preserve"> a year</w:t>
            </w:r>
            <w:r w:rsidR="00B055DC">
              <w:t xml:space="preserve"> in 2017/18</w:t>
            </w:r>
          </w:p>
          <w:p w14:paraId="1947BAE4" w14:textId="77777777" w:rsidR="00C953C7" w:rsidRDefault="006644D7" w:rsidP="003749AD">
            <w:pPr>
              <w:pStyle w:val="Tablelistbullet"/>
            </w:pPr>
            <w:r>
              <w:t xml:space="preserve">CSIRO is currently receiving $250,000 a year in licence fees from Australian users of </w:t>
            </w:r>
            <w:proofErr w:type="spellStart"/>
            <w:r>
              <w:t>TraNSIT</w:t>
            </w:r>
            <w:proofErr w:type="spellEnd"/>
            <w:r>
              <w:t xml:space="preserve"> and $300,000 from overseas users.</w:t>
            </w:r>
          </w:p>
          <w:p w14:paraId="6FD97C11" w14:textId="77777777" w:rsidR="003749AD" w:rsidRDefault="003749AD" w:rsidP="003749AD">
            <w:pPr>
              <w:pStyle w:val="Tablelistbullet"/>
            </w:pPr>
            <w:proofErr w:type="spellStart"/>
            <w:r w:rsidRPr="003749AD">
              <w:t>TraNSIT</w:t>
            </w:r>
            <w:proofErr w:type="spellEnd"/>
            <w:r w:rsidRPr="003749AD">
              <w:t xml:space="preserve"> is being used to assess the different inland rail options </w:t>
            </w:r>
          </w:p>
          <w:p w14:paraId="2E048E33" w14:textId="434A2DFA" w:rsidR="003749AD" w:rsidRDefault="00F808D1" w:rsidP="00F808D1">
            <w:pPr>
              <w:pStyle w:val="Tablelistbullet"/>
            </w:pPr>
            <w:r>
              <w:t xml:space="preserve">The revision of the Gulf Water Resources Plan led to new licences for access to water in the Flinders catchment being issued. The Queensland Government received </w:t>
            </w:r>
            <w:r w:rsidR="00B570B0">
              <w:t>around</w:t>
            </w:r>
            <w:r>
              <w:t xml:space="preserve"> $</w:t>
            </w:r>
            <w:r w:rsidR="00B570B0">
              <w:t>10</w:t>
            </w:r>
            <w:r>
              <w:t xml:space="preserve"> million in license fees</w:t>
            </w:r>
            <w:r w:rsidR="00B570B0">
              <w:t xml:space="preserve"> (</w:t>
            </w:r>
            <w:r w:rsidR="00FD7277">
              <w:t xml:space="preserve">a </w:t>
            </w:r>
            <w:r w:rsidR="00B570B0">
              <w:t>similar amount</w:t>
            </w:r>
            <w:r w:rsidR="00FD7277">
              <w:t xml:space="preserve"> </w:t>
            </w:r>
            <w:r w:rsidR="00B570B0">
              <w:t xml:space="preserve">is expected to be raised </w:t>
            </w:r>
            <w:r w:rsidR="00FD7277">
              <w:t xml:space="preserve">under </w:t>
            </w:r>
            <w:r w:rsidR="003A2660">
              <w:t xml:space="preserve">a </w:t>
            </w:r>
            <w:r w:rsidR="00FD7277">
              <w:t>current render process</w:t>
            </w:r>
            <w:r w:rsidR="003A2660">
              <w:t>)</w:t>
            </w:r>
            <w:r>
              <w:t>.</w:t>
            </w:r>
          </w:p>
          <w:p w14:paraId="6A1C1857" w14:textId="77777777" w:rsidR="003F3037" w:rsidRDefault="003F3037" w:rsidP="00F808D1">
            <w:pPr>
              <w:pStyle w:val="Tablelistbullet"/>
            </w:pPr>
            <w:r>
              <w:t>A number of graziers and developers have prepared plans for water resource development in the Flinders and Gilbert catchments</w:t>
            </w:r>
          </w:p>
          <w:p w14:paraId="05797DB5" w14:textId="736419CF" w:rsidR="00F63C3F" w:rsidRPr="00B03BA4" w:rsidRDefault="00F63C3F" w:rsidP="00DC75B2">
            <w:pPr>
              <w:pStyle w:val="Tablelistbullet"/>
            </w:pPr>
            <w:r>
              <w:t>State/NT and Australian Government northern development</w:t>
            </w:r>
            <w:r w:rsidR="00DC75B2">
              <w:t xml:space="preserve"> activities have used FGARA as part of the development agenda.</w:t>
            </w:r>
          </w:p>
        </w:tc>
      </w:tr>
    </w:tbl>
    <w:p w14:paraId="23436CD5" w14:textId="77777777" w:rsidR="00C953C7" w:rsidRDefault="00C953C7" w:rsidP="00C953C7">
      <w:pPr>
        <w:pStyle w:val="BodyText"/>
        <w:spacing w:before="0" w:after="0" w:line="240" w:lineRule="auto"/>
        <w:ind w:left="-2410"/>
      </w:pPr>
    </w:p>
    <w:tbl>
      <w:tblPr>
        <w:tblStyle w:val="TableGrid"/>
        <w:tblW w:w="110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1036"/>
      </w:tblGrid>
      <w:tr w:rsidR="00C953C7" w:rsidRPr="00AA4DEE" w14:paraId="25298DBB" w14:textId="77777777" w:rsidTr="00C953C7">
        <w:trPr>
          <w:cantSplit/>
        </w:trPr>
        <w:tc>
          <w:tcPr>
            <w:tcW w:w="11036" w:type="dxa"/>
            <w:tcBorders>
              <w:top w:val="single" w:sz="4" w:space="0" w:color="auto"/>
              <w:bottom w:val="single" w:sz="4" w:space="0" w:color="auto"/>
            </w:tcBorders>
            <w:shd w:val="clear" w:color="auto" w:fill="auto"/>
            <w:tcMar>
              <w:top w:w="12" w:type="dxa"/>
              <w:left w:w="0" w:type="dxa"/>
              <w:bottom w:w="113" w:type="dxa"/>
            </w:tcMar>
          </w:tcPr>
          <w:p w14:paraId="6CB2DF33" w14:textId="77777777" w:rsidR="00C953C7" w:rsidRPr="00AA4DEE" w:rsidRDefault="00C953C7" w:rsidP="00C953C7">
            <w:pPr>
              <w:pStyle w:val="Source"/>
              <w:ind w:left="1858" w:hanging="1858"/>
            </w:pPr>
            <w:r w:rsidRPr="00AA4DEE">
              <w:t xml:space="preserve">Source: </w:t>
            </w:r>
            <w:r>
              <w:t>ACIL ALLEN</w:t>
            </w:r>
          </w:p>
        </w:tc>
      </w:tr>
      <w:tr w:rsidR="00C953C7" w14:paraId="1671C5A4" w14:textId="77777777" w:rsidTr="00C953C7">
        <w:trPr>
          <w:trHeight w:hRule="exact" w:val="160"/>
        </w:trPr>
        <w:tc>
          <w:tcPr>
            <w:tcW w:w="11036" w:type="dxa"/>
            <w:tcBorders>
              <w:top w:val="single" w:sz="4" w:space="0" w:color="auto"/>
            </w:tcBorders>
            <w:shd w:val="clear" w:color="auto" w:fill="auto"/>
          </w:tcPr>
          <w:p w14:paraId="462F0F7B" w14:textId="77777777" w:rsidR="00C953C7" w:rsidRDefault="00C953C7" w:rsidP="0089015A">
            <w:pPr>
              <w:pStyle w:val="spacertbl"/>
            </w:pPr>
          </w:p>
        </w:tc>
      </w:tr>
    </w:tbl>
    <w:p w14:paraId="25B7E3E5" w14:textId="77777777" w:rsidR="00C953C7" w:rsidRPr="00B03BA4" w:rsidRDefault="00C953C7" w:rsidP="00C953C7">
      <w:pPr>
        <w:pStyle w:val="Heading2"/>
      </w:pPr>
      <w:r w:rsidRPr="00B03BA4">
        <w:lastRenderedPageBreak/>
        <w:t>Purpose and audience for case study</w:t>
      </w:r>
    </w:p>
    <w:p w14:paraId="1AAE8E54" w14:textId="0C3A275B" w:rsidR="00C953C7" w:rsidRDefault="00C953C7" w:rsidP="00C953C7">
      <w:pPr>
        <w:pStyle w:val="BodyText"/>
        <w:rPr>
          <w:lang w:eastAsia="zh-CN"/>
        </w:rPr>
      </w:pPr>
      <w:r w:rsidRPr="00D657DE">
        <w:rPr>
          <w:lang w:eastAsia="zh-CN"/>
        </w:rPr>
        <w:t xml:space="preserve">This case study describes the economic, environmental and social benefits arising from </w:t>
      </w:r>
      <w:r w:rsidR="003F3037">
        <w:rPr>
          <w:lang w:eastAsia="zh-CN"/>
        </w:rPr>
        <w:t xml:space="preserve">two of </w:t>
      </w:r>
      <w:r>
        <w:rPr>
          <w:lang w:eastAsia="zh-CN"/>
        </w:rPr>
        <w:t xml:space="preserve">the </w:t>
      </w:r>
      <w:r w:rsidR="00356E90">
        <w:rPr>
          <w:lang w:eastAsia="zh-CN"/>
        </w:rPr>
        <w:t xml:space="preserve">CSIRO’s research projects designed to support the development of </w:t>
      </w:r>
      <w:r w:rsidR="00C0505B">
        <w:rPr>
          <w:lang w:eastAsia="zh-CN"/>
        </w:rPr>
        <w:t>n</w:t>
      </w:r>
      <w:r w:rsidR="00801DBB">
        <w:rPr>
          <w:lang w:eastAsia="zh-CN"/>
        </w:rPr>
        <w:t>orthern Australia</w:t>
      </w:r>
      <w:r>
        <w:rPr>
          <w:lang w:eastAsia="zh-CN"/>
        </w:rPr>
        <w:t>.</w:t>
      </w:r>
    </w:p>
    <w:p w14:paraId="3596E097" w14:textId="47D18FE7" w:rsidR="00356E90" w:rsidRDefault="00C953C7" w:rsidP="00C953C7">
      <w:pPr>
        <w:pStyle w:val="BodyText"/>
        <w:rPr>
          <w:lang w:eastAsia="zh-CN"/>
        </w:rPr>
      </w:pPr>
      <w:r>
        <w:rPr>
          <w:lang w:eastAsia="zh-CN"/>
        </w:rPr>
        <w:t xml:space="preserve">This evaluation </w:t>
      </w:r>
      <w:r w:rsidR="00C0505B">
        <w:rPr>
          <w:lang w:eastAsia="zh-CN"/>
        </w:rPr>
        <w:t>has been</w:t>
      </w:r>
      <w:r>
        <w:rPr>
          <w:lang w:eastAsia="zh-CN"/>
        </w:rPr>
        <w:t xml:space="preserve"> undertaken to </w:t>
      </w:r>
      <w:r w:rsidR="00356E90">
        <w:rPr>
          <w:lang w:eastAsia="zh-CN"/>
        </w:rPr>
        <w:t>assess (and demonstrate</w:t>
      </w:r>
      <w:r>
        <w:rPr>
          <w:lang w:eastAsia="zh-CN"/>
        </w:rPr>
        <w:t xml:space="preserve"> to a range of stakeholders) the positive impacts arising from </w:t>
      </w:r>
      <w:r w:rsidR="00D000DD">
        <w:rPr>
          <w:lang w:eastAsia="zh-CN"/>
        </w:rPr>
        <w:t>a small sub-set of the</w:t>
      </w:r>
      <w:r>
        <w:rPr>
          <w:lang w:eastAsia="zh-CN"/>
        </w:rPr>
        <w:t xml:space="preserve"> </w:t>
      </w:r>
      <w:r w:rsidR="00356E90">
        <w:rPr>
          <w:lang w:eastAsia="zh-CN"/>
        </w:rPr>
        <w:t xml:space="preserve">work that CSIRO has undertaken in relation to </w:t>
      </w:r>
      <w:r w:rsidR="00C0505B">
        <w:rPr>
          <w:lang w:eastAsia="zh-CN"/>
        </w:rPr>
        <w:t>n</w:t>
      </w:r>
      <w:r w:rsidR="00801DBB">
        <w:rPr>
          <w:lang w:eastAsia="zh-CN"/>
        </w:rPr>
        <w:t>orthern Australia</w:t>
      </w:r>
      <w:r w:rsidR="00C0505B" w:rsidRPr="00C0505B">
        <w:t xml:space="preserve"> </w:t>
      </w:r>
      <w:r w:rsidR="00C0505B" w:rsidRPr="00C0505B">
        <w:rPr>
          <w:lang w:eastAsia="zh-CN"/>
        </w:rPr>
        <w:t>agricultural and water resource development</w:t>
      </w:r>
      <w:r>
        <w:rPr>
          <w:lang w:eastAsia="zh-CN"/>
        </w:rPr>
        <w:t xml:space="preserve">. </w:t>
      </w:r>
      <w:r w:rsidR="00356E90">
        <w:rPr>
          <w:lang w:eastAsia="zh-CN"/>
        </w:rPr>
        <w:t>Th</w:t>
      </w:r>
      <w:r w:rsidR="00D000DD">
        <w:rPr>
          <w:lang w:eastAsia="zh-CN"/>
        </w:rPr>
        <w:t>ese two projects have</w:t>
      </w:r>
      <w:r w:rsidR="00356E90">
        <w:rPr>
          <w:lang w:eastAsia="zh-CN"/>
        </w:rPr>
        <w:t xml:space="preserve"> been undertaken under the auspices of the </w:t>
      </w:r>
      <w:r w:rsidR="005365FA" w:rsidRPr="005365FA">
        <w:rPr>
          <w:lang w:eastAsia="zh-CN"/>
        </w:rPr>
        <w:t xml:space="preserve">Agriculture &amp; Food and </w:t>
      </w:r>
      <w:r w:rsidR="00356E90">
        <w:rPr>
          <w:lang w:eastAsia="zh-CN"/>
        </w:rPr>
        <w:t>Land &amp; Water Business Unit</w:t>
      </w:r>
      <w:r w:rsidR="005365FA">
        <w:rPr>
          <w:lang w:eastAsia="zh-CN"/>
        </w:rPr>
        <w:t>s</w:t>
      </w:r>
      <w:r w:rsidR="00356E90">
        <w:rPr>
          <w:lang w:eastAsia="zh-CN"/>
        </w:rPr>
        <w:t xml:space="preserve">. </w:t>
      </w:r>
    </w:p>
    <w:p w14:paraId="7832E3E8" w14:textId="77777777" w:rsidR="00C953C7" w:rsidRPr="00D657DE" w:rsidRDefault="00C953C7" w:rsidP="00356E90">
      <w:pPr>
        <w:pStyle w:val="BodyText"/>
        <w:rPr>
          <w:rFonts w:cstheme="majorHAnsi"/>
          <w:lang w:eastAsia="zh-CN"/>
        </w:rPr>
      </w:pPr>
      <w:r>
        <w:rPr>
          <w:lang w:eastAsia="zh-CN"/>
        </w:rPr>
        <w:t xml:space="preserve">This case study can be read as a standalone report or aggregated with other case studies to substantiate the impact and value of the </w:t>
      </w:r>
      <w:r w:rsidR="005365FA" w:rsidRPr="005365FA">
        <w:rPr>
          <w:lang w:eastAsia="zh-CN"/>
        </w:rPr>
        <w:t xml:space="preserve">Agriculture &amp; Food and </w:t>
      </w:r>
      <w:r w:rsidR="00801DBB">
        <w:rPr>
          <w:lang w:eastAsia="zh-CN"/>
        </w:rPr>
        <w:t xml:space="preserve">Land </w:t>
      </w:r>
      <w:r w:rsidR="005365FA">
        <w:rPr>
          <w:lang w:eastAsia="zh-CN"/>
        </w:rPr>
        <w:t>&amp;</w:t>
      </w:r>
      <w:r w:rsidR="00801DBB">
        <w:rPr>
          <w:lang w:eastAsia="zh-CN"/>
        </w:rPr>
        <w:t xml:space="preserve"> Water</w:t>
      </w:r>
      <w:r>
        <w:rPr>
          <w:lang w:eastAsia="zh-CN"/>
        </w:rPr>
        <w:t xml:space="preserve"> Business Units</w:t>
      </w:r>
      <w:r w:rsidR="005365FA">
        <w:rPr>
          <w:lang w:eastAsia="zh-CN"/>
        </w:rPr>
        <w:t>’</w:t>
      </w:r>
      <w:r>
        <w:rPr>
          <w:lang w:eastAsia="zh-CN"/>
        </w:rPr>
        <w:t xml:space="preserve"> activities as a whole</w:t>
      </w:r>
      <w:r w:rsidR="00C0505B">
        <w:rPr>
          <w:lang w:eastAsia="zh-CN"/>
        </w:rPr>
        <w:t>,</w:t>
      </w:r>
      <w:r>
        <w:rPr>
          <w:lang w:eastAsia="zh-CN"/>
        </w:rPr>
        <w:t xml:space="preserve"> relative to the funds invested in these activities. </w:t>
      </w:r>
      <w:r w:rsidRPr="00D657DE">
        <w:rPr>
          <w:rFonts w:cstheme="majorHAnsi"/>
          <w:lang w:eastAsia="zh-CN"/>
        </w:rPr>
        <w:t>Th</w:t>
      </w:r>
      <w:r w:rsidR="00356E90">
        <w:rPr>
          <w:rFonts w:cstheme="majorHAnsi"/>
          <w:lang w:eastAsia="zh-CN"/>
        </w:rPr>
        <w:t>e</w:t>
      </w:r>
      <w:r w:rsidRPr="00D657DE">
        <w:rPr>
          <w:rFonts w:cstheme="majorHAnsi"/>
          <w:lang w:eastAsia="zh-CN"/>
        </w:rPr>
        <w:t xml:space="preserve"> information</w:t>
      </w:r>
      <w:r>
        <w:rPr>
          <w:rFonts w:cstheme="majorHAnsi"/>
          <w:lang w:eastAsia="zh-CN"/>
        </w:rPr>
        <w:t xml:space="preserve"> in this case study</w:t>
      </w:r>
      <w:r w:rsidRPr="00D657DE">
        <w:rPr>
          <w:rFonts w:cstheme="majorHAnsi"/>
          <w:lang w:eastAsia="zh-CN"/>
        </w:rPr>
        <w:t xml:space="preserve"> is provided for accountability, communication and continual improvement purposes. Audiences for this report may include </w:t>
      </w:r>
      <w:r w:rsidR="00356E90">
        <w:rPr>
          <w:rFonts w:cstheme="majorHAnsi"/>
          <w:lang w:eastAsia="zh-CN"/>
        </w:rPr>
        <w:t xml:space="preserve">State and Federal </w:t>
      </w:r>
      <w:r w:rsidRPr="00D657DE">
        <w:rPr>
          <w:rFonts w:cstheme="majorHAnsi"/>
          <w:lang w:eastAsia="zh-CN"/>
        </w:rPr>
        <w:t>Members of Parliament, Government Departments, CSIRO and the general public.</w:t>
      </w:r>
    </w:p>
    <w:p w14:paraId="535E406E" w14:textId="77777777" w:rsidR="00C953C7" w:rsidRDefault="00C953C7" w:rsidP="00C953C7">
      <w:pPr>
        <w:pStyle w:val="Heading2"/>
      </w:pPr>
      <w:r w:rsidRPr="00094217">
        <w:t>Background</w:t>
      </w:r>
    </w:p>
    <w:p w14:paraId="61DA8D42" w14:textId="4D8A5FBE" w:rsidR="0040695E" w:rsidRDefault="0040695E" w:rsidP="0040695E">
      <w:pPr>
        <w:pStyle w:val="BodyText"/>
      </w:pPr>
      <w:r>
        <w:t xml:space="preserve">CSIRO, as </w:t>
      </w:r>
      <w:r w:rsidR="00D000DD">
        <w:t>Australia’s</w:t>
      </w:r>
      <w:r>
        <w:t xml:space="preserve"> national research agency, has supported the development of </w:t>
      </w:r>
      <w:r w:rsidR="00C0505B">
        <w:t xml:space="preserve">northern </w:t>
      </w:r>
      <w:r>
        <w:t xml:space="preserve">Australia for many decades. </w:t>
      </w:r>
      <w:r w:rsidR="00C0505B">
        <w:t>CSIRO’s a</w:t>
      </w:r>
      <w:r>
        <w:t xml:space="preserve">gricultural research commenced </w:t>
      </w:r>
      <w:r w:rsidR="00C0505B">
        <w:t xml:space="preserve">in </w:t>
      </w:r>
      <w:r w:rsidR="00C0505B" w:rsidRPr="00C0505B">
        <w:t xml:space="preserve">northern Australia in the 1930s with </w:t>
      </w:r>
      <w:r w:rsidR="00DF516B">
        <w:t>the aim of supporting the</w:t>
      </w:r>
      <w:r w:rsidR="00C0505B" w:rsidRPr="00C0505B">
        <w:t xml:space="preserve"> development of the beef cattle industry</w:t>
      </w:r>
      <w:r>
        <w:t xml:space="preserve">. That research has produced many important outcomes. For example, it has: </w:t>
      </w:r>
    </w:p>
    <w:p w14:paraId="1869F9E4" w14:textId="77777777" w:rsidR="0040695E" w:rsidRDefault="0040695E" w:rsidP="00DF516B">
      <w:pPr>
        <w:pStyle w:val="ListBullet"/>
      </w:pPr>
      <w:r>
        <w:t xml:space="preserve">identified </w:t>
      </w:r>
      <w:r w:rsidR="00DF516B" w:rsidRPr="00DF516B">
        <w:t xml:space="preserve">a number of agricultural and pastoral opportunities across </w:t>
      </w:r>
      <w:r w:rsidR="00DF516B">
        <w:t>northern Australia</w:t>
      </w:r>
    </w:p>
    <w:p w14:paraId="34A45C4C" w14:textId="77777777" w:rsidR="005365FA" w:rsidRDefault="0040695E" w:rsidP="0040695E">
      <w:pPr>
        <w:pStyle w:val="ListBullet"/>
      </w:pPr>
      <w:r>
        <w:t xml:space="preserve">led to the introduction of tick-resistant cattle </w:t>
      </w:r>
    </w:p>
    <w:p w14:paraId="2075997E" w14:textId="77777777" w:rsidR="0040695E" w:rsidRDefault="005365FA" w:rsidP="0040695E">
      <w:pPr>
        <w:pStyle w:val="ListBullet"/>
      </w:pPr>
      <w:r>
        <w:t xml:space="preserve">led to the introduction of </w:t>
      </w:r>
      <w:r w:rsidR="0040695E">
        <w:t xml:space="preserve">dung beetles </w:t>
      </w:r>
    </w:p>
    <w:p w14:paraId="5A8E2DFF" w14:textId="77777777" w:rsidR="00DF516B" w:rsidRDefault="00DF516B" w:rsidP="00DF516B">
      <w:pPr>
        <w:pStyle w:val="ListBullet"/>
      </w:pPr>
      <w:r w:rsidRPr="00DF516B">
        <w:t>led to the introduction of a number of tropical legumes as pasture plants</w:t>
      </w:r>
    </w:p>
    <w:p w14:paraId="1B876475" w14:textId="77777777" w:rsidR="00C0505B" w:rsidRDefault="0040695E" w:rsidP="0040695E">
      <w:pPr>
        <w:pStyle w:val="ListBullet"/>
      </w:pPr>
      <w:r>
        <w:t>developed cotton varieties that are insect-resistant and adapted to growing in the tropics</w:t>
      </w:r>
    </w:p>
    <w:p w14:paraId="3425A7A8" w14:textId="77777777" w:rsidR="00C0505B" w:rsidRDefault="00C0505B" w:rsidP="00C0505B">
      <w:pPr>
        <w:pStyle w:val="ListBullet"/>
      </w:pPr>
      <w:r>
        <w:t>mapped much of northern Australia’s soil and landscapes</w:t>
      </w:r>
    </w:p>
    <w:p w14:paraId="239DB8FE" w14:textId="77777777" w:rsidR="0040695E" w:rsidRDefault="00C0505B" w:rsidP="00C0505B">
      <w:pPr>
        <w:pStyle w:val="ListBullet"/>
      </w:pPr>
      <w:r>
        <w:t>developed cropping systems adapted to northern Australia</w:t>
      </w:r>
    </w:p>
    <w:p w14:paraId="74CE9D65" w14:textId="42D57BCE" w:rsidR="00DF516B" w:rsidRDefault="00DF516B" w:rsidP="00DF516B">
      <w:pPr>
        <w:pStyle w:val="ListBullet"/>
      </w:pPr>
      <w:proofErr w:type="gramStart"/>
      <w:r w:rsidRPr="00DF516B">
        <w:t>worked</w:t>
      </w:r>
      <w:proofErr w:type="gramEnd"/>
      <w:r w:rsidRPr="00DF516B">
        <w:t xml:space="preserve"> closely with industry to </w:t>
      </w:r>
      <w:r w:rsidR="003F3037">
        <w:t xml:space="preserve">breed and </w:t>
      </w:r>
      <w:r w:rsidRPr="00DF516B">
        <w:t xml:space="preserve">introduce new sugar cane varieties as well as </w:t>
      </w:r>
      <w:r w:rsidR="003F3037">
        <w:t xml:space="preserve">bringing </w:t>
      </w:r>
      <w:r w:rsidRPr="00DF516B">
        <w:t>genetic material from China</w:t>
      </w:r>
      <w:r w:rsidR="003F3037">
        <w:t xml:space="preserve"> into Australian varieties</w:t>
      </w:r>
      <w:r>
        <w:t>.</w:t>
      </w:r>
    </w:p>
    <w:p w14:paraId="35792394" w14:textId="77777777" w:rsidR="0040695E" w:rsidRDefault="0040695E" w:rsidP="0040695E">
      <w:pPr>
        <w:pStyle w:val="BodyText"/>
      </w:pPr>
      <w:r>
        <w:t xml:space="preserve">CSIRO’s research in support of the development of </w:t>
      </w:r>
      <w:r w:rsidR="00C0505B">
        <w:t>n</w:t>
      </w:r>
      <w:r>
        <w:t xml:space="preserve">orthern Australia continues to this day. It has expanded to include </w:t>
      </w:r>
      <w:r w:rsidR="00355460">
        <w:t>research to support the</w:t>
      </w:r>
      <w:r>
        <w:t xml:space="preserve"> minerals and energy, tourism, </w:t>
      </w:r>
      <w:r w:rsidR="00C0505B" w:rsidRPr="00C0505B">
        <w:t xml:space="preserve">wildlife, Indigenous knowledge, </w:t>
      </w:r>
      <w:r>
        <w:t xml:space="preserve">defence and fisheries industries </w:t>
      </w:r>
      <w:r w:rsidR="005365FA">
        <w:t>as well as</w:t>
      </w:r>
      <w:r>
        <w:t xml:space="preserve"> the </w:t>
      </w:r>
      <w:r w:rsidR="00C0505B">
        <w:t>emerging</w:t>
      </w:r>
      <w:r>
        <w:t xml:space="preserve"> carbon economy. It has worked by directly supporting these sectors, as well as providing science that underpins the establishment and growth of industries and communities in the north more generally.</w:t>
      </w:r>
      <w:r w:rsidR="00C0505B" w:rsidRPr="00C0505B">
        <w:t xml:space="preserve"> CSIRO has around 200 current or recent </w:t>
      </w:r>
      <w:r w:rsidR="00C0505B">
        <w:t xml:space="preserve">projects </w:t>
      </w:r>
      <w:r w:rsidR="00C0505B" w:rsidRPr="00C0505B">
        <w:t xml:space="preserve">with direct relevance to northern Australia. </w:t>
      </w:r>
      <w:r w:rsidR="00355460">
        <w:t>CSIRO’s projects</w:t>
      </w:r>
      <w:r>
        <w:t xml:space="preserve"> include</w:t>
      </w:r>
      <w:r w:rsidR="00355460">
        <w:t>s</w:t>
      </w:r>
      <w:r>
        <w:t xml:space="preserve"> initiatives to improve </w:t>
      </w:r>
      <w:r w:rsidR="00C0505B">
        <w:t>n</w:t>
      </w:r>
      <w:r>
        <w:t xml:space="preserve">orthern Australia’s hard and soft infrastructure, economic value chains, </w:t>
      </w:r>
      <w:r w:rsidR="00DF516B" w:rsidRPr="00DF516B">
        <w:t xml:space="preserve">Indigenous knowledge and land management, Indigenous economic development, </w:t>
      </w:r>
      <w:r>
        <w:t xml:space="preserve">public health, land and water management and understanding of </w:t>
      </w:r>
      <w:r w:rsidR="00C0505B">
        <w:t>n</w:t>
      </w:r>
      <w:r>
        <w:t>orthern Australia’s environment.</w:t>
      </w:r>
    </w:p>
    <w:p w14:paraId="0356B039" w14:textId="5087D929" w:rsidR="00355460" w:rsidRDefault="00355460" w:rsidP="00356E90">
      <w:pPr>
        <w:pStyle w:val="BodyText"/>
      </w:pPr>
      <w:r>
        <w:t>For the purposes of this case study we have focussed on two projects, namely:</w:t>
      </w:r>
    </w:p>
    <w:p w14:paraId="2FB32AD0" w14:textId="77777777" w:rsidR="00C953C7" w:rsidRDefault="00355460" w:rsidP="00355460">
      <w:pPr>
        <w:pStyle w:val="ListBullet"/>
      </w:pPr>
      <w:r>
        <w:t xml:space="preserve">The </w:t>
      </w:r>
      <w:r w:rsidRPr="00355460">
        <w:t>develop</w:t>
      </w:r>
      <w:r>
        <w:t>ment of</w:t>
      </w:r>
      <w:r w:rsidRPr="00355460">
        <w:t xml:space="preserve"> the Transport Network Strategic Investment Tool or </w:t>
      </w:r>
      <w:proofErr w:type="spellStart"/>
      <w:r w:rsidRPr="00355460">
        <w:t>TraNSIT</w:t>
      </w:r>
      <w:proofErr w:type="spellEnd"/>
      <w:r w:rsidR="00356E90">
        <w:t>.</w:t>
      </w:r>
    </w:p>
    <w:p w14:paraId="077E3892" w14:textId="12FB7923" w:rsidR="00355460" w:rsidRDefault="00355460" w:rsidP="00355460">
      <w:pPr>
        <w:pStyle w:val="ListBullet"/>
      </w:pPr>
      <w:r w:rsidRPr="00355460">
        <w:t xml:space="preserve">The Flinders and Gilbert Agricultural Resource Assessment (FGARA) </w:t>
      </w:r>
      <w:r>
        <w:t xml:space="preserve">which </w:t>
      </w:r>
      <w:r w:rsidRPr="00355460">
        <w:t>evaluated the feasibility, economic viability and sustainability of agricultural development in the</w:t>
      </w:r>
      <w:r w:rsidR="00AA30E4">
        <w:t xml:space="preserve"> Flinders and Gilbert</w:t>
      </w:r>
      <w:r w:rsidRPr="00355460">
        <w:t xml:space="preserve"> catchments </w:t>
      </w:r>
      <w:r>
        <w:t>in</w:t>
      </w:r>
      <w:r w:rsidRPr="00355460">
        <w:t xml:space="preserve"> </w:t>
      </w:r>
      <w:r w:rsidR="003F3037">
        <w:t xml:space="preserve">the Gulf country of </w:t>
      </w:r>
      <w:r w:rsidRPr="00355460">
        <w:t>North Queensland</w:t>
      </w:r>
      <w:r>
        <w:t>.</w:t>
      </w:r>
    </w:p>
    <w:p w14:paraId="104CE5B3" w14:textId="77777777" w:rsidR="00C953C7" w:rsidRDefault="00116859" w:rsidP="00116859">
      <w:pPr>
        <w:pStyle w:val="Heading3"/>
      </w:pPr>
      <w:r w:rsidRPr="00116859">
        <w:t xml:space="preserve">Transport Network Strategic Investment Tool </w:t>
      </w:r>
      <w:r>
        <w:t>(</w:t>
      </w:r>
      <w:proofErr w:type="spellStart"/>
      <w:r w:rsidR="00355460">
        <w:t>Tra</w:t>
      </w:r>
      <w:r w:rsidR="000874D0">
        <w:t>N</w:t>
      </w:r>
      <w:r w:rsidR="00355460">
        <w:t>SIT</w:t>
      </w:r>
      <w:proofErr w:type="spellEnd"/>
      <w:r>
        <w:t>)</w:t>
      </w:r>
    </w:p>
    <w:p w14:paraId="7114C164" w14:textId="77777777" w:rsidR="00116859" w:rsidRDefault="00394BF3" w:rsidP="00434CD5">
      <w:pPr>
        <w:pStyle w:val="BodyText"/>
      </w:pPr>
      <w:r>
        <w:t xml:space="preserve">Northern Australia is </w:t>
      </w:r>
      <w:r w:rsidR="002F181C">
        <w:t>the source of</w:t>
      </w:r>
      <w:r>
        <w:t xml:space="preserve"> </w:t>
      </w:r>
      <w:r w:rsidR="00DF516B">
        <w:t xml:space="preserve">about </w:t>
      </w:r>
      <w:r w:rsidR="001D6CCD">
        <w:t>8</w:t>
      </w:r>
      <w:r>
        <w:t xml:space="preserve">0% of the country’s live cattle exports. </w:t>
      </w:r>
      <w:r w:rsidR="002F181C">
        <w:t xml:space="preserve">The large areas of grazing land that enable these cattle to be raised also mean that </w:t>
      </w:r>
      <w:r w:rsidR="00355460" w:rsidRPr="00355460">
        <w:t xml:space="preserve">transport distances </w:t>
      </w:r>
      <w:r w:rsidR="002F181C" w:rsidRPr="00355460">
        <w:t xml:space="preserve">between production, processing and markets </w:t>
      </w:r>
      <w:r w:rsidR="002F181C">
        <w:t xml:space="preserve">are long, often </w:t>
      </w:r>
      <w:r w:rsidR="00355460" w:rsidRPr="00355460">
        <w:t xml:space="preserve">over 1000 </w:t>
      </w:r>
      <w:r w:rsidR="00434CD5" w:rsidRPr="00355460">
        <w:t>k</w:t>
      </w:r>
      <w:r w:rsidR="00434CD5">
        <w:t>ilo</w:t>
      </w:r>
      <w:r w:rsidR="00434CD5" w:rsidRPr="00355460">
        <w:t>m</w:t>
      </w:r>
      <w:r w:rsidR="00434CD5">
        <w:t>etres</w:t>
      </w:r>
      <w:r w:rsidR="00355460">
        <w:t>. The</w:t>
      </w:r>
      <w:r w:rsidR="00434CD5">
        <w:t>se</w:t>
      </w:r>
      <w:r w:rsidR="00355460">
        <w:t xml:space="preserve"> long distances mean that </w:t>
      </w:r>
      <w:r w:rsidR="002F181C">
        <w:t xml:space="preserve">the </w:t>
      </w:r>
      <w:r w:rsidR="00355460" w:rsidRPr="00355460">
        <w:t xml:space="preserve">transport costs </w:t>
      </w:r>
      <w:r w:rsidR="00116859">
        <w:t xml:space="preserve">for cattle </w:t>
      </w:r>
      <w:r w:rsidR="00355460">
        <w:t xml:space="preserve">can </w:t>
      </w:r>
      <w:r w:rsidR="00355460" w:rsidRPr="00355460">
        <w:t>account for up to 40 per cent of the market price.</w:t>
      </w:r>
      <w:r w:rsidR="00434CD5">
        <w:t xml:space="preserve"> </w:t>
      </w:r>
      <w:r w:rsidR="00116859">
        <w:t>Hence</w:t>
      </w:r>
      <w:r w:rsidR="00434CD5">
        <w:t xml:space="preserve"> </w:t>
      </w:r>
      <w:r w:rsidR="00116859">
        <w:t xml:space="preserve">any </w:t>
      </w:r>
      <w:r w:rsidR="00434CD5">
        <w:t>improve</w:t>
      </w:r>
      <w:r w:rsidR="00116859">
        <w:t xml:space="preserve">ment in </w:t>
      </w:r>
      <w:r w:rsidR="00434CD5">
        <w:t>transport efficiency</w:t>
      </w:r>
      <w:r w:rsidR="00116859">
        <w:t xml:space="preserve"> could have a significant positive impact on productivity and profits in the sector.</w:t>
      </w:r>
      <w:r w:rsidR="00434CD5">
        <w:t xml:space="preserve"> </w:t>
      </w:r>
    </w:p>
    <w:p w14:paraId="444C1077" w14:textId="77777777" w:rsidR="00C953C7" w:rsidRDefault="00116859" w:rsidP="00116859">
      <w:pPr>
        <w:pStyle w:val="Heading3"/>
        <w:rPr>
          <w:lang w:eastAsia="zh-CN"/>
        </w:rPr>
      </w:pPr>
      <w:r w:rsidRPr="00116859">
        <w:rPr>
          <w:lang w:eastAsia="zh-CN"/>
        </w:rPr>
        <w:t>Flinders and Gilbert Agricultural Resource Assessment (FGARA)</w:t>
      </w:r>
    </w:p>
    <w:p w14:paraId="352077E1" w14:textId="3BB9A093" w:rsidR="00335666" w:rsidRDefault="00335666" w:rsidP="002F181C">
      <w:pPr>
        <w:pStyle w:val="BodyText"/>
        <w:rPr>
          <w:lang w:eastAsia="zh-CN"/>
        </w:rPr>
      </w:pPr>
      <w:r>
        <w:rPr>
          <w:lang w:eastAsia="zh-CN"/>
        </w:rPr>
        <w:t xml:space="preserve">FGARA is one of many CSIRO </w:t>
      </w:r>
      <w:r w:rsidR="002152CD">
        <w:rPr>
          <w:lang w:eastAsia="zh-CN"/>
        </w:rPr>
        <w:t xml:space="preserve">agricultural and </w:t>
      </w:r>
      <w:r>
        <w:rPr>
          <w:lang w:eastAsia="zh-CN"/>
        </w:rPr>
        <w:t xml:space="preserve">water resource assessment projects that </w:t>
      </w:r>
      <w:r w:rsidR="00D000DD">
        <w:rPr>
          <w:lang w:eastAsia="zh-CN"/>
        </w:rPr>
        <w:t>build on</w:t>
      </w:r>
      <w:r w:rsidR="00D000DD" w:rsidRPr="001D6CCD">
        <w:rPr>
          <w:lang w:eastAsia="zh-CN"/>
        </w:rPr>
        <w:t xml:space="preserve"> </w:t>
      </w:r>
      <w:r w:rsidR="001D6CCD" w:rsidRPr="001D6CCD">
        <w:rPr>
          <w:lang w:eastAsia="zh-CN"/>
        </w:rPr>
        <w:t>the Northern Australia Sustainable Yields project (NASY)</w:t>
      </w:r>
      <w:proofErr w:type="gramStart"/>
      <w:r w:rsidR="002152CD">
        <w:rPr>
          <w:lang w:eastAsia="zh-CN"/>
        </w:rPr>
        <w:t>,the</w:t>
      </w:r>
      <w:proofErr w:type="gramEnd"/>
      <w:r w:rsidR="002152CD">
        <w:rPr>
          <w:lang w:eastAsia="zh-CN"/>
        </w:rPr>
        <w:t xml:space="preserve"> Mosaic Agriculture Project</w:t>
      </w:r>
      <w:r w:rsidR="00EF113B">
        <w:rPr>
          <w:lang w:eastAsia="zh-CN"/>
        </w:rPr>
        <w:t>, the Northern Rivers and Dams Project</w:t>
      </w:r>
      <w:r w:rsidR="002152CD">
        <w:rPr>
          <w:lang w:eastAsia="zh-CN"/>
        </w:rPr>
        <w:t xml:space="preserve"> and the Food and Fibre Supply Chain Project</w:t>
      </w:r>
      <w:r w:rsidR="00D000DD">
        <w:rPr>
          <w:lang w:eastAsia="zh-CN"/>
        </w:rPr>
        <w:t xml:space="preserve"> (all led by CSIRO)</w:t>
      </w:r>
      <w:r w:rsidR="001D6CCD">
        <w:rPr>
          <w:lang w:eastAsia="zh-CN"/>
        </w:rPr>
        <w:t xml:space="preserve">. </w:t>
      </w:r>
    </w:p>
    <w:p w14:paraId="39A3B3A0" w14:textId="2D77C525" w:rsidR="002F181C" w:rsidRDefault="001D6CCD" w:rsidP="002F181C">
      <w:pPr>
        <w:pStyle w:val="BodyText"/>
        <w:rPr>
          <w:lang w:eastAsia="zh-CN"/>
        </w:rPr>
      </w:pPr>
      <w:r>
        <w:rPr>
          <w:lang w:eastAsia="zh-CN"/>
        </w:rPr>
        <w:t>Millions</w:t>
      </w:r>
      <w:r w:rsidR="002F181C">
        <w:rPr>
          <w:lang w:eastAsia="zh-CN"/>
        </w:rPr>
        <w:t xml:space="preserve"> of hectares of soil across </w:t>
      </w:r>
      <w:r w:rsidR="00C0505B">
        <w:rPr>
          <w:lang w:eastAsia="zh-CN"/>
        </w:rPr>
        <w:t>northern</w:t>
      </w:r>
      <w:r>
        <w:rPr>
          <w:lang w:eastAsia="zh-CN"/>
        </w:rPr>
        <w:t xml:space="preserve"> </w:t>
      </w:r>
      <w:r w:rsidR="002F181C">
        <w:rPr>
          <w:lang w:eastAsia="zh-CN"/>
        </w:rPr>
        <w:t xml:space="preserve">Australia are potentially suitable for irrigated agriculture. However, the use of land in this way is dependent upon </w:t>
      </w:r>
      <w:r w:rsidR="00A93C1F">
        <w:rPr>
          <w:lang w:eastAsia="zh-CN"/>
        </w:rPr>
        <w:t xml:space="preserve">the users being confident that they will </w:t>
      </w:r>
      <w:r w:rsidR="00BA24B1">
        <w:rPr>
          <w:lang w:eastAsia="zh-CN"/>
        </w:rPr>
        <w:t>hav</w:t>
      </w:r>
      <w:r w:rsidR="00A93C1F">
        <w:rPr>
          <w:lang w:eastAsia="zh-CN"/>
        </w:rPr>
        <w:t>e</w:t>
      </w:r>
      <w:r w:rsidR="00BA24B1">
        <w:rPr>
          <w:lang w:eastAsia="zh-CN"/>
        </w:rPr>
        <w:t xml:space="preserve"> </w:t>
      </w:r>
      <w:r w:rsidR="002F181C">
        <w:rPr>
          <w:lang w:eastAsia="zh-CN"/>
        </w:rPr>
        <w:t>reliable access to sufficient water.</w:t>
      </w:r>
      <w:r w:rsidR="00A93C1F">
        <w:rPr>
          <w:lang w:eastAsia="zh-CN"/>
        </w:rPr>
        <w:t xml:space="preserve"> It is also important to ensure that diverting water for use in irrigated agriculture does not create any adverse environmental consequences</w:t>
      </w:r>
      <w:r w:rsidR="00A93C1F" w:rsidRPr="00A93C1F">
        <w:rPr>
          <w:lang w:eastAsia="zh-CN"/>
        </w:rPr>
        <w:t xml:space="preserve"> </w:t>
      </w:r>
      <w:r w:rsidR="00A93C1F">
        <w:rPr>
          <w:lang w:eastAsia="zh-CN"/>
        </w:rPr>
        <w:t>downstream.</w:t>
      </w:r>
      <w:r w:rsidR="002F181C">
        <w:rPr>
          <w:lang w:eastAsia="zh-CN"/>
        </w:rPr>
        <w:t xml:space="preserve"> In </w:t>
      </w:r>
      <w:r w:rsidRPr="001D6CCD">
        <w:rPr>
          <w:lang w:eastAsia="zh-CN"/>
        </w:rPr>
        <w:t xml:space="preserve">late </w:t>
      </w:r>
      <w:r w:rsidRPr="001D6CCD">
        <w:rPr>
          <w:lang w:eastAsia="zh-CN"/>
        </w:rPr>
        <w:lastRenderedPageBreak/>
        <w:t xml:space="preserve">2011 the Queensland Premier and the Commonwealth Minister for Regional Development announced the </w:t>
      </w:r>
      <w:r w:rsidR="002F181C">
        <w:rPr>
          <w:lang w:eastAsia="zh-CN"/>
        </w:rPr>
        <w:t xml:space="preserve">North Queensland Irrigated Agriculture Strategy (NQIAS) to investigate the challenges and opportunities facing northern communities and primary producers. </w:t>
      </w:r>
    </w:p>
    <w:p w14:paraId="582EE680" w14:textId="77777777" w:rsidR="002F181C" w:rsidRDefault="002F181C" w:rsidP="002F181C">
      <w:pPr>
        <w:pStyle w:val="BodyText"/>
        <w:rPr>
          <w:lang w:eastAsia="zh-CN"/>
        </w:rPr>
      </w:pPr>
      <w:r>
        <w:rPr>
          <w:lang w:eastAsia="zh-CN"/>
        </w:rPr>
        <w:t xml:space="preserve">CSIRO led one component of the NQIAS, namely the Flinders and Gilbert Agricultural Resource Assessment (FGARA). CSIRO was supported by the Queensland Government and </w:t>
      </w:r>
      <w:r w:rsidR="001D6CCD" w:rsidRPr="001D6CCD">
        <w:rPr>
          <w:lang w:eastAsia="zh-CN"/>
        </w:rPr>
        <w:t>a number of subcontracted organisations who brought specific expertise to the project</w:t>
      </w:r>
      <w:r>
        <w:rPr>
          <w:lang w:eastAsia="zh-CN"/>
        </w:rPr>
        <w:t>.</w:t>
      </w:r>
      <w:r w:rsidRPr="002F181C">
        <w:rPr>
          <w:lang w:eastAsia="zh-CN"/>
        </w:rPr>
        <w:t xml:space="preserve"> </w:t>
      </w:r>
      <w:r>
        <w:rPr>
          <w:lang w:eastAsia="zh-CN"/>
        </w:rPr>
        <w:t>The Assessment sought to:</w:t>
      </w:r>
    </w:p>
    <w:p w14:paraId="1A4DB37D" w14:textId="77777777" w:rsidR="002F181C" w:rsidRDefault="002F181C" w:rsidP="002F181C">
      <w:pPr>
        <w:pStyle w:val="ListBullet"/>
        <w:rPr>
          <w:lang w:eastAsia="zh-CN"/>
        </w:rPr>
      </w:pPr>
      <w:r>
        <w:rPr>
          <w:lang w:eastAsia="zh-CN"/>
        </w:rPr>
        <w:t>identify and evaluate water capture and storage options</w:t>
      </w:r>
    </w:p>
    <w:p w14:paraId="31EB86F9" w14:textId="77777777" w:rsidR="002F181C" w:rsidRDefault="002F181C" w:rsidP="002F181C">
      <w:pPr>
        <w:pStyle w:val="ListBullet"/>
        <w:rPr>
          <w:lang w:eastAsia="zh-CN"/>
        </w:rPr>
      </w:pPr>
      <w:r>
        <w:rPr>
          <w:lang w:eastAsia="zh-CN"/>
        </w:rPr>
        <w:t>identify and test the commercial viability of irrigated agricultural opportunities</w:t>
      </w:r>
    </w:p>
    <w:p w14:paraId="33A5B9A7" w14:textId="77777777" w:rsidR="002F181C" w:rsidRDefault="002F181C" w:rsidP="002F181C">
      <w:pPr>
        <w:pStyle w:val="ListBullet"/>
        <w:rPr>
          <w:lang w:eastAsia="zh-CN"/>
        </w:rPr>
      </w:pPr>
      <w:proofErr w:type="gramStart"/>
      <w:r>
        <w:rPr>
          <w:lang w:eastAsia="zh-CN"/>
        </w:rPr>
        <w:t>assess</w:t>
      </w:r>
      <w:proofErr w:type="gramEnd"/>
      <w:r>
        <w:rPr>
          <w:lang w:eastAsia="zh-CN"/>
        </w:rPr>
        <w:t xml:space="preserve"> potential environmental, social and economic impacts and risks.</w:t>
      </w:r>
    </w:p>
    <w:p w14:paraId="6329AE16" w14:textId="7A7EC365" w:rsidR="006A27DA" w:rsidRDefault="002F181C" w:rsidP="002F181C">
      <w:pPr>
        <w:pStyle w:val="BodyText"/>
        <w:rPr>
          <w:lang w:eastAsia="zh-CN"/>
        </w:rPr>
      </w:pPr>
      <w:r>
        <w:rPr>
          <w:lang w:eastAsia="zh-CN"/>
        </w:rPr>
        <w:t>Th</w:t>
      </w:r>
      <w:r w:rsidR="000052C7">
        <w:rPr>
          <w:lang w:eastAsia="zh-CN"/>
        </w:rPr>
        <w:t>e FGARA</w:t>
      </w:r>
      <w:r>
        <w:rPr>
          <w:lang w:eastAsia="zh-CN"/>
        </w:rPr>
        <w:t xml:space="preserve"> project provide</w:t>
      </w:r>
      <w:r w:rsidR="001D6CCD">
        <w:rPr>
          <w:lang w:eastAsia="zh-CN"/>
        </w:rPr>
        <w:t>d</w:t>
      </w:r>
      <w:r>
        <w:rPr>
          <w:lang w:eastAsia="zh-CN"/>
        </w:rPr>
        <w:t xml:space="preserve"> a comprehensive and integrated evaluation of the feasibility, economic viability and sustainability of agricultural </w:t>
      </w:r>
      <w:r w:rsidR="001D6CCD">
        <w:rPr>
          <w:lang w:eastAsia="zh-CN"/>
        </w:rPr>
        <w:t xml:space="preserve">and water resources </w:t>
      </w:r>
      <w:r>
        <w:rPr>
          <w:lang w:eastAsia="zh-CN"/>
        </w:rPr>
        <w:t xml:space="preserve">development in these two catchments </w:t>
      </w:r>
      <w:r w:rsidR="00AA30E4">
        <w:rPr>
          <w:lang w:eastAsia="zh-CN"/>
        </w:rPr>
        <w:t>in</w:t>
      </w:r>
      <w:r>
        <w:rPr>
          <w:lang w:eastAsia="zh-CN"/>
        </w:rPr>
        <w:t xml:space="preserve"> </w:t>
      </w:r>
      <w:r w:rsidR="001D6CCD">
        <w:rPr>
          <w:lang w:eastAsia="zh-CN"/>
        </w:rPr>
        <w:t>n</w:t>
      </w:r>
      <w:r>
        <w:rPr>
          <w:lang w:eastAsia="zh-CN"/>
        </w:rPr>
        <w:t>orth Queensland</w:t>
      </w:r>
      <w:r w:rsidR="000874D0">
        <w:rPr>
          <w:lang w:eastAsia="zh-CN"/>
        </w:rPr>
        <w:t xml:space="preserve"> and </w:t>
      </w:r>
      <w:r w:rsidR="00101A1B">
        <w:rPr>
          <w:lang w:eastAsia="zh-CN"/>
        </w:rPr>
        <w:t>has</w:t>
      </w:r>
      <w:r w:rsidR="001D6CCD">
        <w:rPr>
          <w:lang w:eastAsia="zh-CN"/>
        </w:rPr>
        <w:t xml:space="preserve"> </w:t>
      </w:r>
      <w:r w:rsidR="000052C7">
        <w:rPr>
          <w:lang w:eastAsia="zh-CN"/>
        </w:rPr>
        <w:t>help</w:t>
      </w:r>
      <w:r w:rsidR="00101A1B">
        <w:rPr>
          <w:lang w:eastAsia="zh-CN"/>
        </w:rPr>
        <w:t>ed</w:t>
      </w:r>
      <w:r w:rsidR="000052C7">
        <w:rPr>
          <w:lang w:eastAsia="zh-CN"/>
        </w:rPr>
        <w:t xml:space="preserve"> </w:t>
      </w:r>
      <w:r w:rsidR="000874D0">
        <w:rPr>
          <w:lang w:eastAsia="zh-CN"/>
        </w:rPr>
        <w:t>inform</w:t>
      </w:r>
      <w:r>
        <w:rPr>
          <w:lang w:eastAsia="zh-CN"/>
        </w:rPr>
        <w:t xml:space="preserve"> deliberation</w:t>
      </w:r>
      <w:r w:rsidR="000052C7">
        <w:rPr>
          <w:lang w:eastAsia="zh-CN"/>
        </w:rPr>
        <w:t>s</w:t>
      </w:r>
      <w:r>
        <w:rPr>
          <w:lang w:eastAsia="zh-CN"/>
        </w:rPr>
        <w:t xml:space="preserve"> and decision</w:t>
      </w:r>
      <w:r w:rsidR="000874D0">
        <w:rPr>
          <w:lang w:eastAsia="zh-CN"/>
        </w:rPr>
        <w:t xml:space="preserve"> making</w:t>
      </w:r>
      <w:r>
        <w:rPr>
          <w:lang w:eastAsia="zh-CN"/>
        </w:rPr>
        <w:t xml:space="preserve"> </w:t>
      </w:r>
      <w:r w:rsidR="000874D0">
        <w:rPr>
          <w:lang w:eastAsia="zh-CN"/>
        </w:rPr>
        <w:t>about</w:t>
      </w:r>
      <w:r>
        <w:rPr>
          <w:lang w:eastAsia="zh-CN"/>
        </w:rPr>
        <w:t xml:space="preserve"> sustainable regional development.</w:t>
      </w:r>
      <w:r w:rsidR="002152CD">
        <w:rPr>
          <w:lang w:eastAsia="zh-CN"/>
        </w:rPr>
        <w:t xml:space="preserve"> Following directly from FGARA the Australian Government has invested a further $</w:t>
      </w:r>
      <w:r w:rsidR="006A27DA">
        <w:rPr>
          <w:lang w:eastAsia="zh-CN"/>
        </w:rPr>
        <w:t xml:space="preserve">15 million </w:t>
      </w:r>
      <w:r w:rsidR="002152CD">
        <w:rPr>
          <w:lang w:eastAsia="zh-CN"/>
        </w:rPr>
        <w:t>in the Northern Australia Water Resource Assessment (NAWRA).</w:t>
      </w:r>
    </w:p>
    <w:p w14:paraId="01F04F45" w14:textId="77777777" w:rsidR="00C953C7" w:rsidRDefault="00C953C7" w:rsidP="00C953C7">
      <w:pPr>
        <w:pStyle w:val="Heading2"/>
      </w:pPr>
      <w:r>
        <w:t>Impact Pathway</w:t>
      </w:r>
    </w:p>
    <w:p w14:paraId="7B1DB226" w14:textId="77777777" w:rsidR="00C953C7" w:rsidRDefault="00C953C7" w:rsidP="00C953C7">
      <w:pPr>
        <w:pStyle w:val="Heading3"/>
      </w:pPr>
      <w:r>
        <w:t>Project Inputs</w:t>
      </w:r>
    </w:p>
    <w:p w14:paraId="3D4862D4" w14:textId="77777777" w:rsidR="000874D0" w:rsidRDefault="000874D0" w:rsidP="00D61CE6">
      <w:pPr>
        <w:pStyle w:val="Heading6"/>
      </w:pPr>
      <w:proofErr w:type="spellStart"/>
      <w:r>
        <w:t>TraNSIT</w:t>
      </w:r>
      <w:proofErr w:type="spellEnd"/>
    </w:p>
    <w:p w14:paraId="1D0435B6" w14:textId="759A95DA" w:rsidR="00C953C7" w:rsidRDefault="00C953C7" w:rsidP="00C953C7">
      <w:pPr>
        <w:pStyle w:val="ListBullet"/>
        <w:numPr>
          <w:ilvl w:val="0"/>
          <w:numId w:val="0"/>
        </w:numPr>
      </w:pPr>
      <w:r w:rsidRPr="00E558A0">
        <w:t xml:space="preserve">The total cost </w:t>
      </w:r>
      <w:r w:rsidR="000874D0">
        <w:t>of</w:t>
      </w:r>
      <w:r w:rsidRPr="00E558A0">
        <w:t xml:space="preserve"> the </w:t>
      </w:r>
      <w:proofErr w:type="spellStart"/>
      <w:r w:rsidR="000874D0">
        <w:t>TraNSIT</w:t>
      </w:r>
      <w:proofErr w:type="spellEnd"/>
      <w:r w:rsidRPr="00E558A0">
        <w:t xml:space="preserve"> project was </w:t>
      </w:r>
      <w:r w:rsidR="000874D0">
        <w:t>$200,000</w:t>
      </w:r>
      <w:r w:rsidRPr="00E558A0">
        <w:t xml:space="preserve"> in cash and in-kind contributions</w:t>
      </w:r>
      <w:r w:rsidR="00FF35C5">
        <w:t xml:space="preserve"> in </w:t>
      </w:r>
      <w:r w:rsidR="00BB1A66">
        <w:t>201</w:t>
      </w:r>
      <w:r w:rsidR="00B055DC">
        <w:t>4/15</w:t>
      </w:r>
      <w:r w:rsidRPr="00E558A0">
        <w:t xml:space="preserve">. </w:t>
      </w:r>
      <w:r>
        <w:t>CSIRO</w:t>
      </w:r>
      <w:r w:rsidRPr="00E558A0">
        <w:t xml:space="preserve"> contributed </w:t>
      </w:r>
      <w:r w:rsidR="000874D0">
        <w:t>a quarter of the total cost of the project ($50,000)</w:t>
      </w:r>
      <w:r w:rsidR="000874D0" w:rsidRPr="00E558A0">
        <w:t xml:space="preserve"> </w:t>
      </w:r>
      <w:r w:rsidR="000874D0">
        <w:t>as in-kind support.</w:t>
      </w:r>
      <w:r>
        <w:t xml:space="preserve"> </w:t>
      </w:r>
      <w:r w:rsidR="000874D0">
        <w:t>The o</w:t>
      </w:r>
      <w:r>
        <w:t>ther contributor</w:t>
      </w:r>
      <w:r w:rsidR="000874D0">
        <w:t xml:space="preserve"> to the project wa</w:t>
      </w:r>
      <w:r>
        <w:t xml:space="preserve">s </w:t>
      </w:r>
      <w:r w:rsidR="000874D0">
        <w:t xml:space="preserve">the </w:t>
      </w:r>
      <w:r w:rsidR="000874D0" w:rsidRPr="000874D0">
        <w:t>Department of Infrastructure and Regional Development</w:t>
      </w:r>
      <w:r w:rsidR="000874D0">
        <w:t>,</w:t>
      </w:r>
      <w:r w:rsidR="000874D0" w:rsidRPr="000874D0">
        <w:t xml:space="preserve"> </w:t>
      </w:r>
      <w:r w:rsidR="000874D0">
        <w:t>which contributed $150,000 in cash.</w:t>
      </w:r>
    </w:p>
    <w:p w14:paraId="458D40A9" w14:textId="77777777" w:rsidR="00C953C7" w:rsidRDefault="00D61CE6" w:rsidP="00D61CE6">
      <w:pPr>
        <w:pStyle w:val="Heading6"/>
      </w:pPr>
      <w:r>
        <w:t>FGARA</w:t>
      </w:r>
    </w:p>
    <w:p w14:paraId="49A9475C" w14:textId="30E44C82" w:rsidR="00C953C7" w:rsidRDefault="00D61CE6" w:rsidP="00BA7AF2">
      <w:pPr>
        <w:pStyle w:val="BodyText"/>
      </w:pPr>
      <w:r>
        <w:t xml:space="preserve">The total cost of the Flinders and Gilbert Agricultural Resource Assessment (FGARA) project was $6.8 million. </w:t>
      </w:r>
      <w:r w:rsidR="001D6CCD" w:rsidRPr="001D6CCD">
        <w:t xml:space="preserve">The Australian Government funded $6 million while </w:t>
      </w:r>
      <w:r>
        <w:t>CSIRO contributed $</w:t>
      </w:r>
      <w:r w:rsidR="001D6CCD">
        <w:t>800,000, principally for airborne geophysics</w:t>
      </w:r>
      <w:r>
        <w:t xml:space="preserve">. </w:t>
      </w:r>
      <w:r w:rsidR="00A54951">
        <w:t>While t</w:t>
      </w:r>
      <w:r>
        <w:t xml:space="preserve">he Queensland Government </w:t>
      </w:r>
      <w:r w:rsidR="00A54951" w:rsidRPr="00A54951">
        <w:t>announced a budget of $3 million for its component of the NQIAS</w:t>
      </w:r>
      <w:r w:rsidR="00A54951">
        <w:t>,</w:t>
      </w:r>
      <w:r w:rsidR="00A54951" w:rsidRPr="00A54951">
        <w:t xml:space="preserve"> </w:t>
      </w:r>
      <w:r w:rsidR="00A54951">
        <w:t>none of this was used to support FGARA</w:t>
      </w:r>
      <w:r w:rsidR="00A54951" w:rsidRPr="00A54951">
        <w:t xml:space="preserve"> </w:t>
      </w:r>
      <w:r w:rsidR="00FF35C5">
        <w:t xml:space="preserve">(see </w:t>
      </w:r>
      <w:r w:rsidR="00FF35C5">
        <w:fldChar w:fldCharType="begin"/>
      </w:r>
      <w:r w:rsidR="00FF35C5">
        <w:instrText xml:space="preserve"> REF _Ref463531023 \h </w:instrText>
      </w:r>
      <w:r w:rsidR="00FF35C5">
        <w:fldChar w:fldCharType="separate"/>
      </w:r>
      <w:r w:rsidR="00FF35C5" w:rsidRPr="00FC29C8">
        <w:rPr>
          <w:rStyle w:val="CaptionLabel"/>
        </w:rPr>
        <w:t>Table</w:t>
      </w:r>
      <w:r w:rsidR="00FF35C5">
        <w:rPr>
          <w:rStyle w:val="CaptionLabel"/>
        </w:rPr>
        <w:t> </w:t>
      </w:r>
      <w:r w:rsidR="00FF35C5">
        <w:rPr>
          <w:rStyle w:val="CaptionLabel"/>
          <w:noProof/>
        </w:rPr>
        <w:t>1</w:t>
      </w:r>
      <w:r w:rsidR="00FF35C5" w:rsidRPr="00FC29C8">
        <w:rPr>
          <w:rStyle w:val="CaptionLabel"/>
        </w:rPr>
        <w:t>.</w:t>
      </w:r>
      <w:r w:rsidR="00FF35C5">
        <w:rPr>
          <w:rStyle w:val="CaptionLabel"/>
          <w:noProof/>
        </w:rPr>
        <w:t>1</w:t>
      </w:r>
      <w:r w:rsidR="00FF35C5">
        <w:fldChar w:fldCharType="end"/>
      </w:r>
      <w:r w:rsidR="00FF35C5">
        <w:t>).</w:t>
      </w:r>
    </w:p>
    <w:p w14:paraId="7E2380FD" w14:textId="77777777" w:rsidR="00C953C7" w:rsidRDefault="00C953C7" w:rsidP="00C953C7">
      <w:pPr>
        <w:pStyle w:val="Caption"/>
        <w:spacing w:before="160"/>
        <w:ind w:left="0" w:firstLine="0"/>
      </w:pPr>
      <w:bookmarkStart w:id="3" w:name="_Ref463531023"/>
      <w:r w:rsidRPr="00FC29C8">
        <w:rPr>
          <w:rStyle w:val="CaptionLabel"/>
        </w:rPr>
        <w:t>Table</w:t>
      </w:r>
      <w:r>
        <w:rPr>
          <w:rStyle w:val="CaptionLabel"/>
        </w:rPr>
        <w:t> </w:t>
      </w:r>
      <w:r w:rsidRPr="00FC29C8">
        <w:rPr>
          <w:rStyle w:val="CaptionLabel"/>
        </w:rPr>
        <w:fldChar w:fldCharType="begin"/>
      </w:r>
      <w:r w:rsidRPr="00FC29C8">
        <w:rPr>
          <w:rStyle w:val="CaptionLabel"/>
        </w:rPr>
        <w:instrText xml:space="preserve"> STYLEREF 1 \s </w:instrText>
      </w:r>
      <w:r w:rsidRPr="00FC29C8">
        <w:rPr>
          <w:rStyle w:val="CaptionLabel"/>
        </w:rPr>
        <w:fldChar w:fldCharType="separate"/>
      </w:r>
      <w:r>
        <w:rPr>
          <w:rStyle w:val="CaptionLabel"/>
          <w:noProof/>
        </w:rPr>
        <w:t>1</w:t>
      </w:r>
      <w:r w:rsidRPr="00FC29C8">
        <w:rPr>
          <w:rStyle w:val="CaptionLabel"/>
        </w:rPr>
        <w:fldChar w:fldCharType="end"/>
      </w:r>
      <w:r w:rsidRPr="00FC29C8">
        <w:rPr>
          <w:rStyle w:val="CaptionLabel"/>
        </w:rPr>
        <w:t>.</w:t>
      </w:r>
      <w:r w:rsidRPr="00FC29C8">
        <w:rPr>
          <w:rStyle w:val="CaptionLabel"/>
        </w:rPr>
        <w:fldChar w:fldCharType="begin"/>
      </w:r>
      <w:r w:rsidRPr="00FC29C8">
        <w:rPr>
          <w:rStyle w:val="CaptionLabel"/>
        </w:rPr>
        <w:instrText xml:space="preserve"> SEQ Table \* ARABIC \s 1 </w:instrText>
      </w:r>
      <w:r w:rsidRPr="00FC29C8">
        <w:rPr>
          <w:rStyle w:val="CaptionLabel"/>
        </w:rPr>
        <w:fldChar w:fldCharType="separate"/>
      </w:r>
      <w:r>
        <w:rPr>
          <w:rStyle w:val="CaptionLabel"/>
          <w:noProof/>
        </w:rPr>
        <w:t>1</w:t>
      </w:r>
      <w:r w:rsidRPr="00FC29C8">
        <w:rPr>
          <w:rStyle w:val="CaptionLabel"/>
        </w:rPr>
        <w:fldChar w:fldCharType="end"/>
      </w:r>
      <w:bookmarkEnd w:id="3"/>
      <w:r>
        <w:tab/>
        <w:t xml:space="preserve">Support for </w:t>
      </w:r>
      <w:r w:rsidR="00D61CE6">
        <w:t>FGARA</w:t>
      </w:r>
    </w:p>
    <w:tbl>
      <w:tblPr>
        <w:tblW w:w="10207" w:type="dxa"/>
        <w:tblInd w:w="-426" w:type="dxa"/>
        <w:tblLayout w:type="fixed"/>
        <w:tblCellMar>
          <w:left w:w="0" w:type="dxa"/>
          <w:bottom w:w="40" w:type="dxa"/>
          <w:right w:w="0" w:type="dxa"/>
        </w:tblCellMar>
        <w:tblLook w:val="0000" w:firstRow="0" w:lastRow="0" w:firstColumn="0" w:lastColumn="0" w:noHBand="0" w:noVBand="0"/>
        <w:tblDescription w:val="table_Std"/>
      </w:tblPr>
      <w:tblGrid>
        <w:gridCol w:w="437"/>
        <w:gridCol w:w="3534"/>
        <w:gridCol w:w="2127"/>
        <w:gridCol w:w="2129"/>
        <w:gridCol w:w="1980"/>
      </w:tblGrid>
      <w:tr w:rsidR="00D61CE6" w14:paraId="518993A4" w14:textId="77777777" w:rsidTr="00D61CE6">
        <w:trPr>
          <w:cantSplit/>
          <w:tblHeader/>
        </w:trPr>
        <w:tc>
          <w:tcPr>
            <w:tcW w:w="1945" w:type="pct"/>
            <w:gridSpan w:val="2"/>
            <w:shd w:val="clear" w:color="auto" w:fill="9D57A6"/>
            <w:tcMar>
              <w:left w:w="454" w:type="dxa"/>
              <w:bottom w:w="0" w:type="dxa"/>
            </w:tcMar>
            <w:vAlign w:val="center"/>
          </w:tcPr>
          <w:p w14:paraId="331871AE" w14:textId="77777777" w:rsidR="00D61CE6" w:rsidRDefault="00D61CE6" w:rsidP="0089015A">
            <w:pPr>
              <w:pStyle w:val="Tablecolumnheadings"/>
              <w:spacing w:before="80" w:after="80" w:line="240" w:lineRule="auto"/>
              <w:ind w:right="119"/>
            </w:pPr>
            <w:r>
              <w:t>Contributor / type of support</w:t>
            </w:r>
          </w:p>
        </w:tc>
        <w:tc>
          <w:tcPr>
            <w:tcW w:w="1042" w:type="pct"/>
            <w:shd w:val="clear" w:color="auto" w:fill="9D57A6"/>
            <w:tcMar>
              <w:bottom w:w="0" w:type="dxa"/>
            </w:tcMar>
            <w:vAlign w:val="center"/>
          </w:tcPr>
          <w:p w14:paraId="4BCDFF25" w14:textId="77777777" w:rsidR="00D61CE6" w:rsidRDefault="00101A1B" w:rsidP="00D61CE6">
            <w:pPr>
              <w:pStyle w:val="Tablecolumnheadings"/>
              <w:spacing w:before="80" w:after="80" w:line="240" w:lineRule="auto"/>
              <w:ind w:right="119"/>
              <w:jc w:val="center"/>
            </w:pPr>
            <w:r>
              <w:t>2011/</w:t>
            </w:r>
            <w:r w:rsidR="00D61CE6">
              <w:t>2012</w:t>
            </w:r>
          </w:p>
        </w:tc>
        <w:tc>
          <w:tcPr>
            <w:tcW w:w="1043" w:type="pct"/>
            <w:shd w:val="clear" w:color="auto" w:fill="9D57A6"/>
            <w:tcMar>
              <w:bottom w:w="0" w:type="dxa"/>
            </w:tcMar>
            <w:vAlign w:val="center"/>
          </w:tcPr>
          <w:p w14:paraId="38C20D9A" w14:textId="77777777" w:rsidR="00D61CE6" w:rsidRDefault="00101A1B" w:rsidP="00101A1B">
            <w:pPr>
              <w:pStyle w:val="Tablecolumnheadings"/>
              <w:spacing w:before="80" w:after="80" w:line="240" w:lineRule="auto"/>
              <w:ind w:right="119"/>
              <w:jc w:val="center"/>
            </w:pPr>
            <w:r>
              <w:t>2012/</w:t>
            </w:r>
            <w:r w:rsidR="00D61CE6">
              <w:t>2013</w:t>
            </w:r>
          </w:p>
        </w:tc>
        <w:tc>
          <w:tcPr>
            <w:tcW w:w="970" w:type="pct"/>
            <w:shd w:val="clear" w:color="auto" w:fill="9D57A6"/>
            <w:tcMar>
              <w:bottom w:w="0" w:type="dxa"/>
            </w:tcMar>
            <w:vAlign w:val="center"/>
          </w:tcPr>
          <w:p w14:paraId="07909AA6" w14:textId="77777777" w:rsidR="00D61CE6" w:rsidRDefault="00D61CE6" w:rsidP="00C953C7">
            <w:pPr>
              <w:pStyle w:val="Tablecolumnheadings"/>
              <w:spacing w:before="80" w:after="80" w:line="240" w:lineRule="auto"/>
              <w:ind w:right="119"/>
              <w:jc w:val="center"/>
            </w:pPr>
            <w:r>
              <w:t>Total</w:t>
            </w:r>
          </w:p>
        </w:tc>
      </w:tr>
      <w:tr w:rsidR="00D61CE6" w14:paraId="5FC208DA" w14:textId="77777777" w:rsidTr="00D61CE6">
        <w:tblPrEx>
          <w:tblBorders>
            <w:bottom w:val="single" w:sz="4" w:space="0" w:color="646464"/>
            <w:insideH w:val="single" w:sz="4" w:space="0" w:color="646464"/>
          </w:tblBorders>
        </w:tblPrEx>
        <w:trPr>
          <w:gridBefore w:val="1"/>
          <w:wBefore w:w="214" w:type="pct"/>
          <w:cantSplit/>
        </w:trPr>
        <w:tc>
          <w:tcPr>
            <w:tcW w:w="1731" w:type="pct"/>
            <w:tcBorders>
              <w:top w:val="nil"/>
            </w:tcBorders>
            <w:shd w:val="clear" w:color="auto" w:fill="F2F2F2" w:themeFill="background1" w:themeFillShade="F2"/>
          </w:tcPr>
          <w:p w14:paraId="25F1E368" w14:textId="77777777" w:rsidR="00D61CE6" w:rsidRPr="00C87835" w:rsidRDefault="00D61CE6" w:rsidP="0089015A">
            <w:pPr>
              <w:pStyle w:val="Tabletext"/>
              <w:rPr>
                <w:b/>
              </w:rPr>
            </w:pPr>
            <w:r w:rsidRPr="00C87835">
              <w:rPr>
                <w:b/>
              </w:rPr>
              <w:t>Cash</w:t>
            </w:r>
          </w:p>
        </w:tc>
        <w:tc>
          <w:tcPr>
            <w:tcW w:w="1042" w:type="pct"/>
            <w:tcBorders>
              <w:top w:val="nil"/>
            </w:tcBorders>
            <w:shd w:val="clear" w:color="auto" w:fill="F2F2F2" w:themeFill="background1" w:themeFillShade="F2"/>
          </w:tcPr>
          <w:p w14:paraId="4BADC4AD" w14:textId="77777777" w:rsidR="00D61CE6" w:rsidRDefault="00D61CE6" w:rsidP="0089015A">
            <w:pPr>
              <w:pStyle w:val="Tabletext"/>
            </w:pPr>
          </w:p>
        </w:tc>
        <w:tc>
          <w:tcPr>
            <w:tcW w:w="1043" w:type="pct"/>
            <w:tcBorders>
              <w:top w:val="nil"/>
            </w:tcBorders>
            <w:shd w:val="clear" w:color="auto" w:fill="F2F2F2" w:themeFill="background1" w:themeFillShade="F2"/>
          </w:tcPr>
          <w:p w14:paraId="645F0E04" w14:textId="77777777" w:rsidR="00D61CE6" w:rsidRDefault="00D61CE6" w:rsidP="0089015A">
            <w:pPr>
              <w:pStyle w:val="Tabletext"/>
            </w:pPr>
          </w:p>
        </w:tc>
        <w:tc>
          <w:tcPr>
            <w:tcW w:w="970" w:type="pct"/>
            <w:tcBorders>
              <w:top w:val="nil"/>
            </w:tcBorders>
            <w:shd w:val="clear" w:color="auto" w:fill="F2F2F2" w:themeFill="background1" w:themeFillShade="F2"/>
          </w:tcPr>
          <w:p w14:paraId="2DA9A23F" w14:textId="77777777" w:rsidR="00D61CE6" w:rsidRDefault="00D61CE6" w:rsidP="0089015A">
            <w:pPr>
              <w:pStyle w:val="Tabletext"/>
            </w:pPr>
          </w:p>
        </w:tc>
      </w:tr>
      <w:tr w:rsidR="00D61CE6" w14:paraId="12E35402" w14:textId="77777777" w:rsidTr="00FF35C5">
        <w:tblPrEx>
          <w:tblBorders>
            <w:bottom w:val="single" w:sz="4" w:space="0" w:color="646464"/>
            <w:insideH w:val="single" w:sz="4" w:space="0" w:color="646464"/>
          </w:tblBorders>
        </w:tblPrEx>
        <w:trPr>
          <w:gridBefore w:val="1"/>
          <w:wBefore w:w="214" w:type="pct"/>
          <w:cantSplit/>
        </w:trPr>
        <w:tc>
          <w:tcPr>
            <w:tcW w:w="1731" w:type="pct"/>
            <w:shd w:val="clear" w:color="auto" w:fill="auto"/>
          </w:tcPr>
          <w:p w14:paraId="31DA755A" w14:textId="77777777" w:rsidR="00D61CE6" w:rsidRDefault="00D61CE6" w:rsidP="0089015A">
            <w:pPr>
              <w:pStyle w:val="Tabletext"/>
            </w:pPr>
            <w:r>
              <w:t>CSIRO</w:t>
            </w:r>
          </w:p>
        </w:tc>
        <w:tc>
          <w:tcPr>
            <w:tcW w:w="1042" w:type="pct"/>
            <w:vAlign w:val="center"/>
          </w:tcPr>
          <w:p w14:paraId="24D4D597" w14:textId="77777777" w:rsidR="00D61CE6" w:rsidRDefault="00A54951" w:rsidP="00FF35C5">
            <w:pPr>
              <w:pStyle w:val="Tabletext"/>
              <w:jc w:val="center"/>
            </w:pPr>
            <w:r>
              <w:t>$400,000</w:t>
            </w:r>
          </w:p>
        </w:tc>
        <w:tc>
          <w:tcPr>
            <w:tcW w:w="1043" w:type="pct"/>
            <w:vAlign w:val="center"/>
          </w:tcPr>
          <w:p w14:paraId="1412B7CF" w14:textId="77777777" w:rsidR="00D61CE6" w:rsidRDefault="00A54951" w:rsidP="00FF35C5">
            <w:pPr>
              <w:pStyle w:val="Tabletext"/>
              <w:jc w:val="center"/>
            </w:pPr>
            <w:r>
              <w:t>$400,000</w:t>
            </w:r>
          </w:p>
        </w:tc>
        <w:tc>
          <w:tcPr>
            <w:tcW w:w="970" w:type="pct"/>
            <w:vAlign w:val="center"/>
          </w:tcPr>
          <w:p w14:paraId="2D222B49" w14:textId="77777777" w:rsidR="00D61CE6" w:rsidRDefault="00A54951" w:rsidP="00FF35C5">
            <w:pPr>
              <w:pStyle w:val="Tabletext"/>
              <w:jc w:val="center"/>
            </w:pPr>
            <w:r>
              <w:t>$800,000</w:t>
            </w:r>
          </w:p>
        </w:tc>
      </w:tr>
      <w:tr w:rsidR="00D61CE6" w14:paraId="39F392D7" w14:textId="77777777" w:rsidTr="00FF35C5">
        <w:tblPrEx>
          <w:tblBorders>
            <w:bottom w:val="single" w:sz="4" w:space="0" w:color="646464"/>
            <w:insideH w:val="single" w:sz="4" w:space="0" w:color="646464"/>
          </w:tblBorders>
        </w:tblPrEx>
        <w:trPr>
          <w:gridBefore w:val="1"/>
          <w:wBefore w:w="214" w:type="pct"/>
          <w:cantSplit/>
        </w:trPr>
        <w:tc>
          <w:tcPr>
            <w:tcW w:w="1731" w:type="pct"/>
            <w:shd w:val="clear" w:color="auto" w:fill="auto"/>
          </w:tcPr>
          <w:p w14:paraId="361A84F4" w14:textId="77777777" w:rsidR="00D61CE6" w:rsidRDefault="00A54951" w:rsidP="0089015A">
            <w:pPr>
              <w:pStyle w:val="Tabletext"/>
            </w:pPr>
            <w:r>
              <w:t xml:space="preserve">Commonwealth </w:t>
            </w:r>
            <w:r w:rsidR="00D61CE6">
              <w:t xml:space="preserve">Government </w:t>
            </w:r>
          </w:p>
        </w:tc>
        <w:tc>
          <w:tcPr>
            <w:tcW w:w="1042" w:type="pct"/>
            <w:vAlign w:val="center"/>
          </w:tcPr>
          <w:p w14:paraId="326B4F45" w14:textId="77777777" w:rsidR="00D61CE6" w:rsidRDefault="00A54951" w:rsidP="00FF35C5">
            <w:pPr>
              <w:pStyle w:val="Tabletext"/>
              <w:jc w:val="center"/>
            </w:pPr>
            <w:r>
              <w:t>$3,000,000</w:t>
            </w:r>
          </w:p>
        </w:tc>
        <w:tc>
          <w:tcPr>
            <w:tcW w:w="1043" w:type="pct"/>
            <w:vAlign w:val="center"/>
          </w:tcPr>
          <w:p w14:paraId="59CCE09B" w14:textId="77777777" w:rsidR="00D61CE6" w:rsidRDefault="00A54951" w:rsidP="00FF35C5">
            <w:pPr>
              <w:pStyle w:val="Tabletext"/>
              <w:jc w:val="center"/>
            </w:pPr>
            <w:r>
              <w:t>$3,000,000</w:t>
            </w:r>
          </w:p>
        </w:tc>
        <w:tc>
          <w:tcPr>
            <w:tcW w:w="970" w:type="pct"/>
            <w:vAlign w:val="center"/>
          </w:tcPr>
          <w:p w14:paraId="23D192A5" w14:textId="77777777" w:rsidR="00D61CE6" w:rsidRDefault="00A54951" w:rsidP="00FF35C5">
            <w:pPr>
              <w:pStyle w:val="Tabletext"/>
              <w:jc w:val="center"/>
            </w:pPr>
            <w:r>
              <w:t>$6,000,000</w:t>
            </w:r>
          </w:p>
        </w:tc>
      </w:tr>
      <w:tr w:rsidR="00D61CE6" w14:paraId="27677E90" w14:textId="77777777" w:rsidTr="00FF35C5">
        <w:tblPrEx>
          <w:tblBorders>
            <w:bottom w:val="single" w:sz="4" w:space="0" w:color="646464"/>
            <w:insideH w:val="single" w:sz="4" w:space="0" w:color="646464"/>
          </w:tblBorders>
        </w:tblPrEx>
        <w:trPr>
          <w:gridBefore w:val="1"/>
          <w:wBefore w:w="214" w:type="pct"/>
          <w:cantSplit/>
        </w:trPr>
        <w:tc>
          <w:tcPr>
            <w:tcW w:w="1731" w:type="pct"/>
            <w:shd w:val="clear" w:color="auto" w:fill="auto"/>
            <w:vAlign w:val="center"/>
          </w:tcPr>
          <w:p w14:paraId="50552636" w14:textId="77777777" w:rsidR="00D61CE6" w:rsidRPr="0073390E" w:rsidRDefault="00D61CE6" w:rsidP="0089015A">
            <w:pPr>
              <w:pStyle w:val="Tabletext"/>
              <w:jc w:val="right"/>
              <w:rPr>
                <w:b/>
              </w:rPr>
            </w:pPr>
            <w:r w:rsidRPr="0073390E">
              <w:rPr>
                <w:b/>
              </w:rPr>
              <w:t>Total</w:t>
            </w:r>
          </w:p>
        </w:tc>
        <w:tc>
          <w:tcPr>
            <w:tcW w:w="1042" w:type="pct"/>
            <w:vAlign w:val="center"/>
          </w:tcPr>
          <w:p w14:paraId="6DA7B2DE" w14:textId="77777777" w:rsidR="00D61CE6" w:rsidRPr="0073390E" w:rsidRDefault="00A54951" w:rsidP="00FF35C5">
            <w:pPr>
              <w:pStyle w:val="Tabletext"/>
              <w:jc w:val="center"/>
              <w:rPr>
                <w:rFonts w:cs="Arial"/>
                <w:b/>
                <w:color w:val="000000"/>
                <w:sz w:val="18"/>
                <w:szCs w:val="18"/>
              </w:rPr>
            </w:pPr>
            <w:r>
              <w:rPr>
                <w:rFonts w:cs="Arial"/>
                <w:b/>
                <w:color w:val="000000"/>
                <w:sz w:val="18"/>
                <w:szCs w:val="18"/>
              </w:rPr>
              <w:t>$3,400,000</w:t>
            </w:r>
          </w:p>
        </w:tc>
        <w:tc>
          <w:tcPr>
            <w:tcW w:w="1043" w:type="pct"/>
            <w:vAlign w:val="center"/>
          </w:tcPr>
          <w:p w14:paraId="5585D2E7" w14:textId="77777777" w:rsidR="00D61CE6" w:rsidRPr="00A54951" w:rsidRDefault="00A54951" w:rsidP="00FF35C5">
            <w:pPr>
              <w:pStyle w:val="Tabletext"/>
              <w:jc w:val="center"/>
              <w:rPr>
                <w:rFonts w:cs="Arial"/>
                <w:b/>
                <w:color w:val="000000"/>
                <w:sz w:val="18"/>
                <w:szCs w:val="18"/>
              </w:rPr>
            </w:pPr>
            <w:r w:rsidRPr="00A54951">
              <w:rPr>
                <w:rFonts w:cs="Arial"/>
                <w:b/>
                <w:color w:val="000000"/>
                <w:sz w:val="18"/>
                <w:szCs w:val="18"/>
              </w:rPr>
              <w:t>$3,400,000</w:t>
            </w:r>
          </w:p>
        </w:tc>
        <w:tc>
          <w:tcPr>
            <w:tcW w:w="970" w:type="pct"/>
            <w:vAlign w:val="center"/>
          </w:tcPr>
          <w:p w14:paraId="09F8C342" w14:textId="77777777" w:rsidR="00D61CE6" w:rsidRPr="0078116E" w:rsidRDefault="00FF35C5" w:rsidP="00FF35C5">
            <w:pPr>
              <w:pStyle w:val="Tabletext"/>
              <w:jc w:val="center"/>
              <w:rPr>
                <w:rFonts w:cs="Arial"/>
                <w:b/>
                <w:color w:val="000000"/>
                <w:sz w:val="18"/>
                <w:szCs w:val="18"/>
              </w:rPr>
            </w:pPr>
            <w:r w:rsidRPr="0078116E">
              <w:rPr>
                <w:rFonts w:cs="Arial"/>
                <w:b/>
                <w:color w:val="000000"/>
                <w:sz w:val="18"/>
                <w:szCs w:val="18"/>
              </w:rPr>
              <w:t>$6.8 million</w:t>
            </w:r>
          </w:p>
        </w:tc>
      </w:tr>
    </w:tbl>
    <w:p w14:paraId="486F2E02" w14:textId="77777777" w:rsidR="00C953C7" w:rsidRDefault="00C953C7" w:rsidP="00C953C7">
      <w:pPr>
        <w:pStyle w:val="Heading3"/>
      </w:pPr>
      <w:r w:rsidRPr="00B03BA4">
        <w:t>Project activities</w:t>
      </w:r>
    </w:p>
    <w:p w14:paraId="6C44D871" w14:textId="77777777" w:rsidR="00FF35C5" w:rsidRDefault="00FF35C5" w:rsidP="00FF35C5">
      <w:pPr>
        <w:pStyle w:val="Heading6"/>
      </w:pPr>
      <w:proofErr w:type="spellStart"/>
      <w:r>
        <w:t>TraNSIT</w:t>
      </w:r>
      <w:proofErr w:type="spellEnd"/>
    </w:p>
    <w:p w14:paraId="28305F76" w14:textId="0F804874" w:rsidR="00C953C7" w:rsidRDefault="00FF35C5" w:rsidP="00C953C7">
      <w:pPr>
        <w:pStyle w:val="BodyText"/>
      </w:pPr>
      <w:r>
        <w:t xml:space="preserve">In order to examine the transport challenge facing the live cattle export sector, CSIRO needed to evaluate the entire </w:t>
      </w:r>
      <w:r w:rsidR="002152CD">
        <w:t xml:space="preserve">cattle transport </w:t>
      </w:r>
      <w:r>
        <w:t>system across northern Australia. To do this, CSIRO researchers simulated more than 1.5 million vehicle movements between 50,000 enterprises over five years using some 88,000 point to point travel routes. The resulting information was then modelled via a tool CSIRO developed known as the Transport Network Strategic Investment Tool (</w:t>
      </w:r>
      <w:proofErr w:type="spellStart"/>
      <w:r>
        <w:t>TraNSIT</w:t>
      </w:r>
      <w:proofErr w:type="spellEnd"/>
      <w:r>
        <w:t>).</w:t>
      </w:r>
    </w:p>
    <w:p w14:paraId="62CB07CF" w14:textId="593A0BD7" w:rsidR="00751FB4" w:rsidRDefault="004422F6" w:rsidP="00C953C7">
      <w:pPr>
        <w:pStyle w:val="BodyText"/>
      </w:pPr>
      <w:r>
        <w:t xml:space="preserve">Since </w:t>
      </w:r>
      <w:r w:rsidR="00101A1B">
        <w:t>its</w:t>
      </w:r>
      <w:r>
        <w:t xml:space="preserve"> original a</w:t>
      </w:r>
      <w:r w:rsidR="00DB142F">
        <w:t>pplication to the beef industry, t</w:t>
      </w:r>
      <w:r w:rsidR="00751FB4">
        <w:t xml:space="preserve">he </w:t>
      </w:r>
      <w:proofErr w:type="spellStart"/>
      <w:r w:rsidR="00751FB4">
        <w:t>TraNSIT</w:t>
      </w:r>
      <w:proofErr w:type="spellEnd"/>
      <w:r w:rsidR="00751FB4">
        <w:t xml:space="preserve"> tool </w:t>
      </w:r>
      <w:r w:rsidR="00DB142F">
        <w:t xml:space="preserve">has </w:t>
      </w:r>
      <w:r w:rsidR="00751FB4">
        <w:t>now</w:t>
      </w:r>
      <w:r w:rsidR="00DB142F">
        <w:t xml:space="preserve"> been developed to the point where it now</w:t>
      </w:r>
      <w:r w:rsidR="00751FB4">
        <w:t xml:space="preserve"> includes </w:t>
      </w:r>
      <w:r w:rsidR="003A2660">
        <w:t xml:space="preserve">98 per cent of </w:t>
      </w:r>
      <w:r w:rsidR="003A2660" w:rsidRPr="00DB142F">
        <w:t xml:space="preserve">agriculture </w:t>
      </w:r>
      <w:r w:rsidR="003A2660">
        <w:t>transport (</w:t>
      </w:r>
      <w:r w:rsidR="00751FB4">
        <w:t>road</w:t>
      </w:r>
      <w:r w:rsidR="00DB142F">
        <w:t xml:space="preserve"> and </w:t>
      </w:r>
      <w:r w:rsidR="00DB142F" w:rsidRPr="00DB142F">
        <w:t>rail</w:t>
      </w:r>
      <w:r w:rsidR="003A2660">
        <w:t>)</w:t>
      </w:r>
      <w:r w:rsidR="00DB142F" w:rsidRPr="00DB142F">
        <w:t xml:space="preserve"> </w:t>
      </w:r>
      <w:r w:rsidR="003A2660">
        <w:t>across</w:t>
      </w:r>
      <w:r w:rsidR="00751FB4">
        <w:t xml:space="preserve"> Australia.</w:t>
      </w:r>
    </w:p>
    <w:p w14:paraId="21F77727" w14:textId="77777777" w:rsidR="009840FB" w:rsidRDefault="009840FB" w:rsidP="009840FB">
      <w:pPr>
        <w:pStyle w:val="Heading6"/>
      </w:pPr>
      <w:r>
        <w:t>FGARA</w:t>
      </w:r>
    </w:p>
    <w:p w14:paraId="2DA2DCAD" w14:textId="77777777" w:rsidR="009840FB" w:rsidRDefault="009840FB" w:rsidP="00AA30E4">
      <w:pPr>
        <w:pStyle w:val="BodyText"/>
      </w:pPr>
      <w:r>
        <w:t xml:space="preserve">Over 100 </w:t>
      </w:r>
      <w:r w:rsidR="0078116E">
        <w:t>researchers</w:t>
      </w:r>
      <w:r>
        <w:t xml:space="preserve"> </w:t>
      </w:r>
      <w:r w:rsidR="00DB142F">
        <w:t>contributed to</w:t>
      </w:r>
      <w:r>
        <w:t xml:space="preserve"> this project, designed to provide a comprehensive and integrated evaluation of the feasibility, economic viability and sustainability of agricultural development in the Flinders and Gilbert catchments in </w:t>
      </w:r>
      <w:r w:rsidR="00DB142F">
        <w:t>n</w:t>
      </w:r>
      <w:r>
        <w:t xml:space="preserve">orth Queensland. </w:t>
      </w:r>
    </w:p>
    <w:p w14:paraId="5BF89397" w14:textId="77777777" w:rsidR="00DB142F" w:rsidRDefault="00DB142F" w:rsidP="00DB142F">
      <w:pPr>
        <w:pStyle w:val="BodyText"/>
      </w:pPr>
      <w:r>
        <w:t>The key to FGARA was that it integrated information from a wide range of disciplines. FGARA included distinct activities relating to:</w:t>
      </w:r>
    </w:p>
    <w:p w14:paraId="6A42F147" w14:textId="77777777" w:rsidR="00DB142F" w:rsidRDefault="00DB142F" w:rsidP="00DB142F">
      <w:pPr>
        <w:pStyle w:val="ListBullet"/>
      </w:pPr>
      <w:r>
        <w:lastRenderedPageBreak/>
        <w:t>Climate</w:t>
      </w:r>
    </w:p>
    <w:p w14:paraId="252F2070" w14:textId="77777777" w:rsidR="00DB142F" w:rsidRDefault="00DB142F" w:rsidP="00DB142F">
      <w:pPr>
        <w:pStyle w:val="ListBullet"/>
      </w:pPr>
      <w:r>
        <w:t>River modelling</w:t>
      </w:r>
    </w:p>
    <w:p w14:paraId="1BFC34E4" w14:textId="77777777" w:rsidR="00DB142F" w:rsidRDefault="00DB142F" w:rsidP="00DB142F">
      <w:pPr>
        <w:pStyle w:val="ListBullet"/>
      </w:pPr>
      <w:r>
        <w:t>Flood mapping</w:t>
      </w:r>
    </w:p>
    <w:p w14:paraId="3585DE41" w14:textId="77777777" w:rsidR="00DB142F" w:rsidRDefault="00DB142F" w:rsidP="00DB142F">
      <w:pPr>
        <w:pStyle w:val="ListBullet"/>
      </w:pPr>
      <w:r>
        <w:t>Geophysical assessment</w:t>
      </w:r>
    </w:p>
    <w:p w14:paraId="6BAC2BC4" w14:textId="77777777" w:rsidR="00DB142F" w:rsidRDefault="00DB142F" w:rsidP="00DB142F">
      <w:pPr>
        <w:pStyle w:val="ListBullet"/>
      </w:pPr>
      <w:r>
        <w:t>Land suitability</w:t>
      </w:r>
    </w:p>
    <w:p w14:paraId="4717FB55" w14:textId="77777777" w:rsidR="00DB142F" w:rsidRDefault="00DB142F" w:rsidP="00DB142F">
      <w:pPr>
        <w:pStyle w:val="ListBullet"/>
      </w:pPr>
      <w:r>
        <w:t>Groundwater</w:t>
      </w:r>
    </w:p>
    <w:p w14:paraId="7E11D2E7" w14:textId="77777777" w:rsidR="00DB142F" w:rsidRDefault="00DB142F" w:rsidP="00DB142F">
      <w:pPr>
        <w:pStyle w:val="ListBullet"/>
      </w:pPr>
      <w:r>
        <w:t>Surface water storage</w:t>
      </w:r>
    </w:p>
    <w:p w14:paraId="0CD4DEC2" w14:textId="77777777" w:rsidR="00DB142F" w:rsidRDefault="00DB142F" w:rsidP="00DB142F">
      <w:pPr>
        <w:pStyle w:val="ListBullet"/>
      </w:pPr>
      <w:r>
        <w:t>Agriculture productivity</w:t>
      </w:r>
    </w:p>
    <w:p w14:paraId="5D726F3F" w14:textId="77777777" w:rsidR="00DB142F" w:rsidRDefault="00DB142F" w:rsidP="00DB142F">
      <w:pPr>
        <w:pStyle w:val="ListBullet"/>
      </w:pPr>
      <w:r>
        <w:t>Dry-season pools</w:t>
      </w:r>
    </w:p>
    <w:p w14:paraId="0A22BBA0" w14:textId="77777777" w:rsidR="00DB142F" w:rsidRDefault="00DB142F" w:rsidP="00DB142F">
      <w:pPr>
        <w:pStyle w:val="ListBullet"/>
      </w:pPr>
      <w:r>
        <w:t>Aquatic and riparian ecology</w:t>
      </w:r>
    </w:p>
    <w:p w14:paraId="7184A6A3" w14:textId="77777777" w:rsidR="00DB142F" w:rsidRDefault="00DB142F" w:rsidP="00DB142F">
      <w:pPr>
        <w:pStyle w:val="ListBullet"/>
      </w:pPr>
      <w:r>
        <w:t>Indigenous water values</w:t>
      </w:r>
    </w:p>
    <w:p w14:paraId="08F9C04B" w14:textId="77777777" w:rsidR="00DB142F" w:rsidRDefault="00DB142F" w:rsidP="00DB142F">
      <w:pPr>
        <w:pStyle w:val="ListBullet"/>
      </w:pPr>
      <w:r>
        <w:t>Socio-economics</w:t>
      </w:r>
    </w:p>
    <w:p w14:paraId="7052A122" w14:textId="6A0D2855" w:rsidR="00DB142F" w:rsidRDefault="00DB142F" w:rsidP="00DB142F">
      <w:pPr>
        <w:pStyle w:val="BodyText"/>
      </w:pPr>
      <w:r>
        <w:t xml:space="preserve">Many of these activities either developed new techniques (e.g. dry season pools or surface water storage) or applied cutting edge techniques on a larger scale than had previously been attempted (e.g. </w:t>
      </w:r>
      <w:r w:rsidR="002152CD">
        <w:t xml:space="preserve">using Digital Soils Mapping </w:t>
      </w:r>
      <w:r w:rsidR="00456B6C">
        <w:t xml:space="preserve">to determine </w:t>
      </w:r>
      <w:r>
        <w:t>land suitability). The information products from FGARA ranged from highly technical activity reports down to integrated catchment reports, summaries and factsheets. FGARA’s value came from its ability to deliver information which could be used by end-users with a range of perspectives – all backed by the rigorous science which is expected of CSIRO.</w:t>
      </w:r>
    </w:p>
    <w:p w14:paraId="2CFC95C8" w14:textId="5C2493C3" w:rsidR="0089015A" w:rsidRDefault="00164859" w:rsidP="00D10FEB">
      <w:pPr>
        <w:pStyle w:val="BodyText"/>
      </w:pPr>
      <w:r>
        <w:t xml:space="preserve">The key to the new approach was </w:t>
      </w:r>
      <w:r w:rsidR="00DB142F">
        <w:t>CSIRO’s</w:t>
      </w:r>
      <w:r>
        <w:t xml:space="preserve"> ability to take information that was</w:t>
      </w:r>
      <w:r w:rsidR="002152CD">
        <w:t xml:space="preserve"> </w:t>
      </w:r>
      <w:r w:rsidR="00A604F7">
        <w:t xml:space="preserve">not </w:t>
      </w:r>
      <w:r w:rsidR="002152CD">
        <w:t>confined to a particular discipline or sector and, often using non-trad</w:t>
      </w:r>
      <w:r w:rsidR="00A604F7">
        <w:t>i</w:t>
      </w:r>
      <w:r w:rsidR="002152CD">
        <w:t xml:space="preserve">tional approaches, </w:t>
      </w:r>
      <w:r>
        <w:t xml:space="preserve">analyse it in ways that gave </w:t>
      </w:r>
      <w:r w:rsidR="00A604F7">
        <w:t xml:space="preserve">investors or government a greater feel for the scale of the opportunity. For example, non-traditional approaches were used to develop </w:t>
      </w:r>
      <w:r>
        <w:t>information about soil</w:t>
      </w:r>
      <w:r w:rsidR="00A604F7">
        <w:t>s</w:t>
      </w:r>
      <w:r>
        <w:t xml:space="preserve"> and landscape</w:t>
      </w:r>
      <w:r w:rsidR="00A604F7">
        <w:t xml:space="preserve"> using a range of existing data-sets</w:t>
      </w:r>
      <w:r>
        <w:t xml:space="preserve">. </w:t>
      </w:r>
      <w:r w:rsidR="0089015A">
        <w:t>Th</w:t>
      </w:r>
      <w:r w:rsidR="00DB142F">
        <w:t>is</w:t>
      </w:r>
      <w:r w:rsidR="0089015A">
        <w:t xml:space="preserve"> </w:t>
      </w:r>
      <w:r>
        <w:t>enabled CSIRO to prepare</w:t>
      </w:r>
      <w:r w:rsidR="0089015A">
        <w:t xml:space="preserve"> </w:t>
      </w:r>
      <w:r>
        <w:t xml:space="preserve">maps of the suitability of </w:t>
      </w:r>
      <w:r w:rsidR="0089015A">
        <w:t xml:space="preserve">land </w:t>
      </w:r>
      <w:r>
        <w:t xml:space="preserve">for different agricultural uses </w:t>
      </w:r>
      <w:r w:rsidR="0089015A">
        <w:t>for over 15</w:t>
      </w:r>
      <w:r w:rsidR="00EF113B">
        <w:t>5</w:t>
      </w:r>
      <w:r w:rsidR="0089015A">
        <w:t xml:space="preserve">,000 </w:t>
      </w:r>
      <w:r w:rsidR="00EF113B">
        <w:t>km</w:t>
      </w:r>
      <w:r w:rsidR="00EF113B" w:rsidRPr="00456B6C">
        <w:rPr>
          <w:vertAlign w:val="superscript"/>
        </w:rPr>
        <w:t>2</w:t>
      </w:r>
      <w:r w:rsidR="00EF113B">
        <w:t xml:space="preserve"> </w:t>
      </w:r>
      <w:r>
        <w:t>of the catchment</w:t>
      </w:r>
      <w:r w:rsidR="00EF113B">
        <w:t>s</w:t>
      </w:r>
      <w:r>
        <w:t xml:space="preserve"> within a year at a </w:t>
      </w:r>
      <w:r w:rsidR="00DB142F">
        <w:t xml:space="preserve">relatively modest </w:t>
      </w:r>
      <w:r>
        <w:t>cost. In the past</w:t>
      </w:r>
      <w:r w:rsidR="00DB142F">
        <w:t>,</w:t>
      </w:r>
      <w:r>
        <w:t xml:space="preserve"> prepar</w:t>
      </w:r>
      <w:r w:rsidR="00DB142F">
        <w:t>ing</w:t>
      </w:r>
      <w:r>
        <w:t xml:space="preserve"> such map</w:t>
      </w:r>
      <w:r w:rsidR="00EF113B">
        <w:t>s</w:t>
      </w:r>
      <w:r>
        <w:t xml:space="preserve"> would have taken </w:t>
      </w:r>
      <w:r w:rsidR="00EF113B">
        <w:t xml:space="preserve">several years at much greater cost. </w:t>
      </w:r>
    </w:p>
    <w:p w14:paraId="710ADA04" w14:textId="36F341F2" w:rsidR="00164859" w:rsidRDefault="00164859" w:rsidP="00D10FEB">
      <w:pPr>
        <w:pStyle w:val="BodyText"/>
      </w:pPr>
      <w:r>
        <w:t xml:space="preserve">Another innovation was to use satellite data to estimate water quality. The satellite data provides information about water turbidity and depth which helps to estimate the </w:t>
      </w:r>
      <w:r w:rsidR="00EF113B">
        <w:t xml:space="preserve">potential impact of agricultural development on the river systems and pools. </w:t>
      </w:r>
      <w:r>
        <w:t xml:space="preserve">Those estimates can then be </w:t>
      </w:r>
      <w:r w:rsidR="00751FB4">
        <w:t>verified</w:t>
      </w:r>
      <w:r>
        <w:t xml:space="preserve"> through on the ground testing </w:t>
      </w:r>
      <w:r w:rsidR="00751FB4">
        <w:t>and measurements.</w:t>
      </w:r>
    </w:p>
    <w:p w14:paraId="485ACCC7" w14:textId="77777777" w:rsidR="00C953C7" w:rsidRPr="00B03BA4" w:rsidRDefault="00C953C7" w:rsidP="00C953C7">
      <w:pPr>
        <w:pStyle w:val="Heading3"/>
      </w:pPr>
      <w:r w:rsidRPr="00B03BA4">
        <w:t>Project outputs</w:t>
      </w:r>
    </w:p>
    <w:p w14:paraId="5E6EDBE9" w14:textId="77777777" w:rsidR="00C953C7" w:rsidRDefault="00FF35C5" w:rsidP="00FF35C5">
      <w:pPr>
        <w:pStyle w:val="Heading6"/>
      </w:pPr>
      <w:proofErr w:type="spellStart"/>
      <w:r>
        <w:t>TraNSIT</w:t>
      </w:r>
      <w:proofErr w:type="spellEnd"/>
    </w:p>
    <w:p w14:paraId="5DF76FE1" w14:textId="372C156F" w:rsidR="00DC1306" w:rsidRDefault="00DC1306" w:rsidP="00DC1306">
      <w:pPr>
        <w:pStyle w:val="BodyText"/>
      </w:pPr>
      <w:r>
        <w:t xml:space="preserve">While CSIRO initially developed </w:t>
      </w:r>
      <w:proofErr w:type="spellStart"/>
      <w:r>
        <w:t>TraNSIT</w:t>
      </w:r>
      <w:proofErr w:type="spellEnd"/>
      <w:r>
        <w:t xml:space="preserve"> to examine live cattle logistics in </w:t>
      </w:r>
      <w:r w:rsidR="00C0505B">
        <w:t>northern</w:t>
      </w:r>
      <w:r w:rsidR="00EF113B">
        <w:t xml:space="preserve"> </w:t>
      </w:r>
      <w:r>
        <w:t>Australia</w:t>
      </w:r>
      <w:r w:rsidR="005365FA">
        <w:t>,</w:t>
      </w:r>
      <w:r>
        <w:t xml:space="preserve"> it has now been extended and can be used to analyse both small and large scale investments in the agriculture supply chain covering almost all Australian agricultural logistics. </w:t>
      </w:r>
    </w:p>
    <w:p w14:paraId="788BFCB3" w14:textId="77777777" w:rsidR="00DC1306" w:rsidRDefault="00DC1306" w:rsidP="00DC1306">
      <w:pPr>
        <w:pStyle w:val="BodyText"/>
      </w:pPr>
      <w:r>
        <w:t xml:space="preserve">CSIRO applied </w:t>
      </w:r>
      <w:proofErr w:type="spellStart"/>
      <w:r>
        <w:t>TraNSIT</w:t>
      </w:r>
      <w:proofErr w:type="spellEnd"/>
      <w:r>
        <w:t xml:space="preserve"> to inform the Federal Government’s $100 million Northern Australia Beef Roads Program and maximise transport cost savings in beef supply chains across the north. CSIRO </w:t>
      </w:r>
      <w:r w:rsidRPr="00DC1306">
        <w:t xml:space="preserve">are currently applying </w:t>
      </w:r>
      <w:proofErr w:type="spellStart"/>
      <w:r w:rsidRPr="00DC1306">
        <w:t>TraNSIT</w:t>
      </w:r>
      <w:proofErr w:type="spellEnd"/>
      <w:r w:rsidRPr="00DC1306">
        <w:t xml:space="preserve"> to broader Australia-wide agriculture transport, comprising more than 25 commodities, as part of the Government’s Agricultural Competitiveness White Paper.</w:t>
      </w:r>
    </w:p>
    <w:p w14:paraId="2D6A69CC" w14:textId="77777777" w:rsidR="009840FB" w:rsidRDefault="009840FB" w:rsidP="00DC1306">
      <w:pPr>
        <w:pStyle w:val="BodyText"/>
      </w:pPr>
      <w:proofErr w:type="spellStart"/>
      <w:r w:rsidRPr="009840FB">
        <w:t>TraNSIT</w:t>
      </w:r>
      <w:proofErr w:type="spellEnd"/>
      <w:r w:rsidRPr="009840FB">
        <w:t xml:space="preserve"> works by analysing every possible combination of transport routes and modes (road and rail) and determining those that optimise vehicle movements between enterprises in the agriculture supply chain. The tool incorporates factors such as road/rail condition, temporary closures and diversions and the availability of supporting facilities such as truck stops and holding yards. It can be used to manage logistics costs for individual enterprises or whole industries.</w:t>
      </w:r>
    </w:p>
    <w:p w14:paraId="666979DE" w14:textId="313F0676" w:rsidR="00FF35C5" w:rsidRDefault="00DC1306" w:rsidP="00DC1306">
      <w:pPr>
        <w:pStyle w:val="BodyText"/>
      </w:pPr>
      <w:r>
        <w:t xml:space="preserve">The tool currently accommodates 142 million tonnes of agricultural transport and over 5 million vehicle movements and 15,000 rail trips per year. This includes the transportation of cattle as well as grains, dairy, poultry, rice, cotton, pigs, sugar, </w:t>
      </w:r>
      <w:r w:rsidR="00DB142F">
        <w:t xml:space="preserve">sheep, buffalo, </w:t>
      </w:r>
      <w:r>
        <w:t xml:space="preserve">horticulture crops and stock feed. </w:t>
      </w:r>
      <w:r w:rsidR="00DB142F" w:rsidRPr="00DB142F">
        <w:t xml:space="preserve">It accommodates about 98% of the </w:t>
      </w:r>
      <w:r w:rsidR="00EF113B">
        <w:t xml:space="preserve">national </w:t>
      </w:r>
      <w:r w:rsidR="00DB142F" w:rsidRPr="00DB142F">
        <w:t xml:space="preserve">agricultural transport task. </w:t>
      </w:r>
      <w:r>
        <w:t>The tool considers transport from farms to storage, feedlots, processing, export ports, as well as domestic supply chains to distribution centres and retailers.</w:t>
      </w: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DC1306" w:rsidRPr="00AA4DEE" w14:paraId="66505C57" w14:textId="77777777" w:rsidTr="00DC1306">
        <w:trPr>
          <w:cantSplit/>
          <w:trHeight w:hRule="exact" w:val="160"/>
        </w:trPr>
        <w:tc>
          <w:tcPr>
            <w:tcW w:w="10508" w:type="dxa"/>
            <w:tcBorders>
              <w:bottom w:val="single" w:sz="4" w:space="0" w:color="auto"/>
            </w:tcBorders>
            <w:shd w:val="clear" w:color="auto" w:fill="auto"/>
          </w:tcPr>
          <w:p w14:paraId="777533C7" w14:textId="77777777" w:rsidR="00DC1306" w:rsidRPr="00AA4DEE" w:rsidRDefault="00DC1306" w:rsidP="0089015A">
            <w:pPr>
              <w:pStyle w:val="spacer"/>
            </w:pPr>
          </w:p>
        </w:tc>
      </w:tr>
      <w:tr w:rsidR="00DC1306" w:rsidRPr="00897E60" w14:paraId="1C352C4F" w14:textId="77777777" w:rsidTr="00DC1306">
        <w:trPr>
          <w:cantSplit/>
        </w:trPr>
        <w:tc>
          <w:tcPr>
            <w:tcW w:w="10508" w:type="dxa"/>
            <w:tcBorders>
              <w:top w:val="single" w:sz="4" w:space="0" w:color="auto"/>
            </w:tcBorders>
            <w:shd w:val="clear" w:color="auto" w:fill="auto"/>
            <w:tcMar>
              <w:left w:w="0" w:type="dxa"/>
            </w:tcMar>
          </w:tcPr>
          <w:p w14:paraId="33F369F8" w14:textId="77777777" w:rsidR="00DC1306" w:rsidRPr="00897E60" w:rsidRDefault="00DC1306" w:rsidP="00751FB4">
            <w:pPr>
              <w:pStyle w:val="Caption"/>
            </w:pPr>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STYLEREF 1 \s </w:instrText>
            </w:r>
            <w:r w:rsidRPr="00897E60">
              <w:rPr>
                <w:rStyle w:val="CaptionLabel"/>
              </w:rPr>
              <w:fldChar w:fldCharType="separate"/>
            </w:r>
            <w:r>
              <w:rPr>
                <w:rStyle w:val="CaptionLabel"/>
                <w:noProof/>
              </w:rPr>
              <w:t>1</w:t>
            </w:r>
            <w:r w:rsidRPr="00897E60">
              <w:rPr>
                <w:rStyle w:val="CaptionLabel"/>
              </w:rPr>
              <w:fldChar w:fldCharType="end"/>
            </w:r>
            <w:r w:rsidRPr="00897E60">
              <w:rPr>
                <w:rStyle w:val="CaptionLabel"/>
              </w:rPr>
              <w:t>.</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Pr>
                <w:rStyle w:val="CaptionLabel"/>
                <w:noProof/>
              </w:rPr>
              <w:t>2</w:t>
            </w:r>
            <w:r w:rsidRPr="00897E60">
              <w:rPr>
                <w:rStyle w:val="CaptionLabel"/>
              </w:rPr>
              <w:fldChar w:fldCharType="end"/>
            </w:r>
            <w:r>
              <w:tab/>
            </w:r>
            <w:r w:rsidR="00751FB4">
              <w:t>Illustrative e</w:t>
            </w:r>
            <w:r w:rsidR="009840FB">
              <w:t>xample of how TraNSIT models the density of transport movement</w:t>
            </w:r>
          </w:p>
        </w:tc>
      </w:tr>
      <w:tr w:rsidR="00DC1306" w:rsidRPr="00AA4DEE" w14:paraId="527BC09B" w14:textId="77777777" w:rsidTr="00DC1306">
        <w:trPr>
          <w:cantSplit/>
          <w:trHeight w:hRule="exact" w:val="380"/>
        </w:trPr>
        <w:tc>
          <w:tcPr>
            <w:tcW w:w="10508" w:type="dxa"/>
            <w:tcBorders>
              <w:bottom w:val="single" w:sz="4" w:space="0" w:color="auto"/>
            </w:tcBorders>
            <w:shd w:val="clear" w:color="auto" w:fill="auto"/>
          </w:tcPr>
          <w:p w14:paraId="3EF184AD" w14:textId="77777777" w:rsidR="00DC1306" w:rsidRPr="00AA4DEE" w:rsidRDefault="00DC1306" w:rsidP="0089015A">
            <w:pPr>
              <w:pStyle w:val="spacer"/>
            </w:pPr>
            <w:r w:rsidRPr="00AA4DEE">
              <w:rPr>
                <w:noProof/>
                <w:lang w:eastAsia="en-AU"/>
              </w:rPr>
              <mc:AlternateContent>
                <mc:Choice Requires="wps">
                  <w:drawing>
                    <wp:anchor distT="0" distB="0" distL="114300" distR="114300" simplePos="0" relativeHeight="251669504" behindDoc="0" locked="1" layoutInCell="1" allowOverlap="1" wp14:anchorId="2A85CEAA" wp14:editId="6A562B65">
                      <wp:simplePos x="0" y="0"/>
                      <wp:positionH relativeFrom="rightMargin">
                        <wp:posOffset>-772795</wp:posOffset>
                      </wp:positionH>
                      <wp:positionV relativeFrom="page">
                        <wp:posOffset>0</wp:posOffset>
                      </wp:positionV>
                      <wp:extent cx="436880" cy="213360"/>
                      <wp:effectExtent l="0" t="0" r="1270" b="0"/>
                      <wp:wrapNone/>
                      <wp:docPr id="4"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D163A36" id="Freeform 5" o:spid="_x0000_s1026" style="position:absolute;margin-left:-60.85pt;margin-top:0;width:34.4pt;height:16.8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DC1306" w:rsidRPr="00AA4DEE" w14:paraId="32D8BE6D" w14:textId="77777777" w:rsidTr="00DC1306">
        <w:trPr>
          <w:cantSplit/>
        </w:trPr>
        <w:tc>
          <w:tcPr>
            <w:tcW w:w="10508" w:type="dxa"/>
            <w:tcBorders>
              <w:top w:val="single" w:sz="4" w:space="0" w:color="auto"/>
              <w:bottom w:val="single" w:sz="4" w:space="0" w:color="auto"/>
            </w:tcBorders>
            <w:shd w:val="clear" w:color="auto" w:fill="auto"/>
            <w:tcMar>
              <w:top w:w="10" w:type="dxa"/>
              <w:bottom w:w="10" w:type="dxa"/>
              <w:right w:w="0" w:type="dxa"/>
            </w:tcMar>
          </w:tcPr>
          <w:p w14:paraId="7098D964" w14:textId="77777777" w:rsidR="00DC1306" w:rsidRPr="00AA4DEE" w:rsidRDefault="00DC1306" w:rsidP="0089015A">
            <w:pPr>
              <w:pStyle w:val="Figure"/>
            </w:pPr>
            <w:r w:rsidRPr="00DC1306">
              <w:rPr>
                <w:noProof/>
                <w:lang w:eastAsia="en-AU"/>
              </w:rPr>
              <w:drawing>
                <wp:inline distT="0" distB="0" distL="0" distR="0" wp14:anchorId="06CBA127" wp14:editId="4CF21861">
                  <wp:extent cx="5321821" cy="3766066"/>
                  <wp:effectExtent l="0" t="0" r="0" b="6350"/>
                  <wp:docPr id="10" name="Picture 10" descr="http://www.csiro.au/~/media/LWF/Images/Landscape-intensification/truck-count-all-ag.png?mw=1600&amp;hash=10BDA8B66F7FEFEA23595F6106519B0BBCDC7B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iro.au/~/media/LWF/Images/Landscape-intensification/truck-count-all-ag.png?mw=1600&amp;hash=10BDA8B66F7FEFEA23595F6106519B0BBCDC7B0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6725" cy="3804919"/>
                          </a:xfrm>
                          <a:prstGeom prst="rect">
                            <a:avLst/>
                          </a:prstGeom>
                          <a:noFill/>
                          <a:ln>
                            <a:noFill/>
                          </a:ln>
                        </pic:spPr>
                      </pic:pic>
                    </a:graphicData>
                  </a:graphic>
                </wp:inline>
              </w:drawing>
            </w:r>
          </w:p>
        </w:tc>
      </w:tr>
      <w:tr w:rsidR="00DC1306" w:rsidRPr="00AA4DEE" w14:paraId="7916FE88" w14:textId="77777777" w:rsidTr="00DC1306">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400E210E" w14:textId="77777777" w:rsidR="00DC1306" w:rsidRPr="00AA4DEE" w:rsidRDefault="00DC1306" w:rsidP="0089015A">
            <w:pPr>
              <w:pStyle w:val="Source"/>
            </w:pPr>
            <w:r w:rsidRPr="00AA4DEE">
              <w:t xml:space="preserve">Source: </w:t>
            </w:r>
            <w:r w:rsidR="009840FB">
              <w:t xml:space="preserve">CSIRO, </w:t>
            </w:r>
            <w:hyperlink r:id="rId9" w:history="1">
              <w:r w:rsidR="009840FB" w:rsidRPr="00B5047E">
                <w:rPr>
                  <w:rStyle w:val="Hyperlink"/>
                </w:rPr>
                <w:t>http://www.csiro.au/en/Research/LWF/Areas/Landscape-management/Livestock-logistics/TRANSIT</w:t>
              </w:r>
            </w:hyperlink>
            <w:r w:rsidR="009840FB">
              <w:t>, accessed August 2017</w:t>
            </w:r>
          </w:p>
        </w:tc>
      </w:tr>
      <w:tr w:rsidR="00DC1306" w14:paraId="7A6E8FB5" w14:textId="77777777" w:rsidTr="00DC1306">
        <w:trPr>
          <w:trHeight w:hRule="exact" w:val="160"/>
        </w:trPr>
        <w:tc>
          <w:tcPr>
            <w:tcW w:w="10508" w:type="dxa"/>
            <w:tcBorders>
              <w:top w:val="single" w:sz="4" w:space="0" w:color="auto"/>
            </w:tcBorders>
            <w:shd w:val="clear" w:color="auto" w:fill="auto"/>
          </w:tcPr>
          <w:p w14:paraId="022FAF8E" w14:textId="77777777" w:rsidR="00DC1306" w:rsidRDefault="00DC1306" w:rsidP="0089015A">
            <w:pPr>
              <w:pStyle w:val="spacertbl"/>
            </w:pPr>
          </w:p>
        </w:tc>
      </w:tr>
    </w:tbl>
    <w:p w14:paraId="7E8C0AA3" w14:textId="77777777" w:rsidR="00DC1306" w:rsidRDefault="006F08E3" w:rsidP="006F08E3">
      <w:pPr>
        <w:pStyle w:val="Heading6"/>
      </w:pPr>
      <w:r>
        <w:t>FGARA</w:t>
      </w:r>
    </w:p>
    <w:p w14:paraId="5D81181B" w14:textId="19B79C3D" w:rsidR="006F08E3" w:rsidRDefault="006F08E3" w:rsidP="006F08E3">
      <w:pPr>
        <w:pStyle w:val="BodyText"/>
      </w:pPr>
      <w:r>
        <w:t xml:space="preserve">The </w:t>
      </w:r>
      <w:r w:rsidR="000820A5">
        <w:t>work</w:t>
      </w:r>
      <w:r>
        <w:t xml:space="preserve"> done for</w:t>
      </w:r>
      <w:r w:rsidR="007C0B78">
        <w:t xml:space="preserve"> the</w:t>
      </w:r>
      <w:r>
        <w:t xml:space="preserve"> FGARA differs from previous assessments of agricultural developments or resources in two main ways:</w:t>
      </w:r>
    </w:p>
    <w:p w14:paraId="3C86BE9E" w14:textId="2D35A314" w:rsidR="006F08E3" w:rsidRDefault="006F08E3" w:rsidP="00DB142F">
      <w:pPr>
        <w:pStyle w:val="ListBullet"/>
      </w:pPr>
      <w:r>
        <w:t>Whereas previous assessments focused on a single development activity or asset – without analysing the interactions between them – FGARA considered the opportunities presented by the simultaneous pursuit of multiple development activities and assets</w:t>
      </w:r>
      <w:r w:rsidR="00DB142F" w:rsidRPr="00DB142F">
        <w:t xml:space="preserve"> and </w:t>
      </w:r>
      <w:r w:rsidR="00101A1B">
        <w:t>any</w:t>
      </w:r>
      <w:r w:rsidR="00DB142F" w:rsidRPr="00DB142F">
        <w:t xml:space="preserve"> risks </w:t>
      </w:r>
      <w:r w:rsidR="00101A1B">
        <w:t>associated</w:t>
      </w:r>
      <w:r w:rsidR="00DB142F" w:rsidRPr="00DB142F">
        <w:t xml:space="preserve"> </w:t>
      </w:r>
      <w:r w:rsidR="00101A1B">
        <w:t xml:space="preserve">with </w:t>
      </w:r>
      <w:r w:rsidR="00DB142F" w:rsidRPr="00DB142F">
        <w:t>these</w:t>
      </w:r>
      <w:r>
        <w:t>. The Assessment use</w:t>
      </w:r>
      <w:r w:rsidR="007C0B78">
        <w:t>d</w:t>
      </w:r>
      <w:r>
        <w:t xml:space="preserve"> a whole-of-region (rather than an asset-by-asset) approach to consider </w:t>
      </w:r>
      <w:r w:rsidR="000820A5">
        <w:t xml:space="preserve">the implications of proposed </w:t>
      </w:r>
      <w:r>
        <w:t>development</w:t>
      </w:r>
      <w:r w:rsidR="000820A5">
        <w:t>s</w:t>
      </w:r>
      <w:r>
        <w:t>.</w:t>
      </w:r>
    </w:p>
    <w:p w14:paraId="184B8213" w14:textId="77777777" w:rsidR="00751FB4" w:rsidRDefault="006F08E3" w:rsidP="00326ADF">
      <w:pPr>
        <w:pStyle w:val="ListBullet"/>
      </w:pPr>
      <w:r>
        <w:t xml:space="preserve">The </w:t>
      </w:r>
      <w:r w:rsidRPr="00D10FEB">
        <w:t>novel</w:t>
      </w:r>
      <w:r>
        <w:t xml:space="preserve"> methods developed for the Assessment provide a blueprint for rapidly assessing future land and water developments in northern Australia. </w:t>
      </w:r>
    </w:p>
    <w:p w14:paraId="23C9E21B" w14:textId="0AFD8F1A" w:rsidR="00E34E48" w:rsidRDefault="00E34E48" w:rsidP="00E34E48">
      <w:pPr>
        <w:pStyle w:val="BodyText"/>
      </w:pPr>
      <w:r>
        <w:t xml:space="preserve">FGARA </w:t>
      </w:r>
      <w:r w:rsidR="000052C7">
        <w:t xml:space="preserve">also </w:t>
      </w:r>
      <w:r>
        <w:t>saw the first operational application of the ‘</w:t>
      </w:r>
      <w:proofErr w:type="spellStart"/>
      <w:r>
        <w:t>DamSite</w:t>
      </w:r>
      <w:proofErr w:type="spellEnd"/>
      <w:r>
        <w:t xml:space="preserve">’ model, developed by CSIRO researchers, which enables researchers to automatically identify potential dam locations. </w:t>
      </w:r>
      <w:proofErr w:type="spellStart"/>
      <w:r>
        <w:t>DamSite</w:t>
      </w:r>
      <w:proofErr w:type="spellEnd"/>
      <w:r>
        <w:t xml:space="preserve"> involves the </w:t>
      </w:r>
      <w:r w:rsidR="009E3259">
        <w:t>use</w:t>
      </w:r>
      <w:r>
        <w:t xml:space="preserve"> of high-resolution digital elevation models </w:t>
      </w:r>
      <w:r w:rsidR="007C0B78">
        <w:t xml:space="preserve">and sophisticated algorithms </w:t>
      </w:r>
      <w:r w:rsidR="009E3259">
        <w:t xml:space="preserve">to look </w:t>
      </w:r>
      <w:r>
        <w:t xml:space="preserve">for </w:t>
      </w:r>
      <w:r w:rsidR="009E3259">
        <w:t xml:space="preserve">potential </w:t>
      </w:r>
      <w:r>
        <w:t>dam sites</w:t>
      </w:r>
      <w:r w:rsidR="009E3259">
        <w:t xml:space="preserve">. It enables </w:t>
      </w:r>
      <w:r w:rsidR="009E3259" w:rsidRPr="009E3259">
        <w:t>pre-feasibility estimates of dam cost and a number of metrics related to water storage, water yield and cost per ML at the dam wal</w:t>
      </w:r>
      <w:r w:rsidR="009E3259">
        <w:t>l</w:t>
      </w:r>
      <w:r>
        <w:t>, even in areas with little pre-existing data.</w:t>
      </w:r>
      <w:r w:rsidR="000052C7">
        <w:rPr>
          <w:rStyle w:val="FootnoteReference"/>
        </w:rPr>
        <w:footnoteReference w:id="1"/>
      </w:r>
    </w:p>
    <w:p w14:paraId="12F3D910" w14:textId="77777777" w:rsidR="00E34E48" w:rsidRDefault="006F08E3" w:rsidP="00751FB4">
      <w:pPr>
        <w:pStyle w:val="BodyText"/>
      </w:pPr>
      <w:r>
        <w:t xml:space="preserve">Importantly, the process developed as a result of </w:t>
      </w:r>
      <w:r w:rsidR="00FD08B7">
        <w:t xml:space="preserve">the </w:t>
      </w:r>
      <w:r>
        <w:t xml:space="preserve">FGARA </w:t>
      </w:r>
      <w:r w:rsidR="00FD08B7">
        <w:t xml:space="preserve">project </w:t>
      </w:r>
      <w:r>
        <w:t xml:space="preserve">is designed to build a knowledge base to inform future development decisions. It does not recommend one development over another. Rather it seeks to </w:t>
      </w:r>
      <w:r w:rsidR="00FD08B7">
        <w:t>inform</w:t>
      </w:r>
      <w:r>
        <w:t xml:space="preserve"> deliberation</w:t>
      </w:r>
      <w:r w:rsidR="00FD08B7">
        <w:t>s</w:t>
      </w:r>
      <w:r>
        <w:t xml:space="preserve"> and decision</w:t>
      </w:r>
      <w:r w:rsidR="00FD08B7">
        <w:t xml:space="preserve"> making</w:t>
      </w:r>
      <w:r>
        <w:t xml:space="preserve"> </w:t>
      </w:r>
      <w:r w:rsidR="00FD08B7">
        <w:t>regarding</w:t>
      </w:r>
      <w:r>
        <w:t xml:space="preserve"> sustainable regional development.</w:t>
      </w:r>
      <w:r w:rsidR="00751FB4">
        <w:t xml:space="preserve"> </w:t>
      </w:r>
      <w:r w:rsidR="00E34E48">
        <w:t>The results of the FGARA project provided decision makers with increased confidence that it was possible to quickly and accurately assess the impacts of regional development proposals. This contributed to the Commonwealth Government’s decision to establish the $5 billion Northern Australia Infrastructure Fund (NAIF).</w:t>
      </w:r>
      <w:r w:rsidR="00E34E48">
        <w:rPr>
          <w:rStyle w:val="FootnoteReference"/>
        </w:rPr>
        <w:footnoteReference w:id="2"/>
      </w:r>
    </w:p>
    <w:p w14:paraId="2FDAF795" w14:textId="7BF8F5F5" w:rsidR="00AA30E4" w:rsidRDefault="00AA30E4" w:rsidP="00751FB4">
      <w:pPr>
        <w:pStyle w:val="BodyText"/>
      </w:pPr>
      <w:r>
        <w:t xml:space="preserve">The demonstrated success of FGARA also underpinned the decision by the government to allocate $15 million as part of the </w:t>
      </w:r>
      <w:r w:rsidR="009E3259" w:rsidRPr="009E3259">
        <w:t xml:space="preserve">Agricultural Competitiveness White paper (but linked to the </w:t>
      </w:r>
      <w:r>
        <w:t>Northern Australia White Paper</w:t>
      </w:r>
      <w:r w:rsidR="009E3259">
        <w:t>)</w:t>
      </w:r>
      <w:r>
        <w:t xml:space="preserve"> to replicate the work done by CSIRO in the Flinders and Gilbert catchments in </w:t>
      </w:r>
      <w:r w:rsidR="007C0B78">
        <w:t xml:space="preserve">three study areas </w:t>
      </w:r>
      <w:r>
        <w:t xml:space="preserve">across </w:t>
      </w:r>
      <w:r w:rsidR="00C0505B">
        <w:t xml:space="preserve">northern </w:t>
      </w:r>
      <w:r>
        <w:t>Australia. Andrew Dickson from the Office of Northern Australia noted that:</w:t>
      </w:r>
    </w:p>
    <w:p w14:paraId="7E58CE84" w14:textId="77777777" w:rsidR="00AA30E4" w:rsidRDefault="00AA30E4" w:rsidP="00AA30E4">
      <w:pPr>
        <w:pStyle w:val="Quote"/>
        <w:ind w:left="720"/>
      </w:pPr>
      <w:r w:rsidRPr="00C6571D">
        <w:rPr>
          <w:i w:val="0"/>
        </w:rPr>
        <w:lastRenderedPageBreak/>
        <w:t>The methodology developed by CSIRO for the FGARA set a new benchmark for comprehensive water and agriculture resource assessments (the gold standard). The approach includes a comprehensive package of foundational science, supporting wide stakeholder involvement which leads to good support for the findings</w:t>
      </w:r>
      <w:r>
        <w:rPr>
          <w:i w:val="0"/>
        </w:rPr>
        <w:t>.</w:t>
      </w:r>
      <w:r>
        <w:rPr>
          <w:rStyle w:val="FootnoteReference"/>
          <w:i w:val="0"/>
        </w:rPr>
        <w:footnoteReference w:id="3"/>
      </w:r>
    </w:p>
    <w:p w14:paraId="2FF7916B" w14:textId="77777777" w:rsidR="00751FB4" w:rsidRDefault="00E34E48" w:rsidP="00751FB4">
      <w:pPr>
        <w:pStyle w:val="BodyText"/>
      </w:pPr>
      <w:r w:rsidRPr="00E34E48">
        <w:t xml:space="preserve">FGARA was also significant because it analysed the commercial viability of water development and infrastructure choices, with reference to current and future water supply and supply reliability. Where other </w:t>
      </w:r>
      <w:r>
        <w:t>water resource assessments</w:t>
      </w:r>
      <w:r w:rsidRPr="00E34E48">
        <w:t xml:space="preserve"> </w:t>
      </w:r>
      <w:r>
        <w:t xml:space="preserve">primarily </w:t>
      </w:r>
      <w:r w:rsidRPr="00E34E48">
        <w:t>aimed to inform government decision-making and provide information to agriculturalists, the FGARA provided information that can be tailored to meet the due diligence requirements of private investors and lenders, by addressing questions of profitability and income reliability of agricultural and other developments</w:t>
      </w:r>
      <w:r>
        <w:t>.</w:t>
      </w:r>
    </w:p>
    <w:p w14:paraId="47928C43" w14:textId="77777777" w:rsidR="00C953C7" w:rsidRDefault="00C953C7" w:rsidP="00B77B34">
      <w:pPr>
        <w:pStyle w:val="Heading4"/>
      </w:pPr>
      <w:r>
        <w:t>Publications</w:t>
      </w:r>
    </w:p>
    <w:p w14:paraId="5C1BD0BD" w14:textId="77777777" w:rsidR="000052C7" w:rsidRDefault="000052C7" w:rsidP="000052C7">
      <w:pPr>
        <w:pStyle w:val="BodyText"/>
      </w:pPr>
      <w:r>
        <w:t>The FGARA project produced a series of reports and datasets, which included:</w:t>
      </w:r>
    </w:p>
    <w:p w14:paraId="3223B9CE" w14:textId="77777777" w:rsidR="000052C7" w:rsidRDefault="000052C7" w:rsidP="000052C7">
      <w:pPr>
        <w:pStyle w:val="ListBullet"/>
      </w:pPr>
      <w:r>
        <w:t>Two detailed reports covering the Flinders and Gilbert catchments respectively, providing comprehensive analysis of the feasibility, economic viability and sustainability of agricultural development in each catchment.</w:t>
      </w:r>
    </w:p>
    <w:p w14:paraId="1F9BD0D4" w14:textId="77777777" w:rsidR="000052C7" w:rsidRDefault="000052C7" w:rsidP="000052C7">
      <w:pPr>
        <w:pStyle w:val="ListBullet"/>
      </w:pPr>
      <w:r>
        <w:t>Summary reports, FAQs and factsheets covering FGARA project management</w:t>
      </w:r>
      <w:r w:rsidR="009E3259">
        <w:t xml:space="preserve"> and</w:t>
      </w:r>
      <w:r>
        <w:t xml:space="preserve"> key findings, </w:t>
      </w:r>
    </w:p>
    <w:p w14:paraId="37A72950" w14:textId="77777777" w:rsidR="000052C7" w:rsidRDefault="000052C7" w:rsidP="000052C7">
      <w:pPr>
        <w:pStyle w:val="ListBullet"/>
      </w:pPr>
      <w:r>
        <w:t>17 technical reports covering methodology and research findings for issues such as: river system, streamflow and surface-groundwater modelling; climate data and hydrological and agricultural scenario modelling; dam and sediment modelling; flood and floodplain mapping and modelling; Indigenous water values, rights and interests; irrigation costs and benefits; socio-economic impact evaluations; land suitability assessments and agricultural production.</w:t>
      </w:r>
    </w:p>
    <w:p w14:paraId="22E8A2CD" w14:textId="77777777" w:rsidR="00DB142F" w:rsidRDefault="00DB142F" w:rsidP="00DB142F">
      <w:pPr>
        <w:pStyle w:val="ListBullet"/>
      </w:pPr>
      <w:r w:rsidRPr="00DB142F">
        <w:t>More than 20 scientific journal papers and numerous conference papers</w:t>
      </w:r>
      <w:r w:rsidR="00722626">
        <w:t>.</w:t>
      </w:r>
    </w:p>
    <w:p w14:paraId="51BA69EA" w14:textId="77777777" w:rsidR="000052C7" w:rsidRDefault="009E3259" w:rsidP="000052C7">
      <w:pPr>
        <w:pStyle w:val="ListBullet"/>
      </w:pPr>
      <w:r>
        <w:t>A number of</w:t>
      </w:r>
      <w:r w:rsidR="000052C7">
        <w:t xml:space="preserve"> datasets accessible through CSIRO’s Data Access Portal</w:t>
      </w:r>
      <w:r>
        <w:t>, for example,</w:t>
      </w:r>
      <w:r w:rsidR="000052C7">
        <w:t xml:space="preserve"> covering soil properties and modelled irrigation land uses (i.e. crop and irrigation combinations), with more detailed information on location-specific soil sample results available upon request.</w:t>
      </w:r>
    </w:p>
    <w:p w14:paraId="3A0D6B30" w14:textId="77777777" w:rsidR="00C953C7" w:rsidRDefault="00B77B34" w:rsidP="00B77B34">
      <w:pPr>
        <w:pStyle w:val="Heading4"/>
      </w:pPr>
      <w:r>
        <w:t>Patents</w:t>
      </w:r>
    </w:p>
    <w:p w14:paraId="2FD5D2C0" w14:textId="77777777" w:rsidR="00B77B34" w:rsidRDefault="00722626" w:rsidP="00C953C7">
      <w:pPr>
        <w:pStyle w:val="BodyText"/>
      </w:pPr>
      <w:r>
        <w:t xml:space="preserve">There are no patents associated with </w:t>
      </w:r>
      <w:proofErr w:type="spellStart"/>
      <w:r>
        <w:t>TraNSIT</w:t>
      </w:r>
      <w:proofErr w:type="spellEnd"/>
      <w:r>
        <w:t xml:space="preserve"> or FGARA. </w:t>
      </w:r>
    </w:p>
    <w:p w14:paraId="3902E013" w14:textId="77777777" w:rsidR="00C953C7" w:rsidRDefault="00C953C7" w:rsidP="00C953C7">
      <w:pPr>
        <w:pStyle w:val="Heading4"/>
      </w:pPr>
      <w:r>
        <w:t>Awards</w:t>
      </w:r>
    </w:p>
    <w:p w14:paraId="3E5B07F4" w14:textId="77777777" w:rsidR="00335666" w:rsidRDefault="00335666" w:rsidP="00335666">
      <w:pPr>
        <w:pStyle w:val="BodyText"/>
      </w:pPr>
      <w:r w:rsidRPr="00335666">
        <w:t>CSIRO has received</w:t>
      </w:r>
      <w:r>
        <w:t xml:space="preserve">, and been nominated for, </w:t>
      </w:r>
      <w:r w:rsidRPr="00335666">
        <w:t>a number of awards for its water resources assessment</w:t>
      </w:r>
      <w:r>
        <w:t xml:space="preserve"> work</w:t>
      </w:r>
      <w:r w:rsidRPr="00335666">
        <w:t>.</w:t>
      </w:r>
      <w:r>
        <w:t xml:space="preserve"> While none of these were specifically for the FGARA project, the awards </w:t>
      </w:r>
      <w:r w:rsidR="00837234">
        <w:t>recognise</w:t>
      </w:r>
      <w:r>
        <w:t xml:space="preserve"> </w:t>
      </w:r>
      <w:r w:rsidR="00837234">
        <w:t xml:space="preserve">the level of expertise that CSIRO has built in this field over the last decade and innovative processes it has developed. </w:t>
      </w:r>
    </w:p>
    <w:p w14:paraId="454CE751" w14:textId="77777777" w:rsidR="00722626" w:rsidRPr="00B936E7" w:rsidRDefault="00722626" w:rsidP="00335666">
      <w:pPr>
        <w:pStyle w:val="BodyText"/>
      </w:pPr>
      <w:r w:rsidRPr="00722626">
        <w:t>The FGARA project was nominated for both a Eureka Award and the CSIRO “Impact from Science” award but was unsuccessful with both.</w:t>
      </w:r>
    </w:p>
    <w:p w14:paraId="3252F9CD" w14:textId="77777777" w:rsidR="00C953C7" w:rsidRDefault="00C953C7" w:rsidP="00C953C7">
      <w:pPr>
        <w:pStyle w:val="Heading4"/>
      </w:pPr>
      <w:r>
        <w:t>Innovation / commercialisation</w:t>
      </w:r>
    </w:p>
    <w:p w14:paraId="3445EC1D" w14:textId="77777777" w:rsidR="00C953C7" w:rsidRDefault="0078116E" w:rsidP="0078116E">
      <w:pPr>
        <w:pStyle w:val="Heading6"/>
      </w:pPr>
      <w:proofErr w:type="spellStart"/>
      <w:r>
        <w:t>TraNSIT</w:t>
      </w:r>
      <w:proofErr w:type="spellEnd"/>
    </w:p>
    <w:p w14:paraId="797FE8AD" w14:textId="77777777" w:rsidR="0078116E" w:rsidRDefault="0027784E" w:rsidP="0027784E">
      <w:pPr>
        <w:pStyle w:val="BodyText"/>
      </w:pPr>
      <w:r>
        <w:t xml:space="preserve">CSIRO has applied </w:t>
      </w:r>
      <w:proofErr w:type="spellStart"/>
      <w:r>
        <w:t>TraNSIT</w:t>
      </w:r>
      <w:proofErr w:type="spellEnd"/>
      <w:r>
        <w:t xml:space="preserve"> to inform the Federal Government’s $100 million Northern Australia Beef Roads Programme and maximise transport cost savings in beef supply chains across the north. </w:t>
      </w:r>
      <w:proofErr w:type="spellStart"/>
      <w:r>
        <w:t>TraNSIT</w:t>
      </w:r>
      <w:proofErr w:type="spellEnd"/>
      <w:r>
        <w:t xml:space="preserve"> is also being applied to broader Australia-wide agriculture transport, comprising more than 25 commodities, as part of the Government’s Agricultural Competitiveness White Paper. The tool currently can be applied to </w:t>
      </w:r>
      <w:r w:rsidR="004B348C">
        <w:t xml:space="preserve">over </w:t>
      </w:r>
      <w:r>
        <w:t>14</w:t>
      </w:r>
      <w:r w:rsidR="004B348C">
        <w:t>0</w:t>
      </w:r>
      <w:r>
        <w:t xml:space="preserve"> million tonnes of agricultural transport and over 5 million vehicle movements and 15,000 rail trips per year.</w:t>
      </w:r>
    </w:p>
    <w:p w14:paraId="3B0E3460" w14:textId="77777777" w:rsidR="00A67EB3" w:rsidRDefault="00A67EB3" w:rsidP="0027784E">
      <w:pPr>
        <w:pStyle w:val="BodyText"/>
      </w:pPr>
      <w:r>
        <w:t xml:space="preserve">CSIRO </w:t>
      </w:r>
      <w:r w:rsidR="00326ADF">
        <w:t>was</w:t>
      </w:r>
      <w:r>
        <w:t xml:space="preserve"> able to leverage its brand and reputation to gain access to commercial data that would normally be tightly held by commercial firms. For example, information such as livestock movements and grain handling data.</w:t>
      </w:r>
    </w:p>
    <w:p w14:paraId="2AFC26B6" w14:textId="77777777" w:rsidR="00C73624" w:rsidRDefault="00C73624" w:rsidP="0027784E">
      <w:pPr>
        <w:pStyle w:val="BodyText"/>
      </w:pPr>
      <w:r>
        <w:t xml:space="preserve">CSIRO provides access to the model on a fee for service basis. For example, the </w:t>
      </w:r>
      <w:proofErr w:type="spellStart"/>
      <w:r>
        <w:t>TraNSIT</w:t>
      </w:r>
      <w:proofErr w:type="spellEnd"/>
      <w:r>
        <w:t xml:space="preserve"> model was used to help inform project funding decisions for the $100 million Beef Roads Fund. </w:t>
      </w:r>
      <w:r w:rsidR="00A267BF">
        <w:t xml:space="preserve">The benefits from the use of model began to flow in 2014/15. In that year they were around $70,000. </w:t>
      </w:r>
      <w:r>
        <w:t xml:space="preserve">CSIRO estimate that the </w:t>
      </w:r>
      <w:r w:rsidR="00A267BF">
        <w:t xml:space="preserve">benefits from the </w:t>
      </w:r>
      <w:r>
        <w:t>us</w:t>
      </w:r>
      <w:r w:rsidR="00217278">
        <w:t>e of</w:t>
      </w:r>
      <w:r>
        <w:t xml:space="preserve"> the model increased </w:t>
      </w:r>
      <w:r w:rsidR="00A267BF">
        <w:t>to $400,000</w:t>
      </w:r>
      <w:r w:rsidR="009E3259">
        <w:t xml:space="preserve"> by 2015/16, $600,000 by 2016/17 and up to $1 million by end of 2017. CSIRO assumes that t</w:t>
      </w:r>
      <w:r w:rsidR="00A267BF">
        <w:t xml:space="preserve">hose benefits </w:t>
      </w:r>
      <w:r w:rsidR="009E3259">
        <w:t>would flow</w:t>
      </w:r>
      <w:r w:rsidR="00A267BF">
        <w:t xml:space="preserve"> for the life of the road infrastructure, normally around 50 years.</w:t>
      </w:r>
    </w:p>
    <w:p w14:paraId="2665D3CF" w14:textId="500DC21C" w:rsidR="00C73624" w:rsidRDefault="00C73624" w:rsidP="0027784E">
      <w:pPr>
        <w:pStyle w:val="BodyText"/>
      </w:pPr>
      <w:r>
        <w:t xml:space="preserve">The </w:t>
      </w:r>
      <w:proofErr w:type="spellStart"/>
      <w:r>
        <w:t>TraNSIT</w:t>
      </w:r>
      <w:proofErr w:type="spellEnd"/>
      <w:r>
        <w:t xml:space="preserve"> model is currently being used to assess the different options for the inland rail proposal. The model is also being used to inform NAIF decisions</w:t>
      </w:r>
      <w:r w:rsidRPr="00DB7E1A">
        <w:t xml:space="preserve"> </w:t>
      </w:r>
      <w:r>
        <w:t xml:space="preserve">on which projects will receive funding. The </w:t>
      </w:r>
      <w:proofErr w:type="spellStart"/>
      <w:r>
        <w:t>TraNSIT</w:t>
      </w:r>
      <w:proofErr w:type="spellEnd"/>
      <w:r>
        <w:t xml:space="preserve"> model is also popular in several overseas countries, </w:t>
      </w:r>
      <w:r>
        <w:lastRenderedPageBreak/>
        <w:t>including Laos, Vietnam and Indonesia.</w:t>
      </w:r>
      <w:r w:rsidR="00BB1A66">
        <w:t xml:space="preserve"> </w:t>
      </w:r>
      <w:r w:rsidR="00BB1A66" w:rsidRPr="00BB1A66">
        <w:t xml:space="preserve">The total fees for service for </w:t>
      </w:r>
      <w:r w:rsidR="00BB1A66">
        <w:t xml:space="preserve">the use of </w:t>
      </w:r>
      <w:proofErr w:type="spellStart"/>
      <w:r w:rsidR="00BB1A66" w:rsidRPr="00BB1A66">
        <w:t>TraNSIT</w:t>
      </w:r>
      <w:proofErr w:type="spellEnd"/>
      <w:r w:rsidR="00BB1A66" w:rsidRPr="00BB1A66">
        <w:t xml:space="preserve"> in Australia has been about $250,000 per year across multiple projects, not including funding to further develop the model (e.g. </w:t>
      </w:r>
      <w:r w:rsidR="006E11D5" w:rsidRPr="00BB1A66">
        <w:t>Agricultur</w:t>
      </w:r>
      <w:r w:rsidR="006E11D5">
        <w:t>al Competitiveness</w:t>
      </w:r>
      <w:r w:rsidR="006E11D5" w:rsidRPr="00BB1A66">
        <w:t xml:space="preserve"> </w:t>
      </w:r>
      <w:r w:rsidR="00BB1A66" w:rsidRPr="00BB1A66">
        <w:t xml:space="preserve">White Paper). For international work, the current project income is about $300,000 per year to about 2021. Fees for the </w:t>
      </w:r>
      <w:r w:rsidR="00BB1A66">
        <w:t>use of the model</w:t>
      </w:r>
      <w:r w:rsidR="00BB1A66" w:rsidRPr="00BB1A66">
        <w:t xml:space="preserve"> </w:t>
      </w:r>
      <w:r w:rsidR="005F6EBD">
        <w:t xml:space="preserve">in </w:t>
      </w:r>
      <w:r w:rsidR="005F6EBD" w:rsidRPr="00BB1A66">
        <w:t xml:space="preserve">Australia </w:t>
      </w:r>
      <w:r w:rsidR="001322B8">
        <w:t>are</w:t>
      </w:r>
      <w:r w:rsidR="001322B8" w:rsidRPr="00BB1A66">
        <w:t xml:space="preserve"> </w:t>
      </w:r>
      <w:r w:rsidR="00BB1A66" w:rsidRPr="00BB1A66">
        <w:t>more variable than</w:t>
      </w:r>
      <w:r w:rsidR="005F6EBD">
        <w:t xml:space="preserve"> fees for use overseas</w:t>
      </w:r>
      <w:r w:rsidR="00BB1A66" w:rsidRPr="00BB1A66">
        <w:t xml:space="preserve"> </w:t>
      </w:r>
      <w:r w:rsidR="00BB1A66">
        <w:t>but</w:t>
      </w:r>
      <w:r w:rsidR="00BB1A66" w:rsidRPr="00BB1A66">
        <w:t xml:space="preserve"> </w:t>
      </w:r>
      <w:r w:rsidR="005F6EBD">
        <w:t>are</w:t>
      </w:r>
      <w:r w:rsidR="00BB1A66" w:rsidRPr="00BB1A66">
        <w:t xml:space="preserve"> expected to increase in 2018/2019.</w:t>
      </w:r>
      <w:r>
        <w:t xml:space="preserve"> </w:t>
      </w:r>
    </w:p>
    <w:p w14:paraId="2B7B6ED0" w14:textId="77777777" w:rsidR="00D10FEB" w:rsidRDefault="00C73624" w:rsidP="0027784E">
      <w:pPr>
        <w:pStyle w:val="BodyText"/>
      </w:pPr>
      <w:r>
        <w:t xml:space="preserve">CSIRO has developed a web based version of </w:t>
      </w:r>
      <w:proofErr w:type="spellStart"/>
      <w:r>
        <w:t>TraNSIT</w:t>
      </w:r>
      <w:proofErr w:type="spellEnd"/>
      <w:r>
        <w:t>. It is developing a multi-user licence agreement</w:t>
      </w:r>
      <w:r w:rsidR="000D701C">
        <w:t xml:space="preserve"> for the model</w:t>
      </w:r>
      <w:r>
        <w:t>.</w:t>
      </w:r>
      <w:r w:rsidR="00BB1A66">
        <w:t xml:space="preserve"> CSIRO is currently seeking to arrange </w:t>
      </w:r>
      <w:r w:rsidR="00BB1A66" w:rsidRPr="00BB1A66">
        <w:t xml:space="preserve">funding from state and federal jurisdictions to fund the development of </w:t>
      </w:r>
      <w:r w:rsidR="00BB1A66">
        <w:t>the</w:t>
      </w:r>
      <w:r w:rsidR="00BB1A66" w:rsidRPr="00BB1A66">
        <w:t xml:space="preserve"> web </w:t>
      </w:r>
      <w:r w:rsidR="00BB1A66">
        <w:t xml:space="preserve">based </w:t>
      </w:r>
      <w:r w:rsidR="00BB1A66" w:rsidRPr="00BB1A66">
        <w:t>version. This should start later in 2017. Those who contribute to the development of the web version will also receive a license to use it.</w:t>
      </w:r>
      <w:r>
        <w:t xml:space="preserve"> </w:t>
      </w:r>
    </w:p>
    <w:p w14:paraId="3956E765" w14:textId="77777777" w:rsidR="0078116E" w:rsidRDefault="0078116E" w:rsidP="0078116E">
      <w:pPr>
        <w:pStyle w:val="Heading6"/>
      </w:pPr>
      <w:r>
        <w:t>FGARA</w:t>
      </w:r>
    </w:p>
    <w:p w14:paraId="55F7F29E" w14:textId="77777777" w:rsidR="0078116E" w:rsidRDefault="000820A5" w:rsidP="00C953C7">
      <w:pPr>
        <w:pStyle w:val="BodyText"/>
      </w:pPr>
      <w:r>
        <w:t xml:space="preserve">The novel assessment techniques developed and applied for </w:t>
      </w:r>
      <w:r w:rsidR="00D239AF">
        <w:t xml:space="preserve">the </w:t>
      </w:r>
      <w:r>
        <w:t xml:space="preserve">FGARA </w:t>
      </w:r>
      <w:r w:rsidR="00D239AF">
        <w:t xml:space="preserve">project </w:t>
      </w:r>
      <w:r>
        <w:t>have since been applied to a broad range of other assessments, including:</w:t>
      </w:r>
    </w:p>
    <w:p w14:paraId="24238AF1" w14:textId="77777777" w:rsidR="000820A5" w:rsidRDefault="000820A5" w:rsidP="000820A5">
      <w:pPr>
        <w:pStyle w:val="ListBullet"/>
      </w:pPr>
      <w:r>
        <w:t>A revision of the Gulf Water Resource Plan</w:t>
      </w:r>
    </w:p>
    <w:p w14:paraId="0295F67A" w14:textId="77777777" w:rsidR="000820A5" w:rsidRDefault="000820A5" w:rsidP="000820A5">
      <w:pPr>
        <w:pStyle w:val="ListBullet"/>
      </w:pPr>
      <w:r>
        <w:t>Informing the Northern Australia White Paper</w:t>
      </w:r>
    </w:p>
    <w:p w14:paraId="4E1D5F44" w14:textId="77777777" w:rsidR="008A70FA" w:rsidRDefault="008A70FA" w:rsidP="000820A5">
      <w:pPr>
        <w:pStyle w:val="ListBullet"/>
      </w:pPr>
      <w:r>
        <w:t>The Australian Water Resources Assessment (AWRA) forecast</w:t>
      </w:r>
    </w:p>
    <w:p w14:paraId="57DC8F57" w14:textId="7B9CCCF4" w:rsidR="000820A5" w:rsidRDefault="000820A5" w:rsidP="000820A5">
      <w:pPr>
        <w:pStyle w:val="ListBullet"/>
      </w:pPr>
      <w:r>
        <w:t>Additional work commissioned by the government for catchments in the Northern Territory, Queensland and Western Australia</w:t>
      </w:r>
      <w:r w:rsidR="0096093E">
        <w:t xml:space="preserve"> (NAWRA, $15M)</w:t>
      </w:r>
      <w:r>
        <w:t>.</w:t>
      </w:r>
    </w:p>
    <w:p w14:paraId="5240B3AF" w14:textId="77777777" w:rsidR="00C953C7" w:rsidRDefault="00C953C7" w:rsidP="00C953C7">
      <w:pPr>
        <w:pStyle w:val="Heading3"/>
      </w:pPr>
      <w:r>
        <w:t xml:space="preserve">Project </w:t>
      </w:r>
      <w:r w:rsidRPr="00B03BA4">
        <w:t xml:space="preserve">Outcomes </w:t>
      </w:r>
    </w:p>
    <w:p w14:paraId="173A189E" w14:textId="77777777" w:rsidR="0027784E" w:rsidRPr="0027784E" w:rsidRDefault="0027784E" w:rsidP="0027784E">
      <w:pPr>
        <w:keepNext/>
        <w:keepLines/>
        <w:numPr>
          <w:ilvl w:val="5"/>
          <w:numId w:val="0"/>
        </w:numPr>
        <w:pBdr>
          <w:between w:val="single" w:sz="4" w:space="1" w:color="auto"/>
        </w:pBdr>
        <w:spacing w:before="240" w:after="89"/>
        <w:outlineLvl w:val="5"/>
        <w:rPr>
          <w:rFonts w:eastAsiaTheme="majorEastAsia" w:cstheme="majorBidi"/>
          <w:b/>
          <w:i/>
          <w:color w:val="808080" w:themeColor="background1" w:themeShade="80"/>
          <w:spacing w:val="3"/>
        </w:rPr>
      </w:pPr>
      <w:proofErr w:type="spellStart"/>
      <w:r w:rsidRPr="0027784E">
        <w:rPr>
          <w:rFonts w:eastAsiaTheme="majorEastAsia" w:cstheme="majorBidi"/>
          <w:b/>
          <w:i/>
          <w:color w:val="808080" w:themeColor="background1" w:themeShade="80"/>
          <w:spacing w:val="3"/>
        </w:rPr>
        <w:t>TraNSIT</w:t>
      </w:r>
      <w:proofErr w:type="spellEnd"/>
    </w:p>
    <w:p w14:paraId="2ACF2949" w14:textId="77777777" w:rsidR="0027784E" w:rsidRPr="0027784E" w:rsidRDefault="0027784E" w:rsidP="0027784E">
      <w:pPr>
        <w:spacing w:before="113" w:after="60"/>
      </w:pPr>
      <w:r w:rsidRPr="0027784E">
        <w:t xml:space="preserve">CSIRO has </w:t>
      </w:r>
      <w:r>
        <w:t xml:space="preserve">developed a </w:t>
      </w:r>
      <w:r w:rsidR="00D10FEB">
        <w:t xml:space="preserve">transport modelling </w:t>
      </w:r>
      <w:r>
        <w:t xml:space="preserve">tool that </w:t>
      </w:r>
      <w:r w:rsidR="00D10FEB">
        <w:t>can be used by</w:t>
      </w:r>
      <w:r>
        <w:t xml:space="preserve"> both industry and government </w:t>
      </w:r>
      <w:r w:rsidR="00D10FEB">
        <w:t xml:space="preserve">across </w:t>
      </w:r>
      <w:r w:rsidR="000820A5">
        <w:t xml:space="preserve">the whole of </w:t>
      </w:r>
      <w:r w:rsidR="00D10FEB">
        <w:t xml:space="preserve">Australia </w:t>
      </w:r>
      <w:r>
        <w:t xml:space="preserve">to holistically evaluate </w:t>
      </w:r>
      <w:r w:rsidR="000820A5">
        <w:t xml:space="preserve">the relative merits of </w:t>
      </w:r>
      <w:r>
        <w:t>proposed investments in new infrastructure and</w:t>
      </w:r>
      <w:r w:rsidR="00D10FEB">
        <w:t xml:space="preserve"> or</w:t>
      </w:r>
      <w:r>
        <w:t xml:space="preserve"> potential policy changes</w:t>
      </w:r>
      <w:r w:rsidR="00D10FEB">
        <w:t xml:space="preserve">. </w:t>
      </w:r>
    </w:p>
    <w:p w14:paraId="686F9EB9" w14:textId="77777777" w:rsidR="0027784E" w:rsidRPr="0027784E" w:rsidRDefault="0027784E" w:rsidP="0027784E">
      <w:pPr>
        <w:keepNext/>
        <w:keepLines/>
        <w:numPr>
          <w:ilvl w:val="5"/>
          <w:numId w:val="0"/>
        </w:numPr>
        <w:pBdr>
          <w:between w:val="single" w:sz="4" w:space="1" w:color="auto"/>
        </w:pBdr>
        <w:spacing w:before="240" w:after="89"/>
        <w:outlineLvl w:val="5"/>
        <w:rPr>
          <w:rFonts w:eastAsiaTheme="majorEastAsia" w:cstheme="majorBidi"/>
          <w:b/>
          <w:i/>
          <w:color w:val="808080" w:themeColor="background1" w:themeShade="80"/>
          <w:spacing w:val="3"/>
        </w:rPr>
      </w:pPr>
      <w:r w:rsidRPr="0027784E">
        <w:rPr>
          <w:rFonts w:eastAsiaTheme="majorEastAsia" w:cstheme="majorBidi"/>
          <w:b/>
          <w:i/>
          <w:color w:val="808080" w:themeColor="background1" w:themeShade="80"/>
          <w:spacing w:val="3"/>
        </w:rPr>
        <w:t>FGARA</w:t>
      </w:r>
    </w:p>
    <w:p w14:paraId="1D290ACE" w14:textId="77777777" w:rsidR="0027784E" w:rsidRDefault="000820A5" w:rsidP="0027784E">
      <w:pPr>
        <w:spacing w:before="113" w:after="60"/>
      </w:pPr>
      <w:r>
        <w:t xml:space="preserve">CSIRO has developed and applied a novel approach to land and water assessments that is considerably quicker and cheaper </w:t>
      </w:r>
      <w:r w:rsidR="00C3487A">
        <w:t xml:space="preserve">than previous approaches. </w:t>
      </w:r>
    </w:p>
    <w:p w14:paraId="4A905461" w14:textId="77777777" w:rsidR="00C953C7" w:rsidRPr="00B03BA4" w:rsidRDefault="00C953C7" w:rsidP="00C953C7">
      <w:pPr>
        <w:pStyle w:val="Heading3"/>
      </w:pPr>
      <w:r w:rsidRPr="00B03BA4">
        <w:t>Adoption</w:t>
      </w:r>
    </w:p>
    <w:p w14:paraId="1E01FB63" w14:textId="77777777" w:rsidR="00C3487A" w:rsidRDefault="00C3487A" w:rsidP="00C3487A">
      <w:pPr>
        <w:pStyle w:val="Heading6"/>
      </w:pPr>
      <w:proofErr w:type="spellStart"/>
      <w:r>
        <w:t>TraNSIT</w:t>
      </w:r>
      <w:proofErr w:type="spellEnd"/>
    </w:p>
    <w:p w14:paraId="4D15B8E4" w14:textId="77777777" w:rsidR="00C3487A" w:rsidRDefault="00C3487A" w:rsidP="00C3487A">
      <w:pPr>
        <w:pStyle w:val="BodyText"/>
      </w:pPr>
      <w:r>
        <w:t xml:space="preserve">This innovative transport modelling tool is being used by both industry and government across Australia to inform significant decisions about infrastructure investment. For example, all proposals for funding under the $100 million Beef Roads Fund are required to be assessed by the CSIRO before a decision was made on whether to provide funding or not. </w:t>
      </w:r>
      <w:proofErr w:type="spellStart"/>
      <w:r>
        <w:t>TraNSIT</w:t>
      </w:r>
      <w:proofErr w:type="spellEnd"/>
      <w:r>
        <w:t xml:space="preserve"> was also used to examine how best to move cattle </w:t>
      </w:r>
      <w:r w:rsidR="00DB7E1A">
        <w:t>in a manner that takes account of cattle tick zones across northern Australia.</w:t>
      </w:r>
    </w:p>
    <w:p w14:paraId="5562D7F2" w14:textId="77777777" w:rsidR="00C3487A" w:rsidRDefault="00C3487A" w:rsidP="00C3487A">
      <w:pPr>
        <w:pStyle w:val="Heading6"/>
      </w:pPr>
      <w:r>
        <w:t>FGARA</w:t>
      </w:r>
    </w:p>
    <w:p w14:paraId="4C0345F1" w14:textId="64D73350" w:rsidR="008A70FA" w:rsidRDefault="00C3487A" w:rsidP="00C3487A">
      <w:pPr>
        <w:pStyle w:val="BodyText"/>
      </w:pPr>
      <w:r>
        <w:t>CSIRO has developed and applied a novel approach to land and water assessments that is both considerably quicker and cheaper than previous approaches</w:t>
      </w:r>
      <w:r w:rsidR="00C83EE2">
        <w:t xml:space="preserve"> as well as allowing integration across different disciplines and sectors</w:t>
      </w:r>
      <w:r>
        <w:t>.</w:t>
      </w:r>
      <w:r w:rsidR="008A70FA">
        <w:t xml:space="preserve"> That approach has since been applied in other catchments. For example, to determine the Murray-Darling Sustainable Diversion Limit. The results of that analysis have been adopted by the Murray Darling Basin Authority (MDBA). </w:t>
      </w:r>
    </w:p>
    <w:p w14:paraId="349EFF06" w14:textId="5D006126" w:rsidR="005F17B3" w:rsidRDefault="00837234" w:rsidP="00837234">
      <w:pPr>
        <w:pStyle w:val="BodyText"/>
      </w:pPr>
      <w:r>
        <w:t xml:space="preserve">Key findings of FGARA included that farm dams could support between 10,000 and 20,000 ha of irrigation in 70-80 per cent of years in the Flinders catchments, and that large dams could support 20,000 to 30,000 ha of irrigation in 85 per cent of years in the Gilbert catchment. The </w:t>
      </w:r>
      <w:r w:rsidR="005F17B3">
        <w:t xml:space="preserve">FGARA </w:t>
      </w:r>
      <w:r>
        <w:t>findings have created growing interest in increasing the area of irrigated agriculture in the catchment</w:t>
      </w:r>
      <w:r w:rsidR="00C83EE2">
        <w:t>s</w:t>
      </w:r>
      <w:r>
        <w:t>.</w:t>
      </w:r>
      <w:r>
        <w:rPr>
          <w:rStyle w:val="FootnoteReference"/>
        </w:rPr>
        <w:footnoteReference w:id="4"/>
      </w:r>
      <w:r>
        <w:t xml:space="preserve"> </w:t>
      </w:r>
    </w:p>
    <w:p w14:paraId="52AA662A" w14:textId="77777777" w:rsidR="00133B1F" w:rsidRDefault="00D91CFE" w:rsidP="00133B1F">
      <w:pPr>
        <w:pStyle w:val="BodyText"/>
      </w:pPr>
      <w:r>
        <w:t xml:space="preserve">Several stakeholders commented that the scientific rigour that CSIRO was able to demonstrate in the FGARA project was a crucial factor in the decision to bring forward the revision of the Gulf Water Resource Plan. </w:t>
      </w:r>
      <w:r w:rsidR="00133B1F">
        <w:t>One stakeholder commented that:</w:t>
      </w:r>
    </w:p>
    <w:p w14:paraId="6E1E430E" w14:textId="77777777" w:rsidR="00133B1F" w:rsidRDefault="00133B1F" w:rsidP="00133B1F">
      <w:pPr>
        <w:pStyle w:val="Quote"/>
        <w:ind w:left="720"/>
      </w:pPr>
      <w:r w:rsidRPr="00133B1F">
        <w:t>There is no doubt that the FGARA supported Queensland</w:t>
      </w:r>
      <w:r>
        <w:t>’s decision</w:t>
      </w:r>
      <w:r w:rsidRPr="00133B1F">
        <w:t xml:space="preserve"> to review and update water resource planning in the gulf region, helping to improving planning and avoid poor spending decisions.</w:t>
      </w:r>
      <w:r>
        <w:rPr>
          <w:rStyle w:val="FootnoteReference"/>
        </w:rPr>
        <w:footnoteReference w:id="5"/>
      </w:r>
    </w:p>
    <w:p w14:paraId="19FF5C36" w14:textId="607898C3" w:rsidR="00133B1F" w:rsidRDefault="00D91CFE" w:rsidP="00133B1F">
      <w:pPr>
        <w:pStyle w:val="BodyText"/>
      </w:pPr>
      <w:r>
        <w:lastRenderedPageBreak/>
        <w:t>The revision of the water resource plans for the Flinders and Gilbert catchments identified an additional 159</w:t>
      </w:r>
      <w:r w:rsidR="00133B1F">
        <w:t xml:space="preserve"> </w:t>
      </w:r>
      <w:proofErr w:type="spellStart"/>
      <w:r w:rsidR="00133B1F">
        <w:t>gi</w:t>
      </w:r>
      <w:r w:rsidR="00133B1F" w:rsidRPr="00D91CFE">
        <w:t>galitres</w:t>
      </w:r>
      <w:proofErr w:type="spellEnd"/>
      <w:r w:rsidR="00133B1F" w:rsidRPr="00D91CFE">
        <w:t xml:space="preserve"> </w:t>
      </w:r>
      <w:r w:rsidR="00133B1F">
        <w:t>(</w:t>
      </w:r>
      <w:r>
        <w:t>GL</w:t>
      </w:r>
      <w:r w:rsidR="00133B1F">
        <w:t>)</w:t>
      </w:r>
      <w:r>
        <w:t xml:space="preserve"> and 452GL of water as available for release from those two catchments respectively.</w:t>
      </w:r>
      <w:r>
        <w:rPr>
          <w:rStyle w:val="FootnoteReference"/>
        </w:rPr>
        <w:footnoteReference w:id="6"/>
      </w:r>
      <w:r>
        <w:t xml:space="preserve"> </w:t>
      </w:r>
      <w:r w:rsidR="00884A69" w:rsidRPr="00884A69">
        <w:t>In theory this would be enough water to irrigate some 60,000 ha.</w:t>
      </w:r>
    </w:p>
    <w:p w14:paraId="74813B49" w14:textId="42A8E280" w:rsidR="00D91CFE" w:rsidRDefault="00133B1F" w:rsidP="00D91CFE">
      <w:pPr>
        <w:pStyle w:val="BodyText"/>
      </w:pPr>
      <w:r>
        <w:t xml:space="preserve">The success of the FGARA project also underpinned the decision to allocate </w:t>
      </w:r>
      <w:r w:rsidRPr="00133B1F">
        <w:t xml:space="preserve">$15 million (as part of the White Paper) to enable CSIRO to apply the methodology developed for FGARA to three other </w:t>
      </w:r>
      <w:r w:rsidR="00BD5FDF">
        <w:t>study areas</w:t>
      </w:r>
      <w:r w:rsidR="00BD5FDF" w:rsidRPr="00133B1F">
        <w:t xml:space="preserve"> </w:t>
      </w:r>
      <w:r w:rsidRPr="00133B1F">
        <w:t xml:space="preserve">in northern Australia. Importantly, Queensland’s support for the FGARA methodology was an important element in getting </w:t>
      </w:r>
      <w:r w:rsidR="003F0126">
        <w:t>agreement</w:t>
      </w:r>
      <w:r w:rsidRPr="00133B1F">
        <w:t xml:space="preserve"> for the funding.</w:t>
      </w:r>
    </w:p>
    <w:p w14:paraId="1CCC5E27" w14:textId="77777777" w:rsidR="003F0126" w:rsidRDefault="003F0126" w:rsidP="00837234">
      <w:pPr>
        <w:pStyle w:val="BodyText"/>
      </w:pPr>
      <w:r w:rsidRPr="003F0126">
        <w:t>The availability of the data sets assembled for FGARA will be very valuable as proposals</w:t>
      </w:r>
      <w:r>
        <w:t xml:space="preserve"> for water and agricultural developments</w:t>
      </w:r>
      <w:r w:rsidRPr="003F0126">
        <w:t xml:space="preserve"> begin to emerge. Th</w:t>
      </w:r>
      <w:r>
        <w:t xml:space="preserve">ose data sets </w:t>
      </w:r>
      <w:r w:rsidRPr="003F0126">
        <w:t xml:space="preserve">will enable </w:t>
      </w:r>
      <w:r>
        <w:t xml:space="preserve">proponent’s </w:t>
      </w:r>
      <w:r w:rsidRPr="003F0126">
        <w:t>claims to be tested</w:t>
      </w:r>
      <w:r>
        <w:t>.</w:t>
      </w:r>
      <w:r w:rsidRPr="003F0126">
        <w:t xml:space="preserve"> </w:t>
      </w:r>
      <w:r w:rsidR="002E6930">
        <w:t>As another stakeholder commented:</w:t>
      </w:r>
    </w:p>
    <w:p w14:paraId="6744B0BE" w14:textId="77777777" w:rsidR="002E6930" w:rsidRDefault="002E6930" w:rsidP="002E6930">
      <w:pPr>
        <w:pStyle w:val="Quote"/>
        <w:ind w:left="720"/>
      </w:pPr>
      <w:r w:rsidRPr="002E6930">
        <w:t>FGARA provides the Department with strong insights into the potential for sustainable agriculture and the sustainable benefits of development.</w:t>
      </w:r>
      <w:r>
        <w:rPr>
          <w:rStyle w:val="FootnoteReference"/>
        </w:rPr>
        <w:footnoteReference w:id="7"/>
      </w:r>
    </w:p>
    <w:p w14:paraId="513D5A2A" w14:textId="77777777" w:rsidR="00837234" w:rsidRDefault="00837234" w:rsidP="00837234">
      <w:pPr>
        <w:pStyle w:val="BodyText"/>
      </w:pPr>
      <w:r>
        <w:t xml:space="preserve">FGARA </w:t>
      </w:r>
      <w:r w:rsidR="003F0126">
        <w:t>can</w:t>
      </w:r>
      <w:r>
        <w:t xml:space="preserve"> also provide the information needed to underpin changes to many of the restrictive statutory rules </w:t>
      </w:r>
      <w:r w:rsidR="003F0126">
        <w:t xml:space="preserve">currently </w:t>
      </w:r>
      <w:r>
        <w:t>in place in the region, which limit the areas in which intensive agriculture is allowed to take place. Changes to these regulations could help to open up greater finance and lending opportunities for agricultural developers in the region</w:t>
      </w:r>
      <w:r w:rsidR="005F17B3">
        <w:t>. For example, the findings were used to justify granting a land clearing permit for 58,000 ha and providing a water allocation for a property in the catchment. FGARA also provided information on what could potentially be grown on the property. The owner of the property has been in contact with CSIRO to discuss getting CSIRO’s help to get the project going.</w:t>
      </w:r>
      <w:r w:rsidR="00E85671">
        <w:t xml:space="preserve"> </w:t>
      </w:r>
    </w:p>
    <w:p w14:paraId="39B8E1BD" w14:textId="77777777" w:rsidR="00C953C7" w:rsidRDefault="00C953C7" w:rsidP="00C953C7">
      <w:pPr>
        <w:pStyle w:val="Heading3"/>
      </w:pPr>
      <w:bookmarkStart w:id="4" w:name="_Ref496800830"/>
      <w:r>
        <w:t>Impacts</w:t>
      </w:r>
      <w:bookmarkEnd w:id="4"/>
    </w:p>
    <w:p w14:paraId="04B8D965" w14:textId="77777777" w:rsidR="00C953C7" w:rsidRDefault="008A70FA" w:rsidP="008A70FA">
      <w:pPr>
        <w:pStyle w:val="Heading6"/>
      </w:pPr>
      <w:proofErr w:type="spellStart"/>
      <w:r>
        <w:t>TraNSIT</w:t>
      </w:r>
      <w:proofErr w:type="spellEnd"/>
    </w:p>
    <w:p w14:paraId="4278A0FA" w14:textId="7D858AE8" w:rsidR="005E4C74" w:rsidRDefault="000D701C" w:rsidP="00C953C7">
      <w:pPr>
        <w:pStyle w:val="BodyText"/>
      </w:pPr>
      <w:r>
        <w:t>T</w:t>
      </w:r>
      <w:r w:rsidR="008A70FA">
        <w:t xml:space="preserve">he </w:t>
      </w:r>
      <w:proofErr w:type="spellStart"/>
      <w:r w:rsidR="008A70FA">
        <w:t>TraNSIT</w:t>
      </w:r>
      <w:proofErr w:type="spellEnd"/>
      <w:r w:rsidR="008A70FA">
        <w:t xml:space="preserve"> model to inform decisions </w:t>
      </w:r>
      <w:r w:rsidR="00E34E48">
        <w:t>about</w:t>
      </w:r>
      <w:r w:rsidR="008A70FA">
        <w:t xml:space="preserve"> </w:t>
      </w:r>
      <w:r w:rsidR="00E34E48">
        <w:t xml:space="preserve">grants from </w:t>
      </w:r>
      <w:r w:rsidR="008A70FA">
        <w:t xml:space="preserve">the $100 million Beef Roads Fund </w:t>
      </w:r>
      <w:r>
        <w:t>has reportedly</w:t>
      </w:r>
      <w:r w:rsidR="008A70FA">
        <w:t xml:space="preserve"> increase</w:t>
      </w:r>
      <w:r>
        <w:t>d</w:t>
      </w:r>
      <w:r w:rsidR="008A70FA">
        <w:t xml:space="preserve"> decision makers’ confidence in the merits of proposals </w:t>
      </w:r>
      <w:r w:rsidR="00E34E48">
        <w:t xml:space="preserve">that are selected </w:t>
      </w:r>
      <w:r w:rsidR="008A70FA">
        <w:t xml:space="preserve">for funding. Improved and better informed decision making </w:t>
      </w:r>
      <w:r>
        <w:t>has</w:t>
      </w:r>
      <w:r w:rsidR="008A70FA">
        <w:t xml:space="preserve"> </w:t>
      </w:r>
      <w:r w:rsidR="00E34E48">
        <w:t xml:space="preserve">in turn </w:t>
      </w:r>
      <w:r w:rsidR="008A70FA">
        <w:t>help</w:t>
      </w:r>
      <w:r>
        <w:t>ed</w:t>
      </w:r>
      <w:r w:rsidR="008A70FA">
        <w:t xml:space="preserve"> </w:t>
      </w:r>
      <w:r w:rsidR="00E34E48">
        <w:t>increase the likelihood</w:t>
      </w:r>
      <w:r w:rsidR="008A70FA">
        <w:t xml:space="preserve"> of project </w:t>
      </w:r>
      <w:r w:rsidR="00E34E48">
        <w:t>success</w:t>
      </w:r>
      <w:r w:rsidR="008A70FA">
        <w:t xml:space="preserve"> and hence </w:t>
      </w:r>
      <w:r>
        <w:t>improved the flow of benefits from the projects supported by the Fund.</w:t>
      </w:r>
      <w:r w:rsidR="00627640">
        <w:t xml:space="preserve"> </w:t>
      </w:r>
      <w:r w:rsidR="005E4C74" w:rsidRPr="005E4C74">
        <w:t xml:space="preserve">The benefits from the use of model began to flow in 2014/15. In that year they were around $70,000. CSIRO estimate that the </w:t>
      </w:r>
      <w:r w:rsidR="00E445DD">
        <w:t>annual</w:t>
      </w:r>
      <w:r w:rsidR="00BA7AF2">
        <w:t xml:space="preserve"> </w:t>
      </w:r>
      <w:r w:rsidR="005E4C74" w:rsidRPr="005E4C74">
        <w:t xml:space="preserve">benefits increased to $400,000 in 2015/16, $600,000 by 2016/17 and could reach $1 million by 2017/18. </w:t>
      </w:r>
      <w:r w:rsidR="005E4C74">
        <w:t xml:space="preserve">CSIRO have estimated that the </w:t>
      </w:r>
      <w:r w:rsidR="00BA7AF2">
        <w:t xml:space="preserve">cumulative </w:t>
      </w:r>
      <w:r w:rsidR="005E4C74">
        <w:t>benefits might continue to increase by around $600,000 a year. ACIL Allen has assumed a more conservative increase of $300,0</w:t>
      </w:r>
      <w:r w:rsidR="009E4E7F">
        <w:t>0</w:t>
      </w:r>
      <w:r w:rsidR="005E4C74">
        <w:t>0 a year.</w:t>
      </w:r>
      <w:r w:rsidR="00E445DD">
        <w:t xml:space="preserve"> We </w:t>
      </w:r>
      <w:r w:rsidR="00B055DC">
        <w:t xml:space="preserve">have </w:t>
      </w:r>
      <w:r w:rsidR="00E445DD">
        <w:t xml:space="preserve">also </w:t>
      </w:r>
      <w:r w:rsidR="00B055DC">
        <w:t xml:space="preserve">conservatively </w:t>
      </w:r>
      <w:r w:rsidR="00E445DD">
        <w:t>assume</w:t>
      </w:r>
      <w:r w:rsidR="00B055DC">
        <w:t>d</w:t>
      </w:r>
      <w:r w:rsidR="00E445DD">
        <w:t xml:space="preserve"> that the</w:t>
      </w:r>
      <w:r w:rsidR="00B055DC">
        <w:t>re will be no</w:t>
      </w:r>
      <w:r w:rsidR="00E445DD">
        <w:t xml:space="preserve"> benefits</w:t>
      </w:r>
      <w:r w:rsidR="00B055DC">
        <w:t xml:space="preserve"> attributable to CSIRO</w:t>
      </w:r>
      <w:r w:rsidR="00E445DD">
        <w:t xml:space="preserve"> after 2026/27 as a</w:t>
      </w:r>
      <w:r w:rsidR="00B055DC">
        <w:t xml:space="preserve">n alternative </w:t>
      </w:r>
      <w:r w:rsidR="00E445DD">
        <w:t xml:space="preserve">model </w:t>
      </w:r>
      <w:r w:rsidR="00B055DC">
        <w:t>c</w:t>
      </w:r>
      <w:r w:rsidR="00E445DD">
        <w:t>ould emerge at that time in the counterfactual.</w:t>
      </w:r>
    </w:p>
    <w:p w14:paraId="139E6F82" w14:textId="6DE802C8" w:rsidR="00101855" w:rsidRDefault="00101855" w:rsidP="00C953C7">
      <w:pPr>
        <w:pStyle w:val="BodyText"/>
      </w:pPr>
      <w:r>
        <w:t xml:space="preserve">The </w:t>
      </w:r>
      <w:proofErr w:type="spellStart"/>
      <w:r>
        <w:t>TraNSIT</w:t>
      </w:r>
      <w:proofErr w:type="spellEnd"/>
      <w:r>
        <w:t xml:space="preserve"> model was able to </w:t>
      </w:r>
      <w:r w:rsidRPr="00101855">
        <w:t>show that trucks transporting cattle from tick prone zone</w:t>
      </w:r>
      <w:r>
        <w:t>s</w:t>
      </w:r>
      <w:r w:rsidRPr="00101855">
        <w:t xml:space="preserve"> will take longer journeys to stay within that zone to avoid the stoppage time associated with tick treatment. The model predict</w:t>
      </w:r>
      <w:r>
        <w:t>ed that i</w:t>
      </w:r>
      <w:r w:rsidRPr="00101855">
        <w:t>f biosecurity policies didn’t apply to cattle being transported to abattoirs th</w:t>
      </w:r>
      <w:r>
        <w:t>en</w:t>
      </w:r>
      <w:r w:rsidRPr="00101855">
        <w:t xml:space="preserve"> trucks would take more direct routes which</w:t>
      </w:r>
      <w:r w:rsidR="005F6EBD">
        <w:t>, based on transport movements between 2008 and 2013,</w:t>
      </w:r>
      <w:r w:rsidRPr="00101855">
        <w:t xml:space="preserve"> could save up to $2.3 million</w:t>
      </w:r>
      <w:r w:rsidR="005F6EBD">
        <w:t xml:space="preserve"> a year</w:t>
      </w:r>
      <w:r w:rsidRPr="00101855">
        <w:t xml:space="preserve"> in transport costs from South East Queensland.</w:t>
      </w:r>
      <w:r>
        <w:t xml:space="preserve"> </w:t>
      </w:r>
      <w:r w:rsidR="005E4C74">
        <w:t>These savings began in 2016 and ACIL Allen assumes that they will continue to accrue until 2026</w:t>
      </w:r>
      <w:r w:rsidR="00E445DD">
        <w:t>/27</w:t>
      </w:r>
      <w:r w:rsidR="005E4C74">
        <w:t>.</w:t>
      </w:r>
    </w:p>
    <w:p w14:paraId="40288FDD" w14:textId="78BF9DF3" w:rsidR="00101855" w:rsidRDefault="00496F2D" w:rsidP="00C953C7">
      <w:pPr>
        <w:pStyle w:val="BodyText"/>
      </w:pPr>
      <w:r>
        <w:t xml:space="preserve">Given that transport costs are a significant proportion of the final market price of cattle, even a modest reduction in transport costs could have a significant impact. </w:t>
      </w:r>
      <w:r w:rsidR="005F6EBD" w:rsidRPr="005F6EBD">
        <w:t xml:space="preserve">The average transport costs </w:t>
      </w:r>
      <w:r>
        <w:t xml:space="preserve">of transporting cattle </w:t>
      </w:r>
      <w:r w:rsidR="005F6EBD" w:rsidRPr="005F6EBD">
        <w:t xml:space="preserve">from property to abattoir (including a stop to a feedlot or saleyard) is around $60 per head or about 7% of the market price. </w:t>
      </w:r>
      <w:r>
        <w:t>In 2016 around 8 million cattle were slaughtered.</w:t>
      </w:r>
      <w:r>
        <w:rPr>
          <w:rStyle w:val="FootnoteReference"/>
        </w:rPr>
        <w:footnoteReference w:id="8"/>
      </w:r>
      <w:r>
        <w:t xml:space="preserve"> </w:t>
      </w:r>
      <w:r w:rsidR="005F6EBD" w:rsidRPr="005F6EBD">
        <w:t>Th</w:t>
      </w:r>
      <w:r>
        <w:t>is suggests that th</w:t>
      </w:r>
      <w:r w:rsidR="005F6EBD" w:rsidRPr="005F6EBD">
        <w:t xml:space="preserve">e annual total cost of road transport is </w:t>
      </w:r>
      <w:r w:rsidR="00402D1A">
        <w:t>around</w:t>
      </w:r>
      <w:r w:rsidR="005F6EBD" w:rsidRPr="005F6EBD">
        <w:t xml:space="preserve"> $</w:t>
      </w:r>
      <w:r>
        <w:t>48</w:t>
      </w:r>
      <w:r w:rsidR="005F6EBD" w:rsidRPr="005F6EBD">
        <w:t xml:space="preserve">0 million. </w:t>
      </w:r>
      <w:r>
        <w:t xml:space="preserve">If </w:t>
      </w:r>
      <w:proofErr w:type="spellStart"/>
      <w:r>
        <w:t>TraNSIT</w:t>
      </w:r>
      <w:proofErr w:type="spellEnd"/>
      <w:r>
        <w:t xml:space="preserve"> was able to reduce the cost of transport by an average of one per cent this would imply an annual saving of </w:t>
      </w:r>
      <w:r w:rsidR="005F6EBD" w:rsidRPr="005F6EBD">
        <w:t>$</w:t>
      </w:r>
      <w:r>
        <w:t>4.8</w:t>
      </w:r>
      <w:r w:rsidR="005F6EBD" w:rsidRPr="005F6EBD">
        <w:t xml:space="preserve"> million</w:t>
      </w:r>
      <w:r>
        <w:t>.</w:t>
      </w:r>
      <w:r w:rsidR="00BA7AF2">
        <w:t xml:space="preserve"> ACIL Allen assumes that this saving will continue to accrue until 2026</w:t>
      </w:r>
      <w:r w:rsidR="00E445DD">
        <w:t>/27</w:t>
      </w:r>
      <w:r w:rsidR="00BA7AF2">
        <w:t>.</w:t>
      </w:r>
    </w:p>
    <w:p w14:paraId="6F23EF9E" w14:textId="77777777" w:rsidR="00F075F3" w:rsidRDefault="00F075F3" w:rsidP="00C953C7">
      <w:pPr>
        <w:pStyle w:val="BodyText"/>
      </w:pPr>
      <w:r>
        <w:t xml:space="preserve">The </w:t>
      </w:r>
      <w:proofErr w:type="spellStart"/>
      <w:r>
        <w:t>TraNSIT</w:t>
      </w:r>
      <w:proofErr w:type="spellEnd"/>
      <w:r>
        <w:t xml:space="preserve"> model is now being applied across the entire agricultural sector. ACIL Allen therefore expect</w:t>
      </w:r>
      <w:r w:rsidR="00496F2D">
        <w:t>s</w:t>
      </w:r>
      <w:r>
        <w:t xml:space="preserve"> that the above estimate of the potential benefits </w:t>
      </w:r>
      <w:r w:rsidR="00496F2D">
        <w:t xml:space="preserve">resulting </w:t>
      </w:r>
      <w:r>
        <w:t xml:space="preserve">from the </w:t>
      </w:r>
      <w:r w:rsidR="00496F2D">
        <w:t xml:space="preserve">use of the </w:t>
      </w:r>
      <w:r>
        <w:t xml:space="preserve">model </w:t>
      </w:r>
      <w:r w:rsidR="003F0126">
        <w:t>is likely to</w:t>
      </w:r>
      <w:r>
        <w:t xml:space="preserve"> be conservative.</w:t>
      </w:r>
      <w:r w:rsidR="005E6955">
        <w:t xml:space="preserve"> The </w:t>
      </w:r>
      <w:r w:rsidR="005E6955" w:rsidRPr="005E6955">
        <w:t>Northern Territory Cattlemen’s Association</w:t>
      </w:r>
      <w:r w:rsidR="005E6955">
        <w:t xml:space="preserve"> commented that:</w:t>
      </w:r>
    </w:p>
    <w:p w14:paraId="50AC7489" w14:textId="77777777" w:rsidR="005E6955" w:rsidRDefault="005E6955" w:rsidP="005E6955">
      <w:pPr>
        <w:pStyle w:val="Quote"/>
        <w:ind w:left="720"/>
      </w:pPr>
      <w:proofErr w:type="spellStart"/>
      <w:r w:rsidRPr="005E6955">
        <w:t>TraNSIT</w:t>
      </w:r>
      <w:proofErr w:type="spellEnd"/>
      <w:r w:rsidRPr="005E6955">
        <w:t xml:space="preserve"> has done a great job in objectively determining the return on investment on road projects.</w:t>
      </w:r>
      <w:r>
        <w:rPr>
          <w:rStyle w:val="FootnoteReference"/>
        </w:rPr>
        <w:footnoteReference w:id="9"/>
      </w:r>
      <w:r w:rsidR="00C13A09">
        <w:t xml:space="preserve"> </w:t>
      </w:r>
    </w:p>
    <w:p w14:paraId="02FF9A98" w14:textId="77777777" w:rsidR="000D701C" w:rsidRDefault="000D701C" w:rsidP="00C953C7">
      <w:pPr>
        <w:pStyle w:val="BodyText"/>
      </w:pPr>
      <w:r>
        <w:t xml:space="preserve">CSIRO </w:t>
      </w:r>
      <w:r w:rsidR="00402D1A">
        <w:t>is currently</w:t>
      </w:r>
      <w:r>
        <w:t xml:space="preserve"> earn</w:t>
      </w:r>
      <w:r w:rsidR="00402D1A">
        <w:t>ing around</w:t>
      </w:r>
      <w:r>
        <w:t xml:space="preserve"> $</w:t>
      </w:r>
      <w:r w:rsidR="00402D1A">
        <w:t>550,000 a year as fees</w:t>
      </w:r>
      <w:r>
        <w:t xml:space="preserve"> for service </w:t>
      </w:r>
      <w:r w:rsidR="00402D1A">
        <w:t>for</w:t>
      </w:r>
      <w:r>
        <w:t xml:space="preserve"> applying the model to a range of projects. </w:t>
      </w:r>
    </w:p>
    <w:p w14:paraId="22DA5F22" w14:textId="77777777" w:rsidR="009E4E7F" w:rsidRDefault="009E4E7F" w:rsidP="00C953C7">
      <w:pPr>
        <w:pStyle w:val="BodyText"/>
      </w:pPr>
      <w:r>
        <w:t xml:space="preserve">Better informed investments in transport infrastructure due to </w:t>
      </w:r>
      <w:proofErr w:type="spellStart"/>
      <w:r>
        <w:t>TraNSIT</w:t>
      </w:r>
      <w:proofErr w:type="spellEnd"/>
      <w:r>
        <w:t xml:space="preserve"> also </w:t>
      </w:r>
      <w:r w:rsidR="009E3259">
        <w:t>deliver</w:t>
      </w:r>
      <w:r>
        <w:t xml:space="preserve"> social and environmental benefits. For example, the reduction in travel times reduces the risk of accidents due to driver fatigue and reduces the stress placed on the cattle being </w:t>
      </w:r>
      <w:r>
        <w:lastRenderedPageBreak/>
        <w:t>transported. Similarly, the reduction in fuel consumed when transporting agricultural goods also leads to reduced greenhouse gas emissions. ACIL Allen has not sought to value these benefits.</w:t>
      </w:r>
    </w:p>
    <w:p w14:paraId="2E8071BF" w14:textId="77777777" w:rsidR="008A70FA" w:rsidRDefault="008A70FA" w:rsidP="008A70FA">
      <w:pPr>
        <w:pStyle w:val="Heading6"/>
      </w:pPr>
      <w:r>
        <w:t>FGARA</w:t>
      </w:r>
    </w:p>
    <w:p w14:paraId="1098876E" w14:textId="77777777" w:rsidR="008A70FA" w:rsidRDefault="0094729F" w:rsidP="0094729F">
      <w:pPr>
        <w:pStyle w:val="BodyText"/>
      </w:pPr>
      <w:r>
        <w:t>Better understanding of future water supply scenarios reduces the likelihood that water managers will invest in agricultural or water projects that will become loss-making or unviable in the future as a result of changes in climate or water supply patterns. At the same time, better information on future water supply risk can help investors avoid higher risk investments, and free up capital for investments in agricultural regions that are more water secure.</w:t>
      </w:r>
    </w:p>
    <w:p w14:paraId="46902EAC" w14:textId="77777777" w:rsidR="0094729F" w:rsidRDefault="0094729F" w:rsidP="0094729F">
      <w:pPr>
        <w:pStyle w:val="BodyText"/>
      </w:pPr>
      <w:r>
        <w:t>Cropping suitability maps and seasonal water flow forecasts from water resource assessments allow farmers to optimise cropping choices and manage crop production uncertainty more effectively than previously. This can reduce risk of misallocation of farming land to sub-optimal uses and risk of loss from water supply stress.</w:t>
      </w:r>
    </w:p>
    <w:p w14:paraId="245B60AA" w14:textId="637FBA92" w:rsidR="0094729F" w:rsidRDefault="0094729F" w:rsidP="0094729F">
      <w:pPr>
        <w:pStyle w:val="BodyText"/>
      </w:pPr>
      <w:r>
        <w:t>There are also environmental benefits associated with w</w:t>
      </w:r>
      <w:r w:rsidRPr="0094729F">
        <w:t>ater resource assessments</w:t>
      </w:r>
      <w:r>
        <w:t>. For example, they</w:t>
      </w:r>
      <w:r w:rsidRPr="0094729F">
        <w:t xml:space="preserve"> </w:t>
      </w:r>
      <w:r>
        <w:t>can</w:t>
      </w:r>
      <w:r w:rsidRPr="0094729F">
        <w:t xml:space="preserve"> demonstrate the local ecosystem’s ability to absorb greater levels of water extraction, while at the same time setting upper limits on sustainable levels of water extraction.</w:t>
      </w:r>
      <w:r>
        <w:t xml:space="preserve"> Having access to b</w:t>
      </w:r>
      <w:r w:rsidRPr="0094729F">
        <w:t xml:space="preserve">etter information on thresholds for sustainable water extraction </w:t>
      </w:r>
      <w:r w:rsidR="00BD5FDF">
        <w:t xml:space="preserve">increases </w:t>
      </w:r>
      <w:r w:rsidR="0082666A">
        <w:t xml:space="preserve">water manager’s </w:t>
      </w:r>
      <w:r w:rsidR="00BD5FDF">
        <w:t>confidence that the allowed water extraction will have limited impact on the river system</w:t>
      </w:r>
      <w:r w:rsidR="0082666A">
        <w:t>.</w:t>
      </w:r>
    </w:p>
    <w:p w14:paraId="60982DFA" w14:textId="77777777" w:rsidR="0094729F" w:rsidRDefault="00FF67A6" w:rsidP="0094729F">
      <w:pPr>
        <w:pStyle w:val="BodyText"/>
      </w:pPr>
      <w:r w:rsidRPr="00FF67A6">
        <w:t>CSIRO’s integrated water resource assessments can help mitigate shocks from natural disasters, water supply and climate variability and longer-term water supply and climate change</w:t>
      </w:r>
      <w:r>
        <w:t>. Social benefits may flow as a result</w:t>
      </w:r>
      <w:r w:rsidRPr="00FF67A6">
        <w:t xml:space="preserve"> </w:t>
      </w:r>
      <w:r>
        <w:t xml:space="preserve">of </w:t>
      </w:r>
      <w:r w:rsidRPr="00FF67A6">
        <w:t>potential reduc</w:t>
      </w:r>
      <w:r>
        <w:t>tions in</w:t>
      </w:r>
      <w:r w:rsidRPr="00FF67A6">
        <w:t xml:space="preserve"> losses and greater resilience for communities that are directly dependent upon local water supplies, such as agricultural communities and rural indigenous communities</w:t>
      </w:r>
      <w:r>
        <w:t>.</w:t>
      </w:r>
    </w:p>
    <w:p w14:paraId="4928AFF4" w14:textId="77777777" w:rsidR="00402D1A" w:rsidRDefault="00402D1A" w:rsidP="0094729F">
      <w:pPr>
        <w:pStyle w:val="BodyText"/>
      </w:pPr>
      <w:r>
        <w:t>The FGARA project is the culmination of many years of research by CSIRO into water resource assessments. ACIL Allen has previously estimated the impact and value of water resource assessments in other regions (such as the Murray Darling Basin) and found them to be substantial. ACIL Allen expect</w:t>
      </w:r>
      <w:r w:rsidR="005E6955">
        <w:t>s</w:t>
      </w:r>
      <w:r>
        <w:t xml:space="preserve"> that FGARA will also generate </w:t>
      </w:r>
      <w:r w:rsidR="005E6955">
        <w:t xml:space="preserve">similar </w:t>
      </w:r>
      <w:r>
        <w:t xml:space="preserve">positive benefits. </w:t>
      </w:r>
    </w:p>
    <w:p w14:paraId="38F2FF34" w14:textId="76A5A33B" w:rsidR="00A267BF" w:rsidRDefault="00133B1F" w:rsidP="00133B1F">
      <w:pPr>
        <w:pStyle w:val="BodyText"/>
      </w:pPr>
      <w:r w:rsidRPr="00FD7277">
        <w:t xml:space="preserve">As a result of the revisions to the Gulf Water Resources Plan the Queensland Government in 2015 called for tenders for 265 GL of unallocated water in Gulf catchments for use in irrigated agriculture. The outcome of the tender was that water </w:t>
      </w:r>
      <w:r w:rsidRPr="00DC75B2">
        <w:t>licences for 92,500ML were issued to successful tenderers. Tenderers paid between $45.5 and $125 per ML for their licences. The average cost paid by tenderers was just over $103 per ML. I</w:t>
      </w:r>
      <w:r w:rsidRPr="00FD7277">
        <w:t>n total the tender raised just over $10 million for the Queensland Government.</w:t>
      </w:r>
      <w:r w:rsidR="00FD7277">
        <w:t xml:space="preserve"> A subsequent tender process announced in August 2017 has the potential to raise </w:t>
      </w:r>
      <w:r w:rsidR="00F936B2">
        <w:t>a similar amount</w:t>
      </w:r>
      <w:r w:rsidR="00FD7277">
        <w:t>.</w:t>
      </w:r>
      <w:r>
        <w:t xml:space="preserve"> </w:t>
      </w:r>
    </w:p>
    <w:p w14:paraId="5D354661" w14:textId="77777777" w:rsidR="004A3138" w:rsidRDefault="004A3138" w:rsidP="004A3138">
      <w:pPr>
        <w:pStyle w:val="BodyText"/>
      </w:pPr>
      <w:r>
        <w:t>It is interesting to note that the average price paid for water in the previous tender in the Flinders catchment was below $38 per ML. It is possible that the increased confidence in the availability of water in the catchment as a result of the FGARA project contributed to this increase in the amount that users were prepared to pay</w:t>
      </w:r>
      <w:r w:rsidRPr="003F0126">
        <w:t xml:space="preserve"> </w:t>
      </w:r>
      <w:r>
        <w:t xml:space="preserve">for a water licence. </w:t>
      </w:r>
    </w:p>
    <w:p w14:paraId="5FD9E4EF" w14:textId="77777777" w:rsidR="00133B1F" w:rsidRDefault="00A267BF" w:rsidP="00133B1F">
      <w:pPr>
        <w:pStyle w:val="BodyText"/>
      </w:pPr>
      <w:r>
        <w:t xml:space="preserve">The issuing of these water licences opens the door to </w:t>
      </w:r>
      <w:r w:rsidRPr="00A267BF">
        <w:t xml:space="preserve">an </w:t>
      </w:r>
      <w:r>
        <w:t xml:space="preserve">as yet </w:t>
      </w:r>
      <w:r w:rsidRPr="00A267BF">
        <w:t>undetermined</w:t>
      </w:r>
      <w:r>
        <w:t>,</w:t>
      </w:r>
      <w:r w:rsidRPr="00A267BF">
        <w:t xml:space="preserve"> but </w:t>
      </w:r>
      <w:r>
        <w:t xml:space="preserve">potentially </w:t>
      </w:r>
      <w:r w:rsidRPr="00A267BF">
        <w:t>substantial</w:t>
      </w:r>
      <w:r>
        <w:t>,</w:t>
      </w:r>
      <w:r w:rsidRPr="00A267BF">
        <w:t xml:space="preserve"> increase in agricultural production from the catchments.</w:t>
      </w:r>
      <w:r>
        <w:t xml:space="preserve"> </w:t>
      </w:r>
      <w:r w:rsidR="005E6955">
        <w:t>There are to date no actual agricultural projects that have come to fruition as a result the FGARA project. However, the</w:t>
      </w:r>
      <w:r w:rsidR="003F0126">
        <w:t xml:space="preserve"> potential benefits could be considerable. </w:t>
      </w:r>
      <w:r w:rsidR="00133B1F">
        <w:t xml:space="preserve">Based on an assumption of around 60,000 ha of irrigated cropping and 25,000 ha of dryland cropping in the Gulf Rivers Agricultural Development Zone (GRADZ), the value of potential production </w:t>
      </w:r>
      <w:r w:rsidR="005E6955">
        <w:t>has been</w:t>
      </w:r>
      <w:r w:rsidR="00133B1F">
        <w:t xml:space="preserve"> estimated to be around $192 million (</w:t>
      </w:r>
      <w:r w:rsidR="005E6955">
        <w:t xml:space="preserve">this was made up of: </w:t>
      </w:r>
      <w:r w:rsidR="00133B1F">
        <w:t>cotton $104 million</w:t>
      </w:r>
      <w:r w:rsidR="005E6955">
        <w:t>;</w:t>
      </w:r>
      <w:r w:rsidR="00133B1F">
        <w:t xml:space="preserve"> rice $33 million</w:t>
      </w:r>
      <w:r w:rsidR="005E6955">
        <w:t>;</w:t>
      </w:r>
      <w:r w:rsidR="00133B1F">
        <w:t xml:space="preserve"> and other crops $55 million).</w:t>
      </w:r>
      <w:r w:rsidR="003F0126" w:rsidRPr="003F0126">
        <w:rPr>
          <w:vertAlign w:val="superscript"/>
        </w:rPr>
        <w:footnoteReference w:id="10"/>
      </w:r>
      <w:r w:rsidR="004A3138">
        <w:t xml:space="preserve"> ACIL Allen has not included any of these potential benefits in our analysis.</w:t>
      </w:r>
    </w:p>
    <w:p w14:paraId="45307BAB" w14:textId="1A9C3B8F" w:rsidR="009E4E7F" w:rsidRDefault="009E4E7F" w:rsidP="00133B1F">
      <w:pPr>
        <w:pStyle w:val="BodyText"/>
      </w:pPr>
      <w:r w:rsidRPr="009E4E7F">
        <w:t>Th</w:t>
      </w:r>
      <w:r>
        <w:t>e i</w:t>
      </w:r>
      <w:r w:rsidRPr="009E4E7F">
        <w:t>mproved understanding about the sustainable level of water use in the catchment</w:t>
      </w:r>
      <w:r>
        <w:t xml:space="preserve"> provided by FGARA also has social and environmental benefits. The ability to have greater confidence in the water supply is likely to encourage agricultural development in the region. This will create employment and more resilient farming communities. </w:t>
      </w:r>
      <w:r w:rsidR="00443F15">
        <w:t>Sustainably m</w:t>
      </w:r>
      <w:r>
        <w:t xml:space="preserve">anaging the water flows in the Gilbert and Fitzroy Rivers </w:t>
      </w:r>
      <w:r w:rsidR="00F936B2">
        <w:t>as part of new</w:t>
      </w:r>
      <w:r w:rsidR="000D005A">
        <w:t xml:space="preserve"> agricultural development</w:t>
      </w:r>
      <w:r w:rsidR="00F936B2">
        <w:t>s</w:t>
      </w:r>
      <w:r w:rsidR="000D005A">
        <w:t xml:space="preserve"> </w:t>
      </w:r>
      <w:r>
        <w:t xml:space="preserve">will also help to protect the important fish and prawn breeding grounds in the Gulf. </w:t>
      </w:r>
      <w:r w:rsidRPr="009E4E7F">
        <w:t xml:space="preserve">ACIL Allen has not sought to value </w:t>
      </w:r>
      <w:r>
        <w:t xml:space="preserve">any of the above social or environmental </w:t>
      </w:r>
      <w:r w:rsidRPr="009E4E7F">
        <w:t>benefits.</w:t>
      </w:r>
    </w:p>
    <w:p w14:paraId="5B222073" w14:textId="783998F1" w:rsidR="00131278" w:rsidRDefault="00131278" w:rsidP="00133B1F">
      <w:pPr>
        <w:pStyle w:val="BodyText"/>
      </w:pPr>
      <w:r w:rsidRPr="00182640">
        <w:t xml:space="preserve">Incorporating Indigenous water values in the FGARA project was an </w:t>
      </w:r>
      <w:r w:rsidR="000E594A" w:rsidRPr="00182640">
        <w:t xml:space="preserve">important </w:t>
      </w:r>
      <w:r w:rsidR="00182640" w:rsidRPr="00182640">
        <w:t>and innovative approach</w:t>
      </w:r>
      <w:r w:rsidR="000E594A" w:rsidRPr="00182640">
        <w:t xml:space="preserve"> </w:t>
      </w:r>
      <w:r w:rsidR="00182640" w:rsidRPr="00182640">
        <w:t>that</w:t>
      </w:r>
      <w:r w:rsidR="000E594A" w:rsidRPr="00182640">
        <w:t xml:space="preserve"> enabled CSIRO and partners to </w:t>
      </w:r>
      <w:r w:rsidRPr="00182640">
        <w:t>build strong working relationship</w:t>
      </w:r>
      <w:r w:rsidR="000E594A" w:rsidRPr="00182640">
        <w:t>s</w:t>
      </w:r>
      <w:r w:rsidRPr="00182640">
        <w:t xml:space="preserve"> with Indigenous </w:t>
      </w:r>
      <w:r w:rsidR="000E594A" w:rsidRPr="00182640">
        <w:t>Traditional Owners</w:t>
      </w:r>
      <w:r w:rsidRPr="00182640">
        <w:t xml:space="preserve">. For example, the FGARA work is helping to inform a CSIRO project with the Indigenous </w:t>
      </w:r>
      <w:proofErr w:type="spellStart"/>
      <w:r w:rsidRPr="00182640">
        <w:t>Ewamian</w:t>
      </w:r>
      <w:proofErr w:type="spellEnd"/>
      <w:r w:rsidRPr="00182640">
        <w:t xml:space="preserve"> people in the Gilbert river region. The work CSIRO is doing with them will explicitly link the scientific advice drawn from FGARA with the development </w:t>
      </w:r>
      <w:r w:rsidR="000E594A" w:rsidRPr="00182640">
        <w:t xml:space="preserve">aspirations </w:t>
      </w:r>
      <w:r w:rsidRPr="00182640">
        <w:t>of the Indigenous group’s ecotourism and pastoral assets.</w:t>
      </w:r>
      <w:r>
        <w:t xml:space="preserve"> </w:t>
      </w:r>
    </w:p>
    <w:p w14:paraId="7005169A" w14:textId="77777777" w:rsidR="00C953C7" w:rsidRDefault="00C953C7" w:rsidP="00C953C7">
      <w:pPr>
        <w:pStyle w:val="Heading2"/>
      </w:pPr>
      <w:r>
        <w:lastRenderedPageBreak/>
        <w:t>Clarifying the Impacts</w:t>
      </w:r>
    </w:p>
    <w:p w14:paraId="0E40F6BA" w14:textId="77777777" w:rsidR="00C953C7" w:rsidRPr="00B03BA4" w:rsidRDefault="00C953C7" w:rsidP="00C953C7">
      <w:pPr>
        <w:pStyle w:val="Heading3"/>
      </w:pPr>
      <w:r w:rsidRPr="00B03BA4">
        <w:t>Counterfactual</w:t>
      </w:r>
    </w:p>
    <w:p w14:paraId="6D45FCE2" w14:textId="77777777" w:rsidR="000D701C" w:rsidRDefault="000D701C" w:rsidP="000D701C">
      <w:pPr>
        <w:pStyle w:val="Heading6"/>
      </w:pPr>
      <w:proofErr w:type="spellStart"/>
      <w:r>
        <w:t>TraNSIT</w:t>
      </w:r>
      <w:proofErr w:type="spellEnd"/>
    </w:p>
    <w:p w14:paraId="31035699" w14:textId="3013AAFF" w:rsidR="000D701C" w:rsidRDefault="004A3138" w:rsidP="00C953C7">
      <w:pPr>
        <w:pStyle w:val="BodyText"/>
      </w:pPr>
      <w:r>
        <w:t>A</w:t>
      </w:r>
      <w:r w:rsidR="0035637D">
        <w:t xml:space="preserve"> great deal of the data that CSIRO was able to obtain from firms </w:t>
      </w:r>
      <w:r>
        <w:t>to</w:t>
      </w:r>
      <w:r w:rsidR="0035637D">
        <w:t xml:space="preserve"> incorporate into the model was highly commercially sensitive</w:t>
      </w:r>
      <w:r>
        <w:t>. Given this,</w:t>
      </w:r>
      <w:r w:rsidR="0035637D">
        <w:t xml:space="preserve"> it is unlikely that any </w:t>
      </w:r>
      <w:r>
        <w:t xml:space="preserve">other </w:t>
      </w:r>
      <w:r w:rsidR="0035637D">
        <w:t xml:space="preserve">organisation would </w:t>
      </w:r>
      <w:r>
        <w:t>be able to</w:t>
      </w:r>
      <w:r w:rsidR="0035637D">
        <w:t xml:space="preserve"> access that data. </w:t>
      </w:r>
      <w:r w:rsidR="009E2F97">
        <w:t xml:space="preserve">Hence it is unlikely that a model with a similar degree of coverage and detail could </w:t>
      </w:r>
      <w:r>
        <w:t xml:space="preserve">have </w:t>
      </w:r>
      <w:r w:rsidR="009E2F97">
        <w:t>be</w:t>
      </w:r>
      <w:r>
        <w:t>en</w:t>
      </w:r>
      <w:r w:rsidR="009E2F97">
        <w:t xml:space="preserve"> created by another organisation.</w:t>
      </w:r>
      <w:r w:rsidR="0035637D">
        <w:t xml:space="preserve"> </w:t>
      </w:r>
      <w:r>
        <w:t xml:space="preserve">In addition, five </w:t>
      </w:r>
      <w:r w:rsidRPr="004A3138">
        <w:t>years of industry (farming, processing, transport operators, etc</w:t>
      </w:r>
      <w:r>
        <w:t>.</w:t>
      </w:r>
      <w:r w:rsidRPr="004A3138">
        <w:t xml:space="preserve">) expert knowledge across over 80 agencies, associations and companies </w:t>
      </w:r>
      <w:r>
        <w:t>was used to</w:t>
      </w:r>
      <w:r w:rsidRPr="004A3138">
        <w:t xml:space="preserve"> parameteris</w:t>
      </w:r>
      <w:r>
        <w:t>e</w:t>
      </w:r>
      <w:r w:rsidRPr="004A3138">
        <w:t xml:space="preserve"> and calibrat</w:t>
      </w:r>
      <w:r>
        <w:t>e</w:t>
      </w:r>
      <w:r w:rsidRPr="004A3138">
        <w:t xml:space="preserve"> </w:t>
      </w:r>
      <w:proofErr w:type="spellStart"/>
      <w:r w:rsidRPr="004A3138">
        <w:t>TraNSIT</w:t>
      </w:r>
      <w:proofErr w:type="spellEnd"/>
      <w:r w:rsidRPr="004A3138">
        <w:t xml:space="preserve">. It would take a long time </w:t>
      </w:r>
      <w:r>
        <w:t xml:space="preserve">for another organisation </w:t>
      </w:r>
      <w:r w:rsidRPr="004A3138">
        <w:t>to duplicate that knowledge base and create the widespread industry confidence</w:t>
      </w:r>
      <w:r>
        <w:t xml:space="preserve"> that the CSIRO currently holds</w:t>
      </w:r>
      <w:r w:rsidRPr="004A3138">
        <w:t xml:space="preserve">. </w:t>
      </w:r>
      <w:r>
        <w:t xml:space="preserve">We therefore estimate that it would be extremely unlikely that anybody could duplicate the </w:t>
      </w:r>
      <w:proofErr w:type="spellStart"/>
      <w:r>
        <w:t>TraNSIT</w:t>
      </w:r>
      <w:proofErr w:type="spellEnd"/>
      <w:r>
        <w:t xml:space="preserve"> model before </w:t>
      </w:r>
      <w:r w:rsidRPr="004A3138">
        <w:t>2026</w:t>
      </w:r>
      <w:r>
        <w:t>, and possibly much longer</w:t>
      </w:r>
      <w:r w:rsidRPr="004A3138">
        <w:t>.</w:t>
      </w:r>
    </w:p>
    <w:p w14:paraId="681E0605" w14:textId="77777777" w:rsidR="000D701C" w:rsidRDefault="000D701C" w:rsidP="000D701C">
      <w:pPr>
        <w:pStyle w:val="Heading6nonumber"/>
      </w:pPr>
      <w:r>
        <w:t>FGARA</w:t>
      </w:r>
    </w:p>
    <w:p w14:paraId="62D9D0DF" w14:textId="05654F34" w:rsidR="00C953C7" w:rsidRDefault="000D701C" w:rsidP="00C953C7">
      <w:pPr>
        <w:pStyle w:val="BodyText"/>
      </w:pPr>
      <w:r w:rsidRPr="000D701C">
        <w:t xml:space="preserve">In the absence of CSIRO, water management and investment decisions would still have been </w:t>
      </w:r>
      <w:r w:rsidR="00402D1A">
        <w:t>made</w:t>
      </w:r>
      <w:r w:rsidR="009E2F97">
        <w:t>. I</w:t>
      </w:r>
      <w:r w:rsidRPr="000D701C">
        <w:t xml:space="preserve">n coming to these decisions the various governments involved </w:t>
      </w:r>
      <w:r w:rsidR="009E2F97">
        <w:t>c</w:t>
      </w:r>
      <w:r w:rsidRPr="000D701C">
        <w:t xml:space="preserve">ould have sought advice from other researchers in either universities or the private sector, most likely through an open tender process. However, </w:t>
      </w:r>
      <w:r w:rsidR="00402D1A">
        <w:t>such a</w:t>
      </w:r>
      <w:r w:rsidRPr="000D701C">
        <w:t xml:space="preserve"> process would not have </w:t>
      </w:r>
      <w:r w:rsidR="00402D1A">
        <w:t>provided access to</w:t>
      </w:r>
      <w:r w:rsidRPr="000D701C">
        <w:t xml:space="preserve"> the diverse and multidisciplinary range of resources and capabilities </w:t>
      </w:r>
      <w:r w:rsidR="00402D1A">
        <w:t>that</w:t>
      </w:r>
      <w:r w:rsidRPr="000D701C">
        <w:t xml:space="preserve"> exist within CSIRO. The advantage CSIRO had was that it was able to, on request, mobilise a large research staff </w:t>
      </w:r>
      <w:r w:rsidR="002D1C02">
        <w:t xml:space="preserve">from multiple disciplines </w:t>
      </w:r>
      <w:r w:rsidRPr="000D701C">
        <w:t xml:space="preserve">to work on the issues. It is unlikely that a highly focused research effort </w:t>
      </w:r>
      <w:r w:rsidR="006A27DA">
        <w:t>like</w:t>
      </w:r>
      <w:r w:rsidR="006A27DA" w:rsidRPr="000D701C">
        <w:t xml:space="preserve"> </w:t>
      </w:r>
      <w:r w:rsidRPr="000D701C">
        <w:t>that delivered by CSIRO could have been mounted through government tendering a range of projects to other researchers.</w:t>
      </w:r>
    </w:p>
    <w:p w14:paraId="592ED9CB" w14:textId="43CC5605" w:rsidR="005E6955" w:rsidRDefault="00A93C1F" w:rsidP="00C953C7">
      <w:pPr>
        <w:pStyle w:val="BodyText"/>
      </w:pPr>
      <w:r>
        <w:t>High level</w:t>
      </w:r>
      <w:r w:rsidR="005E6955">
        <w:t xml:space="preserve"> stakeholders </w:t>
      </w:r>
      <w:r>
        <w:t xml:space="preserve">from both government and industry noted </w:t>
      </w:r>
      <w:r w:rsidR="005E6955">
        <w:t>that CSIRO’s involvement in the FGARA project was important in ensuring that the project was given access to the data needed to undertake the research.</w:t>
      </w:r>
    </w:p>
    <w:p w14:paraId="75663854" w14:textId="77777777" w:rsidR="005E6955" w:rsidRDefault="009E2F97" w:rsidP="00C953C7">
      <w:pPr>
        <w:pStyle w:val="BodyText"/>
      </w:pPr>
      <w:r>
        <w:t xml:space="preserve">It is clear that CSIRO’s innovative approach to water resource and land use assessments has significantly increased the speed with which they can be conducted and reduced their cost. </w:t>
      </w:r>
      <w:r w:rsidR="00751AD2">
        <w:t xml:space="preserve">In the absence of FGARA it is likely that the review of the Gulf Water Resources Plan would not have occurred for between six and ten years. Hence, </w:t>
      </w:r>
      <w:r w:rsidR="00D0607B">
        <w:t xml:space="preserve">ACIL Allen has assumed that </w:t>
      </w:r>
      <w:r w:rsidR="00951FD5">
        <w:t xml:space="preserve">in the absence of CSIRO </w:t>
      </w:r>
      <w:r w:rsidR="00101855">
        <w:t xml:space="preserve">the benefits of FGARA would have been delayed by at least ten years. </w:t>
      </w:r>
    </w:p>
    <w:p w14:paraId="6D8BEAD2" w14:textId="77777777" w:rsidR="00C953C7" w:rsidRPr="00B03BA4" w:rsidRDefault="00C953C7" w:rsidP="00C953C7">
      <w:pPr>
        <w:pStyle w:val="Heading3"/>
      </w:pPr>
      <w:r w:rsidRPr="00B03BA4">
        <w:t>Attribution</w:t>
      </w:r>
    </w:p>
    <w:p w14:paraId="2BBC6151" w14:textId="77777777" w:rsidR="0035637D" w:rsidRDefault="0035637D" w:rsidP="0035637D">
      <w:pPr>
        <w:pStyle w:val="Heading6"/>
      </w:pPr>
      <w:proofErr w:type="spellStart"/>
      <w:r>
        <w:t>TraNSIT</w:t>
      </w:r>
      <w:proofErr w:type="spellEnd"/>
    </w:p>
    <w:p w14:paraId="74EE30F9" w14:textId="77777777" w:rsidR="0035637D" w:rsidRDefault="00397864" w:rsidP="0035637D">
      <w:pPr>
        <w:pStyle w:val="BodyText"/>
      </w:pPr>
      <w:r>
        <w:t xml:space="preserve">There were a large number of groups that contributed to the development of </w:t>
      </w:r>
      <w:proofErr w:type="spellStart"/>
      <w:r>
        <w:t>TraNSIT</w:t>
      </w:r>
      <w:proofErr w:type="spellEnd"/>
      <w:r>
        <w:t>. The</w:t>
      </w:r>
      <w:r w:rsidRPr="00397864">
        <w:t xml:space="preserve"> data used in the model for northern Australia beef was provided by </w:t>
      </w:r>
      <w:r>
        <w:t xml:space="preserve">a range of </w:t>
      </w:r>
      <w:r w:rsidRPr="00397864">
        <w:t>state government agencies and industr</w:t>
      </w:r>
      <w:r w:rsidR="00751AD2">
        <w:t>y group</w:t>
      </w:r>
      <w:r>
        <w:t>s</w:t>
      </w:r>
      <w:r w:rsidRPr="00397864">
        <w:t xml:space="preserve">. Freight operators and related associations </w:t>
      </w:r>
      <w:r>
        <w:t xml:space="preserve">also </w:t>
      </w:r>
      <w:r w:rsidRPr="00397864">
        <w:t xml:space="preserve">provided expertise to validate and calibrate </w:t>
      </w:r>
      <w:proofErr w:type="spellStart"/>
      <w:r w:rsidRPr="00397864">
        <w:t>T</w:t>
      </w:r>
      <w:r>
        <w:t>ra</w:t>
      </w:r>
      <w:r w:rsidRPr="00397864">
        <w:t>NSIT</w:t>
      </w:r>
      <w:proofErr w:type="spellEnd"/>
      <w:r>
        <w:t xml:space="preserve">. </w:t>
      </w:r>
      <w:r w:rsidR="0035637D">
        <w:t xml:space="preserve">ACIL Allen believes it is highly unlikely another organisation could have </w:t>
      </w:r>
      <w:r>
        <w:t xml:space="preserve">gained access to this data and the other support provided to </w:t>
      </w:r>
      <w:r w:rsidR="0035637D">
        <w:t xml:space="preserve">develop the </w:t>
      </w:r>
      <w:proofErr w:type="spellStart"/>
      <w:r w:rsidR="0035637D">
        <w:t>TraNSIT</w:t>
      </w:r>
      <w:proofErr w:type="spellEnd"/>
      <w:r w:rsidR="0035637D">
        <w:t xml:space="preserve"> model. We therefore propose to attribute 100 per cent of any benefits flowing from the project to CSIRO. </w:t>
      </w:r>
    </w:p>
    <w:p w14:paraId="70D9A469" w14:textId="77777777" w:rsidR="0035637D" w:rsidRDefault="0035637D" w:rsidP="0035637D">
      <w:pPr>
        <w:pStyle w:val="Heading6nonumber"/>
      </w:pPr>
      <w:r>
        <w:t>FGARA</w:t>
      </w:r>
    </w:p>
    <w:p w14:paraId="688535F8" w14:textId="77777777" w:rsidR="0035637D" w:rsidRDefault="00397864" w:rsidP="0035637D">
      <w:pPr>
        <w:pStyle w:val="BodyText"/>
      </w:pPr>
      <w:r w:rsidRPr="00397864">
        <w:t>CSIRO led the FGARA project and in doing so let a number of sub-contracts for particular expertise (e.g. J</w:t>
      </w:r>
      <w:r>
        <w:t xml:space="preserve">ames </w:t>
      </w:r>
      <w:r w:rsidRPr="00397864">
        <w:t>C</w:t>
      </w:r>
      <w:r>
        <w:t xml:space="preserve">ook </w:t>
      </w:r>
      <w:r w:rsidRPr="00397864">
        <w:t>U</w:t>
      </w:r>
      <w:r>
        <w:t>niversity</w:t>
      </w:r>
      <w:r w:rsidRPr="00397864">
        <w:t>, Griffith Uni</w:t>
      </w:r>
      <w:r>
        <w:t>versity</w:t>
      </w:r>
      <w:r w:rsidRPr="00397864">
        <w:t xml:space="preserve">). Outside the broader NQIAS activities the </w:t>
      </w:r>
      <w:r w:rsidR="0035637D">
        <w:t xml:space="preserve">Queensland Government </w:t>
      </w:r>
      <w:r>
        <w:t xml:space="preserve">contributed </w:t>
      </w:r>
      <w:r w:rsidRPr="00397864">
        <w:t>significantly to the river modelling calibration and the land suitability assessment. CSIRO is probably the only organisation in Australia (perhaps globally) that could assemble a multi-disciplinary team of the nature described above and address it to a complex issue like water resource development.</w:t>
      </w:r>
      <w:r>
        <w:t xml:space="preserve"> </w:t>
      </w:r>
      <w:r w:rsidR="0035637D">
        <w:t>ACIL Allen propose</w:t>
      </w:r>
      <w:r w:rsidR="009E2F97">
        <w:t>s that</w:t>
      </w:r>
      <w:r w:rsidR="0035637D">
        <w:t xml:space="preserve"> </w:t>
      </w:r>
      <w:r>
        <w:t>80 per cent</w:t>
      </w:r>
      <w:r w:rsidR="0035637D">
        <w:t xml:space="preserve"> of any benefits </w:t>
      </w:r>
      <w:r w:rsidR="009E2F97">
        <w:t xml:space="preserve">ultimately </w:t>
      </w:r>
      <w:r w:rsidR="0035637D">
        <w:t xml:space="preserve">identified </w:t>
      </w:r>
      <w:r w:rsidR="009E2F97">
        <w:t xml:space="preserve">should be attributed to </w:t>
      </w:r>
      <w:r w:rsidR="0035637D">
        <w:t xml:space="preserve">CSIRO. </w:t>
      </w:r>
    </w:p>
    <w:p w14:paraId="5974659A" w14:textId="77777777" w:rsidR="00C953C7" w:rsidRPr="00B03BA4" w:rsidRDefault="00C953C7" w:rsidP="00C953C7">
      <w:pPr>
        <w:pStyle w:val="Heading2"/>
      </w:pPr>
      <w:r>
        <w:t>Evaluating the Impacts</w:t>
      </w:r>
    </w:p>
    <w:p w14:paraId="616A9E1C" w14:textId="77777777" w:rsidR="00C953C7" w:rsidRDefault="00C953C7" w:rsidP="00C953C7">
      <w:pPr>
        <w:pStyle w:val="Heading3"/>
        <w:pBdr>
          <w:bottom w:val="single" w:sz="4" w:space="2" w:color="auto"/>
        </w:pBdr>
      </w:pPr>
      <w:r>
        <w:t xml:space="preserve">Cost-Benefit Analysis </w:t>
      </w:r>
    </w:p>
    <w:p w14:paraId="524077DB" w14:textId="77777777" w:rsidR="00C953C7" w:rsidRPr="00772E40" w:rsidRDefault="00C953C7" w:rsidP="00C953C7">
      <w:pPr>
        <w:keepNext/>
        <w:keepLines/>
        <w:numPr>
          <w:ilvl w:val="3"/>
          <w:numId w:val="21"/>
        </w:numPr>
        <w:spacing w:before="240" w:after="64"/>
        <w:outlineLvl w:val="3"/>
        <w:rPr>
          <w:rFonts w:eastAsiaTheme="majorEastAsia" w:cstheme="majorBidi"/>
          <w:b/>
          <w:iCs/>
          <w:color w:val="000100"/>
          <w:spacing w:val="-1"/>
        </w:rPr>
      </w:pPr>
      <w:r w:rsidRPr="00772E40">
        <w:rPr>
          <w:rFonts w:eastAsiaTheme="majorEastAsia" w:cstheme="majorBidi"/>
          <w:b/>
          <w:iCs/>
          <w:color w:val="000100"/>
          <w:spacing w:val="-1"/>
        </w:rPr>
        <w:t>Costs</w:t>
      </w:r>
    </w:p>
    <w:p w14:paraId="0E42E4AD" w14:textId="18B9E578" w:rsidR="00C953C7" w:rsidRPr="00772E40" w:rsidRDefault="00BA7AF2" w:rsidP="00C953C7">
      <w:pPr>
        <w:spacing w:before="113" w:after="60"/>
      </w:pPr>
      <w:r>
        <w:t xml:space="preserve">Based on the cost data presented in </w:t>
      </w:r>
      <w:r>
        <w:fldChar w:fldCharType="begin"/>
      </w:r>
      <w:r>
        <w:instrText xml:space="preserve"> REF _Ref463531023 \h </w:instrText>
      </w:r>
      <w:r>
        <w:fldChar w:fldCharType="separate"/>
      </w:r>
      <w:r w:rsidRPr="00FC29C8">
        <w:rPr>
          <w:rStyle w:val="CaptionLabel"/>
        </w:rPr>
        <w:t>Table</w:t>
      </w:r>
      <w:r>
        <w:rPr>
          <w:rStyle w:val="CaptionLabel"/>
        </w:rPr>
        <w:t> </w:t>
      </w:r>
      <w:r>
        <w:rPr>
          <w:rStyle w:val="CaptionLabel"/>
          <w:noProof/>
        </w:rPr>
        <w:t>1</w:t>
      </w:r>
      <w:r w:rsidRPr="00FC29C8">
        <w:rPr>
          <w:rStyle w:val="CaptionLabel"/>
        </w:rPr>
        <w:t>.</w:t>
      </w:r>
      <w:r>
        <w:rPr>
          <w:rStyle w:val="CaptionLabel"/>
          <w:noProof/>
        </w:rPr>
        <w:t>1</w:t>
      </w:r>
      <w:r>
        <w:fldChar w:fldCharType="end"/>
      </w:r>
      <w:r>
        <w:t>, the present value of program costs is $10.1</w:t>
      </w:r>
      <w:r w:rsidR="00F8202D">
        <w:t>2</w:t>
      </w:r>
      <w:r>
        <w:t xml:space="preserve"> million in 2017 dollars under a 7 per cent real discount rate.</w:t>
      </w:r>
    </w:p>
    <w:p w14:paraId="374B8BB4" w14:textId="77777777" w:rsidR="00C953C7" w:rsidRPr="00772E40" w:rsidRDefault="00C953C7" w:rsidP="00C953C7">
      <w:pPr>
        <w:keepNext/>
        <w:keepLines/>
        <w:numPr>
          <w:ilvl w:val="3"/>
          <w:numId w:val="21"/>
        </w:numPr>
        <w:spacing w:before="240" w:after="64"/>
        <w:outlineLvl w:val="3"/>
        <w:rPr>
          <w:rFonts w:eastAsiaTheme="majorEastAsia" w:cstheme="majorBidi"/>
          <w:b/>
          <w:iCs/>
          <w:color w:val="000100"/>
          <w:spacing w:val="-1"/>
        </w:rPr>
      </w:pPr>
      <w:r w:rsidRPr="00772E40">
        <w:rPr>
          <w:rFonts w:eastAsiaTheme="majorEastAsia" w:cstheme="majorBidi"/>
          <w:b/>
          <w:iCs/>
          <w:color w:val="000100"/>
          <w:spacing w:val="-1"/>
        </w:rPr>
        <w:lastRenderedPageBreak/>
        <w:t>Benefits</w:t>
      </w:r>
    </w:p>
    <w:p w14:paraId="5969BFCA" w14:textId="27B1BF93" w:rsidR="001919FF" w:rsidRDefault="003F09BB" w:rsidP="00C953C7">
      <w:pPr>
        <w:spacing w:before="113" w:after="60"/>
      </w:pPr>
      <w:r>
        <w:t xml:space="preserve">Quantified benefits arising from the </w:t>
      </w:r>
      <w:proofErr w:type="spellStart"/>
      <w:r>
        <w:t>Tra</w:t>
      </w:r>
      <w:r w:rsidR="001919FF">
        <w:t>N</w:t>
      </w:r>
      <w:r>
        <w:t>SIT</w:t>
      </w:r>
      <w:proofErr w:type="spellEnd"/>
      <w:r>
        <w:t xml:space="preserve"> and FGARA projects in each year between 2014/15 and 2026/27, as described </w:t>
      </w:r>
      <w:r w:rsidR="001919FF">
        <w:t xml:space="preserve">previously </w:t>
      </w:r>
      <w:r>
        <w:t xml:space="preserve">in Section </w:t>
      </w:r>
      <w:r>
        <w:fldChar w:fldCharType="begin"/>
      </w:r>
      <w:r>
        <w:instrText xml:space="preserve"> REF _Ref496800830 \r \h </w:instrText>
      </w:r>
      <w:r>
        <w:fldChar w:fldCharType="separate"/>
      </w:r>
      <w:r>
        <w:t>1.3.6</w:t>
      </w:r>
      <w:r>
        <w:fldChar w:fldCharType="end"/>
      </w:r>
      <w:r>
        <w:t xml:space="preserve">, are shown in </w:t>
      </w:r>
      <w:r>
        <w:fldChar w:fldCharType="begin"/>
      </w:r>
      <w:r>
        <w:instrText xml:space="preserve"> REF _Ref496800866 \h </w:instrText>
      </w:r>
      <w:r>
        <w:fldChar w:fldCharType="separate"/>
      </w:r>
      <w:r w:rsidRPr="00FC29C8">
        <w:rPr>
          <w:rStyle w:val="CaptionLabel"/>
          <w:lang w:eastAsia="en-AU"/>
        </w:rPr>
        <w:t>Table</w:t>
      </w:r>
      <w:r>
        <w:rPr>
          <w:rStyle w:val="CaptionLabel"/>
          <w:lang w:eastAsia="en-AU"/>
        </w:rPr>
        <w:t> </w:t>
      </w:r>
      <w:r>
        <w:rPr>
          <w:rStyle w:val="CaptionLabel"/>
          <w:noProof/>
          <w:lang w:eastAsia="en-AU"/>
        </w:rPr>
        <w:t>1</w:t>
      </w:r>
      <w:r w:rsidRPr="00FC29C8">
        <w:rPr>
          <w:rStyle w:val="CaptionLabel"/>
          <w:lang w:eastAsia="en-AU"/>
        </w:rPr>
        <w:t>.</w:t>
      </w:r>
      <w:r>
        <w:rPr>
          <w:rStyle w:val="CaptionLabel"/>
          <w:noProof/>
          <w:lang w:eastAsia="en-AU"/>
        </w:rPr>
        <w:t>2</w:t>
      </w:r>
      <w:r>
        <w:fldChar w:fldCharType="end"/>
      </w:r>
      <w:r>
        <w:t>.</w:t>
      </w:r>
    </w:p>
    <w:p w14:paraId="6DE81F5B" w14:textId="77777777" w:rsidR="00881873" w:rsidRDefault="00881873" w:rsidP="00C953C7">
      <w:pPr>
        <w:spacing w:before="113" w:after="60"/>
      </w:pPr>
    </w:p>
    <w:p w14:paraId="7D07C537" w14:textId="77777777" w:rsidR="00881873" w:rsidRDefault="00881873" w:rsidP="00C953C7">
      <w:pPr>
        <w:spacing w:before="113" w:after="60"/>
      </w:pPr>
    </w:p>
    <w:p w14:paraId="735C5C84" w14:textId="63D00FBD" w:rsidR="003F09BB" w:rsidRPr="003F09BB" w:rsidRDefault="003F09BB" w:rsidP="003F09BB">
      <w:pPr>
        <w:pStyle w:val="Caption"/>
        <w:spacing w:before="160"/>
        <w:rPr>
          <w:lang w:eastAsia="en-AU"/>
        </w:rPr>
      </w:pPr>
      <w:bookmarkStart w:id="5" w:name="_Ref496800866"/>
      <w:r w:rsidRPr="00FC29C8">
        <w:rPr>
          <w:rStyle w:val="CaptionLabel"/>
          <w:lang w:eastAsia="en-AU"/>
        </w:rPr>
        <w:t>Table</w:t>
      </w:r>
      <w:r>
        <w:rPr>
          <w:rStyle w:val="CaptionLabel"/>
          <w:lang w:eastAsia="en-AU"/>
        </w:rPr>
        <w:t> </w:t>
      </w:r>
      <w:r w:rsidRPr="00FC29C8">
        <w:rPr>
          <w:rStyle w:val="CaptionLabel"/>
          <w:lang w:eastAsia="en-AU"/>
        </w:rPr>
        <w:fldChar w:fldCharType="begin"/>
      </w:r>
      <w:r w:rsidRPr="00FC29C8">
        <w:rPr>
          <w:rStyle w:val="CaptionLabel"/>
          <w:lang w:eastAsia="en-AU"/>
        </w:rPr>
        <w:instrText xml:space="preserve"> STYLEREF 1 \s </w:instrText>
      </w:r>
      <w:r w:rsidRPr="00FC29C8">
        <w:rPr>
          <w:rStyle w:val="CaptionLabel"/>
          <w:lang w:eastAsia="en-AU"/>
        </w:rPr>
        <w:fldChar w:fldCharType="separate"/>
      </w:r>
      <w:r>
        <w:rPr>
          <w:rStyle w:val="CaptionLabel"/>
          <w:noProof/>
          <w:lang w:eastAsia="en-AU"/>
        </w:rPr>
        <w:t>1</w:t>
      </w:r>
      <w:r w:rsidRPr="00FC29C8">
        <w:rPr>
          <w:rStyle w:val="CaptionLabel"/>
          <w:lang w:eastAsia="en-AU"/>
        </w:rPr>
        <w:fldChar w:fldCharType="end"/>
      </w:r>
      <w:r w:rsidRPr="00FC29C8">
        <w:rPr>
          <w:rStyle w:val="CaptionLabel"/>
          <w:lang w:eastAsia="en-AU"/>
        </w:rPr>
        <w:t>.</w:t>
      </w:r>
      <w:r w:rsidRPr="00FC29C8">
        <w:rPr>
          <w:rStyle w:val="CaptionLabel"/>
          <w:lang w:eastAsia="en-AU"/>
        </w:rPr>
        <w:fldChar w:fldCharType="begin"/>
      </w:r>
      <w:r w:rsidRPr="00FC29C8">
        <w:rPr>
          <w:rStyle w:val="CaptionLabel"/>
          <w:lang w:eastAsia="en-AU"/>
        </w:rPr>
        <w:instrText xml:space="preserve"> SEQ Table \* ARABIC \s 1 </w:instrText>
      </w:r>
      <w:r w:rsidRPr="00FC29C8">
        <w:rPr>
          <w:rStyle w:val="CaptionLabel"/>
          <w:lang w:eastAsia="en-AU"/>
        </w:rPr>
        <w:fldChar w:fldCharType="separate"/>
      </w:r>
      <w:r>
        <w:rPr>
          <w:rStyle w:val="CaptionLabel"/>
          <w:noProof/>
          <w:lang w:eastAsia="en-AU"/>
        </w:rPr>
        <w:t>2</w:t>
      </w:r>
      <w:r w:rsidRPr="00FC29C8">
        <w:rPr>
          <w:rStyle w:val="CaptionLabel"/>
          <w:lang w:eastAsia="en-AU"/>
        </w:rPr>
        <w:fldChar w:fldCharType="end"/>
      </w:r>
      <w:bookmarkEnd w:id="5"/>
      <w:r>
        <w:rPr>
          <w:lang w:eastAsia="en-AU"/>
        </w:rPr>
        <w:tab/>
        <w:t>Program benefits, 2014/15 to 2026/27 ($M)</w:t>
      </w:r>
    </w:p>
    <w:tbl>
      <w:tblPr>
        <w:tblW w:w="11086" w:type="dxa"/>
        <w:tblInd w:w="-454" w:type="dxa"/>
        <w:tblLayout w:type="fixed"/>
        <w:tblCellMar>
          <w:left w:w="0" w:type="dxa"/>
          <w:bottom w:w="40" w:type="dxa"/>
          <w:right w:w="0" w:type="dxa"/>
        </w:tblCellMar>
        <w:tblLook w:val="04A0" w:firstRow="1" w:lastRow="0" w:firstColumn="1" w:lastColumn="0" w:noHBand="0" w:noVBand="1"/>
        <w:tblDescription w:val="table_Std"/>
      </w:tblPr>
      <w:tblGrid>
        <w:gridCol w:w="455"/>
        <w:gridCol w:w="3763"/>
        <w:gridCol w:w="523"/>
        <w:gridCol w:w="521"/>
        <w:gridCol w:w="521"/>
        <w:gridCol w:w="521"/>
        <w:gridCol w:w="521"/>
        <w:gridCol w:w="521"/>
        <w:gridCol w:w="521"/>
        <w:gridCol w:w="521"/>
        <w:gridCol w:w="521"/>
        <w:gridCol w:w="521"/>
        <w:gridCol w:w="521"/>
        <w:gridCol w:w="521"/>
        <w:gridCol w:w="614"/>
      </w:tblGrid>
      <w:tr w:rsidR="003F09BB" w:rsidRPr="003F09BB" w14:paraId="25BBE4AB" w14:textId="77777777" w:rsidTr="00B055DC">
        <w:trPr>
          <w:cantSplit/>
          <w:tblHeader/>
        </w:trPr>
        <w:tc>
          <w:tcPr>
            <w:tcW w:w="1902" w:type="pct"/>
            <w:gridSpan w:val="2"/>
            <w:shd w:val="clear" w:color="auto" w:fill="9D57A6"/>
            <w:noWrap/>
            <w:tcMar>
              <w:left w:w="454" w:type="dxa"/>
              <w:bottom w:w="0" w:type="dxa"/>
            </w:tcMar>
          </w:tcPr>
          <w:p w14:paraId="354B6771" w14:textId="2149C11F" w:rsidR="003F09BB" w:rsidRPr="003F09BB" w:rsidRDefault="003F09BB" w:rsidP="003F09BB">
            <w:pPr>
              <w:pStyle w:val="Tablecolumnheadings"/>
              <w:rPr>
                <w:szCs w:val="20"/>
                <w:lang w:eastAsia="en-AU"/>
              </w:rPr>
            </w:pPr>
          </w:p>
        </w:tc>
        <w:tc>
          <w:tcPr>
            <w:tcW w:w="236" w:type="pct"/>
            <w:shd w:val="clear" w:color="auto" w:fill="9D57A6"/>
            <w:noWrap/>
            <w:tcMar>
              <w:bottom w:w="0" w:type="dxa"/>
            </w:tcMar>
          </w:tcPr>
          <w:p w14:paraId="28CC297A" w14:textId="2F1162E4"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2014/15</w:t>
            </w:r>
          </w:p>
        </w:tc>
        <w:tc>
          <w:tcPr>
            <w:tcW w:w="235" w:type="pct"/>
            <w:shd w:val="clear" w:color="auto" w:fill="9D57A6"/>
            <w:noWrap/>
            <w:tcMar>
              <w:bottom w:w="0" w:type="dxa"/>
            </w:tcMar>
          </w:tcPr>
          <w:p w14:paraId="3B5FF57A" w14:textId="5CEA0244"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2015/16</w:t>
            </w:r>
          </w:p>
        </w:tc>
        <w:tc>
          <w:tcPr>
            <w:tcW w:w="235" w:type="pct"/>
            <w:shd w:val="clear" w:color="auto" w:fill="9D57A6"/>
            <w:noWrap/>
            <w:tcMar>
              <w:bottom w:w="0" w:type="dxa"/>
            </w:tcMar>
          </w:tcPr>
          <w:p w14:paraId="6B592016" w14:textId="17288C85"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2016/17</w:t>
            </w:r>
          </w:p>
        </w:tc>
        <w:tc>
          <w:tcPr>
            <w:tcW w:w="235" w:type="pct"/>
            <w:shd w:val="clear" w:color="auto" w:fill="9D57A6"/>
            <w:noWrap/>
            <w:tcMar>
              <w:bottom w:w="0" w:type="dxa"/>
            </w:tcMar>
          </w:tcPr>
          <w:p w14:paraId="5530D2DE" w14:textId="608241E4"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2017/18</w:t>
            </w:r>
          </w:p>
        </w:tc>
        <w:tc>
          <w:tcPr>
            <w:tcW w:w="235" w:type="pct"/>
            <w:shd w:val="clear" w:color="auto" w:fill="9D57A6"/>
            <w:noWrap/>
            <w:tcMar>
              <w:bottom w:w="0" w:type="dxa"/>
            </w:tcMar>
          </w:tcPr>
          <w:p w14:paraId="4D16779F" w14:textId="66653FA9"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2018/19</w:t>
            </w:r>
          </w:p>
        </w:tc>
        <w:tc>
          <w:tcPr>
            <w:tcW w:w="235" w:type="pct"/>
            <w:shd w:val="clear" w:color="auto" w:fill="9D57A6"/>
            <w:noWrap/>
            <w:tcMar>
              <w:bottom w:w="0" w:type="dxa"/>
            </w:tcMar>
          </w:tcPr>
          <w:p w14:paraId="71F7FAF5" w14:textId="4B0DB20D"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2019/20</w:t>
            </w:r>
          </w:p>
        </w:tc>
        <w:tc>
          <w:tcPr>
            <w:tcW w:w="235" w:type="pct"/>
            <w:shd w:val="clear" w:color="auto" w:fill="9D57A6"/>
            <w:noWrap/>
            <w:tcMar>
              <w:bottom w:w="0" w:type="dxa"/>
            </w:tcMar>
          </w:tcPr>
          <w:p w14:paraId="51636DEE" w14:textId="789F335F"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2020/21</w:t>
            </w:r>
          </w:p>
        </w:tc>
        <w:tc>
          <w:tcPr>
            <w:tcW w:w="235" w:type="pct"/>
            <w:shd w:val="clear" w:color="auto" w:fill="9D57A6"/>
            <w:noWrap/>
            <w:tcMar>
              <w:bottom w:w="0" w:type="dxa"/>
            </w:tcMar>
          </w:tcPr>
          <w:p w14:paraId="6E7D3713" w14:textId="484AC46F"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2021/22</w:t>
            </w:r>
          </w:p>
        </w:tc>
        <w:tc>
          <w:tcPr>
            <w:tcW w:w="235" w:type="pct"/>
            <w:shd w:val="clear" w:color="auto" w:fill="9D57A6"/>
            <w:noWrap/>
            <w:tcMar>
              <w:bottom w:w="0" w:type="dxa"/>
            </w:tcMar>
          </w:tcPr>
          <w:p w14:paraId="54B6B828" w14:textId="0623323C"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2022/23</w:t>
            </w:r>
          </w:p>
        </w:tc>
        <w:tc>
          <w:tcPr>
            <w:tcW w:w="235" w:type="pct"/>
            <w:shd w:val="clear" w:color="auto" w:fill="9D57A6"/>
            <w:noWrap/>
            <w:tcMar>
              <w:bottom w:w="0" w:type="dxa"/>
            </w:tcMar>
          </w:tcPr>
          <w:p w14:paraId="00C3B1DF" w14:textId="480F83FA"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2023/24</w:t>
            </w:r>
          </w:p>
        </w:tc>
        <w:tc>
          <w:tcPr>
            <w:tcW w:w="235" w:type="pct"/>
            <w:shd w:val="clear" w:color="auto" w:fill="9D57A6"/>
            <w:noWrap/>
            <w:tcMar>
              <w:bottom w:w="0" w:type="dxa"/>
            </w:tcMar>
          </w:tcPr>
          <w:p w14:paraId="6E8B7B98" w14:textId="3ADB7CED"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2024/25</w:t>
            </w:r>
          </w:p>
        </w:tc>
        <w:tc>
          <w:tcPr>
            <w:tcW w:w="235" w:type="pct"/>
            <w:shd w:val="clear" w:color="auto" w:fill="9D57A6"/>
            <w:noWrap/>
            <w:tcMar>
              <w:bottom w:w="0" w:type="dxa"/>
            </w:tcMar>
          </w:tcPr>
          <w:p w14:paraId="78117046" w14:textId="6EF527E8"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2025/26</w:t>
            </w:r>
          </w:p>
        </w:tc>
        <w:tc>
          <w:tcPr>
            <w:tcW w:w="272" w:type="pct"/>
            <w:shd w:val="clear" w:color="auto" w:fill="9D57A6"/>
            <w:noWrap/>
            <w:tcMar>
              <w:bottom w:w="0" w:type="dxa"/>
            </w:tcMar>
          </w:tcPr>
          <w:p w14:paraId="500D3520" w14:textId="481D36B1" w:rsidR="003F09BB" w:rsidRPr="003F09BB" w:rsidRDefault="003F09BB" w:rsidP="003F09BB">
            <w:pPr>
              <w:pStyle w:val="Tablecolumnheadings"/>
              <w:rPr>
                <w:color w:val="FFFFFF" w:themeColor="background1"/>
                <w:szCs w:val="20"/>
                <w:lang w:eastAsia="en-AU"/>
              </w:rPr>
            </w:pPr>
            <w:r w:rsidRPr="003F09BB">
              <w:rPr>
                <w:rFonts w:cs="Calibri"/>
                <w:color w:val="FFFFFF" w:themeColor="background1"/>
                <w:szCs w:val="20"/>
                <w:lang w:eastAsia="en-AU"/>
              </w:rPr>
              <w:t>2026/27</w:t>
            </w:r>
          </w:p>
        </w:tc>
      </w:tr>
      <w:tr w:rsidR="001B7557" w:rsidRPr="003F09BB" w14:paraId="3DD78EFA" w14:textId="77777777" w:rsidTr="00B055DC">
        <w:tblPrEx>
          <w:tblBorders>
            <w:bottom w:val="single" w:sz="4" w:space="0" w:color="646464"/>
            <w:insideH w:val="single" w:sz="4" w:space="0" w:color="646464"/>
          </w:tblBorders>
        </w:tblPrEx>
        <w:trPr>
          <w:gridBefore w:val="1"/>
          <w:wBefore w:w="205" w:type="pct"/>
          <w:cantSplit/>
        </w:trPr>
        <w:tc>
          <w:tcPr>
            <w:tcW w:w="1697" w:type="pct"/>
            <w:shd w:val="clear" w:color="auto" w:fill="EADDED" w:themeFill="text2" w:themeFillTint="33"/>
            <w:noWrap/>
            <w:hideMark/>
          </w:tcPr>
          <w:p w14:paraId="02700689" w14:textId="77777777" w:rsidR="003F09BB" w:rsidRPr="003F09BB" w:rsidRDefault="003F09BB" w:rsidP="003F09BB">
            <w:pPr>
              <w:pStyle w:val="Tabletext"/>
              <w:rPr>
                <w:rFonts w:cs="Calibri"/>
                <w:b/>
                <w:color w:val="000000"/>
                <w:szCs w:val="20"/>
                <w:lang w:eastAsia="en-AU"/>
              </w:rPr>
            </w:pPr>
            <w:proofErr w:type="spellStart"/>
            <w:r w:rsidRPr="003F09BB">
              <w:rPr>
                <w:rFonts w:cs="Calibri"/>
                <w:b/>
                <w:color w:val="000000"/>
                <w:szCs w:val="20"/>
                <w:lang w:eastAsia="en-AU"/>
              </w:rPr>
              <w:t>TraNSIT</w:t>
            </w:r>
            <w:proofErr w:type="spellEnd"/>
          </w:p>
        </w:tc>
        <w:tc>
          <w:tcPr>
            <w:tcW w:w="236" w:type="pct"/>
            <w:shd w:val="clear" w:color="auto" w:fill="EADDED" w:themeFill="text2" w:themeFillTint="33"/>
            <w:noWrap/>
            <w:hideMark/>
          </w:tcPr>
          <w:p w14:paraId="1EB75E9C" w14:textId="77777777" w:rsidR="003F09BB" w:rsidRPr="003F09BB" w:rsidRDefault="003F09BB" w:rsidP="003F09BB">
            <w:pPr>
              <w:pStyle w:val="Tabletext"/>
              <w:rPr>
                <w:rFonts w:cs="Calibri"/>
                <w:color w:val="000000"/>
                <w:szCs w:val="20"/>
                <w:lang w:eastAsia="en-AU"/>
              </w:rPr>
            </w:pPr>
          </w:p>
        </w:tc>
        <w:tc>
          <w:tcPr>
            <w:tcW w:w="235" w:type="pct"/>
            <w:shd w:val="clear" w:color="auto" w:fill="EADDED" w:themeFill="text2" w:themeFillTint="33"/>
            <w:noWrap/>
            <w:hideMark/>
          </w:tcPr>
          <w:p w14:paraId="7BB539EC"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727C0CDD"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1C067D7D"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4008D9FC"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2E9F6D84"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35393A0B"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6F7490B5"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65E0725A"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6E8FD79C"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1F4F719D"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45C643EA" w14:textId="77777777" w:rsidR="003F09BB" w:rsidRPr="003F09BB" w:rsidRDefault="003F09BB" w:rsidP="003F09BB">
            <w:pPr>
              <w:pStyle w:val="Tabletext"/>
              <w:rPr>
                <w:szCs w:val="20"/>
                <w:lang w:eastAsia="en-AU"/>
              </w:rPr>
            </w:pPr>
          </w:p>
        </w:tc>
        <w:tc>
          <w:tcPr>
            <w:tcW w:w="272" w:type="pct"/>
            <w:shd w:val="clear" w:color="auto" w:fill="EADDED" w:themeFill="text2" w:themeFillTint="33"/>
            <w:noWrap/>
            <w:hideMark/>
          </w:tcPr>
          <w:p w14:paraId="62284478" w14:textId="77777777" w:rsidR="003F09BB" w:rsidRPr="003F09BB" w:rsidRDefault="003F09BB" w:rsidP="003F09BB">
            <w:pPr>
              <w:pStyle w:val="Tabletext"/>
              <w:rPr>
                <w:szCs w:val="20"/>
                <w:lang w:eastAsia="en-AU"/>
              </w:rPr>
            </w:pPr>
          </w:p>
        </w:tc>
      </w:tr>
      <w:tr w:rsidR="003F09BB" w:rsidRPr="003F09BB" w14:paraId="3E915583" w14:textId="77777777" w:rsidTr="00B055DC">
        <w:tblPrEx>
          <w:tblBorders>
            <w:bottom w:val="single" w:sz="4" w:space="0" w:color="646464"/>
            <w:insideH w:val="single" w:sz="4" w:space="0" w:color="646464"/>
          </w:tblBorders>
        </w:tblPrEx>
        <w:trPr>
          <w:gridBefore w:val="1"/>
          <w:wBefore w:w="205" w:type="pct"/>
          <w:cantSplit/>
        </w:trPr>
        <w:tc>
          <w:tcPr>
            <w:tcW w:w="1697" w:type="pct"/>
            <w:shd w:val="clear" w:color="auto" w:fill="auto"/>
            <w:noWrap/>
            <w:hideMark/>
          </w:tcPr>
          <w:p w14:paraId="1194EF6E" w14:textId="77777777"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Increased benefits from Northern Australia Beef Roads program</w:t>
            </w:r>
          </w:p>
        </w:tc>
        <w:tc>
          <w:tcPr>
            <w:tcW w:w="236" w:type="pct"/>
            <w:shd w:val="clear" w:color="auto" w:fill="auto"/>
            <w:noWrap/>
            <w:hideMark/>
          </w:tcPr>
          <w:p w14:paraId="19B203F0" w14:textId="335CE19F"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0.07</w:t>
            </w:r>
          </w:p>
        </w:tc>
        <w:tc>
          <w:tcPr>
            <w:tcW w:w="235" w:type="pct"/>
            <w:shd w:val="clear" w:color="auto" w:fill="auto"/>
            <w:noWrap/>
            <w:hideMark/>
          </w:tcPr>
          <w:p w14:paraId="5D4DD1C5" w14:textId="65D6F4E0" w:rsidR="003F09BB" w:rsidRPr="003F09BB" w:rsidRDefault="003F09BB" w:rsidP="00E445DD">
            <w:pPr>
              <w:pStyle w:val="Tabletext"/>
              <w:rPr>
                <w:rFonts w:cs="Calibri"/>
                <w:color w:val="000000"/>
                <w:szCs w:val="20"/>
                <w:lang w:eastAsia="en-AU"/>
              </w:rPr>
            </w:pPr>
            <w:r w:rsidRPr="003F09BB">
              <w:rPr>
                <w:rFonts w:cs="Calibri"/>
                <w:color w:val="000000"/>
                <w:szCs w:val="20"/>
                <w:lang w:eastAsia="en-AU"/>
              </w:rPr>
              <w:t>0.</w:t>
            </w:r>
            <w:r w:rsidR="00E445DD">
              <w:rPr>
                <w:rFonts w:cs="Calibri"/>
                <w:color w:val="000000"/>
                <w:szCs w:val="20"/>
                <w:lang w:eastAsia="en-AU"/>
              </w:rPr>
              <w:t>40</w:t>
            </w:r>
          </w:p>
        </w:tc>
        <w:tc>
          <w:tcPr>
            <w:tcW w:w="235" w:type="pct"/>
            <w:shd w:val="clear" w:color="auto" w:fill="auto"/>
            <w:noWrap/>
            <w:hideMark/>
          </w:tcPr>
          <w:p w14:paraId="0D756CA1" w14:textId="4F8C2C55" w:rsidR="003F09BB" w:rsidRPr="003F09BB" w:rsidRDefault="003F09BB" w:rsidP="00E445DD">
            <w:pPr>
              <w:pStyle w:val="Tabletext"/>
              <w:rPr>
                <w:rFonts w:cs="Calibri"/>
                <w:color w:val="000000"/>
                <w:szCs w:val="20"/>
                <w:lang w:eastAsia="en-AU"/>
              </w:rPr>
            </w:pPr>
            <w:r w:rsidRPr="003F09BB">
              <w:rPr>
                <w:rFonts w:cs="Calibri"/>
                <w:color w:val="000000"/>
                <w:szCs w:val="20"/>
                <w:lang w:eastAsia="en-AU"/>
              </w:rPr>
              <w:t>0.</w:t>
            </w:r>
            <w:r w:rsidR="00E445DD">
              <w:rPr>
                <w:rFonts w:cs="Calibri"/>
                <w:color w:val="000000"/>
                <w:szCs w:val="20"/>
                <w:lang w:eastAsia="en-AU"/>
              </w:rPr>
              <w:t>6</w:t>
            </w:r>
            <w:r w:rsidRPr="003F09BB">
              <w:rPr>
                <w:rFonts w:cs="Calibri"/>
                <w:color w:val="000000"/>
                <w:szCs w:val="20"/>
                <w:lang w:eastAsia="en-AU"/>
              </w:rPr>
              <w:t>0</w:t>
            </w:r>
          </w:p>
        </w:tc>
        <w:tc>
          <w:tcPr>
            <w:tcW w:w="235" w:type="pct"/>
            <w:shd w:val="clear" w:color="auto" w:fill="auto"/>
            <w:noWrap/>
            <w:hideMark/>
          </w:tcPr>
          <w:p w14:paraId="6CD50BD7" w14:textId="269296CD" w:rsidR="003F09BB" w:rsidRPr="003F09BB" w:rsidRDefault="00E445DD" w:rsidP="00E445DD">
            <w:pPr>
              <w:pStyle w:val="Tabletext"/>
              <w:rPr>
                <w:rFonts w:cs="Calibri"/>
                <w:color w:val="000000"/>
                <w:szCs w:val="20"/>
                <w:lang w:eastAsia="en-AU"/>
              </w:rPr>
            </w:pPr>
            <w:r>
              <w:rPr>
                <w:rFonts w:cs="Calibri"/>
                <w:color w:val="000000"/>
                <w:szCs w:val="20"/>
                <w:lang w:eastAsia="en-AU"/>
              </w:rPr>
              <w:t>1</w:t>
            </w:r>
            <w:r w:rsidR="003F09BB" w:rsidRPr="003F09BB">
              <w:rPr>
                <w:rFonts w:cs="Calibri"/>
                <w:color w:val="000000"/>
                <w:szCs w:val="20"/>
                <w:lang w:eastAsia="en-AU"/>
              </w:rPr>
              <w:t>.</w:t>
            </w:r>
            <w:r>
              <w:rPr>
                <w:rFonts w:cs="Calibri"/>
                <w:color w:val="000000"/>
                <w:szCs w:val="20"/>
                <w:lang w:eastAsia="en-AU"/>
              </w:rPr>
              <w:t>0</w:t>
            </w:r>
            <w:r w:rsidR="003F09BB" w:rsidRPr="003F09BB">
              <w:rPr>
                <w:rFonts w:cs="Calibri"/>
                <w:color w:val="000000"/>
                <w:szCs w:val="20"/>
                <w:lang w:eastAsia="en-AU"/>
              </w:rPr>
              <w:t>0</w:t>
            </w:r>
          </w:p>
        </w:tc>
        <w:tc>
          <w:tcPr>
            <w:tcW w:w="235" w:type="pct"/>
            <w:shd w:val="clear" w:color="auto" w:fill="auto"/>
            <w:noWrap/>
            <w:hideMark/>
          </w:tcPr>
          <w:p w14:paraId="44342F84" w14:textId="4437B0B2" w:rsidR="003F09BB" w:rsidRPr="003F09BB" w:rsidRDefault="00E445DD" w:rsidP="003F09BB">
            <w:pPr>
              <w:pStyle w:val="Tabletext"/>
              <w:rPr>
                <w:rFonts w:cs="Calibri"/>
                <w:color w:val="000000"/>
                <w:szCs w:val="20"/>
                <w:lang w:eastAsia="en-AU"/>
              </w:rPr>
            </w:pPr>
            <w:r>
              <w:rPr>
                <w:rFonts w:cs="Calibri"/>
                <w:color w:val="000000"/>
                <w:szCs w:val="20"/>
                <w:lang w:eastAsia="en-AU"/>
              </w:rPr>
              <w:t>1</w:t>
            </w:r>
            <w:r w:rsidR="003F09BB" w:rsidRPr="003F09BB">
              <w:rPr>
                <w:rFonts w:cs="Calibri"/>
                <w:color w:val="000000"/>
                <w:szCs w:val="20"/>
                <w:lang w:eastAsia="en-AU"/>
              </w:rPr>
              <w:t>.30</w:t>
            </w:r>
          </w:p>
        </w:tc>
        <w:tc>
          <w:tcPr>
            <w:tcW w:w="235" w:type="pct"/>
            <w:shd w:val="clear" w:color="auto" w:fill="auto"/>
            <w:noWrap/>
            <w:hideMark/>
          </w:tcPr>
          <w:p w14:paraId="210FB0E6" w14:textId="39AC89B6" w:rsidR="003F09BB" w:rsidRPr="003F09BB" w:rsidRDefault="00E445DD" w:rsidP="00E445DD">
            <w:pPr>
              <w:pStyle w:val="Tabletext"/>
              <w:rPr>
                <w:rFonts w:cs="Calibri"/>
                <w:color w:val="000000"/>
                <w:szCs w:val="20"/>
                <w:lang w:eastAsia="en-AU"/>
              </w:rPr>
            </w:pPr>
            <w:r>
              <w:rPr>
                <w:rFonts w:cs="Calibri"/>
                <w:color w:val="000000"/>
                <w:szCs w:val="20"/>
                <w:lang w:eastAsia="en-AU"/>
              </w:rPr>
              <w:t>1</w:t>
            </w:r>
            <w:r w:rsidR="003F09BB" w:rsidRPr="003F09BB">
              <w:rPr>
                <w:rFonts w:cs="Calibri"/>
                <w:color w:val="000000"/>
                <w:szCs w:val="20"/>
                <w:lang w:eastAsia="en-AU"/>
              </w:rPr>
              <w:t>.</w:t>
            </w:r>
            <w:r>
              <w:rPr>
                <w:rFonts w:cs="Calibri"/>
                <w:color w:val="000000"/>
                <w:szCs w:val="20"/>
                <w:lang w:eastAsia="en-AU"/>
              </w:rPr>
              <w:t>6</w:t>
            </w:r>
            <w:r w:rsidR="003F09BB" w:rsidRPr="003F09BB">
              <w:rPr>
                <w:rFonts w:cs="Calibri"/>
                <w:color w:val="000000"/>
                <w:szCs w:val="20"/>
                <w:lang w:eastAsia="en-AU"/>
              </w:rPr>
              <w:t>0</w:t>
            </w:r>
          </w:p>
        </w:tc>
        <w:tc>
          <w:tcPr>
            <w:tcW w:w="235" w:type="pct"/>
            <w:shd w:val="clear" w:color="auto" w:fill="auto"/>
            <w:noWrap/>
            <w:hideMark/>
          </w:tcPr>
          <w:p w14:paraId="72022824" w14:textId="72F9044B" w:rsidR="003F09BB" w:rsidRPr="003F09BB" w:rsidRDefault="00E445DD" w:rsidP="00E445DD">
            <w:pPr>
              <w:pStyle w:val="Tabletext"/>
              <w:rPr>
                <w:rFonts w:cs="Calibri"/>
                <w:color w:val="000000"/>
                <w:szCs w:val="20"/>
                <w:lang w:eastAsia="en-AU"/>
              </w:rPr>
            </w:pPr>
            <w:r>
              <w:rPr>
                <w:rFonts w:cs="Calibri"/>
                <w:color w:val="000000"/>
                <w:szCs w:val="20"/>
                <w:lang w:eastAsia="en-AU"/>
              </w:rPr>
              <w:t>1</w:t>
            </w:r>
            <w:r w:rsidR="003F09BB" w:rsidRPr="003F09BB">
              <w:rPr>
                <w:rFonts w:cs="Calibri"/>
                <w:color w:val="000000"/>
                <w:szCs w:val="20"/>
                <w:lang w:eastAsia="en-AU"/>
              </w:rPr>
              <w:t>.</w:t>
            </w:r>
            <w:r>
              <w:rPr>
                <w:rFonts w:cs="Calibri"/>
                <w:color w:val="000000"/>
                <w:szCs w:val="20"/>
                <w:lang w:eastAsia="en-AU"/>
              </w:rPr>
              <w:t>9</w:t>
            </w:r>
            <w:r w:rsidR="003F09BB" w:rsidRPr="003F09BB">
              <w:rPr>
                <w:rFonts w:cs="Calibri"/>
                <w:color w:val="000000"/>
                <w:szCs w:val="20"/>
                <w:lang w:eastAsia="en-AU"/>
              </w:rPr>
              <w:t>0</w:t>
            </w:r>
          </w:p>
        </w:tc>
        <w:tc>
          <w:tcPr>
            <w:tcW w:w="235" w:type="pct"/>
            <w:shd w:val="clear" w:color="auto" w:fill="auto"/>
            <w:noWrap/>
            <w:hideMark/>
          </w:tcPr>
          <w:p w14:paraId="57CADCF2" w14:textId="52F522F0" w:rsidR="003F09BB" w:rsidRPr="003F09BB" w:rsidRDefault="00E445DD" w:rsidP="00E445DD">
            <w:pPr>
              <w:pStyle w:val="Tabletext"/>
              <w:rPr>
                <w:rFonts w:cs="Calibri"/>
                <w:color w:val="000000"/>
                <w:szCs w:val="20"/>
                <w:lang w:eastAsia="en-AU"/>
              </w:rPr>
            </w:pPr>
            <w:r>
              <w:rPr>
                <w:rFonts w:cs="Calibri"/>
                <w:color w:val="000000"/>
                <w:szCs w:val="20"/>
                <w:lang w:eastAsia="en-AU"/>
              </w:rPr>
              <w:t>2</w:t>
            </w:r>
            <w:r w:rsidR="003F09BB" w:rsidRPr="003F09BB">
              <w:rPr>
                <w:rFonts w:cs="Calibri"/>
                <w:color w:val="000000"/>
                <w:szCs w:val="20"/>
                <w:lang w:eastAsia="en-AU"/>
              </w:rPr>
              <w:t>.</w:t>
            </w:r>
            <w:r>
              <w:rPr>
                <w:rFonts w:cs="Calibri"/>
                <w:color w:val="000000"/>
                <w:szCs w:val="20"/>
                <w:lang w:eastAsia="en-AU"/>
              </w:rPr>
              <w:t>2</w:t>
            </w:r>
            <w:r w:rsidR="003F09BB" w:rsidRPr="003F09BB">
              <w:rPr>
                <w:rFonts w:cs="Calibri"/>
                <w:color w:val="000000"/>
                <w:szCs w:val="20"/>
                <w:lang w:eastAsia="en-AU"/>
              </w:rPr>
              <w:t>0</w:t>
            </w:r>
          </w:p>
        </w:tc>
        <w:tc>
          <w:tcPr>
            <w:tcW w:w="235" w:type="pct"/>
            <w:shd w:val="clear" w:color="auto" w:fill="auto"/>
            <w:noWrap/>
            <w:hideMark/>
          </w:tcPr>
          <w:p w14:paraId="1C8B1119" w14:textId="34229174" w:rsidR="003F09BB" w:rsidRPr="003F09BB" w:rsidRDefault="00E445DD" w:rsidP="00E445DD">
            <w:pPr>
              <w:pStyle w:val="Tabletext"/>
              <w:rPr>
                <w:rFonts w:cs="Calibri"/>
                <w:color w:val="000000"/>
                <w:szCs w:val="20"/>
                <w:lang w:eastAsia="en-AU"/>
              </w:rPr>
            </w:pPr>
            <w:r>
              <w:rPr>
                <w:rFonts w:cs="Calibri"/>
                <w:color w:val="000000"/>
                <w:szCs w:val="20"/>
                <w:lang w:eastAsia="en-AU"/>
              </w:rPr>
              <w:t>2</w:t>
            </w:r>
            <w:r w:rsidR="003F09BB" w:rsidRPr="003F09BB">
              <w:rPr>
                <w:rFonts w:cs="Calibri"/>
                <w:color w:val="000000"/>
                <w:szCs w:val="20"/>
                <w:lang w:eastAsia="en-AU"/>
              </w:rPr>
              <w:t>.</w:t>
            </w:r>
            <w:r>
              <w:rPr>
                <w:rFonts w:cs="Calibri"/>
                <w:color w:val="000000"/>
                <w:szCs w:val="20"/>
                <w:lang w:eastAsia="en-AU"/>
              </w:rPr>
              <w:t>5</w:t>
            </w:r>
            <w:r w:rsidR="003F09BB" w:rsidRPr="003F09BB">
              <w:rPr>
                <w:rFonts w:cs="Calibri"/>
                <w:color w:val="000000"/>
                <w:szCs w:val="20"/>
                <w:lang w:eastAsia="en-AU"/>
              </w:rPr>
              <w:t>0</w:t>
            </w:r>
          </w:p>
        </w:tc>
        <w:tc>
          <w:tcPr>
            <w:tcW w:w="235" w:type="pct"/>
            <w:shd w:val="clear" w:color="auto" w:fill="auto"/>
            <w:noWrap/>
            <w:hideMark/>
          </w:tcPr>
          <w:p w14:paraId="1E1BB61D" w14:textId="079C026D" w:rsidR="003F09BB" w:rsidRPr="003F09BB" w:rsidRDefault="00E445DD" w:rsidP="00E445DD">
            <w:pPr>
              <w:pStyle w:val="Tabletext"/>
              <w:rPr>
                <w:rFonts w:cs="Calibri"/>
                <w:color w:val="000000"/>
                <w:szCs w:val="20"/>
                <w:lang w:eastAsia="en-AU"/>
              </w:rPr>
            </w:pPr>
            <w:r>
              <w:rPr>
                <w:rFonts w:cs="Calibri"/>
                <w:color w:val="000000"/>
                <w:szCs w:val="20"/>
                <w:lang w:eastAsia="en-AU"/>
              </w:rPr>
              <w:t>2</w:t>
            </w:r>
            <w:r w:rsidR="003F09BB" w:rsidRPr="003F09BB">
              <w:rPr>
                <w:rFonts w:cs="Calibri"/>
                <w:color w:val="000000"/>
                <w:szCs w:val="20"/>
                <w:lang w:eastAsia="en-AU"/>
              </w:rPr>
              <w:t>.</w:t>
            </w:r>
            <w:r>
              <w:rPr>
                <w:rFonts w:cs="Calibri"/>
                <w:color w:val="000000"/>
                <w:szCs w:val="20"/>
                <w:lang w:eastAsia="en-AU"/>
              </w:rPr>
              <w:t>8</w:t>
            </w:r>
            <w:r w:rsidR="003F09BB" w:rsidRPr="003F09BB">
              <w:rPr>
                <w:rFonts w:cs="Calibri"/>
                <w:color w:val="000000"/>
                <w:szCs w:val="20"/>
                <w:lang w:eastAsia="en-AU"/>
              </w:rPr>
              <w:t>0</w:t>
            </w:r>
          </w:p>
        </w:tc>
        <w:tc>
          <w:tcPr>
            <w:tcW w:w="235" w:type="pct"/>
            <w:shd w:val="clear" w:color="auto" w:fill="auto"/>
            <w:noWrap/>
            <w:hideMark/>
          </w:tcPr>
          <w:p w14:paraId="28263BB2" w14:textId="2997174A" w:rsidR="003F09BB" w:rsidRPr="003F09BB" w:rsidRDefault="00E445DD" w:rsidP="00E445DD">
            <w:pPr>
              <w:pStyle w:val="Tabletext"/>
              <w:rPr>
                <w:rFonts w:cs="Calibri"/>
                <w:color w:val="000000"/>
                <w:szCs w:val="20"/>
                <w:lang w:eastAsia="en-AU"/>
              </w:rPr>
            </w:pPr>
            <w:r>
              <w:rPr>
                <w:rFonts w:cs="Calibri"/>
                <w:color w:val="000000"/>
                <w:szCs w:val="20"/>
                <w:lang w:eastAsia="en-AU"/>
              </w:rPr>
              <w:t>3</w:t>
            </w:r>
            <w:r w:rsidR="003F09BB" w:rsidRPr="003F09BB">
              <w:rPr>
                <w:rFonts w:cs="Calibri"/>
                <w:color w:val="000000"/>
                <w:szCs w:val="20"/>
                <w:lang w:eastAsia="en-AU"/>
              </w:rPr>
              <w:t>.</w:t>
            </w:r>
            <w:r>
              <w:rPr>
                <w:rFonts w:cs="Calibri"/>
                <w:color w:val="000000"/>
                <w:szCs w:val="20"/>
                <w:lang w:eastAsia="en-AU"/>
              </w:rPr>
              <w:t>1</w:t>
            </w:r>
            <w:r w:rsidR="003F09BB" w:rsidRPr="003F09BB">
              <w:rPr>
                <w:rFonts w:cs="Calibri"/>
                <w:color w:val="000000"/>
                <w:szCs w:val="20"/>
                <w:lang w:eastAsia="en-AU"/>
              </w:rPr>
              <w:t>0</w:t>
            </w:r>
          </w:p>
        </w:tc>
        <w:tc>
          <w:tcPr>
            <w:tcW w:w="235" w:type="pct"/>
            <w:shd w:val="clear" w:color="auto" w:fill="auto"/>
            <w:noWrap/>
            <w:hideMark/>
          </w:tcPr>
          <w:p w14:paraId="5DCCE83D" w14:textId="1AFFE5B0" w:rsidR="003F09BB" w:rsidRPr="003F09BB" w:rsidRDefault="00E445DD" w:rsidP="00E445DD">
            <w:pPr>
              <w:pStyle w:val="Tabletext"/>
              <w:rPr>
                <w:rFonts w:cs="Calibri"/>
                <w:color w:val="000000"/>
                <w:szCs w:val="20"/>
                <w:lang w:eastAsia="en-AU"/>
              </w:rPr>
            </w:pPr>
            <w:r>
              <w:rPr>
                <w:rFonts w:cs="Calibri"/>
                <w:color w:val="000000"/>
                <w:szCs w:val="20"/>
                <w:lang w:eastAsia="en-AU"/>
              </w:rPr>
              <w:t>3</w:t>
            </w:r>
            <w:r w:rsidR="003F09BB" w:rsidRPr="003F09BB">
              <w:rPr>
                <w:rFonts w:cs="Calibri"/>
                <w:color w:val="000000"/>
                <w:szCs w:val="20"/>
                <w:lang w:eastAsia="en-AU"/>
              </w:rPr>
              <w:t>.</w:t>
            </w:r>
            <w:r>
              <w:rPr>
                <w:rFonts w:cs="Calibri"/>
                <w:color w:val="000000"/>
                <w:szCs w:val="20"/>
                <w:lang w:eastAsia="en-AU"/>
              </w:rPr>
              <w:t>4</w:t>
            </w:r>
            <w:r w:rsidR="003F09BB" w:rsidRPr="003F09BB">
              <w:rPr>
                <w:rFonts w:cs="Calibri"/>
                <w:color w:val="000000"/>
                <w:szCs w:val="20"/>
                <w:lang w:eastAsia="en-AU"/>
              </w:rPr>
              <w:t>0</w:t>
            </w:r>
          </w:p>
        </w:tc>
        <w:tc>
          <w:tcPr>
            <w:tcW w:w="272" w:type="pct"/>
            <w:shd w:val="clear" w:color="auto" w:fill="auto"/>
            <w:noWrap/>
            <w:hideMark/>
          </w:tcPr>
          <w:p w14:paraId="18F65E6E" w14:textId="357BC3A5" w:rsidR="003F09BB" w:rsidRPr="003F09BB" w:rsidRDefault="00E445DD" w:rsidP="00E445DD">
            <w:pPr>
              <w:pStyle w:val="Tabletext"/>
              <w:rPr>
                <w:rFonts w:cs="Calibri"/>
                <w:color w:val="000000"/>
                <w:szCs w:val="20"/>
                <w:lang w:eastAsia="en-AU"/>
              </w:rPr>
            </w:pPr>
            <w:r>
              <w:rPr>
                <w:rFonts w:cs="Calibri"/>
                <w:color w:val="000000"/>
                <w:szCs w:val="20"/>
                <w:lang w:eastAsia="en-AU"/>
              </w:rPr>
              <w:t>3</w:t>
            </w:r>
            <w:r w:rsidR="003F09BB" w:rsidRPr="003F09BB">
              <w:rPr>
                <w:rFonts w:cs="Calibri"/>
                <w:color w:val="000000"/>
                <w:szCs w:val="20"/>
                <w:lang w:eastAsia="en-AU"/>
              </w:rPr>
              <w:t>.</w:t>
            </w:r>
            <w:r>
              <w:rPr>
                <w:rFonts w:cs="Calibri"/>
                <w:color w:val="000000"/>
                <w:szCs w:val="20"/>
                <w:lang w:eastAsia="en-AU"/>
              </w:rPr>
              <w:t>7</w:t>
            </w:r>
            <w:r w:rsidR="003F09BB" w:rsidRPr="003F09BB">
              <w:rPr>
                <w:rFonts w:cs="Calibri"/>
                <w:color w:val="000000"/>
                <w:szCs w:val="20"/>
                <w:lang w:eastAsia="en-AU"/>
              </w:rPr>
              <w:t>0</w:t>
            </w:r>
          </w:p>
        </w:tc>
      </w:tr>
      <w:tr w:rsidR="003F09BB" w:rsidRPr="003F09BB" w14:paraId="17D59DE9" w14:textId="77777777" w:rsidTr="00B055DC">
        <w:tblPrEx>
          <w:tblBorders>
            <w:bottom w:val="single" w:sz="4" w:space="0" w:color="646464"/>
            <w:insideH w:val="single" w:sz="4" w:space="0" w:color="646464"/>
          </w:tblBorders>
        </w:tblPrEx>
        <w:trPr>
          <w:gridBefore w:val="1"/>
          <w:wBefore w:w="205" w:type="pct"/>
          <w:cantSplit/>
        </w:trPr>
        <w:tc>
          <w:tcPr>
            <w:tcW w:w="1697" w:type="pct"/>
            <w:shd w:val="clear" w:color="auto" w:fill="auto"/>
            <w:noWrap/>
            <w:hideMark/>
          </w:tcPr>
          <w:p w14:paraId="688A5B3A" w14:textId="77777777"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Reduction in cost of transporting cattle near tick-prone zones in SE Queensland</w:t>
            </w:r>
          </w:p>
        </w:tc>
        <w:tc>
          <w:tcPr>
            <w:tcW w:w="236" w:type="pct"/>
            <w:shd w:val="clear" w:color="auto" w:fill="auto"/>
            <w:noWrap/>
            <w:hideMark/>
          </w:tcPr>
          <w:p w14:paraId="1EDABBB4" w14:textId="41AA2CF1"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0</w:t>
            </w:r>
            <w:r w:rsidR="001B7557">
              <w:rPr>
                <w:rFonts w:cs="Calibri"/>
                <w:color w:val="000000"/>
                <w:szCs w:val="20"/>
                <w:lang w:eastAsia="en-AU"/>
              </w:rPr>
              <w:t>.00</w:t>
            </w:r>
          </w:p>
        </w:tc>
        <w:tc>
          <w:tcPr>
            <w:tcW w:w="235" w:type="pct"/>
            <w:shd w:val="clear" w:color="auto" w:fill="auto"/>
            <w:noWrap/>
            <w:hideMark/>
          </w:tcPr>
          <w:p w14:paraId="485FB6FD" w14:textId="413BDB78"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0</w:t>
            </w:r>
            <w:r w:rsidR="001B7557">
              <w:rPr>
                <w:rFonts w:cs="Calibri"/>
                <w:color w:val="000000"/>
                <w:szCs w:val="20"/>
                <w:lang w:eastAsia="en-AU"/>
              </w:rPr>
              <w:t>.00</w:t>
            </w:r>
          </w:p>
        </w:tc>
        <w:tc>
          <w:tcPr>
            <w:tcW w:w="235" w:type="pct"/>
            <w:shd w:val="clear" w:color="auto" w:fill="auto"/>
            <w:noWrap/>
          </w:tcPr>
          <w:p w14:paraId="1AFBF682" w14:textId="705AC284"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2.30</w:t>
            </w:r>
          </w:p>
        </w:tc>
        <w:tc>
          <w:tcPr>
            <w:tcW w:w="235" w:type="pct"/>
            <w:shd w:val="clear" w:color="auto" w:fill="auto"/>
            <w:noWrap/>
          </w:tcPr>
          <w:p w14:paraId="4F2C9099" w14:textId="60438CB7"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2.30</w:t>
            </w:r>
          </w:p>
        </w:tc>
        <w:tc>
          <w:tcPr>
            <w:tcW w:w="235" w:type="pct"/>
            <w:shd w:val="clear" w:color="auto" w:fill="auto"/>
            <w:noWrap/>
          </w:tcPr>
          <w:p w14:paraId="7BB42056" w14:textId="2C20BC13"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2.30</w:t>
            </w:r>
          </w:p>
        </w:tc>
        <w:tc>
          <w:tcPr>
            <w:tcW w:w="235" w:type="pct"/>
            <w:shd w:val="clear" w:color="auto" w:fill="auto"/>
            <w:noWrap/>
          </w:tcPr>
          <w:p w14:paraId="48496C84" w14:textId="62D23BD7"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2.30</w:t>
            </w:r>
          </w:p>
        </w:tc>
        <w:tc>
          <w:tcPr>
            <w:tcW w:w="235" w:type="pct"/>
            <w:shd w:val="clear" w:color="auto" w:fill="auto"/>
            <w:noWrap/>
          </w:tcPr>
          <w:p w14:paraId="43D4E5BC" w14:textId="4BC08D95"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2.30</w:t>
            </w:r>
          </w:p>
        </w:tc>
        <w:tc>
          <w:tcPr>
            <w:tcW w:w="235" w:type="pct"/>
            <w:shd w:val="clear" w:color="auto" w:fill="auto"/>
            <w:noWrap/>
          </w:tcPr>
          <w:p w14:paraId="597E38B5" w14:textId="310AC2B3"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2.30</w:t>
            </w:r>
          </w:p>
        </w:tc>
        <w:tc>
          <w:tcPr>
            <w:tcW w:w="235" w:type="pct"/>
            <w:shd w:val="clear" w:color="auto" w:fill="auto"/>
            <w:noWrap/>
          </w:tcPr>
          <w:p w14:paraId="5A5268AB" w14:textId="233F231C"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2.30</w:t>
            </w:r>
          </w:p>
        </w:tc>
        <w:tc>
          <w:tcPr>
            <w:tcW w:w="235" w:type="pct"/>
            <w:shd w:val="clear" w:color="auto" w:fill="auto"/>
            <w:noWrap/>
          </w:tcPr>
          <w:p w14:paraId="26865E0F" w14:textId="7AC04DBA"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2.30</w:t>
            </w:r>
          </w:p>
        </w:tc>
        <w:tc>
          <w:tcPr>
            <w:tcW w:w="235" w:type="pct"/>
            <w:shd w:val="clear" w:color="auto" w:fill="auto"/>
            <w:noWrap/>
          </w:tcPr>
          <w:p w14:paraId="0BD33B8C" w14:textId="38256AEF"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2.30</w:t>
            </w:r>
          </w:p>
        </w:tc>
        <w:tc>
          <w:tcPr>
            <w:tcW w:w="235" w:type="pct"/>
            <w:shd w:val="clear" w:color="auto" w:fill="auto"/>
            <w:noWrap/>
          </w:tcPr>
          <w:p w14:paraId="41A01205" w14:textId="79566498"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2.30</w:t>
            </w:r>
          </w:p>
        </w:tc>
        <w:tc>
          <w:tcPr>
            <w:tcW w:w="272" w:type="pct"/>
            <w:shd w:val="clear" w:color="auto" w:fill="auto"/>
            <w:noWrap/>
          </w:tcPr>
          <w:p w14:paraId="34E03171" w14:textId="6B798931" w:rsidR="003F09BB" w:rsidRPr="003F09BB" w:rsidRDefault="003F09BB" w:rsidP="003F09BB">
            <w:pPr>
              <w:pStyle w:val="Tabletext"/>
              <w:rPr>
                <w:rFonts w:cs="Calibri"/>
                <w:color w:val="000000"/>
                <w:szCs w:val="20"/>
                <w:lang w:eastAsia="en-AU"/>
              </w:rPr>
            </w:pPr>
            <w:r w:rsidRPr="003F09BB">
              <w:rPr>
                <w:rFonts w:cs="Calibri"/>
                <w:color w:val="000000"/>
                <w:szCs w:val="20"/>
                <w:lang w:eastAsia="en-AU"/>
              </w:rPr>
              <w:t>2.30</w:t>
            </w:r>
          </w:p>
        </w:tc>
      </w:tr>
      <w:tr w:rsidR="001B7557" w:rsidRPr="003F09BB" w14:paraId="45228766" w14:textId="77777777" w:rsidTr="00B055DC">
        <w:tblPrEx>
          <w:tblBorders>
            <w:bottom w:val="single" w:sz="4" w:space="0" w:color="646464"/>
            <w:insideH w:val="single" w:sz="4" w:space="0" w:color="646464"/>
          </w:tblBorders>
        </w:tblPrEx>
        <w:trPr>
          <w:gridBefore w:val="1"/>
          <w:wBefore w:w="205" w:type="pct"/>
          <w:cantSplit/>
        </w:trPr>
        <w:tc>
          <w:tcPr>
            <w:tcW w:w="1697" w:type="pct"/>
            <w:shd w:val="clear" w:color="auto" w:fill="auto"/>
            <w:noWrap/>
            <w:hideMark/>
          </w:tcPr>
          <w:p w14:paraId="7917AFA9"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Reduction in other costs of transporting cattle</w:t>
            </w:r>
          </w:p>
        </w:tc>
        <w:tc>
          <w:tcPr>
            <w:tcW w:w="236" w:type="pct"/>
            <w:shd w:val="clear" w:color="auto" w:fill="auto"/>
            <w:noWrap/>
            <w:hideMark/>
          </w:tcPr>
          <w:p w14:paraId="1CBAD331" w14:textId="4FE4644F"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r>
              <w:rPr>
                <w:rFonts w:cs="Calibri"/>
                <w:color w:val="000000"/>
                <w:szCs w:val="20"/>
                <w:lang w:eastAsia="en-AU"/>
              </w:rPr>
              <w:t>.00</w:t>
            </w:r>
          </w:p>
        </w:tc>
        <w:tc>
          <w:tcPr>
            <w:tcW w:w="235" w:type="pct"/>
            <w:shd w:val="clear" w:color="auto" w:fill="auto"/>
            <w:noWrap/>
            <w:hideMark/>
          </w:tcPr>
          <w:p w14:paraId="4644CEC0" w14:textId="12FB0150"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r>
              <w:rPr>
                <w:rFonts w:cs="Calibri"/>
                <w:color w:val="000000"/>
                <w:szCs w:val="20"/>
                <w:lang w:eastAsia="en-AU"/>
              </w:rPr>
              <w:t>.00</w:t>
            </w:r>
          </w:p>
        </w:tc>
        <w:tc>
          <w:tcPr>
            <w:tcW w:w="235" w:type="pct"/>
            <w:shd w:val="clear" w:color="auto" w:fill="auto"/>
            <w:noWrap/>
            <w:hideMark/>
          </w:tcPr>
          <w:p w14:paraId="58BC6E52" w14:textId="62C9732A"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4.80</w:t>
            </w:r>
          </w:p>
        </w:tc>
        <w:tc>
          <w:tcPr>
            <w:tcW w:w="235" w:type="pct"/>
            <w:shd w:val="clear" w:color="auto" w:fill="auto"/>
            <w:noWrap/>
            <w:hideMark/>
          </w:tcPr>
          <w:p w14:paraId="4FE12012" w14:textId="5CBF7BB9"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4.80</w:t>
            </w:r>
          </w:p>
        </w:tc>
        <w:tc>
          <w:tcPr>
            <w:tcW w:w="235" w:type="pct"/>
            <w:shd w:val="clear" w:color="auto" w:fill="auto"/>
            <w:noWrap/>
            <w:hideMark/>
          </w:tcPr>
          <w:p w14:paraId="0A983C0B" w14:textId="576420BB"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4.80</w:t>
            </w:r>
          </w:p>
        </w:tc>
        <w:tc>
          <w:tcPr>
            <w:tcW w:w="235" w:type="pct"/>
            <w:shd w:val="clear" w:color="auto" w:fill="auto"/>
            <w:noWrap/>
            <w:hideMark/>
          </w:tcPr>
          <w:p w14:paraId="0D441BE2" w14:textId="7E36C441"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4.80</w:t>
            </w:r>
          </w:p>
        </w:tc>
        <w:tc>
          <w:tcPr>
            <w:tcW w:w="235" w:type="pct"/>
            <w:shd w:val="clear" w:color="auto" w:fill="auto"/>
            <w:noWrap/>
            <w:hideMark/>
          </w:tcPr>
          <w:p w14:paraId="08EE7530" w14:textId="082524C8"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4.80</w:t>
            </w:r>
          </w:p>
        </w:tc>
        <w:tc>
          <w:tcPr>
            <w:tcW w:w="235" w:type="pct"/>
            <w:shd w:val="clear" w:color="auto" w:fill="auto"/>
            <w:noWrap/>
            <w:hideMark/>
          </w:tcPr>
          <w:p w14:paraId="3F125BE0" w14:textId="0CF42283"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4.80</w:t>
            </w:r>
          </w:p>
        </w:tc>
        <w:tc>
          <w:tcPr>
            <w:tcW w:w="235" w:type="pct"/>
            <w:shd w:val="clear" w:color="auto" w:fill="auto"/>
            <w:noWrap/>
            <w:hideMark/>
          </w:tcPr>
          <w:p w14:paraId="3E5B6502" w14:textId="595FB616"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4.80</w:t>
            </w:r>
          </w:p>
        </w:tc>
        <w:tc>
          <w:tcPr>
            <w:tcW w:w="235" w:type="pct"/>
            <w:shd w:val="clear" w:color="auto" w:fill="auto"/>
            <w:noWrap/>
            <w:hideMark/>
          </w:tcPr>
          <w:p w14:paraId="533EE640" w14:textId="563AFDF4"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4.80</w:t>
            </w:r>
          </w:p>
        </w:tc>
        <w:tc>
          <w:tcPr>
            <w:tcW w:w="235" w:type="pct"/>
            <w:shd w:val="clear" w:color="auto" w:fill="auto"/>
            <w:noWrap/>
            <w:hideMark/>
          </w:tcPr>
          <w:p w14:paraId="2F140E00" w14:textId="7F3F4C99"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4.80</w:t>
            </w:r>
          </w:p>
        </w:tc>
        <w:tc>
          <w:tcPr>
            <w:tcW w:w="235" w:type="pct"/>
            <w:shd w:val="clear" w:color="auto" w:fill="auto"/>
            <w:noWrap/>
            <w:hideMark/>
          </w:tcPr>
          <w:p w14:paraId="2F69ED4B" w14:textId="6F65CEF2"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4.80</w:t>
            </w:r>
          </w:p>
        </w:tc>
        <w:tc>
          <w:tcPr>
            <w:tcW w:w="272" w:type="pct"/>
            <w:shd w:val="clear" w:color="auto" w:fill="auto"/>
            <w:noWrap/>
            <w:hideMark/>
          </w:tcPr>
          <w:p w14:paraId="0DC1212E" w14:textId="45443876"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4.80</w:t>
            </w:r>
          </w:p>
        </w:tc>
      </w:tr>
      <w:tr w:rsidR="001B7557" w:rsidRPr="003F09BB" w14:paraId="6B245C01" w14:textId="77777777" w:rsidTr="00B055DC">
        <w:tblPrEx>
          <w:tblBorders>
            <w:bottom w:val="single" w:sz="4" w:space="0" w:color="646464"/>
            <w:insideH w:val="single" w:sz="4" w:space="0" w:color="646464"/>
          </w:tblBorders>
        </w:tblPrEx>
        <w:trPr>
          <w:gridBefore w:val="1"/>
          <w:wBefore w:w="205" w:type="pct"/>
          <w:cantSplit/>
        </w:trPr>
        <w:tc>
          <w:tcPr>
            <w:tcW w:w="1697" w:type="pct"/>
            <w:shd w:val="clear" w:color="auto" w:fill="auto"/>
            <w:noWrap/>
            <w:hideMark/>
          </w:tcPr>
          <w:p w14:paraId="58B13BE7"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Model use fees</w:t>
            </w:r>
          </w:p>
        </w:tc>
        <w:tc>
          <w:tcPr>
            <w:tcW w:w="236" w:type="pct"/>
            <w:shd w:val="clear" w:color="auto" w:fill="auto"/>
            <w:noWrap/>
            <w:hideMark/>
          </w:tcPr>
          <w:p w14:paraId="225403AE" w14:textId="16A4EF4B"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r>
              <w:rPr>
                <w:rFonts w:cs="Calibri"/>
                <w:color w:val="000000"/>
                <w:szCs w:val="20"/>
                <w:lang w:eastAsia="en-AU"/>
              </w:rPr>
              <w:t>.00</w:t>
            </w:r>
          </w:p>
        </w:tc>
        <w:tc>
          <w:tcPr>
            <w:tcW w:w="235" w:type="pct"/>
            <w:shd w:val="clear" w:color="auto" w:fill="auto"/>
            <w:noWrap/>
            <w:hideMark/>
          </w:tcPr>
          <w:p w14:paraId="0C1E003B" w14:textId="6055E062"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r>
              <w:rPr>
                <w:rFonts w:cs="Calibri"/>
                <w:color w:val="000000"/>
                <w:szCs w:val="20"/>
                <w:lang w:eastAsia="en-AU"/>
              </w:rPr>
              <w:t>.00</w:t>
            </w:r>
          </w:p>
        </w:tc>
        <w:tc>
          <w:tcPr>
            <w:tcW w:w="235" w:type="pct"/>
            <w:shd w:val="clear" w:color="auto" w:fill="auto"/>
            <w:noWrap/>
            <w:hideMark/>
          </w:tcPr>
          <w:p w14:paraId="75FB9EFD" w14:textId="7BE5C5C5"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0.55</w:t>
            </w:r>
          </w:p>
        </w:tc>
        <w:tc>
          <w:tcPr>
            <w:tcW w:w="235" w:type="pct"/>
            <w:shd w:val="clear" w:color="auto" w:fill="auto"/>
            <w:noWrap/>
            <w:hideMark/>
          </w:tcPr>
          <w:p w14:paraId="510F3BA8" w14:textId="77484F8D"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0.55</w:t>
            </w:r>
          </w:p>
        </w:tc>
        <w:tc>
          <w:tcPr>
            <w:tcW w:w="235" w:type="pct"/>
            <w:shd w:val="clear" w:color="auto" w:fill="auto"/>
            <w:noWrap/>
            <w:hideMark/>
          </w:tcPr>
          <w:p w14:paraId="50707DAA" w14:textId="75268BE8"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0.55</w:t>
            </w:r>
          </w:p>
        </w:tc>
        <w:tc>
          <w:tcPr>
            <w:tcW w:w="235" w:type="pct"/>
            <w:shd w:val="clear" w:color="auto" w:fill="auto"/>
            <w:noWrap/>
            <w:hideMark/>
          </w:tcPr>
          <w:p w14:paraId="0691B03D" w14:textId="13DACB93"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0.55</w:t>
            </w:r>
          </w:p>
        </w:tc>
        <w:tc>
          <w:tcPr>
            <w:tcW w:w="235" w:type="pct"/>
            <w:shd w:val="clear" w:color="auto" w:fill="auto"/>
            <w:noWrap/>
            <w:hideMark/>
          </w:tcPr>
          <w:p w14:paraId="1E22C098" w14:textId="7D5E986F"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0.55</w:t>
            </w:r>
          </w:p>
        </w:tc>
        <w:tc>
          <w:tcPr>
            <w:tcW w:w="235" w:type="pct"/>
            <w:shd w:val="clear" w:color="auto" w:fill="auto"/>
            <w:noWrap/>
            <w:hideMark/>
          </w:tcPr>
          <w:p w14:paraId="3643560B" w14:textId="0BFDD0C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0.55</w:t>
            </w:r>
          </w:p>
        </w:tc>
        <w:tc>
          <w:tcPr>
            <w:tcW w:w="235" w:type="pct"/>
            <w:shd w:val="clear" w:color="auto" w:fill="auto"/>
            <w:noWrap/>
            <w:hideMark/>
          </w:tcPr>
          <w:p w14:paraId="5048C122" w14:textId="778D1735"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0.55</w:t>
            </w:r>
          </w:p>
        </w:tc>
        <w:tc>
          <w:tcPr>
            <w:tcW w:w="235" w:type="pct"/>
            <w:shd w:val="clear" w:color="auto" w:fill="auto"/>
            <w:noWrap/>
            <w:hideMark/>
          </w:tcPr>
          <w:p w14:paraId="122606BA" w14:textId="562A8461"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0.55</w:t>
            </w:r>
          </w:p>
        </w:tc>
        <w:tc>
          <w:tcPr>
            <w:tcW w:w="235" w:type="pct"/>
            <w:shd w:val="clear" w:color="auto" w:fill="auto"/>
            <w:noWrap/>
            <w:hideMark/>
          </w:tcPr>
          <w:p w14:paraId="57DCCB16" w14:textId="25D862E3"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0.55</w:t>
            </w:r>
          </w:p>
        </w:tc>
        <w:tc>
          <w:tcPr>
            <w:tcW w:w="235" w:type="pct"/>
            <w:shd w:val="clear" w:color="auto" w:fill="auto"/>
            <w:noWrap/>
            <w:hideMark/>
          </w:tcPr>
          <w:p w14:paraId="4C67E9B3" w14:textId="1A1D274E"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0.55</w:t>
            </w:r>
          </w:p>
        </w:tc>
        <w:tc>
          <w:tcPr>
            <w:tcW w:w="272" w:type="pct"/>
            <w:shd w:val="clear" w:color="auto" w:fill="auto"/>
            <w:noWrap/>
            <w:hideMark/>
          </w:tcPr>
          <w:p w14:paraId="497D68A5" w14:textId="062EE7BB"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0.55</w:t>
            </w:r>
          </w:p>
        </w:tc>
      </w:tr>
      <w:tr w:rsidR="003F09BB" w:rsidRPr="003F09BB" w14:paraId="6D2E2F6A" w14:textId="77777777" w:rsidTr="00B055DC">
        <w:tblPrEx>
          <w:tblBorders>
            <w:bottom w:val="single" w:sz="4" w:space="0" w:color="646464"/>
            <w:insideH w:val="single" w:sz="4" w:space="0" w:color="646464"/>
          </w:tblBorders>
        </w:tblPrEx>
        <w:trPr>
          <w:gridBefore w:val="1"/>
          <w:wBefore w:w="205" w:type="pct"/>
          <w:cantSplit/>
        </w:trPr>
        <w:tc>
          <w:tcPr>
            <w:tcW w:w="1697" w:type="pct"/>
            <w:shd w:val="clear" w:color="auto" w:fill="EADDED" w:themeFill="text2" w:themeFillTint="33"/>
            <w:noWrap/>
            <w:hideMark/>
          </w:tcPr>
          <w:p w14:paraId="6CEA78F0" w14:textId="77777777" w:rsidR="003F09BB" w:rsidRPr="003F09BB" w:rsidRDefault="003F09BB" w:rsidP="003F09BB">
            <w:pPr>
              <w:pStyle w:val="Tabletext"/>
              <w:rPr>
                <w:rFonts w:cs="Calibri"/>
                <w:b/>
                <w:color w:val="000000"/>
                <w:szCs w:val="20"/>
                <w:lang w:eastAsia="en-AU"/>
              </w:rPr>
            </w:pPr>
            <w:r w:rsidRPr="003F09BB">
              <w:rPr>
                <w:rFonts w:cs="Calibri"/>
                <w:b/>
                <w:color w:val="000000"/>
                <w:szCs w:val="20"/>
                <w:lang w:eastAsia="en-AU"/>
              </w:rPr>
              <w:t>FGARA</w:t>
            </w:r>
          </w:p>
        </w:tc>
        <w:tc>
          <w:tcPr>
            <w:tcW w:w="236" w:type="pct"/>
            <w:shd w:val="clear" w:color="auto" w:fill="EADDED" w:themeFill="text2" w:themeFillTint="33"/>
            <w:noWrap/>
            <w:hideMark/>
          </w:tcPr>
          <w:p w14:paraId="7A2E82A6" w14:textId="77777777" w:rsidR="003F09BB" w:rsidRPr="003F09BB" w:rsidRDefault="003F09BB" w:rsidP="003F09BB">
            <w:pPr>
              <w:pStyle w:val="Tabletext"/>
              <w:rPr>
                <w:rFonts w:cs="Calibri"/>
                <w:color w:val="000000"/>
                <w:szCs w:val="20"/>
                <w:lang w:eastAsia="en-AU"/>
              </w:rPr>
            </w:pPr>
          </w:p>
        </w:tc>
        <w:tc>
          <w:tcPr>
            <w:tcW w:w="235" w:type="pct"/>
            <w:shd w:val="clear" w:color="auto" w:fill="EADDED" w:themeFill="text2" w:themeFillTint="33"/>
            <w:noWrap/>
            <w:hideMark/>
          </w:tcPr>
          <w:p w14:paraId="6557170F"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591C84EC"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36242FD8"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254C50B4"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7BC0DE0E"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3113C908"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5F13FAD1"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1C8A05A2"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7606EC4B"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02A3EE4A" w14:textId="77777777" w:rsidR="003F09BB" w:rsidRPr="003F09BB" w:rsidRDefault="003F09BB" w:rsidP="003F09BB">
            <w:pPr>
              <w:pStyle w:val="Tabletext"/>
              <w:rPr>
                <w:szCs w:val="20"/>
                <w:lang w:eastAsia="en-AU"/>
              </w:rPr>
            </w:pPr>
          </w:p>
        </w:tc>
        <w:tc>
          <w:tcPr>
            <w:tcW w:w="235" w:type="pct"/>
            <w:shd w:val="clear" w:color="auto" w:fill="EADDED" w:themeFill="text2" w:themeFillTint="33"/>
            <w:noWrap/>
            <w:hideMark/>
          </w:tcPr>
          <w:p w14:paraId="65F935DE" w14:textId="77777777" w:rsidR="003F09BB" w:rsidRPr="003F09BB" w:rsidRDefault="003F09BB" w:rsidP="003F09BB">
            <w:pPr>
              <w:pStyle w:val="Tabletext"/>
              <w:rPr>
                <w:szCs w:val="20"/>
                <w:lang w:eastAsia="en-AU"/>
              </w:rPr>
            </w:pPr>
          </w:p>
        </w:tc>
        <w:tc>
          <w:tcPr>
            <w:tcW w:w="272" w:type="pct"/>
            <w:shd w:val="clear" w:color="auto" w:fill="EADDED" w:themeFill="text2" w:themeFillTint="33"/>
            <w:noWrap/>
            <w:hideMark/>
          </w:tcPr>
          <w:p w14:paraId="24946D34" w14:textId="77777777" w:rsidR="003F09BB" w:rsidRPr="003F09BB" w:rsidRDefault="003F09BB" w:rsidP="003F09BB">
            <w:pPr>
              <w:pStyle w:val="Tabletext"/>
              <w:rPr>
                <w:szCs w:val="20"/>
                <w:lang w:eastAsia="en-AU"/>
              </w:rPr>
            </w:pPr>
          </w:p>
        </w:tc>
      </w:tr>
      <w:tr w:rsidR="001B7557" w:rsidRPr="003F09BB" w14:paraId="261C525F" w14:textId="77777777" w:rsidTr="00B055DC">
        <w:tblPrEx>
          <w:tblBorders>
            <w:bottom w:val="single" w:sz="4" w:space="0" w:color="646464"/>
            <w:insideH w:val="single" w:sz="4" w:space="0" w:color="646464"/>
          </w:tblBorders>
        </w:tblPrEx>
        <w:trPr>
          <w:gridBefore w:val="1"/>
          <w:wBefore w:w="205" w:type="pct"/>
          <w:cantSplit/>
        </w:trPr>
        <w:tc>
          <w:tcPr>
            <w:tcW w:w="1697" w:type="pct"/>
            <w:shd w:val="clear" w:color="auto" w:fill="auto"/>
            <w:noWrap/>
            <w:hideMark/>
          </w:tcPr>
          <w:p w14:paraId="651DF27D"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Tenders received from extra water allocations auctioned for Gulf catchments</w:t>
            </w:r>
          </w:p>
        </w:tc>
        <w:tc>
          <w:tcPr>
            <w:tcW w:w="236" w:type="pct"/>
            <w:shd w:val="clear" w:color="auto" w:fill="auto"/>
            <w:noWrap/>
            <w:hideMark/>
          </w:tcPr>
          <w:p w14:paraId="48EC9654" w14:textId="624BAE2E" w:rsidR="001B7557" w:rsidRPr="003F09BB" w:rsidRDefault="001B7557" w:rsidP="00B055DC">
            <w:pPr>
              <w:pStyle w:val="Tabletext"/>
              <w:rPr>
                <w:rFonts w:cs="Calibri"/>
                <w:color w:val="000000"/>
                <w:szCs w:val="20"/>
                <w:lang w:eastAsia="en-AU"/>
              </w:rPr>
            </w:pPr>
            <w:r w:rsidRPr="003F09BB">
              <w:rPr>
                <w:rFonts w:cs="Calibri"/>
                <w:color w:val="000000"/>
                <w:szCs w:val="20"/>
                <w:lang w:eastAsia="en-AU"/>
              </w:rPr>
              <w:t>0</w:t>
            </w:r>
          </w:p>
        </w:tc>
        <w:tc>
          <w:tcPr>
            <w:tcW w:w="235" w:type="pct"/>
            <w:shd w:val="clear" w:color="auto" w:fill="auto"/>
            <w:noWrap/>
            <w:hideMark/>
          </w:tcPr>
          <w:p w14:paraId="374FE417" w14:textId="617B2908" w:rsidR="001B7557" w:rsidRPr="003F09BB" w:rsidRDefault="001B7557" w:rsidP="00B055DC">
            <w:pPr>
              <w:pStyle w:val="Tabletext"/>
              <w:rPr>
                <w:rFonts w:cs="Calibri"/>
                <w:color w:val="000000"/>
                <w:szCs w:val="20"/>
                <w:lang w:eastAsia="en-AU"/>
              </w:rPr>
            </w:pPr>
            <w:r w:rsidRPr="003F09BB">
              <w:rPr>
                <w:rFonts w:cs="Calibri"/>
                <w:color w:val="000000"/>
                <w:szCs w:val="20"/>
                <w:lang w:eastAsia="en-AU"/>
              </w:rPr>
              <w:t>0</w:t>
            </w:r>
          </w:p>
        </w:tc>
        <w:tc>
          <w:tcPr>
            <w:tcW w:w="235" w:type="pct"/>
            <w:shd w:val="clear" w:color="auto" w:fill="auto"/>
            <w:noWrap/>
            <w:hideMark/>
          </w:tcPr>
          <w:p w14:paraId="0EEE1C74" w14:textId="3516DEE1" w:rsidR="001B7557" w:rsidRPr="003F09BB" w:rsidRDefault="001B7557" w:rsidP="00B055DC">
            <w:pPr>
              <w:pStyle w:val="Tabletext"/>
              <w:rPr>
                <w:rFonts w:cs="Calibri"/>
                <w:color w:val="000000"/>
                <w:szCs w:val="20"/>
                <w:lang w:eastAsia="en-AU"/>
              </w:rPr>
            </w:pPr>
            <w:r w:rsidRPr="003F09BB">
              <w:rPr>
                <w:rFonts w:cs="Calibri"/>
                <w:color w:val="000000"/>
                <w:szCs w:val="20"/>
                <w:lang w:eastAsia="en-AU"/>
              </w:rPr>
              <w:t>1</w:t>
            </w:r>
            <w:r>
              <w:rPr>
                <w:rFonts w:cs="Calibri"/>
                <w:color w:val="000000"/>
                <w:szCs w:val="20"/>
                <w:lang w:eastAsia="en-AU"/>
              </w:rPr>
              <w:t>0</w:t>
            </w:r>
          </w:p>
        </w:tc>
        <w:tc>
          <w:tcPr>
            <w:tcW w:w="235" w:type="pct"/>
            <w:shd w:val="clear" w:color="auto" w:fill="auto"/>
            <w:noWrap/>
            <w:hideMark/>
          </w:tcPr>
          <w:p w14:paraId="5FC6364D"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p>
        </w:tc>
        <w:tc>
          <w:tcPr>
            <w:tcW w:w="235" w:type="pct"/>
            <w:shd w:val="clear" w:color="auto" w:fill="auto"/>
            <w:noWrap/>
            <w:hideMark/>
          </w:tcPr>
          <w:p w14:paraId="521E0F99"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p>
        </w:tc>
        <w:tc>
          <w:tcPr>
            <w:tcW w:w="235" w:type="pct"/>
            <w:shd w:val="clear" w:color="auto" w:fill="auto"/>
            <w:noWrap/>
            <w:hideMark/>
          </w:tcPr>
          <w:p w14:paraId="66494270"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p>
        </w:tc>
        <w:tc>
          <w:tcPr>
            <w:tcW w:w="235" w:type="pct"/>
            <w:shd w:val="clear" w:color="auto" w:fill="auto"/>
            <w:noWrap/>
            <w:hideMark/>
          </w:tcPr>
          <w:p w14:paraId="2386A512"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p>
        </w:tc>
        <w:tc>
          <w:tcPr>
            <w:tcW w:w="235" w:type="pct"/>
            <w:shd w:val="clear" w:color="auto" w:fill="auto"/>
            <w:noWrap/>
            <w:hideMark/>
          </w:tcPr>
          <w:p w14:paraId="7F7769F8"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p>
        </w:tc>
        <w:tc>
          <w:tcPr>
            <w:tcW w:w="235" w:type="pct"/>
            <w:shd w:val="clear" w:color="auto" w:fill="auto"/>
            <w:noWrap/>
            <w:hideMark/>
          </w:tcPr>
          <w:p w14:paraId="23294568"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p>
        </w:tc>
        <w:tc>
          <w:tcPr>
            <w:tcW w:w="235" w:type="pct"/>
            <w:shd w:val="clear" w:color="auto" w:fill="auto"/>
            <w:noWrap/>
            <w:hideMark/>
          </w:tcPr>
          <w:p w14:paraId="0158796E"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p>
        </w:tc>
        <w:tc>
          <w:tcPr>
            <w:tcW w:w="235" w:type="pct"/>
            <w:shd w:val="clear" w:color="auto" w:fill="auto"/>
            <w:noWrap/>
            <w:hideMark/>
          </w:tcPr>
          <w:p w14:paraId="3A3731D9"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p>
        </w:tc>
        <w:tc>
          <w:tcPr>
            <w:tcW w:w="235" w:type="pct"/>
            <w:shd w:val="clear" w:color="auto" w:fill="auto"/>
            <w:noWrap/>
            <w:hideMark/>
          </w:tcPr>
          <w:p w14:paraId="72803735"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p>
        </w:tc>
        <w:tc>
          <w:tcPr>
            <w:tcW w:w="272" w:type="pct"/>
            <w:shd w:val="clear" w:color="auto" w:fill="auto"/>
            <w:noWrap/>
            <w:hideMark/>
          </w:tcPr>
          <w:p w14:paraId="3BD2EEB4" w14:textId="77777777" w:rsidR="001B7557" w:rsidRPr="003F09BB" w:rsidRDefault="001B7557" w:rsidP="001B7557">
            <w:pPr>
              <w:pStyle w:val="Tabletext"/>
              <w:rPr>
                <w:rFonts w:cs="Calibri"/>
                <w:color w:val="000000"/>
                <w:szCs w:val="20"/>
                <w:lang w:eastAsia="en-AU"/>
              </w:rPr>
            </w:pPr>
            <w:r w:rsidRPr="003F09BB">
              <w:rPr>
                <w:rFonts w:cs="Calibri"/>
                <w:color w:val="000000"/>
                <w:szCs w:val="20"/>
                <w:lang w:eastAsia="en-AU"/>
              </w:rPr>
              <w:t>0</w:t>
            </w:r>
          </w:p>
        </w:tc>
      </w:tr>
      <w:tr w:rsidR="001B7557" w:rsidRPr="003F09BB" w14:paraId="05B401E5" w14:textId="77777777" w:rsidTr="00B055DC">
        <w:tblPrEx>
          <w:tblBorders>
            <w:bottom w:val="single" w:sz="4" w:space="0" w:color="646464"/>
            <w:insideH w:val="single" w:sz="4" w:space="0" w:color="646464"/>
          </w:tblBorders>
        </w:tblPrEx>
        <w:trPr>
          <w:gridBefore w:val="1"/>
          <w:wBefore w:w="205" w:type="pct"/>
          <w:cantSplit/>
        </w:trPr>
        <w:tc>
          <w:tcPr>
            <w:tcW w:w="1697" w:type="pct"/>
            <w:shd w:val="clear" w:color="auto" w:fill="auto"/>
            <w:noWrap/>
          </w:tcPr>
          <w:p w14:paraId="65EEA7DF" w14:textId="0A45B8D5" w:rsidR="001B7557" w:rsidRPr="00A35FBB" w:rsidRDefault="001B7557" w:rsidP="001B7557">
            <w:pPr>
              <w:pStyle w:val="Tabletext"/>
              <w:rPr>
                <w:rFonts w:cs="Calibri"/>
                <w:b/>
                <w:color w:val="000000"/>
                <w:szCs w:val="20"/>
                <w:lang w:eastAsia="en-AU"/>
              </w:rPr>
            </w:pPr>
            <w:r w:rsidRPr="00A35FBB">
              <w:rPr>
                <w:rFonts w:cs="Calibri"/>
                <w:b/>
                <w:color w:val="000000"/>
                <w:szCs w:val="20"/>
                <w:lang w:eastAsia="en-AU"/>
              </w:rPr>
              <w:t>Total benefits</w:t>
            </w:r>
          </w:p>
        </w:tc>
        <w:tc>
          <w:tcPr>
            <w:tcW w:w="236" w:type="pct"/>
            <w:shd w:val="clear" w:color="auto" w:fill="auto"/>
            <w:noWrap/>
          </w:tcPr>
          <w:p w14:paraId="0FAB098E" w14:textId="0C8EF6E9"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0.07</w:t>
            </w:r>
          </w:p>
        </w:tc>
        <w:tc>
          <w:tcPr>
            <w:tcW w:w="235" w:type="pct"/>
            <w:shd w:val="clear" w:color="auto" w:fill="auto"/>
            <w:noWrap/>
          </w:tcPr>
          <w:p w14:paraId="2F9A4382" w14:textId="0F778CD6"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0.40</w:t>
            </w:r>
          </w:p>
        </w:tc>
        <w:tc>
          <w:tcPr>
            <w:tcW w:w="235" w:type="pct"/>
            <w:shd w:val="clear" w:color="auto" w:fill="auto"/>
            <w:noWrap/>
          </w:tcPr>
          <w:p w14:paraId="4C1CB189" w14:textId="205E977D"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18.25</w:t>
            </w:r>
          </w:p>
        </w:tc>
        <w:tc>
          <w:tcPr>
            <w:tcW w:w="235" w:type="pct"/>
            <w:shd w:val="clear" w:color="auto" w:fill="auto"/>
            <w:noWrap/>
          </w:tcPr>
          <w:p w14:paraId="03D3B069" w14:textId="1D282C99"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8.65</w:t>
            </w:r>
          </w:p>
        </w:tc>
        <w:tc>
          <w:tcPr>
            <w:tcW w:w="235" w:type="pct"/>
            <w:shd w:val="clear" w:color="auto" w:fill="auto"/>
            <w:noWrap/>
          </w:tcPr>
          <w:p w14:paraId="6B23653D" w14:textId="405E6C8D"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8.95</w:t>
            </w:r>
          </w:p>
        </w:tc>
        <w:tc>
          <w:tcPr>
            <w:tcW w:w="235" w:type="pct"/>
            <w:shd w:val="clear" w:color="auto" w:fill="auto"/>
            <w:noWrap/>
          </w:tcPr>
          <w:p w14:paraId="47EFBEBC" w14:textId="1D84F0E4"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9.25</w:t>
            </w:r>
          </w:p>
        </w:tc>
        <w:tc>
          <w:tcPr>
            <w:tcW w:w="235" w:type="pct"/>
            <w:shd w:val="clear" w:color="auto" w:fill="auto"/>
            <w:noWrap/>
          </w:tcPr>
          <w:p w14:paraId="53750996" w14:textId="5E2983C2"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9.55</w:t>
            </w:r>
          </w:p>
        </w:tc>
        <w:tc>
          <w:tcPr>
            <w:tcW w:w="235" w:type="pct"/>
            <w:shd w:val="clear" w:color="auto" w:fill="auto"/>
            <w:noWrap/>
          </w:tcPr>
          <w:p w14:paraId="4BFDB0C9" w14:textId="37E9F72C"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9.85</w:t>
            </w:r>
          </w:p>
        </w:tc>
        <w:tc>
          <w:tcPr>
            <w:tcW w:w="235" w:type="pct"/>
            <w:shd w:val="clear" w:color="auto" w:fill="auto"/>
            <w:noWrap/>
          </w:tcPr>
          <w:p w14:paraId="5E73DB12" w14:textId="586A7279"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10.15</w:t>
            </w:r>
          </w:p>
        </w:tc>
        <w:tc>
          <w:tcPr>
            <w:tcW w:w="235" w:type="pct"/>
            <w:shd w:val="clear" w:color="auto" w:fill="auto"/>
            <w:noWrap/>
          </w:tcPr>
          <w:p w14:paraId="1DA82964" w14:textId="232F20C5"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10.45</w:t>
            </w:r>
          </w:p>
        </w:tc>
        <w:tc>
          <w:tcPr>
            <w:tcW w:w="235" w:type="pct"/>
            <w:shd w:val="clear" w:color="auto" w:fill="auto"/>
            <w:noWrap/>
          </w:tcPr>
          <w:p w14:paraId="5748B1BA" w14:textId="56F3F762"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10.75</w:t>
            </w:r>
          </w:p>
        </w:tc>
        <w:tc>
          <w:tcPr>
            <w:tcW w:w="235" w:type="pct"/>
            <w:shd w:val="clear" w:color="auto" w:fill="auto"/>
            <w:noWrap/>
          </w:tcPr>
          <w:p w14:paraId="1AD70297" w14:textId="4F0ABAA3"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11.05</w:t>
            </w:r>
          </w:p>
        </w:tc>
        <w:tc>
          <w:tcPr>
            <w:tcW w:w="272" w:type="pct"/>
            <w:shd w:val="clear" w:color="auto" w:fill="auto"/>
            <w:noWrap/>
          </w:tcPr>
          <w:p w14:paraId="458B2269" w14:textId="7A00EC89" w:rsidR="001B7557" w:rsidRPr="00A35FBB" w:rsidRDefault="00E445DD" w:rsidP="001B7557">
            <w:pPr>
              <w:pStyle w:val="Tabletext"/>
              <w:rPr>
                <w:rFonts w:cs="Calibri"/>
                <w:b/>
                <w:color w:val="000000"/>
                <w:sz w:val="18"/>
                <w:szCs w:val="18"/>
                <w:lang w:eastAsia="en-AU"/>
              </w:rPr>
            </w:pPr>
            <w:r w:rsidRPr="00A35FBB">
              <w:rPr>
                <w:rFonts w:cs="Calibri"/>
                <w:b/>
                <w:color w:val="000000"/>
                <w:sz w:val="18"/>
                <w:szCs w:val="18"/>
                <w:lang w:eastAsia="en-AU"/>
              </w:rPr>
              <w:t>11.35</w:t>
            </w:r>
          </w:p>
        </w:tc>
      </w:tr>
      <w:tr w:rsidR="003F09BB" w:rsidRPr="003F09BB" w14:paraId="7AC86C4F" w14:textId="77777777" w:rsidTr="00B055DC">
        <w:tblPrEx>
          <w:tblBorders>
            <w:bottom w:val="single" w:sz="4" w:space="0" w:color="646464"/>
            <w:insideH w:val="single" w:sz="4" w:space="0" w:color="646464"/>
          </w:tblBorders>
        </w:tblPrEx>
        <w:trPr>
          <w:gridBefore w:val="1"/>
          <w:wBefore w:w="205" w:type="pct"/>
          <w:cantSplit/>
        </w:trPr>
        <w:tc>
          <w:tcPr>
            <w:tcW w:w="4795" w:type="pct"/>
            <w:gridSpan w:val="14"/>
            <w:tcBorders>
              <w:bottom w:val="single" w:sz="4" w:space="0" w:color="646464"/>
            </w:tcBorders>
            <w:shd w:val="clear" w:color="auto" w:fill="auto"/>
            <w:noWrap/>
          </w:tcPr>
          <w:p w14:paraId="50C6EEEA" w14:textId="3B3C46B0" w:rsidR="003F09BB" w:rsidRPr="003F09BB" w:rsidRDefault="003F09BB" w:rsidP="003F09BB">
            <w:pPr>
              <w:pStyle w:val="Source"/>
              <w:rPr>
                <w:lang w:eastAsia="en-AU"/>
              </w:rPr>
            </w:pPr>
            <w:r>
              <w:t>Source:</w:t>
            </w:r>
            <w:r w:rsidRPr="003F09BB">
              <w:rPr>
                <w:lang w:eastAsia="en-AU"/>
              </w:rPr>
              <w:t xml:space="preserve"> </w:t>
            </w:r>
            <w:r>
              <w:rPr>
                <w:lang w:eastAsia="en-AU"/>
              </w:rPr>
              <w:t>ACIL Allen Consulting analysis</w:t>
            </w:r>
          </w:p>
        </w:tc>
      </w:tr>
      <w:tr w:rsidR="003F09BB" w:rsidRPr="003F09BB" w14:paraId="4F13734B" w14:textId="77777777" w:rsidTr="00B055DC">
        <w:tblPrEx>
          <w:tblBorders>
            <w:bottom w:val="single" w:sz="4" w:space="0" w:color="646464"/>
            <w:insideH w:val="single" w:sz="4" w:space="0" w:color="646464"/>
          </w:tblBorders>
        </w:tblPrEx>
        <w:trPr>
          <w:gridBefore w:val="1"/>
          <w:wBefore w:w="205" w:type="pct"/>
          <w:cantSplit/>
          <w:trHeight w:hRule="exact" w:val="120"/>
        </w:trPr>
        <w:tc>
          <w:tcPr>
            <w:tcW w:w="4795" w:type="pct"/>
            <w:gridSpan w:val="14"/>
            <w:tcBorders>
              <w:top w:val="single" w:sz="4" w:space="0" w:color="646464"/>
              <w:bottom w:val="nil"/>
            </w:tcBorders>
            <w:shd w:val="clear" w:color="auto" w:fill="auto"/>
            <w:noWrap/>
          </w:tcPr>
          <w:p w14:paraId="4D86FFE3" w14:textId="77777777" w:rsidR="003F09BB" w:rsidRPr="003F09BB" w:rsidRDefault="003F09BB" w:rsidP="003F09BB">
            <w:pPr>
              <w:pStyle w:val="spacertbl"/>
              <w:rPr>
                <w:lang w:eastAsia="en-AU"/>
              </w:rPr>
            </w:pPr>
          </w:p>
        </w:tc>
      </w:tr>
    </w:tbl>
    <w:p w14:paraId="370FFECE" w14:textId="77777777" w:rsidR="00881873" w:rsidRDefault="00881873" w:rsidP="003F09BB">
      <w:pPr>
        <w:pStyle w:val="BodyText"/>
      </w:pPr>
    </w:p>
    <w:p w14:paraId="030E5DE0" w14:textId="122BEE36" w:rsidR="003F09BB" w:rsidRDefault="003F09BB" w:rsidP="003F09BB">
      <w:pPr>
        <w:pStyle w:val="BodyText"/>
      </w:pPr>
      <w:r>
        <w:t xml:space="preserve">The annual project benefits are also shown in </w:t>
      </w:r>
      <w:r>
        <w:fldChar w:fldCharType="begin"/>
      </w:r>
      <w:r>
        <w:instrText xml:space="preserve"> REF _Ref496800982 \h </w:instrText>
      </w:r>
      <w:r>
        <w:fldChar w:fldCharType="separate"/>
      </w:r>
      <w:r w:rsidRPr="00897E60">
        <w:rPr>
          <w:rStyle w:val="CaptionLabel"/>
        </w:rPr>
        <w:t>Figure</w:t>
      </w:r>
      <w:r>
        <w:rPr>
          <w:rStyle w:val="CaptionLabel"/>
        </w:rPr>
        <w:t> </w:t>
      </w:r>
      <w:r>
        <w:rPr>
          <w:rStyle w:val="CaptionLabel"/>
          <w:noProof/>
        </w:rPr>
        <w:t>1</w:t>
      </w:r>
      <w:r w:rsidRPr="00897E60">
        <w:rPr>
          <w:rStyle w:val="CaptionLabel"/>
        </w:rPr>
        <w:t>.</w:t>
      </w:r>
      <w:r>
        <w:rPr>
          <w:rStyle w:val="CaptionLabel"/>
          <w:noProof/>
        </w:rPr>
        <w:t>3</w:t>
      </w:r>
      <w:r>
        <w:fldChar w:fldCharType="end"/>
      </w:r>
      <w:r>
        <w:t>.</w:t>
      </w:r>
    </w:p>
    <w:tbl>
      <w:tblPr>
        <w:tblStyle w:val="TableGrid"/>
        <w:tblW w:w="105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g_std"/>
      </w:tblPr>
      <w:tblGrid>
        <w:gridCol w:w="10508"/>
      </w:tblGrid>
      <w:tr w:rsidR="003F09BB" w:rsidRPr="00AA4DEE" w14:paraId="0CFD82D2" w14:textId="77777777" w:rsidTr="003F09BB">
        <w:trPr>
          <w:cantSplit/>
          <w:trHeight w:hRule="exact" w:val="160"/>
        </w:trPr>
        <w:tc>
          <w:tcPr>
            <w:tcW w:w="10508" w:type="dxa"/>
            <w:tcBorders>
              <w:bottom w:val="single" w:sz="4" w:space="0" w:color="auto"/>
            </w:tcBorders>
            <w:shd w:val="clear" w:color="auto" w:fill="auto"/>
          </w:tcPr>
          <w:p w14:paraId="560EB333" w14:textId="77777777" w:rsidR="003F09BB" w:rsidRPr="00AA4DEE" w:rsidRDefault="003F09BB" w:rsidP="003F09BB">
            <w:pPr>
              <w:pStyle w:val="spacer"/>
            </w:pPr>
            <w:bookmarkStart w:id="6" w:name="_GoBack" w:colFirst="0" w:colLast="1"/>
          </w:p>
        </w:tc>
      </w:tr>
      <w:tr w:rsidR="003F09BB" w:rsidRPr="00897E60" w14:paraId="66209965" w14:textId="77777777" w:rsidTr="003F09BB">
        <w:trPr>
          <w:cantSplit/>
        </w:trPr>
        <w:tc>
          <w:tcPr>
            <w:tcW w:w="10508" w:type="dxa"/>
            <w:tcBorders>
              <w:top w:val="single" w:sz="4" w:space="0" w:color="auto"/>
            </w:tcBorders>
            <w:shd w:val="clear" w:color="auto" w:fill="auto"/>
            <w:tcMar>
              <w:left w:w="0" w:type="dxa"/>
            </w:tcMar>
          </w:tcPr>
          <w:p w14:paraId="74907D37" w14:textId="21D0D6E0" w:rsidR="003F09BB" w:rsidRPr="00897E60" w:rsidRDefault="003F09BB" w:rsidP="003F09BB">
            <w:pPr>
              <w:pStyle w:val="Caption"/>
            </w:pPr>
            <w:bookmarkStart w:id="7" w:name="_Ref496800982"/>
            <w:bookmarkStart w:id="8" w:name="_Toc409004814"/>
            <w:bookmarkEnd w:id="6"/>
            <w:r w:rsidRPr="00897E60">
              <w:rPr>
                <w:rStyle w:val="CaptionLabel"/>
              </w:rPr>
              <w:t>Figure</w:t>
            </w:r>
            <w:r>
              <w:rPr>
                <w:rStyle w:val="CaptionLabel"/>
              </w:rPr>
              <w:t> </w:t>
            </w:r>
            <w:r w:rsidRPr="00897E60">
              <w:rPr>
                <w:rStyle w:val="CaptionLabel"/>
              </w:rPr>
              <w:fldChar w:fldCharType="begin"/>
            </w:r>
            <w:r w:rsidRPr="00897E60">
              <w:rPr>
                <w:rStyle w:val="CaptionLabel"/>
              </w:rPr>
              <w:instrText xml:space="preserve"> STYLEREF 1 \s </w:instrText>
            </w:r>
            <w:r w:rsidRPr="00897E60">
              <w:rPr>
                <w:rStyle w:val="CaptionLabel"/>
              </w:rPr>
              <w:fldChar w:fldCharType="separate"/>
            </w:r>
            <w:r>
              <w:rPr>
                <w:rStyle w:val="CaptionLabel"/>
                <w:noProof/>
              </w:rPr>
              <w:t>1</w:t>
            </w:r>
            <w:r w:rsidRPr="00897E60">
              <w:rPr>
                <w:rStyle w:val="CaptionLabel"/>
              </w:rPr>
              <w:fldChar w:fldCharType="end"/>
            </w:r>
            <w:r w:rsidRPr="00897E60">
              <w:rPr>
                <w:rStyle w:val="CaptionLabel"/>
              </w:rPr>
              <w:t>.</w:t>
            </w:r>
            <w:r w:rsidRPr="00897E60">
              <w:rPr>
                <w:rStyle w:val="CaptionLabel"/>
              </w:rPr>
              <w:fldChar w:fldCharType="begin"/>
            </w:r>
            <w:r w:rsidRPr="00897E60">
              <w:rPr>
                <w:rStyle w:val="CaptionLabel"/>
              </w:rPr>
              <w:instrText xml:space="preserve"> SEQ Figure \* ARABIC \S 1 </w:instrText>
            </w:r>
            <w:r w:rsidRPr="00897E60">
              <w:rPr>
                <w:rStyle w:val="CaptionLabel"/>
              </w:rPr>
              <w:fldChar w:fldCharType="separate"/>
            </w:r>
            <w:r>
              <w:rPr>
                <w:rStyle w:val="CaptionLabel"/>
                <w:noProof/>
              </w:rPr>
              <w:t>3</w:t>
            </w:r>
            <w:r w:rsidRPr="00897E60">
              <w:rPr>
                <w:rStyle w:val="CaptionLabel"/>
              </w:rPr>
              <w:fldChar w:fldCharType="end"/>
            </w:r>
            <w:bookmarkEnd w:id="7"/>
            <w:r>
              <w:tab/>
            </w:r>
            <w:r>
              <w:rPr>
                <w:lang w:eastAsia="en-AU"/>
              </w:rPr>
              <w:t>Program benefits, 2014/15 to 2026/27 ($M)</w:t>
            </w:r>
            <w:bookmarkEnd w:id="8"/>
          </w:p>
        </w:tc>
      </w:tr>
      <w:tr w:rsidR="003F09BB" w:rsidRPr="00AA4DEE" w14:paraId="055D47C5" w14:textId="77777777" w:rsidTr="003F09BB">
        <w:trPr>
          <w:cantSplit/>
          <w:trHeight w:hRule="exact" w:val="380"/>
        </w:trPr>
        <w:tc>
          <w:tcPr>
            <w:tcW w:w="10508" w:type="dxa"/>
            <w:tcBorders>
              <w:bottom w:val="single" w:sz="4" w:space="0" w:color="auto"/>
            </w:tcBorders>
            <w:shd w:val="clear" w:color="auto" w:fill="auto"/>
          </w:tcPr>
          <w:p w14:paraId="0BA99F9F" w14:textId="77777777" w:rsidR="003F09BB" w:rsidRPr="00AA4DEE" w:rsidRDefault="003F09BB" w:rsidP="003F09BB">
            <w:pPr>
              <w:pStyle w:val="spacer"/>
            </w:pPr>
            <w:r w:rsidRPr="00AA4DEE">
              <w:rPr>
                <w:noProof/>
                <w:lang w:eastAsia="en-AU"/>
              </w:rPr>
              <mc:AlternateContent>
                <mc:Choice Requires="wps">
                  <w:drawing>
                    <wp:anchor distT="0" distB="0" distL="114300" distR="114300" simplePos="0" relativeHeight="251671552" behindDoc="0" locked="1" layoutInCell="1" allowOverlap="1" wp14:anchorId="565D51DF" wp14:editId="551AB8BE">
                      <wp:simplePos x="0" y="0"/>
                      <wp:positionH relativeFrom="rightMargin">
                        <wp:posOffset>-772795</wp:posOffset>
                      </wp:positionH>
                      <wp:positionV relativeFrom="page">
                        <wp:posOffset>0</wp:posOffset>
                      </wp:positionV>
                      <wp:extent cx="436880" cy="213360"/>
                      <wp:effectExtent l="0" t="0" r="1270" b="0"/>
                      <wp:wrapNone/>
                      <wp:docPr id="55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6880" cy="213360"/>
                              </a:xfrm>
                              <a:custGeom>
                                <a:avLst/>
                                <a:gdLst>
                                  <a:gd name="T0" fmla="*/ 822 w 1686"/>
                                  <a:gd name="T1" fmla="*/ 0 h 828"/>
                                  <a:gd name="T2" fmla="*/ 822 w 1686"/>
                                  <a:gd name="T3" fmla="*/ 828 h 828"/>
                                  <a:gd name="T4" fmla="*/ 0 w 1686"/>
                                  <a:gd name="T5" fmla="*/ 828 h 828"/>
                                  <a:gd name="T6" fmla="*/ 822 w 1686"/>
                                  <a:gd name="T7" fmla="*/ 0 h 828"/>
                                  <a:gd name="T8" fmla="*/ 863 w 1686"/>
                                  <a:gd name="T9" fmla="*/ 828 h 828"/>
                                  <a:gd name="T10" fmla="*/ 1686 w 1686"/>
                                  <a:gd name="T11" fmla="*/ 828 h 828"/>
                                  <a:gd name="T12" fmla="*/ 1686 w 1686"/>
                                  <a:gd name="T13" fmla="*/ 0 h 828"/>
                                  <a:gd name="T14" fmla="*/ 863 w 1686"/>
                                  <a:gd name="T15" fmla="*/ 828 h 8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6" h="828">
                                    <a:moveTo>
                                      <a:pt x="822" y="0"/>
                                    </a:moveTo>
                                    <a:lnTo>
                                      <a:pt x="822" y="828"/>
                                    </a:lnTo>
                                    <a:lnTo>
                                      <a:pt x="0" y="828"/>
                                    </a:lnTo>
                                    <a:lnTo>
                                      <a:pt x="822" y="0"/>
                                    </a:lnTo>
                                    <a:close/>
                                    <a:moveTo>
                                      <a:pt x="863" y="828"/>
                                    </a:moveTo>
                                    <a:lnTo>
                                      <a:pt x="1686" y="828"/>
                                    </a:lnTo>
                                    <a:lnTo>
                                      <a:pt x="1686" y="0"/>
                                    </a:lnTo>
                                    <a:lnTo>
                                      <a:pt x="863" y="828"/>
                                    </a:lnTo>
                                    <a:close/>
                                  </a:path>
                                </a:pathLst>
                              </a:custGeom>
                              <a:solidFill>
                                <a:srgbClr val="9D57A6"/>
                              </a:solidFill>
                              <a:ln>
                                <a:noFill/>
                              </a:ln>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6092741" id="Freeform 5" o:spid="_x0000_s1026" style="position:absolute;margin-left:-60.85pt;margin-top:0;width:34.4pt;height:16.8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coordsize="168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" path="m822,r,828l,828,822,xm863,828r823,l1686,,863,828xe" fillcolor="#9d57a6" stroked="f">
                      <v:path arrowok="t" o:connecttype="custom" o:connectlocs="212998,0;212998,213360;0,213360;212998,0;223622,213360;436880,213360;436880,0;223622,213360" o:connectangles="0,0,0,0,0,0,0,0"/>
                      <o:lock v:ext="edit" aspectratio="t" verticies="t"/>
                      <w10:wrap anchorx="margin" anchory="page"/>
                      <w10:anchorlock/>
                    </v:shape>
                  </w:pict>
                </mc:Fallback>
              </mc:AlternateContent>
            </w:r>
          </w:p>
        </w:tc>
      </w:tr>
      <w:tr w:rsidR="003F09BB" w:rsidRPr="00AA4DEE" w14:paraId="49523960" w14:textId="77777777" w:rsidTr="003F09BB">
        <w:trPr>
          <w:cantSplit/>
        </w:trPr>
        <w:tc>
          <w:tcPr>
            <w:tcW w:w="10508" w:type="dxa"/>
            <w:tcBorders>
              <w:top w:val="single" w:sz="4" w:space="0" w:color="auto"/>
              <w:bottom w:val="single" w:sz="4" w:space="0" w:color="auto"/>
            </w:tcBorders>
            <w:shd w:val="clear" w:color="auto" w:fill="auto"/>
            <w:tcMar>
              <w:top w:w="10" w:type="dxa"/>
              <w:bottom w:w="10" w:type="dxa"/>
              <w:right w:w="0" w:type="dxa"/>
            </w:tcMar>
          </w:tcPr>
          <w:p w14:paraId="6696FC19" w14:textId="696227F3" w:rsidR="003F09BB" w:rsidRPr="00AA4DEE" w:rsidRDefault="00E445DD" w:rsidP="003F09BB">
            <w:pPr>
              <w:pStyle w:val="Figure"/>
            </w:pPr>
            <w:r>
              <w:rPr>
                <w:noProof/>
                <w:lang w:eastAsia="en-AU"/>
              </w:rPr>
              <w:drawing>
                <wp:inline distT="0" distB="0" distL="0" distR="0" wp14:anchorId="75A37209" wp14:editId="1004C491">
                  <wp:extent cx="4572000" cy="2743200"/>
                  <wp:effectExtent l="0" t="0" r="0" b="0"/>
                  <wp:docPr id="16" name="Chart 16" title="FIGURE 1.3 PROGRAM BENEFITS, 2014/15 TO 2026/27 ($M)"/>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F09BB" w:rsidRPr="00AA4DEE" w14:paraId="4E4AD2D9" w14:textId="77777777" w:rsidTr="003F09BB">
        <w:trPr>
          <w:cantSplit/>
        </w:trPr>
        <w:tc>
          <w:tcPr>
            <w:tcW w:w="10508" w:type="dxa"/>
            <w:tcBorders>
              <w:top w:val="single" w:sz="4" w:space="0" w:color="auto"/>
              <w:bottom w:val="single" w:sz="4" w:space="0" w:color="auto"/>
            </w:tcBorders>
            <w:shd w:val="clear" w:color="auto" w:fill="auto"/>
            <w:tcMar>
              <w:top w:w="12" w:type="dxa"/>
              <w:left w:w="0" w:type="dxa"/>
              <w:bottom w:w="113" w:type="dxa"/>
            </w:tcMar>
          </w:tcPr>
          <w:p w14:paraId="7485DBB6" w14:textId="42230291" w:rsidR="003F09BB" w:rsidRPr="00AA4DEE" w:rsidRDefault="003F09BB" w:rsidP="003F09BB">
            <w:pPr>
              <w:pStyle w:val="Source"/>
            </w:pPr>
            <w:r w:rsidRPr="00AA4DEE">
              <w:t xml:space="preserve">Source: </w:t>
            </w:r>
            <w:r w:rsidR="001919FF">
              <w:t>ACIL Allen COnsulting</w:t>
            </w:r>
          </w:p>
        </w:tc>
      </w:tr>
      <w:tr w:rsidR="003F09BB" w14:paraId="1933AD9C" w14:textId="77777777" w:rsidTr="003F09BB">
        <w:trPr>
          <w:trHeight w:hRule="exact" w:val="160"/>
        </w:trPr>
        <w:tc>
          <w:tcPr>
            <w:tcW w:w="10508" w:type="dxa"/>
            <w:tcBorders>
              <w:top w:val="single" w:sz="4" w:space="0" w:color="auto"/>
            </w:tcBorders>
            <w:shd w:val="clear" w:color="auto" w:fill="auto"/>
          </w:tcPr>
          <w:p w14:paraId="2787A0E1" w14:textId="77777777" w:rsidR="003F09BB" w:rsidRDefault="003F09BB" w:rsidP="003F09BB">
            <w:pPr>
              <w:pStyle w:val="spacertbl"/>
            </w:pPr>
          </w:p>
        </w:tc>
      </w:tr>
    </w:tbl>
    <w:p w14:paraId="6E97F34A" w14:textId="3793B8A5" w:rsidR="003F09BB" w:rsidRDefault="001919FF" w:rsidP="003F09BB">
      <w:pPr>
        <w:pStyle w:val="BodyText"/>
      </w:pPr>
      <w:r>
        <w:t xml:space="preserve">The present value of </w:t>
      </w:r>
      <w:r w:rsidR="00B055DC">
        <w:t xml:space="preserve">the two </w:t>
      </w:r>
      <w:r w:rsidR="002D1C02">
        <w:t xml:space="preserve">projects’ </w:t>
      </w:r>
      <w:r w:rsidR="00B055DC">
        <w:t xml:space="preserve">estimated </w:t>
      </w:r>
      <w:r>
        <w:t xml:space="preserve">benefits is </w:t>
      </w:r>
      <w:r w:rsidR="00B055DC">
        <w:t>calculated to be</w:t>
      </w:r>
      <w:r>
        <w:t xml:space="preserve"> </w:t>
      </w:r>
      <w:r w:rsidR="00B055DC">
        <w:t xml:space="preserve">just under </w:t>
      </w:r>
      <w:r w:rsidR="001B7557">
        <w:t>$</w:t>
      </w:r>
      <w:r>
        <w:t>9</w:t>
      </w:r>
      <w:r w:rsidR="00B055DC">
        <w:t>4</w:t>
      </w:r>
      <w:r>
        <w:t xml:space="preserve"> million in 2017 dollars under a 7 per cent real discount rate.</w:t>
      </w:r>
      <w:r w:rsidR="00C36D9B">
        <w:t xml:space="preserve"> This does not take into account any revenue that might be obtained by the current water licence round.</w:t>
      </w:r>
    </w:p>
    <w:p w14:paraId="43B236EE" w14:textId="77777777" w:rsidR="00C953C7" w:rsidRPr="00772E40" w:rsidRDefault="00C953C7" w:rsidP="00C953C7">
      <w:pPr>
        <w:keepNext/>
        <w:keepLines/>
        <w:numPr>
          <w:ilvl w:val="3"/>
          <w:numId w:val="21"/>
        </w:numPr>
        <w:spacing w:before="240" w:after="64"/>
        <w:outlineLvl w:val="3"/>
        <w:rPr>
          <w:rFonts w:eastAsiaTheme="majorEastAsia" w:cstheme="majorBidi"/>
          <w:b/>
          <w:iCs/>
          <w:color w:val="000100"/>
          <w:spacing w:val="-1"/>
        </w:rPr>
      </w:pPr>
      <w:r w:rsidRPr="00772E40">
        <w:rPr>
          <w:rFonts w:eastAsiaTheme="majorEastAsia" w:cstheme="majorBidi"/>
          <w:b/>
          <w:iCs/>
          <w:color w:val="000100"/>
          <w:spacing w:val="-1"/>
        </w:rPr>
        <w:lastRenderedPageBreak/>
        <w:t>Assessment of benefits against costs</w:t>
      </w:r>
    </w:p>
    <w:p w14:paraId="0E667A89" w14:textId="2A636968" w:rsidR="001B7557" w:rsidRPr="00772E40" w:rsidRDefault="001919FF" w:rsidP="001B7557">
      <w:pPr>
        <w:spacing w:before="113" w:after="60"/>
      </w:pPr>
      <w:r>
        <w:t xml:space="preserve">The net benefits or net present value (NPV) of the program is estimated </w:t>
      </w:r>
      <w:r w:rsidR="00B055DC">
        <w:t>to be</w:t>
      </w:r>
      <w:r>
        <w:t xml:space="preserve"> $</w:t>
      </w:r>
      <w:r w:rsidR="00E445DD">
        <w:t>83</w:t>
      </w:r>
      <w:r>
        <w:t>.</w:t>
      </w:r>
      <w:r w:rsidR="00B055DC">
        <w:t>9</w:t>
      </w:r>
      <w:r>
        <w:t xml:space="preserve"> million in 2017 dollars under a 7 per cent real discount rate.</w:t>
      </w:r>
      <w:r w:rsidR="001B7557">
        <w:t xml:space="preserve"> The benefit-cost ratio (BCR) of the program is estimated at </w:t>
      </w:r>
      <w:r w:rsidR="00B055DC">
        <w:t xml:space="preserve">around </w:t>
      </w:r>
      <w:r w:rsidR="00E445DD">
        <w:t>9</w:t>
      </w:r>
      <w:r w:rsidR="001B7557">
        <w:t>.</w:t>
      </w:r>
      <w:r w:rsidR="00B055DC">
        <w:t>3</w:t>
      </w:r>
      <w:r w:rsidR="001B7557">
        <w:t>.</w:t>
      </w:r>
      <w:r w:rsidR="00C36D9B">
        <w:t xml:space="preserve"> To the extent that additional revenue is obtained from the current water licence round (or any additional future rounds) that will lead to a higher net benefit and BCR.</w:t>
      </w:r>
    </w:p>
    <w:p w14:paraId="57AF24A7" w14:textId="5DF5ED6F" w:rsidR="00C953C7" w:rsidRPr="00772E40" w:rsidRDefault="00C953C7" w:rsidP="001919FF">
      <w:pPr>
        <w:spacing w:before="113" w:after="60"/>
        <w:rPr>
          <w:rFonts w:eastAsiaTheme="majorEastAsia" w:cstheme="majorBidi"/>
          <w:b/>
          <w:iCs/>
          <w:color w:val="000100"/>
          <w:spacing w:val="-1"/>
        </w:rPr>
      </w:pPr>
      <w:r w:rsidRPr="00772E40">
        <w:t xml:space="preserve"> </w:t>
      </w:r>
      <w:r w:rsidRPr="00772E40">
        <w:rPr>
          <w:rFonts w:eastAsiaTheme="majorEastAsia" w:cstheme="majorBidi"/>
          <w:b/>
          <w:iCs/>
          <w:color w:val="000100"/>
          <w:spacing w:val="-1"/>
        </w:rPr>
        <w:t>Sensitivity analysis</w:t>
      </w:r>
    </w:p>
    <w:p w14:paraId="751E048A" w14:textId="50897841" w:rsidR="00C953C7" w:rsidRDefault="006D6C8E" w:rsidP="001919FF">
      <w:pPr>
        <w:pStyle w:val="BodyText"/>
      </w:pPr>
      <w:r>
        <w:t>To test the robustness of the CBA results, ACIL Allen undert</w:t>
      </w:r>
      <w:r w:rsidR="00286A2D">
        <w:t>ook</w:t>
      </w:r>
      <w:r>
        <w:t xml:space="preserve"> sensitivity analysis in relation to the following key assumptions:</w:t>
      </w:r>
    </w:p>
    <w:p w14:paraId="68E6894A" w14:textId="11328510" w:rsidR="006D6C8E" w:rsidRDefault="006D6C8E" w:rsidP="006D6C8E">
      <w:pPr>
        <w:pStyle w:val="ListBullet"/>
        <w:rPr>
          <w:lang w:eastAsia="en-AU"/>
        </w:rPr>
      </w:pPr>
      <w:r w:rsidRPr="000774B6">
        <w:rPr>
          <w:lang w:eastAsia="en-AU"/>
        </w:rPr>
        <w:t xml:space="preserve">Annual </w:t>
      </w:r>
      <w:r w:rsidR="00286A2D">
        <w:rPr>
          <w:lang w:eastAsia="en-AU"/>
        </w:rPr>
        <w:t>i</w:t>
      </w:r>
      <w:r w:rsidRPr="000774B6">
        <w:rPr>
          <w:lang w:eastAsia="en-AU"/>
        </w:rPr>
        <w:t>ncreased benefits from Northern Australia Beef Roads program, 2018/19 to 2026/27</w:t>
      </w:r>
    </w:p>
    <w:p w14:paraId="6520DA0E" w14:textId="5E44A051" w:rsidR="006D6C8E" w:rsidRDefault="006D6C8E" w:rsidP="006D6C8E">
      <w:pPr>
        <w:pStyle w:val="ListBullet"/>
        <w:rPr>
          <w:lang w:eastAsia="en-AU"/>
        </w:rPr>
      </w:pPr>
      <w:r w:rsidRPr="000774B6">
        <w:rPr>
          <w:lang w:eastAsia="en-AU"/>
        </w:rPr>
        <w:t xml:space="preserve">Annual </w:t>
      </w:r>
      <w:r>
        <w:rPr>
          <w:lang w:eastAsia="en-AU"/>
        </w:rPr>
        <w:t>r</w:t>
      </w:r>
      <w:r w:rsidRPr="000774B6">
        <w:rPr>
          <w:lang w:eastAsia="en-AU"/>
        </w:rPr>
        <w:t>eduction in cost of transporting cattle near tick-prone zones in SE Queensland</w:t>
      </w:r>
    </w:p>
    <w:p w14:paraId="09C72A75" w14:textId="2971119E" w:rsidR="006D6C8E" w:rsidRDefault="006D6C8E" w:rsidP="006D6C8E">
      <w:pPr>
        <w:pStyle w:val="ListBullet"/>
        <w:rPr>
          <w:lang w:eastAsia="en-AU"/>
        </w:rPr>
      </w:pPr>
      <w:r w:rsidRPr="000774B6">
        <w:rPr>
          <w:lang w:eastAsia="en-AU"/>
        </w:rPr>
        <w:t>Annual reduction in other costs of transporting cattle</w:t>
      </w:r>
    </w:p>
    <w:p w14:paraId="71BDA027" w14:textId="345932F5" w:rsidR="006D6C8E" w:rsidRDefault="006D6C8E" w:rsidP="006D6C8E">
      <w:pPr>
        <w:pStyle w:val="ListBullet"/>
      </w:pPr>
      <w:r w:rsidRPr="000774B6">
        <w:rPr>
          <w:lang w:eastAsia="en-AU"/>
        </w:rPr>
        <w:t xml:space="preserve">Annual </w:t>
      </w:r>
      <w:proofErr w:type="spellStart"/>
      <w:r>
        <w:rPr>
          <w:lang w:eastAsia="en-AU"/>
        </w:rPr>
        <w:t>TraNSIT</w:t>
      </w:r>
      <w:proofErr w:type="spellEnd"/>
      <w:r>
        <w:rPr>
          <w:lang w:eastAsia="en-AU"/>
        </w:rPr>
        <w:t xml:space="preserve"> </w:t>
      </w:r>
      <w:r w:rsidRPr="000774B6">
        <w:rPr>
          <w:lang w:eastAsia="en-AU"/>
        </w:rPr>
        <w:t>model use fees</w:t>
      </w:r>
      <w:r>
        <w:rPr>
          <w:lang w:eastAsia="en-AU"/>
        </w:rPr>
        <w:t>.</w:t>
      </w:r>
    </w:p>
    <w:p w14:paraId="4C44932A" w14:textId="59C902DD" w:rsidR="006D6C8E" w:rsidRDefault="006D6C8E" w:rsidP="001919FF">
      <w:pPr>
        <w:pStyle w:val="BodyText"/>
      </w:pPr>
      <w:r>
        <w:t xml:space="preserve">The results of the sensitivity analysis are shown in </w:t>
      </w:r>
      <w:r>
        <w:fldChar w:fldCharType="begin"/>
      </w:r>
      <w:r>
        <w:instrText xml:space="preserve"> REF _Ref496814399 \h </w:instrText>
      </w:r>
      <w:r>
        <w:fldChar w:fldCharType="separate"/>
      </w:r>
      <w:r w:rsidRPr="00FC29C8">
        <w:rPr>
          <w:rStyle w:val="CaptionLabel"/>
          <w:lang w:eastAsia="en-AU"/>
        </w:rPr>
        <w:t>Table</w:t>
      </w:r>
      <w:r>
        <w:rPr>
          <w:rStyle w:val="CaptionLabel"/>
          <w:lang w:eastAsia="en-AU"/>
        </w:rPr>
        <w:t> </w:t>
      </w:r>
      <w:r>
        <w:rPr>
          <w:rStyle w:val="CaptionLabel"/>
          <w:noProof/>
          <w:lang w:eastAsia="en-AU"/>
        </w:rPr>
        <w:t>1</w:t>
      </w:r>
      <w:r w:rsidRPr="00FC29C8">
        <w:rPr>
          <w:rStyle w:val="CaptionLabel"/>
          <w:lang w:eastAsia="en-AU"/>
        </w:rPr>
        <w:t>.</w:t>
      </w:r>
      <w:r>
        <w:rPr>
          <w:rStyle w:val="CaptionLabel"/>
          <w:noProof/>
          <w:lang w:eastAsia="en-AU"/>
        </w:rPr>
        <w:t>3</w:t>
      </w:r>
      <w:r>
        <w:fldChar w:fldCharType="end"/>
      </w:r>
      <w:r>
        <w:t xml:space="preserve">. In each instance, the BCR is </w:t>
      </w:r>
      <w:r w:rsidR="00800247">
        <w:t>7.25</w:t>
      </w:r>
      <w:r>
        <w:t xml:space="preserve"> or higher.</w:t>
      </w:r>
    </w:p>
    <w:p w14:paraId="54F51D59" w14:textId="3E7B655A" w:rsidR="009351F7" w:rsidRPr="000911B2" w:rsidRDefault="009351F7" w:rsidP="009351F7">
      <w:pPr>
        <w:pStyle w:val="Caption"/>
        <w:spacing w:before="160"/>
        <w:rPr>
          <w:lang w:eastAsia="en-AU"/>
        </w:rPr>
      </w:pPr>
      <w:bookmarkStart w:id="9" w:name="_Ref496814399"/>
      <w:bookmarkStart w:id="10" w:name="_Toc431908633"/>
      <w:r w:rsidRPr="00FC29C8">
        <w:rPr>
          <w:rStyle w:val="CaptionLabel"/>
          <w:lang w:eastAsia="en-AU"/>
        </w:rPr>
        <w:t>Table</w:t>
      </w:r>
      <w:r>
        <w:rPr>
          <w:rStyle w:val="CaptionLabel"/>
          <w:lang w:eastAsia="en-AU"/>
        </w:rPr>
        <w:t> </w:t>
      </w:r>
      <w:r w:rsidRPr="00FC29C8">
        <w:rPr>
          <w:rStyle w:val="CaptionLabel"/>
          <w:lang w:eastAsia="en-AU"/>
        </w:rPr>
        <w:fldChar w:fldCharType="begin"/>
      </w:r>
      <w:r w:rsidRPr="00FC29C8">
        <w:rPr>
          <w:rStyle w:val="CaptionLabel"/>
          <w:lang w:eastAsia="en-AU"/>
        </w:rPr>
        <w:instrText xml:space="preserve"> STYLEREF 1 \s </w:instrText>
      </w:r>
      <w:r w:rsidRPr="00FC29C8">
        <w:rPr>
          <w:rStyle w:val="CaptionLabel"/>
          <w:lang w:eastAsia="en-AU"/>
        </w:rPr>
        <w:fldChar w:fldCharType="separate"/>
      </w:r>
      <w:r>
        <w:rPr>
          <w:rStyle w:val="CaptionLabel"/>
          <w:noProof/>
          <w:lang w:eastAsia="en-AU"/>
        </w:rPr>
        <w:t>1</w:t>
      </w:r>
      <w:r w:rsidRPr="00FC29C8">
        <w:rPr>
          <w:rStyle w:val="CaptionLabel"/>
          <w:lang w:eastAsia="en-AU"/>
        </w:rPr>
        <w:fldChar w:fldCharType="end"/>
      </w:r>
      <w:r w:rsidRPr="00FC29C8">
        <w:rPr>
          <w:rStyle w:val="CaptionLabel"/>
          <w:lang w:eastAsia="en-AU"/>
        </w:rPr>
        <w:t>.</w:t>
      </w:r>
      <w:r w:rsidRPr="00FC29C8">
        <w:rPr>
          <w:rStyle w:val="CaptionLabel"/>
          <w:lang w:eastAsia="en-AU"/>
        </w:rPr>
        <w:fldChar w:fldCharType="begin"/>
      </w:r>
      <w:r w:rsidRPr="00FC29C8">
        <w:rPr>
          <w:rStyle w:val="CaptionLabel"/>
          <w:lang w:eastAsia="en-AU"/>
        </w:rPr>
        <w:instrText xml:space="preserve"> SEQ Table \* ARABIC \s 1 </w:instrText>
      </w:r>
      <w:r w:rsidRPr="00FC29C8">
        <w:rPr>
          <w:rStyle w:val="CaptionLabel"/>
          <w:lang w:eastAsia="en-AU"/>
        </w:rPr>
        <w:fldChar w:fldCharType="separate"/>
      </w:r>
      <w:r>
        <w:rPr>
          <w:rStyle w:val="CaptionLabel"/>
          <w:noProof/>
          <w:lang w:eastAsia="en-AU"/>
        </w:rPr>
        <w:t>3</w:t>
      </w:r>
      <w:r w:rsidRPr="00FC29C8">
        <w:rPr>
          <w:rStyle w:val="CaptionLabel"/>
          <w:lang w:eastAsia="en-AU"/>
        </w:rPr>
        <w:fldChar w:fldCharType="end"/>
      </w:r>
      <w:bookmarkEnd w:id="9"/>
      <w:r>
        <w:rPr>
          <w:lang w:eastAsia="en-AU"/>
        </w:rPr>
        <w:tab/>
      </w:r>
      <w:bookmarkEnd w:id="10"/>
      <w:r w:rsidR="000774B6">
        <w:rPr>
          <w:lang w:eastAsia="en-AU"/>
        </w:rPr>
        <w:t>Results of sensitivity analysis</w:t>
      </w:r>
    </w:p>
    <w:tbl>
      <w:tblPr>
        <w:tblW w:w="10962" w:type="dxa"/>
        <w:tblInd w:w="-454" w:type="dxa"/>
        <w:tblLayout w:type="fixed"/>
        <w:tblCellMar>
          <w:left w:w="0" w:type="dxa"/>
          <w:bottom w:w="40" w:type="dxa"/>
          <w:right w:w="0" w:type="dxa"/>
        </w:tblCellMar>
        <w:tblLook w:val="04A0" w:firstRow="1" w:lastRow="0" w:firstColumn="1" w:lastColumn="0" w:noHBand="0" w:noVBand="1"/>
        <w:tblDescription w:val="table_Std"/>
      </w:tblPr>
      <w:tblGrid>
        <w:gridCol w:w="454"/>
        <w:gridCol w:w="5106"/>
        <w:gridCol w:w="991"/>
        <w:gridCol w:w="991"/>
        <w:gridCol w:w="993"/>
        <w:gridCol w:w="813"/>
        <w:gridCol w:w="807"/>
        <w:gridCol w:w="807"/>
      </w:tblGrid>
      <w:tr w:rsidR="00286A2D" w:rsidRPr="000911B2" w14:paraId="6CD5742D" w14:textId="77777777" w:rsidTr="00286A2D">
        <w:trPr>
          <w:cantSplit/>
          <w:tblHeader/>
        </w:trPr>
        <w:tc>
          <w:tcPr>
            <w:tcW w:w="2536" w:type="pct"/>
            <w:gridSpan w:val="2"/>
            <w:shd w:val="clear" w:color="auto" w:fill="9D57A6"/>
            <w:noWrap/>
            <w:tcMar>
              <w:left w:w="454" w:type="dxa"/>
              <w:bottom w:w="0" w:type="dxa"/>
            </w:tcMar>
          </w:tcPr>
          <w:p w14:paraId="69B264D7" w14:textId="7B02CE45" w:rsidR="00286A2D" w:rsidRPr="000774B6" w:rsidRDefault="00286A2D" w:rsidP="009351F7">
            <w:pPr>
              <w:pStyle w:val="Tablecolumnheadings"/>
              <w:rPr>
                <w:lang w:eastAsia="en-AU"/>
              </w:rPr>
            </w:pPr>
            <w:r w:rsidRPr="000774B6">
              <w:rPr>
                <w:lang w:eastAsia="en-AU"/>
              </w:rPr>
              <w:t>Assumption</w:t>
            </w:r>
          </w:p>
        </w:tc>
        <w:tc>
          <w:tcPr>
            <w:tcW w:w="1357" w:type="pct"/>
            <w:gridSpan w:val="3"/>
            <w:shd w:val="clear" w:color="auto" w:fill="9D57A6"/>
            <w:noWrap/>
            <w:tcMar>
              <w:bottom w:w="0" w:type="dxa"/>
            </w:tcMar>
            <w:vAlign w:val="center"/>
          </w:tcPr>
          <w:p w14:paraId="7D47898A" w14:textId="77F876D2" w:rsidR="00286A2D" w:rsidRPr="000774B6" w:rsidRDefault="00286A2D" w:rsidP="00286A2D">
            <w:pPr>
              <w:pStyle w:val="Tablecolumnheadings"/>
              <w:jc w:val="center"/>
              <w:rPr>
                <w:lang w:eastAsia="en-AU"/>
              </w:rPr>
            </w:pPr>
            <w:r w:rsidRPr="000774B6">
              <w:rPr>
                <w:lang w:eastAsia="en-AU"/>
              </w:rPr>
              <w:t>Assumed value</w:t>
            </w:r>
          </w:p>
        </w:tc>
        <w:tc>
          <w:tcPr>
            <w:tcW w:w="1107" w:type="pct"/>
            <w:gridSpan w:val="3"/>
            <w:shd w:val="clear" w:color="auto" w:fill="9D57A6"/>
            <w:noWrap/>
            <w:tcMar>
              <w:bottom w:w="0" w:type="dxa"/>
            </w:tcMar>
            <w:vAlign w:val="center"/>
          </w:tcPr>
          <w:p w14:paraId="424BB116" w14:textId="4ED0D2E3" w:rsidR="00286A2D" w:rsidRPr="000774B6" w:rsidRDefault="00286A2D" w:rsidP="00286A2D">
            <w:pPr>
              <w:pStyle w:val="Tablecolumnheadings"/>
              <w:jc w:val="center"/>
              <w:rPr>
                <w:lang w:eastAsia="en-AU"/>
              </w:rPr>
            </w:pPr>
            <w:r w:rsidRPr="000774B6">
              <w:rPr>
                <w:lang w:eastAsia="en-AU"/>
              </w:rPr>
              <w:t>BCR</w:t>
            </w:r>
          </w:p>
        </w:tc>
      </w:tr>
      <w:tr w:rsidR="009351F7" w:rsidRPr="000911B2" w14:paraId="36315154" w14:textId="77777777" w:rsidTr="00286A2D">
        <w:tblPrEx>
          <w:tblBorders>
            <w:bottom w:val="single" w:sz="4" w:space="0" w:color="646464"/>
            <w:insideH w:val="single" w:sz="4" w:space="0" w:color="646464"/>
          </w:tblBorders>
        </w:tblPrEx>
        <w:trPr>
          <w:gridBefore w:val="1"/>
          <w:wBefore w:w="207" w:type="pct"/>
          <w:cantSplit/>
        </w:trPr>
        <w:tc>
          <w:tcPr>
            <w:tcW w:w="2329" w:type="pct"/>
            <w:shd w:val="clear" w:color="auto" w:fill="EADDED" w:themeFill="text2" w:themeFillTint="33"/>
            <w:noWrap/>
            <w:hideMark/>
          </w:tcPr>
          <w:p w14:paraId="332BEE71" w14:textId="77777777" w:rsidR="000911B2" w:rsidRPr="000774B6" w:rsidRDefault="000911B2" w:rsidP="009351F7">
            <w:pPr>
              <w:pStyle w:val="Tabletext"/>
              <w:rPr>
                <w:szCs w:val="20"/>
                <w:lang w:eastAsia="en-AU"/>
              </w:rPr>
            </w:pPr>
          </w:p>
        </w:tc>
        <w:tc>
          <w:tcPr>
            <w:tcW w:w="452" w:type="pct"/>
            <w:shd w:val="clear" w:color="auto" w:fill="EADDED" w:themeFill="text2" w:themeFillTint="33"/>
            <w:noWrap/>
            <w:vAlign w:val="center"/>
            <w:hideMark/>
          </w:tcPr>
          <w:p w14:paraId="376731B4" w14:textId="7F653908" w:rsidR="000911B2" w:rsidRPr="000774B6" w:rsidRDefault="000911B2" w:rsidP="00286A2D">
            <w:pPr>
              <w:pStyle w:val="Tabletext"/>
              <w:jc w:val="center"/>
              <w:rPr>
                <w:rFonts w:cs="Calibri"/>
                <w:color w:val="000000"/>
                <w:lang w:eastAsia="en-AU"/>
              </w:rPr>
            </w:pPr>
            <w:r w:rsidRPr="000774B6">
              <w:rPr>
                <w:rFonts w:cs="Calibri"/>
                <w:color w:val="000000"/>
                <w:lang w:eastAsia="en-AU"/>
              </w:rPr>
              <w:t>Central</w:t>
            </w:r>
          </w:p>
        </w:tc>
        <w:tc>
          <w:tcPr>
            <w:tcW w:w="452" w:type="pct"/>
            <w:shd w:val="clear" w:color="auto" w:fill="EADDED" w:themeFill="text2" w:themeFillTint="33"/>
            <w:noWrap/>
            <w:vAlign w:val="center"/>
            <w:hideMark/>
          </w:tcPr>
          <w:p w14:paraId="0CEA9944" w14:textId="77777777" w:rsidR="000911B2" w:rsidRPr="000774B6" w:rsidRDefault="000911B2" w:rsidP="00286A2D">
            <w:pPr>
              <w:pStyle w:val="Tabletext"/>
              <w:jc w:val="center"/>
              <w:rPr>
                <w:rFonts w:cs="Calibri"/>
                <w:color w:val="000000"/>
                <w:lang w:eastAsia="en-AU"/>
              </w:rPr>
            </w:pPr>
            <w:r w:rsidRPr="000774B6">
              <w:rPr>
                <w:rFonts w:cs="Calibri"/>
                <w:color w:val="000000"/>
                <w:lang w:eastAsia="en-AU"/>
              </w:rPr>
              <w:t>Low</w:t>
            </w:r>
          </w:p>
        </w:tc>
        <w:tc>
          <w:tcPr>
            <w:tcW w:w="453" w:type="pct"/>
            <w:shd w:val="clear" w:color="auto" w:fill="EADDED" w:themeFill="text2" w:themeFillTint="33"/>
            <w:noWrap/>
            <w:vAlign w:val="center"/>
            <w:hideMark/>
          </w:tcPr>
          <w:p w14:paraId="1F067523" w14:textId="77777777" w:rsidR="000911B2" w:rsidRPr="000774B6" w:rsidRDefault="000911B2" w:rsidP="00286A2D">
            <w:pPr>
              <w:pStyle w:val="Tabletext"/>
              <w:jc w:val="center"/>
              <w:rPr>
                <w:rFonts w:cs="Calibri"/>
                <w:color w:val="000000"/>
                <w:lang w:eastAsia="en-AU"/>
              </w:rPr>
            </w:pPr>
            <w:r w:rsidRPr="000774B6">
              <w:rPr>
                <w:rFonts w:cs="Calibri"/>
                <w:color w:val="000000"/>
                <w:lang w:eastAsia="en-AU"/>
              </w:rPr>
              <w:t>High</w:t>
            </w:r>
          </w:p>
        </w:tc>
        <w:tc>
          <w:tcPr>
            <w:tcW w:w="371" w:type="pct"/>
            <w:shd w:val="clear" w:color="auto" w:fill="EADDED" w:themeFill="text2" w:themeFillTint="33"/>
            <w:noWrap/>
            <w:vAlign w:val="center"/>
            <w:hideMark/>
          </w:tcPr>
          <w:p w14:paraId="55C8725E" w14:textId="6949DDFE" w:rsidR="000911B2" w:rsidRPr="000774B6" w:rsidRDefault="000911B2" w:rsidP="00286A2D">
            <w:pPr>
              <w:pStyle w:val="Tabletext"/>
              <w:jc w:val="center"/>
              <w:rPr>
                <w:rFonts w:cs="Calibri"/>
                <w:color w:val="000000"/>
                <w:lang w:eastAsia="en-AU"/>
              </w:rPr>
            </w:pPr>
            <w:r w:rsidRPr="000774B6">
              <w:rPr>
                <w:rFonts w:cs="Calibri"/>
                <w:color w:val="000000"/>
                <w:lang w:eastAsia="en-AU"/>
              </w:rPr>
              <w:t>Central</w:t>
            </w:r>
          </w:p>
        </w:tc>
        <w:tc>
          <w:tcPr>
            <w:tcW w:w="368" w:type="pct"/>
            <w:shd w:val="clear" w:color="auto" w:fill="EADDED" w:themeFill="text2" w:themeFillTint="33"/>
            <w:noWrap/>
            <w:vAlign w:val="center"/>
            <w:hideMark/>
          </w:tcPr>
          <w:p w14:paraId="05D851E6" w14:textId="77777777" w:rsidR="000911B2" w:rsidRPr="000774B6" w:rsidRDefault="000911B2" w:rsidP="00286A2D">
            <w:pPr>
              <w:pStyle w:val="Tabletext"/>
              <w:jc w:val="center"/>
              <w:rPr>
                <w:rFonts w:cs="Calibri"/>
                <w:color w:val="000000"/>
                <w:lang w:eastAsia="en-AU"/>
              </w:rPr>
            </w:pPr>
            <w:r w:rsidRPr="000774B6">
              <w:rPr>
                <w:rFonts w:cs="Calibri"/>
                <w:color w:val="000000"/>
                <w:lang w:eastAsia="en-AU"/>
              </w:rPr>
              <w:t>Low</w:t>
            </w:r>
          </w:p>
        </w:tc>
        <w:tc>
          <w:tcPr>
            <w:tcW w:w="368" w:type="pct"/>
            <w:shd w:val="clear" w:color="auto" w:fill="EADDED" w:themeFill="text2" w:themeFillTint="33"/>
            <w:noWrap/>
            <w:vAlign w:val="center"/>
            <w:hideMark/>
          </w:tcPr>
          <w:p w14:paraId="56CA9E8C" w14:textId="77777777" w:rsidR="000911B2" w:rsidRPr="000774B6" w:rsidRDefault="000911B2" w:rsidP="00286A2D">
            <w:pPr>
              <w:pStyle w:val="Tabletext"/>
              <w:jc w:val="center"/>
              <w:rPr>
                <w:rFonts w:cs="Calibri"/>
                <w:color w:val="000000"/>
                <w:lang w:eastAsia="en-AU"/>
              </w:rPr>
            </w:pPr>
            <w:r w:rsidRPr="000774B6">
              <w:rPr>
                <w:rFonts w:cs="Calibri"/>
                <w:color w:val="000000"/>
                <w:lang w:eastAsia="en-AU"/>
              </w:rPr>
              <w:t>High</w:t>
            </w:r>
          </w:p>
        </w:tc>
      </w:tr>
      <w:tr w:rsidR="009351F7" w:rsidRPr="000911B2" w14:paraId="5F5CADD0" w14:textId="77777777" w:rsidTr="00F82C5C">
        <w:tblPrEx>
          <w:tblBorders>
            <w:bottom w:val="single" w:sz="4" w:space="0" w:color="646464"/>
            <w:insideH w:val="single" w:sz="4" w:space="0" w:color="646464"/>
          </w:tblBorders>
        </w:tblPrEx>
        <w:trPr>
          <w:gridBefore w:val="1"/>
          <w:wBefore w:w="207" w:type="pct"/>
          <w:cantSplit/>
        </w:trPr>
        <w:tc>
          <w:tcPr>
            <w:tcW w:w="2329" w:type="pct"/>
            <w:shd w:val="clear" w:color="auto" w:fill="auto"/>
            <w:noWrap/>
            <w:hideMark/>
          </w:tcPr>
          <w:p w14:paraId="1D09CFA5" w14:textId="71E49049" w:rsidR="000911B2" w:rsidRPr="000774B6" w:rsidRDefault="000911B2" w:rsidP="006D6C8E">
            <w:pPr>
              <w:pStyle w:val="Tabletext"/>
              <w:rPr>
                <w:rFonts w:cs="Calibri"/>
                <w:color w:val="000000"/>
                <w:lang w:eastAsia="en-AU"/>
              </w:rPr>
            </w:pPr>
            <w:r w:rsidRPr="000774B6">
              <w:rPr>
                <w:rFonts w:cs="Calibri"/>
                <w:color w:val="000000"/>
                <w:lang w:eastAsia="en-AU"/>
              </w:rPr>
              <w:t xml:space="preserve">Annual </w:t>
            </w:r>
            <w:r w:rsidR="006D6C8E">
              <w:rPr>
                <w:rFonts w:cs="Calibri"/>
                <w:color w:val="000000"/>
                <w:lang w:eastAsia="en-AU"/>
              </w:rPr>
              <w:t>i</w:t>
            </w:r>
            <w:r w:rsidRPr="000774B6">
              <w:rPr>
                <w:rFonts w:cs="Calibri"/>
                <w:color w:val="000000"/>
                <w:lang w:eastAsia="en-AU"/>
              </w:rPr>
              <w:t>ncreased benefits from Northern Australia Beef Roads program, 2018/19 to 2026/27</w:t>
            </w:r>
          </w:p>
        </w:tc>
        <w:tc>
          <w:tcPr>
            <w:tcW w:w="452" w:type="pct"/>
            <w:shd w:val="clear" w:color="auto" w:fill="auto"/>
            <w:noWrap/>
            <w:hideMark/>
          </w:tcPr>
          <w:p w14:paraId="1C6FB566" w14:textId="77777777" w:rsidR="000911B2" w:rsidRPr="000774B6" w:rsidRDefault="000911B2" w:rsidP="009351F7">
            <w:pPr>
              <w:pStyle w:val="Tabletext"/>
              <w:rPr>
                <w:rFonts w:cs="Calibri"/>
                <w:color w:val="000000"/>
                <w:lang w:eastAsia="en-AU"/>
              </w:rPr>
            </w:pPr>
            <w:r w:rsidRPr="000774B6">
              <w:rPr>
                <w:rFonts w:cs="Calibri"/>
                <w:color w:val="000000"/>
                <w:lang w:eastAsia="en-AU"/>
              </w:rPr>
              <w:t>$0.3m</w:t>
            </w:r>
          </w:p>
        </w:tc>
        <w:tc>
          <w:tcPr>
            <w:tcW w:w="452" w:type="pct"/>
            <w:shd w:val="clear" w:color="auto" w:fill="auto"/>
            <w:noWrap/>
            <w:hideMark/>
          </w:tcPr>
          <w:p w14:paraId="048ED656" w14:textId="77777777" w:rsidR="000911B2" w:rsidRPr="000774B6" w:rsidRDefault="000911B2" w:rsidP="009351F7">
            <w:pPr>
              <w:pStyle w:val="Tabletext"/>
              <w:rPr>
                <w:rFonts w:cs="Calibri"/>
                <w:color w:val="000000"/>
                <w:lang w:eastAsia="en-AU"/>
              </w:rPr>
            </w:pPr>
            <w:r w:rsidRPr="000774B6">
              <w:rPr>
                <w:rFonts w:cs="Calibri"/>
                <w:color w:val="000000"/>
                <w:lang w:eastAsia="en-AU"/>
              </w:rPr>
              <w:t>$0.1m</w:t>
            </w:r>
          </w:p>
        </w:tc>
        <w:tc>
          <w:tcPr>
            <w:tcW w:w="453" w:type="pct"/>
            <w:shd w:val="clear" w:color="auto" w:fill="auto"/>
            <w:noWrap/>
            <w:hideMark/>
          </w:tcPr>
          <w:p w14:paraId="76C15145" w14:textId="77777777" w:rsidR="000911B2" w:rsidRPr="000774B6" w:rsidRDefault="000911B2" w:rsidP="009351F7">
            <w:pPr>
              <w:pStyle w:val="Tabletext"/>
              <w:rPr>
                <w:rFonts w:cs="Calibri"/>
                <w:color w:val="000000"/>
                <w:lang w:eastAsia="en-AU"/>
              </w:rPr>
            </w:pPr>
            <w:r w:rsidRPr="000774B6">
              <w:rPr>
                <w:rFonts w:cs="Calibri"/>
                <w:color w:val="000000"/>
                <w:lang w:eastAsia="en-AU"/>
              </w:rPr>
              <w:t>$0.5m</w:t>
            </w:r>
          </w:p>
        </w:tc>
        <w:tc>
          <w:tcPr>
            <w:tcW w:w="371" w:type="pct"/>
            <w:shd w:val="clear" w:color="auto" w:fill="auto"/>
            <w:noWrap/>
          </w:tcPr>
          <w:p w14:paraId="7157AE76" w14:textId="656FA043" w:rsidR="000911B2" w:rsidRPr="000774B6" w:rsidRDefault="00F82C5C" w:rsidP="00F8202D">
            <w:pPr>
              <w:pStyle w:val="Tabletext"/>
              <w:rPr>
                <w:rFonts w:cs="Calibri"/>
                <w:color w:val="000000"/>
                <w:lang w:eastAsia="en-AU"/>
              </w:rPr>
            </w:pPr>
            <w:r>
              <w:rPr>
                <w:rFonts w:cs="Calibri"/>
                <w:color w:val="000000"/>
                <w:lang w:eastAsia="en-AU"/>
              </w:rPr>
              <w:t>9.29</w:t>
            </w:r>
          </w:p>
        </w:tc>
        <w:tc>
          <w:tcPr>
            <w:tcW w:w="368" w:type="pct"/>
            <w:shd w:val="clear" w:color="auto" w:fill="auto"/>
            <w:noWrap/>
            <w:hideMark/>
          </w:tcPr>
          <w:p w14:paraId="4BCCE25F" w14:textId="3EFD8D34" w:rsidR="000911B2" w:rsidRPr="000774B6" w:rsidRDefault="00F82C5C" w:rsidP="00F82C5C">
            <w:pPr>
              <w:pStyle w:val="Tabletext"/>
              <w:rPr>
                <w:rFonts w:cs="Calibri"/>
                <w:color w:val="000000"/>
                <w:lang w:eastAsia="en-AU"/>
              </w:rPr>
            </w:pPr>
            <w:r>
              <w:rPr>
                <w:rFonts w:cs="Calibri"/>
                <w:color w:val="000000"/>
                <w:lang w:eastAsia="en-AU"/>
              </w:rPr>
              <w:t>8</w:t>
            </w:r>
            <w:r w:rsidR="00F8202D">
              <w:rPr>
                <w:rFonts w:cs="Calibri"/>
                <w:color w:val="000000"/>
                <w:lang w:eastAsia="en-AU"/>
              </w:rPr>
              <w:t>.7</w:t>
            </w:r>
            <w:r>
              <w:rPr>
                <w:rFonts w:cs="Calibri"/>
                <w:color w:val="000000"/>
                <w:lang w:eastAsia="en-AU"/>
              </w:rPr>
              <w:t>0</w:t>
            </w:r>
          </w:p>
        </w:tc>
        <w:tc>
          <w:tcPr>
            <w:tcW w:w="368" w:type="pct"/>
            <w:shd w:val="clear" w:color="auto" w:fill="auto"/>
            <w:noWrap/>
            <w:hideMark/>
          </w:tcPr>
          <w:p w14:paraId="0E1539F2" w14:textId="7AE3607B" w:rsidR="000911B2" w:rsidRPr="000774B6" w:rsidRDefault="00F82C5C" w:rsidP="00F82C5C">
            <w:pPr>
              <w:pStyle w:val="Tabletext"/>
              <w:rPr>
                <w:rFonts w:cs="Calibri"/>
                <w:color w:val="000000"/>
                <w:lang w:eastAsia="en-AU"/>
              </w:rPr>
            </w:pPr>
            <w:r>
              <w:rPr>
                <w:rFonts w:cs="Calibri"/>
                <w:color w:val="000000"/>
                <w:lang w:eastAsia="en-AU"/>
              </w:rPr>
              <w:t>9</w:t>
            </w:r>
            <w:r w:rsidR="00F8202D">
              <w:rPr>
                <w:rFonts w:cs="Calibri"/>
                <w:color w:val="000000"/>
                <w:lang w:eastAsia="en-AU"/>
              </w:rPr>
              <w:t>.</w:t>
            </w:r>
            <w:r>
              <w:rPr>
                <w:rFonts w:cs="Calibri"/>
                <w:color w:val="000000"/>
                <w:lang w:eastAsia="en-AU"/>
              </w:rPr>
              <w:t>8</w:t>
            </w:r>
            <w:r w:rsidR="00F8202D">
              <w:rPr>
                <w:rFonts w:cs="Calibri"/>
                <w:color w:val="000000"/>
                <w:lang w:eastAsia="en-AU"/>
              </w:rPr>
              <w:t>8</w:t>
            </w:r>
          </w:p>
        </w:tc>
      </w:tr>
      <w:tr w:rsidR="009351F7" w:rsidRPr="000911B2" w14:paraId="689154EE" w14:textId="77777777" w:rsidTr="00F82C5C">
        <w:tblPrEx>
          <w:tblBorders>
            <w:bottom w:val="single" w:sz="4" w:space="0" w:color="646464"/>
            <w:insideH w:val="single" w:sz="4" w:space="0" w:color="646464"/>
          </w:tblBorders>
        </w:tblPrEx>
        <w:trPr>
          <w:gridBefore w:val="1"/>
          <w:wBefore w:w="207" w:type="pct"/>
          <w:cantSplit/>
        </w:trPr>
        <w:tc>
          <w:tcPr>
            <w:tcW w:w="2329" w:type="pct"/>
            <w:shd w:val="clear" w:color="auto" w:fill="auto"/>
            <w:noWrap/>
            <w:hideMark/>
          </w:tcPr>
          <w:p w14:paraId="0184E78C" w14:textId="4AF76392" w:rsidR="000911B2" w:rsidRPr="000774B6" w:rsidRDefault="000911B2" w:rsidP="006D6C8E">
            <w:pPr>
              <w:pStyle w:val="Tabletext"/>
              <w:rPr>
                <w:rFonts w:cs="Calibri"/>
                <w:color w:val="000000"/>
                <w:lang w:eastAsia="en-AU"/>
              </w:rPr>
            </w:pPr>
            <w:r w:rsidRPr="000774B6">
              <w:rPr>
                <w:rFonts w:cs="Calibri"/>
                <w:color w:val="000000"/>
                <w:lang w:eastAsia="en-AU"/>
              </w:rPr>
              <w:t xml:space="preserve">Annual </w:t>
            </w:r>
            <w:r w:rsidR="006D6C8E">
              <w:rPr>
                <w:rFonts w:cs="Calibri"/>
                <w:color w:val="000000"/>
                <w:lang w:eastAsia="en-AU"/>
              </w:rPr>
              <w:t>r</w:t>
            </w:r>
            <w:r w:rsidRPr="000774B6">
              <w:rPr>
                <w:rFonts w:cs="Calibri"/>
                <w:color w:val="000000"/>
                <w:lang w:eastAsia="en-AU"/>
              </w:rPr>
              <w:t>eduction in cost of transporting cattle near tick-prone zones in SE Queensland</w:t>
            </w:r>
          </w:p>
        </w:tc>
        <w:tc>
          <w:tcPr>
            <w:tcW w:w="452" w:type="pct"/>
            <w:shd w:val="clear" w:color="auto" w:fill="auto"/>
            <w:noWrap/>
            <w:hideMark/>
          </w:tcPr>
          <w:p w14:paraId="62B3974F" w14:textId="77777777" w:rsidR="000911B2" w:rsidRPr="000774B6" w:rsidRDefault="000911B2" w:rsidP="009351F7">
            <w:pPr>
              <w:pStyle w:val="Tabletext"/>
              <w:rPr>
                <w:rFonts w:cs="Calibri"/>
                <w:color w:val="000000"/>
                <w:lang w:eastAsia="en-AU"/>
              </w:rPr>
            </w:pPr>
            <w:r w:rsidRPr="000774B6">
              <w:rPr>
                <w:rFonts w:cs="Calibri"/>
                <w:color w:val="000000"/>
                <w:lang w:eastAsia="en-AU"/>
              </w:rPr>
              <w:t>$2.3m</w:t>
            </w:r>
          </w:p>
        </w:tc>
        <w:tc>
          <w:tcPr>
            <w:tcW w:w="452" w:type="pct"/>
            <w:shd w:val="clear" w:color="auto" w:fill="auto"/>
            <w:noWrap/>
            <w:hideMark/>
          </w:tcPr>
          <w:p w14:paraId="1EC0AD69" w14:textId="77777777" w:rsidR="000911B2" w:rsidRPr="000774B6" w:rsidRDefault="000911B2" w:rsidP="009351F7">
            <w:pPr>
              <w:pStyle w:val="Tabletext"/>
              <w:rPr>
                <w:rFonts w:cs="Calibri"/>
                <w:color w:val="000000"/>
                <w:lang w:eastAsia="en-AU"/>
              </w:rPr>
            </w:pPr>
            <w:r w:rsidRPr="000774B6">
              <w:rPr>
                <w:rFonts w:cs="Calibri"/>
                <w:color w:val="000000"/>
                <w:lang w:eastAsia="en-AU"/>
              </w:rPr>
              <w:t>$1.5m</w:t>
            </w:r>
          </w:p>
        </w:tc>
        <w:tc>
          <w:tcPr>
            <w:tcW w:w="453" w:type="pct"/>
            <w:shd w:val="clear" w:color="auto" w:fill="auto"/>
            <w:noWrap/>
            <w:hideMark/>
          </w:tcPr>
          <w:p w14:paraId="60C94FD0" w14:textId="77777777" w:rsidR="000911B2" w:rsidRPr="000774B6" w:rsidRDefault="000911B2" w:rsidP="009351F7">
            <w:pPr>
              <w:pStyle w:val="Tabletext"/>
              <w:rPr>
                <w:rFonts w:cs="Calibri"/>
                <w:color w:val="000000"/>
                <w:lang w:eastAsia="en-AU"/>
              </w:rPr>
            </w:pPr>
            <w:r w:rsidRPr="000774B6">
              <w:rPr>
                <w:rFonts w:cs="Calibri"/>
                <w:color w:val="000000"/>
                <w:lang w:eastAsia="en-AU"/>
              </w:rPr>
              <w:t>$3.1m</w:t>
            </w:r>
          </w:p>
        </w:tc>
        <w:tc>
          <w:tcPr>
            <w:tcW w:w="371" w:type="pct"/>
            <w:shd w:val="clear" w:color="auto" w:fill="auto"/>
            <w:noWrap/>
          </w:tcPr>
          <w:p w14:paraId="2607C105" w14:textId="734E822B" w:rsidR="000911B2" w:rsidRPr="000774B6" w:rsidRDefault="00F82C5C" w:rsidP="00F8202D">
            <w:pPr>
              <w:pStyle w:val="Tabletext"/>
              <w:rPr>
                <w:rFonts w:cs="Calibri"/>
                <w:color w:val="000000"/>
                <w:lang w:eastAsia="en-AU"/>
              </w:rPr>
            </w:pPr>
            <w:r>
              <w:rPr>
                <w:rFonts w:cs="Calibri"/>
                <w:color w:val="000000"/>
                <w:lang w:eastAsia="en-AU"/>
              </w:rPr>
              <w:t>9.29</w:t>
            </w:r>
          </w:p>
        </w:tc>
        <w:tc>
          <w:tcPr>
            <w:tcW w:w="368" w:type="pct"/>
            <w:shd w:val="clear" w:color="auto" w:fill="auto"/>
            <w:noWrap/>
            <w:hideMark/>
          </w:tcPr>
          <w:p w14:paraId="1284AA38" w14:textId="0511CB35" w:rsidR="000911B2" w:rsidRPr="000774B6" w:rsidRDefault="004A3588" w:rsidP="004A3588">
            <w:pPr>
              <w:pStyle w:val="Tabletext"/>
              <w:rPr>
                <w:rFonts w:cs="Calibri"/>
                <w:color w:val="000000"/>
                <w:lang w:eastAsia="en-AU"/>
              </w:rPr>
            </w:pPr>
            <w:r>
              <w:rPr>
                <w:rFonts w:cs="Calibri"/>
                <w:color w:val="000000"/>
                <w:lang w:eastAsia="en-AU"/>
              </w:rPr>
              <w:t>8</w:t>
            </w:r>
            <w:r w:rsidR="00F8202D">
              <w:rPr>
                <w:rFonts w:cs="Calibri"/>
                <w:color w:val="000000"/>
                <w:lang w:eastAsia="en-AU"/>
              </w:rPr>
              <w:t>.</w:t>
            </w:r>
            <w:r>
              <w:rPr>
                <w:rFonts w:cs="Calibri"/>
                <w:color w:val="000000"/>
                <w:lang w:eastAsia="en-AU"/>
              </w:rPr>
              <w:t>6</w:t>
            </w:r>
            <w:r w:rsidR="00F8202D">
              <w:rPr>
                <w:rFonts w:cs="Calibri"/>
                <w:color w:val="000000"/>
                <w:lang w:eastAsia="en-AU"/>
              </w:rPr>
              <w:t>1</w:t>
            </w:r>
          </w:p>
        </w:tc>
        <w:tc>
          <w:tcPr>
            <w:tcW w:w="368" w:type="pct"/>
            <w:shd w:val="clear" w:color="auto" w:fill="auto"/>
            <w:noWrap/>
            <w:hideMark/>
          </w:tcPr>
          <w:p w14:paraId="0682F22D" w14:textId="024D364F" w:rsidR="000911B2" w:rsidRPr="000774B6" w:rsidRDefault="004A3588" w:rsidP="009351F7">
            <w:pPr>
              <w:pStyle w:val="Tabletext"/>
              <w:rPr>
                <w:rFonts w:cs="Calibri"/>
                <w:color w:val="000000"/>
                <w:lang w:eastAsia="en-AU"/>
              </w:rPr>
            </w:pPr>
            <w:r>
              <w:rPr>
                <w:rFonts w:cs="Calibri"/>
                <w:color w:val="000000"/>
                <w:lang w:eastAsia="en-AU"/>
              </w:rPr>
              <w:t>9.97</w:t>
            </w:r>
          </w:p>
        </w:tc>
      </w:tr>
      <w:tr w:rsidR="009351F7" w:rsidRPr="000911B2" w14:paraId="0EE7F6BA" w14:textId="77777777" w:rsidTr="00F82C5C">
        <w:tblPrEx>
          <w:tblBorders>
            <w:bottom w:val="single" w:sz="4" w:space="0" w:color="646464"/>
            <w:insideH w:val="single" w:sz="4" w:space="0" w:color="646464"/>
          </w:tblBorders>
        </w:tblPrEx>
        <w:trPr>
          <w:gridBefore w:val="1"/>
          <w:wBefore w:w="207" w:type="pct"/>
          <w:cantSplit/>
        </w:trPr>
        <w:tc>
          <w:tcPr>
            <w:tcW w:w="2329" w:type="pct"/>
            <w:shd w:val="clear" w:color="auto" w:fill="auto"/>
            <w:noWrap/>
            <w:hideMark/>
          </w:tcPr>
          <w:p w14:paraId="2A740B39" w14:textId="77777777" w:rsidR="000911B2" w:rsidRPr="000774B6" w:rsidRDefault="000911B2" w:rsidP="009351F7">
            <w:pPr>
              <w:pStyle w:val="Tabletext"/>
              <w:rPr>
                <w:rFonts w:cs="Calibri"/>
                <w:color w:val="000000"/>
                <w:lang w:eastAsia="en-AU"/>
              </w:rPr>
            </w:pPr>
            <w:r w:rsidRPr="000774B6">
              <w:rPr>
                <w:rFonts w:cs="Calibri"/>
                <w:color w:val="000000"/>
                <w:lang w:eastAsia="en-AU"/>
              </w:rPr>
              <w:t>Annual reduction in other costs of transporting cattle</w:t>
            </w:r>
          </w:p>
        </w:tc>
        <w:tc>
          <w:tcPr>
            <w:tcW w:w="452" w:type="pct"/>
            <w:shd w:val="clear" w:color="auto" w:fill="auto"/>
            <w:noWrap/>
            <w:hideMark/>
          </w:tcPr>
          <w:p w14:paraId="40DF5E9A" w14:textId="77777777" w:rsidR="000911B2" w:rsidRPr="000774B6" w:rsidRDefault="000911B2" w:rsidP="009351F7">
            <w:pPr>
              <w:pStyle w:val="Tabletext"/>
              <w:rPr>
                <w:rFonts w:cs="Calibri"/>
                <w:color w:val="000000"/>
                <w:lang w:eastAsia="en-AU"/>
              </w:rPr>
            </w:pPr>
            <w:r w:rsidRPr="000774B6">
              <w:rPr>
                <w:rFonts w:cs="Calibri"/>
                <w:color w:val="000000"/>
                <w:lang w:eastAsia="en-AU"/>
              </w:rPr>
              <w:t>$4.8m</w:t>
            </w:r>
          </w:p>
        </w:tc>
        <w:tc>
          <w:tcPr>
            <w:tcW w:w="452" w:type="pct"/>
            <w:shd w:val="clear" w:color="auto" w:fill="auto"/>
            <w:noWrap/>
            <w:hideMark/>
          </w:tcPr>
          <w:p w14:paraId="543D0C11" w14:textId="77777777" w:rsidR="000911B2" w:rsidRPr="000774B6" w:rsidRDefault="000911B2" w:rsidP="009351F7">
            <w:pPr>
              <w:pStyle w:val="Tabletext"/>
              <w:rPr>
                <w:rFonts w:cs="Calibri"/>
                <w:color w:val="000000"/>
                <w:lang w:eastAsia="en-AU"/>
              </w:rPr>
            </w:pPr>
            <w:r w:rsidRPr="000774B6">
              <w:rPr>
                <w:rFonts w:cs="Calibri"/>
                <w:color w:val="000000"/>
                <w:lang w:eastAsia="en-AU"/>
              </w:rPr>
              <w:t>$2.4m</w:t>
            </w:r>
          </w:p>
        </w:tc>
        <w:tc>
          <w:tcPr>
            <w:tcW w:w="453" w:type="pct"/>
            <w:shd w:val="clear" w:color="auto" w:fill="auto"/>
            <w:noWrap/>
            <w:hideMark/>
          </w:tcPr>
          <w:p w14:paraId="4504C503" w14:textId="77777777" w:rsidR="000911B2" w:rsidRPr="000774B6" w:rsidRDefault="000911B2" w:rsidP="009351F7">
            <w:pPr>
              <w:pStyle w:val="Tabletext"/>
              <w:rPr>
                <w:rFonts w:cs="Calibri"/>
                <w:color w:val="000000"/>
                <w:lang w:eastAsia="en-AU"/>
              </w:rPr>
            </w:pPr>
            <w:r w:rsidRPr="000774B6">
              <w:rPr>
                <w:rFonts w:cs="Calibri"/>
                <w:color w:val="000000"/>
                <w:lang w:eastAsia="en-AU"/>
              </w:rPr>
              <w:t>$7.2m</w:t>
            </w:r>
          </w:p>
        </w:tc>
        <w:tc>
          <w:tcPr>
            <w:tcW w:w="371" w:type="pct"/>
            <w:shd w:val="clear" w:color="auto" w:fill="auto"/>
            <w:noWrap/>
          </w:tcPr>
          <w:p w14:paraId="6306DFF3" w14:textId="158550B7" w:rsidR="000911B2" w:rsidRPr="000774B6" w:rsidRDefault="00F82C5C" w:rsidP="00F8202D">
            <w:pPr>
              <w:pStyle w:val="Tabletext"/>
              <w:rPr>
                <w:rFonts w:cs="Calibri"/>
                <w:color w:val="000000"/>
                <w:lang w:eastAsia="en-AU"/>
              </w:rPr>
            </w:pPr>
            <w:r>
              <w:rPr>
                <w:rFonts w:cs="Calibri"/>
                <w:color w:val="000000"/>
                <w:lang w:eastAsia="en-AU"/>
              </w:rPr>
              <w:t>9.29</w:t>
            </w:r>
          </w:p>
        </w:tc>
        <w:tc>
          <w:tcPr>
            <w:tcW w:w="368" w:type="pct"/>
            <w:shd w:val="clear" w:color="auto" w:fill="auto"/>
            <w:noWrap/>
            <w:hideMark/>
          </w:tcPr>
          <w:p w14:paraId="19CA61A5" w14:textId="4F18F0D1" w:rsidR="000911B2" w:rsidRPr="000774B6" w:rsidRDefault="00800247" w:rsidP="00800247">
            <w:pPr>
              <w:pStyle w:val="Tabletext"/>
              <w:rPr>
                <w:rFonts w:cs="Calibri"/>
                <w:color w:val="000000"/>
                <w:lang w:eastAsia="en-AU"/>
              </w:rPr>
            </w:pPr>
            <w:r>
              <w:rPr>
                <w:rFonts w:cs="Calibri"/>
                <w:color w:val="000000"/>
                <w:lang w:eastAsia="en-AU"/>
              </w:rPr>
              <w:t>7</w:t>
            </w:r>
            <w:r w:rsidR="000911B2" w:rsidRPr="000774B6">
              <w:rPr>
                <w:rFonts w:cs="Calibri"/>
                <w:color w:val="000000"/>
                <w:lang w:eastAsia="en-AU"/>
              </w:rPr>
              <w:t>.</w:t>
            </w:r>
            <w:r w:rsidR="002129FB">
              <w:rPr>
                <w:rFonts w:cs="Calibri"/>
                <w:color w:val="000000"/>
                <w:lang w:eastAsia="en-AU"/>
              </w:rPr>
              <w:t>2</w:t>
            </w:r>
            <w:r>
              <w:rPr>
                <w:rFonts w:cs="Calibri"/>
                <w:color w:val="000000"/>
                <w:lang w:eastAsia="en-AU"/>
              </w:rPr>
              <w:t>5</w:t>
            </w:r>
          </w:p>
        </w:tc>
        <w:tc>
          <w:tcPr>
            <w:tcW w:w="368" w:type="pct"/>
            <w:shd w:val="clear" w:color="auto" w:fill="auto"/>
            <w:noWrap/>
            <w:hideMark/>
          </w:tcPr>
          <w:p w14:paraId="0410ADCB" w14:textId="323636A6" w:rsidR="000911B2" w:rsidRPr="000774B6" w:rsidRDefault="00800247" w:rsidP="002129FB">
            <w:pPr>
              <w:pStyle w:val="Tabletext"/>
              <w:rPr>
                <w:rFonts w:cs="Calibri"/>
                <w:color w:val="000000"/>
                <w:lang w:eastAsia="en-AU"/>
              </w:rPr>
            </w:pPr>
            <w:r>
              <w:rPr>
                <w:rFonts w:cs="Calibri"/>
                <w:color w:val="000000"/>
                <w:lang w:eastAsia="en-AU"/>
              </w:rPr>
              <w:t>11.33</w:t>
            </w:r>
          </w:p>
        </w:tc>
      </w:tr>
      <w:tr w:rsidR="000774B6" w:rsidRPr="000911B2" w14:paraId="2C40DE25" w14:textId="77777777" w:rsidTr="00F82C5C">
        <w:tblPrEx>
          <w:tblBorders>
            <w:bottom w:val="single" w:sz="4" w:space="0" w:color="646464"/>
            <w:insideH w:val="single" w:sz="4" w:space="0" w:color="646464"/>
          </w:tblBorders>
        </w:tblPrEx>
        <w:trPr>
          <w:gridBefore w:val="1"/>
          <w:wBefore w:w="207" w:type="pct"/>
          <w:cantSplit/>
        </w:trPr>
        <w:tc>
          <w:tcPr>
            <w:tcW w:w="2329" w:type="pct"/>
            <w:shd w:val="clear" w:color="auto" w:fill="auto"/>
            <w:noWrap/>
            <w:hideMark/>
          </w:tcPr>
          <w:p w14:paraId="74FBDCD1" w14:textId="4ACE0DE9" w:rsidR="009351F7" w:rsidRPr="000774B6" w:rsidRDefault="009351F7" w:rsidP="00B055DC">
            <w:pPr>
              <w:pStyle w:val="Tabletext"/>
              <w:rPr>
                <w:rFonts w:cs="Calibri"/>
                <w:color w:val="000000"/>
                <w:lang w:eastAsia="en-AU"/>
              </w:rPr>
            </w:pPr>
            <w:r w:rsidRPr="000774B6">
              <w:rPr>
                <w:rFonts w:cs="Calibri"/>
                <w:color w:val="000000"/>
                <w:lang w:eastAsia="en-AU"/>
              </w:rPr>
              <w:t xml:space="preserve">Annual </w:t>
            </w:r>
            <w:proofErr w:type="spellStart"/>
            <w:r w:rsidR="00542555">
              <w:rPr>
                <w:rFonts w:cs="Calibri"/>
                <w:color w:val="000000"/>
                <w:lang w:eastAsia="en-AU"/>
              </w:rPr>
              <w:t>TraNSIT</w:t>
            </w:r>
            <w:proofErr w:type="spellEnd"/>
            <w:r w:rsidR="00542555">
              <w:rPr>
                <w:rFonts w:cs="Calibri"/>
                <w:color w:val="000000"/>
                <w:lang w:eastAsia="en-AU"/>
              </w:rPr>
              <w:t xml:space="preserve"> </w:t>
            </w:r>
            <w:r w:rsidRPr="000774B6">
              <w:rPr>
                <w:rFonts w:cs="Calibri"/>
                <w:color w:val="000000"/>
                <w:lang w:eastAsia="en-AU"/>
              </w:rPr>
              <w:t>model use fees</w:t>
            </w:r>
          </w:p>
        </w:tc>
        <w:tc>
          <w:tcPr>
            <w:tcW w:w="452" w:type="pct"/>
            <w:shd w:val="clear" w:color="auto" w:fill="auto"/>
            <w:noWrap/>
            <w:hideMark/>
          </w:tcPr>
          <w:p w14:paraId="7D534312" w14:textId="77777777" w:rsidR="009351F7" w:rsidRPr="000774B6" w:rsidRDefault="009351F7" w:rsidP="00B055DC">
            <w:pPr>
              <w:pStyle w:val="Tabletext"/>
              <w:rPr>
                <w:rFonts w:cs="Calibri"/>
                <w:color w:val="000000"/>
                <w:lang w:eastAsia="en-AU"/>
              </w:rPr>
            </w:pPr>
            <w:r w:rsidRPr="000774B6">
              <w:rPr>
                <w:rFonts w:cs="Calibri"/>
                <w:color w:val="000000"/>
                <w:lang w:eastAsia="en-AU"/>
              </w:rPr>
              <w:t>$0.55m</w:t>
            </w:r>
          </w:p>
        </w:tc>
        <w:tc>
          <w:tcPr>
            <w:tcW w:w="452" w:type="pct"/>
            <w:shd w:val="clear" w:color="auto" w:fill="auto"/>
            <w:noWrap/>
            <w:hideMark/>
          </w:tcPr>
          <w:p w14:paraId="7E410132" w14:textId="77777777" w:rsidR="009351F7" w:rsidRPr="000774B6" w:rsidRDefault="009351F7" w:rsidP="00B055DC">
            <w:pPr>
              <w:pStyle w:val="Tabletext"/>
              <w:rPr>
                <w:rFonts w:cs="Calibri"/>
                <w:color w:val="000000"/>
                <w:lang w:eastAsia="en-AU"/>
              </w:rPr>
            </w:pPr>
            <w:r w:rsidRPr="000774B6">
              <w:rPr>
                <w:rFonts w:cs="Calibri"/>
                <w:color w:val="000000"/>
                <w:lang w:eastAsia="en-AU"/>
              </w:rPr>
              <w:t>$0.35m</w:t>
            </w:r>
          </w:p>
        </w:tc>
        <w:tc>
          <w:tcPr>
            <w:tcW w:w="453" w:type="pct"/>
            <w:shd w:val="clear" w:color="auto" w:fill="auto"/>
            <w:noWrap/>
            <w:hideMark/>
          </w:tcPr>
          <w:p w14:paraId="1ED7DE84" w14:textId="77777777" w:rsidR="009351F7" w:rsidRPr="000774B6" w:rsidRDefault="009351F7" w:rsidP="00B055DC">
            <w:pPr>
              <w:pStyle w:val="Tabletext"/>
              <w:rPr>
                <w:rFonts w:cs="Calibri"/>
                <w:color w:val="000000"/>
                <w:lang w:eastAsia="en-AU"/>
              </w:rPr>
            </w:pPr>
            <w:r w:rsidRPr="000774B6">
              <w:rPr>
                <w:rFonts w:cs="Calibri"/>
                <w:color w:val="000000"/>
                <w:lang w:eastAsia="en-AU"/>
              </w:rPr>
              <w:t>$0.75m</w:t>
            </w:r>
          </w:p>
        </w:tc>
        <w:tc>
          <w:tcPr>
            <w:tcW w:w="371" w:type="pct"/>
            <w:shd w:val="clear" w:color="auto" w:fill="auto"/>
            <w:noWrap/>
          </w:tcPr>
          <w:p w14:paraId="5A803176" w14:textId="510B6FEE" w:rsidR="009351F7" w:rsidRPr="000774B6" w:rsidRDefault="00F82C5C" w:rsidP="00F8202D">
            <w:pPr>
              <w:pStyle w:val="Tabletext"/>
              <w:rPr>
                <w:rFonts w:cs="Calibri"/>
                <w:color w:val="000000"/>
                <w:lang w:eastAsia="en-AU"/>
              </w:rPr>
            </w:pPr>
            <w:r>
              <w:rPr>
                <w:rFonts w:cs="Calibri"/>
                <w:color w:val="000000"/>
                <w:lang w:eastAsia="en-AU"/>
              </w:rPr>
              <w:t>9.29</w:t>
            </w:r>
          </w:p>
        </w:tc>
        <w:tc>
          <w:tcPr>
            <w:tcW w:w="368" w:type="pct"/>
            <w:shd w:val="clear" w:color="auto" w:fill="auto"/>
            <w:noWrap/>
            <w:hideMark/>
          </w:tcPr>
          <w:p w14:paraId="02F66EF6" w14:textId="368F767E" w:rsidR="009351F7" w:rsidRPr="000774B6" w:rsidRDefault="00800247" w:rsidP="00B055DC">
            <w:pPr>
              <w:pStyle w:val="Tabletext"/>
              <w:rPr>
                <w:rFonts w:cs="Calibri"/>
                <w:color w:val="000000"/>
                <w:lang w:eastAsia="en-AU"/>
              </w:rPr>
            </w:pPr>
            <w:r>
              <w:rPr>
                <w:rFonts w:cs="Calibri"/>
                <w:color w:val="000000"/>
                <w:lang w:eastAsia="en-AU"/>
              </w:rPr>
              <w:t>9.12</w:t>
            </w:r>
          </w:p>
        </w:tc>
        <w:tc>
          <w:tcPr>
            <w:tcW w:w="368" w:type="pct"/>
            <w:shd w:val="clear" w:color="auto" w:fill="auto"/>
            <w:noWrap/>
            <w:hideMark/>
          </w:tcPr>
          <w:p w14:paraId="430B86D8" w14:textId="255F2E7B" w:rsidR="009351F7" w:rsidRPr="000774B6" w:rsidRDefault="00800247" w:rsidP="00B055DC">
            <w:pPr>
              <w:pStyle w:val="Tabletext"/>
              <w:rPr>
                <w:rFonts w:cs="Calibri"/>
                <w:color w:val="000000"/>
                <w:lang w:eastAsia="en-AU"/>
              </w:rPr>
            </w:pPr>
            <w:r>
              <w:rPr>
                <w:rFonts w:cs="Calibri"/>
                <w:color w:val="000000"/>
                <w:lang w:eastAsia="en-AU"/>
              </w:rPr>
              <w:t>9.46</w:t>
            </w:r>
          </w:p>
        </w:tc>
      </w:tr>
      <w:tr w:rsidR="009351F7" w:rsidRPr="000911B2" w14:paraId="5F0BA4EC" w14:textId="77777777" w:rsidTr="009351F7">
        <w:tblPrEx>
          <w:tblBorders>
            <w:bottom w:val="single" w:sz="4" w:space="0" w:color="646464"/>
            <w:insideH w:val="single" w:sz="4" w:space="0" w:color="646464"/>
          </w:tblBorders>
        </w:tblPrEx>
        <w:trPr>
          <w:gridBefore w:val="1"/>
          <w:wBefore w:w="207" w:type="pct"/>
          <w:cantSplit/>
        </w:trPr>
        <w:tc>
          <w:tcPr>
            <w:tcW w:w="4793" w:type="pct"/>
            <w:gridSpan w:val="7"/>
            <w:tcBorders>
              <w:bottom w:val="single" w:sz="4" w:space="0" w:color="646464"/>
            </w:tcBorders>
            <w:shd w:val="clear" w:color="auto" w:fill="auto"/>
            <w:noWrap/>
          </w:tcPr>
          <w:p w14:paraId="559C0F81" w14:textId="62C1A7AC" w:rsidR="009351F7" w:rsidRPr="000911B2" w:rsidRDefault="009351F7" w:rsidP="009351F7">
            <w:pPr>
              <w:pStyle w:val="Source"/>
              <w:rPr>
                <w:lang w:eastAsia="en-AU"/>
              </w:rPr>
            </w:pPr>
            <w:r>
              <w:t>Source:</w:t>
            </w:r>
            <w:r w:rsidRPr="000911B2">
              <w:rPr>
                <w:lang w:eastAsia="en-AU"/>
              </w:rPr>
              <w:t xml:space="preserve"> </w:t>
            </w:r>
            <w:r w:rsidR="000774B6">
              <w:rPr>
                <w:lang w:eastAsia="en-AU"/>
              </w:rPr>
              <w:t>ACIL Allen Consulting</w:t>
            </w:r>
          </w:p>
        </w:tc>
      </w:tr>
      <w:tr w:rsidR="009351F7" w:rsidRPr="000911B2" w14:paraId="7169A20E" w14:textId="77777777" w:rsidTr="009351F7">
        <w:tblPrEx>
          <w:tblBorders>
            <w:bottom w:val="single" w:sz="4" w:space="0" w:color="646464"/>
            <w:insideH w:val="single" w:sz="4" w:space="0" w:color="646464"/>
          </w:tblBorders>
        </w:tblPrEx>
        <w:trPr>
          <w:gridBefore w:val="1"/>
          <w:wBefore w:w="207" w:type="pct"/>
          <w:cantSplit/>
          <w:trHeight w:hRule="exact" w:val="120"/>
        </w:trPr>
        <w:tc>
          <w:tcPr>
            <w:tcW w:w="4793" w:type="pct"/>
            <w:gridSpan w:val="7"/>
            <w:tcBorders>
              <w:top w:val="single" w:sz="4" w:space="0" w:color="646464"/>
              <w:bottom w:val="nil"/>
            </w:tcBorders>
            <w:shd w:val="clear" w:color="auto" w:fill="auto"/>
            <w:noWrap/>
          </w:tcPr>
          <w:p w14:paraId="50233308" w14:textId="77777777" w:rsidR="009351F7" w:rsidRPr="000911B2" w:rsidRDefault="009351F7" w:rsidP="009351F7">
            <w:pPr>
              <w:pStyle w:val="spacertbl"/>
              <w:rPr>
                <w:lang w:eastAsia="en-AU"/>
              </w:rPr>
            </w:pPr>
          </w:p>
        </w:tc>
      </w:tr>
    </w:tbl>
    <w:p w14:paraId="0A13FD28" w14:textId="38203D0B" w:rsidR="000911B2" w:rsidRPr="00772E40" w:rsidRDefault="006D6C8E" w:rsidP="001919FF">
      <w:pPr>
        <w:pStyle w:val="BodyText"/>
      </w:pPr>
      <w:r>
        <w:t xml:space="preserve">The sensitivity of the BCR to the choice of discount rate has also been tested. The BCR of the program is </w:t>
      </w:r>
      <w:r w:rsidR="00734169">
        <w:t>11</w:t>
      </w:r>
      <w:r>
        <w:t>.</w:t>
      </w:r>
      <w:r w:rsidR="00734169">
        <w:t>8</w:t>
      </w:r>
      <w:r>
        <w:t xml:space="preserve">9 and </w:t>
      </w:r>
      <w:r w:rsidR="00734169">
        <w:t>7</w:t>
      </w:r>
      <w:r>
        <w:t>.</w:t>
      </w:r>
      <w:r w:rsidR="00734169">
        <w:t>37</w:t>
      </w:r>
      <w:r>
        <w:t xml:space="preserve"> under a 4 per cent and a 10 per cent real discount rate respectively. The corresponding NPV figures are $</w:t>
      </w:r>
      <w:r w:rsidR="00734169">
        <w:t>94</w:t>
      </w:r>
      <w:r>
        <w:t>.</w:t>
      </w:r>
      <w:r w:rsidR="00734169">
        <w:t>36</w:t>
      </w:r>
      <w:r>
        <w:t xml:space="preserve"> million and $</w:t>
      </w:r>
      <w:r w:rsidR="00734169">
        <w:t>74</w:t>
      </w:r>
      <w:r>
        <w:t>.</w:t>
      </w:r>
      <w:r w:rsidR="00734169">
        <w:t>91</w:t>
      </w:r>
      <w:r>
        <w:t xml:space="preserve"> million in 2017 dollars respectively.</w:t>
      </w:r>
    </w:p>
    <w:p w14:paraId="1BA1153A" w14:textId="77777777" w:rsidR="00C953C7" w:rsidRPr="00B03BA4" w:rsidRDefault="00C953C7" w:rsidP="00C953C7">
      <w:pPr>
        <w:pStyle w:val="Heading3"/>
      </w:pPr>
      <w:r w:rsidRPr="00B03BA4">
        <w:t xml:space="preserve">Potential future impacts </w:t>
      </w:r>
    </w:p>
    <w:p w14:paraId="0DB8058D" w14:textId="31FD24DF" w:rsidR="00C953C7" w:rsidRDefault="00286A2D" w:rsidP="00286A2D">
      <w:pPr>
        <w:pStyle w:val="Heading6nonumber"/>
      </w:pPr>
      <w:proofErr w:type="spellStart"/>
      <w:r>
        <w:t>TraNSIT</w:t>
      </w:r>
      <w:proofErr w:type="spellEnd"/>
    </w:p>
    <w:p w14:paraId="1B9B5AF5" w14:textId="3090E8EB" w:rsidR="00286A2D" w:rsidRDefault="00286A2D" w:rsidP="00C953C7">
      <w:pPr>
        <w:pStyle w:val="BodyText"/>
      </w:pPr>
      <w:r>
        <w:t xml:space="preserve">The </w:t>
      </w:r>
      <w:proofErr w:type="spellStart"/>
      <w:r>
        <w:t>TraNSIT</w:t>
      </w:r>
      <w:proofErr w:type="spellEnd"/>
      <w:r>
        <w:t xml:space="preserve"> tool has been extended well beyond its initial design and there is considerable scope to extend its use across the Australian agricultural sector. The model is also being applied </w:t>
      </w:r>
      <w:r w:rsidR="005C32C6">
        <w:t>in Indonesia, Laos and Vietnam</w:t>
      </w:r>
      <w:r>
        <w:t>. The rise in the fees paid to use the model over time suggest that it is regarded as a valuable planning tool.</w:t>
      </w:r>
    </w:p>
    <w:p w14:paraId="5F742152" w14:textId="7BCCF49D" w:rsidR="00286A2D" w:rsidRDefault="00286A2D" w:rsidP="00286A2D">
      <w:pPr>
        <w:pStyle w:val="Heading6nonumber"/>
      </w:pPr>
      <w:r>
        <w:t>FGARA</w:t>
      </w:r>
    </w:p>
    <w:p w14:paraId="052F1F35" w14:textId="3645BED6" w:rsidR="00286A2D" w:rsidRPr="00F05663" w:rsidRDefault="00286A2D" w:rsidP="00C953C7">
      <w:pPr>
        <w:pStyle w:val="BodyText"/>
      </w:pPr>
      <w:r>
        <w:t>The fact that the</w:t>
      </w:r>
      <w:r w:rsidRPr="00286A2D">
        <w:t xml:space="preserve"> approach to land and water assessments</w:t>
      </w:r>
      <w:r>
        <w:t xml:space="preserve"> developed through FGARA</w:t>
      </w:r>
      <w:r w:rsidRPr="00286A2D">
        <w:t xml:space="preserve"> is considerably quicker and cheaper than previous approaches</w:t>
      </w:r>
      <w:r>
        <w:t xml:space="preserve"> suggests that it will continue to be a sought after planning tool. The comments by stakeholders support this view.</w:t>
      </w:r>
    </w:p>
    <w:p w14:paraId="67B99D87" w14:textId="77777777" w:rsidR="00C953C7" w:rsidRPr="00B03BA4" w:rsidRDefault="00951FD5" w:rsidP="00C953C7">
      <w:pPr>
        <w:pStyle w:val="Heading3"/>
      </w:pPr>
      <w:r>
        <w:t>CSIRO</w:t>
      </w:r>
      <w:r w:rsidR="00C953C7" w:rsidRPr="00B03BA4">
        <w:t>’s role as an Innovation Catalyst</w:t>
      </w:r>
    </w:p>
    <w:p w14:paraId="3052B970" w14:textId="77777777" w:rsidR="00F33A38" w:rsidRDefault="00F33A38" w:rsidP="00F33A38">
      <w:pPr>
        <w:pStyle w:val="Heading6nonumber"/>
      </w:pPr>
      <w:proofErr w:type="spellStart"/>
      <w:r>
        <w:t>TraNSIT</w:t>
      </w:r>
      <w:proofErr w:type="spellEnd"/>
    </w:p>
    <w:p w14:paraId="2B63D798" w14:textId="67EA1DF6" w:rsidR="00F33A38" w:rsidRPr="00F05663" w:rsidRDefault="00F33A38" w:rsidP="00F33A38">
      <w:pPr>
        <w:pStyle w:val="BodyText"/>
      </w:pPr>
      <w:r>
        <w:t xml:space="preserve">The </w:t>
      </w:r>
      <w:proofErr w:type="spellStart"/>
      <w:r>
        <w:t>TraNSIT</w:t>
      </w:r>
      <w:proofErr w:type="spellEnd"/>
      <w:r>
        <w:t xml:space="preserve"> model can be used to holistically evaluate the relative merits of proposed investments in new infrastructure and or potential policy changes. Past approaches only examined the impact of individual proposed transport projects in isolation.</w:t>
      </w:r>
    </w:p>
    <w:p w14:paraId="643CF5F0" w14:textId="77777777" w:rsidR="00F33A38" w:rsidRDefault="00F33A38" w:rsidP="00F33A38">
      <w:pPr>
        <w:pStyle w:val="Heading6nonumber"/>
      </w:pPr>
      <w:r>
        <w:t>FGARA</w:t>
      </w:r>
    </w:p>
    <w:p w14:paraId="4997BF7A" w14:textId="4764196E" w:rsidR="00F33A38" w:rsidRDefault="00F33A38" w:rsidP="00F33A38">
      <w:pPr>
        <w:pStyle w:val="BodyText"/>
      </w:pPr>
      <w:r>
        <w:t xml:space="preserve">The methodology developed for the FGARA can assess future land and water developments more rapidly and inexpensively. </w:t>
      </w:r>
    </w:p>
    <w:p w14:paraId="017EB757" w14:textId="77777777" w:rsidR="00C953C7" w:rsidRDefault="00C953C7" w:rsidP="00C953C7">
      <w:pPr>
        <w:pStyle w:val="Heading3"/>
      </w:pPr>
      <w:r>
        <w:lastRenderedPageBreak/>
        <w:t>Distribution effects on users</w:t>
      </w:r>
    </w:p>
    <w:p w14:paraId="515963E4" w14:textId="42444847" w:rsidR="00C37132" w:rsidRDefault="00F33A38" w:rsidP="00C953C7">
      <w:pPr>
        <w:pStyle w:val="BodyText"/>
      </w:pPr>
      <w:r>
        <w:t xml:space="preserve">The use of the approaches developed for FGARA and </w:t>
      </w:r>
      <w:proofErr w:type="spellStart"/>
      <w:r>
        <w:t>TraNSIT</w:t>
      </w:r>
      <w:proofErr w:type="spellEnd"/>
      <w:r>
        <w:t xml:space="preserve"> </w:t>
      </w:r>
      <w:r w:rsidR="0029083E">
        <w:t xml:space="preserve">will </w:t>
      </w:r>
      <w:r>
        <w:t>inform decision making and reduce the risk of making costly planning or development mistakes.</w:t>
      </w:r>
      <w:r w:rsidR="00C37132">
        <w:t xml:space="preserve"> </w:t>
      </w:r>
    </w:p>
    <w:p w14:paraId="754C29FE" w14:textId="581234EA" w:rsidR="00C953C7" w:rsidRPr="00A64C40" w:rsidRDefault="00C37132" w:rsidP="00C953C7">
      <w:pPr>
        <w:pStyle w:val="BodyText"/>
      </w:pPr>
      <w:r w:rsidRPr="00C37132">
        <w:t>FGARA provide</w:t>
      </w:r>
      <w:r>
        <w:t>s</w:t>
      </w:r>
      <w:r w:rsidRPr="00C37132">
        <w:t xml:space="preserve"> information that can be tailored to meet the due diligence requirements of private investors and lenders, by addressing questions of profitability and income reliability of agricultural and other developments.</w:t>
      </w:r>
    </w:p>
    <w:p w14:paraId="05F3E79E" w14:textId="77777777" w:rsidR="00C953C7" w:rsidRDefault="00C953C7" w:rsidP="00C953C7">
      <w:pPr>
        <w:pStyle w:val="Heading3"/>
      </w:pPr>
      <w:r>
        <w:t>Externalities or other flow-on effects on non-users</w:t>
      </w:r>
    </w:p>
    <w:p w14:paraId="79095E74" w14:textId="5C2744FE" w:rsidR="00C953C7" w:rsidRDefault="00F33A38" w:rsidP="00F33A38">
      <w:pPr>
        <w:pStyle w:val="Heading6nonumber"/>
      </w:pPr>
      <w:proofErr w:type="spellStart"/>
      <w:r>
        <w:t>TraNSIT</w:t>
      </w:r>
      <w:proofErr w:type="spellEnd"/>
    </w:p>
    <w:p w14:paraId="75912437" w14:textId="515160C5" w:rsidR="00F33A38" w:rsidRDefault="00F33A38" w:rsidP="00C953C7">
      <w:pPr>
        <w:pStyle w:val="BodyText"/>
      </w:pPr>
      <w:r>
        <w:t xml:space="preserve">Improving transport infrastructure planning and develop outcomes will help to reduce travel times and the risk of driver fatigue induced accidents. There will also be benefits to animal welfare as a result of reduced travel times. Improved transport infrastructure </w:t>
      </w:r>
      <w:r w:rsidR="00D94DCE">
        <w:t>can</w:t>
      </w:r>
      <w:r>
        <w:t xml:space="preserve"> also increase the </w:t>
      </w:r>
      <w:r w:rsidR="00D94DCE">
        <w:t>employment and income security of people in the agricultural sector. For example, through access to year round transport options</w:t>
      </w:r>
      <w:r w:rsidR="00C37132">
        <w:t>.</w:t>
      </w:r>
      <w:r w:rsidR="00C5692B">
        <w:t xml:space="preserve"> </w:t>
      </w:r>
    </w:p>
    <w:p w14:paraId="777981F9" w14:textId="4EAA5E1C" w:rsidR="00C953C7" w:rsidRDefault="00C37132" w:rsidP="00C37132">
      <w:pPr>
        <w:pStyle w:val="Heading6nonumber"/>
      </w:pPr>
      <w:r>
        <w:t>FGARA</w:t>
      </w:r>
    </w:p>
    <w:p w14:paraId="39FA3404" w14:textId="23D907F0" w:rsidR="00C37132" w:rsidRPr="00A64C40" w:rsidRDefault="00C37132" w:rsidP="00C953C7">
      <w:pPr>
        <w:pStyle w:val="BodyText"/>
      </w:pPr>
      <w:r w:rsidRPr="00C37132">
        <w:t xml:space="preserve">There are environmental benefits associated with </w:t>
      </w:r>
      <w:r>
        <w:t xml:space="preserve">more robust </w:t>
      </w:r>
      <w:r w:rsidRPr="00C37132">
        <w:t xml:space="preserve">water resource assessments. For example, they can demonstrate the local ecosystem’s ability to absorb greater levels of water extraction, </w:t>
      </w:r>
      <w:r>
        <w:t>and</w:t>
      </w:r>
      <w:r w:rsidRPr="00C37132">
        <w:t xml:space="preserve"> set upper limits on sustainable levels of water extraction</w:t>
      </w:r>
      <w:r w:rsidR="0029083E">
        <w:t xml:space="preserve"> for new agricultural development</w:t>
      </w:r>
      <w:r w:rsidRPr="00C37132">
        <w:t xml:space="preserve">. </w:t>
      </w:r>
      <w:r w:rsidR="0029083E">
        <w:t xml:space="preserve">This has important benefits to the river system and its ecology. Furthermore there are important downstream commercial impacts to consider. For example, </w:t>
      </w:r>
      <w:r>
        <w:t>better m</w:t>
      </w:r>
      <w:r w:rsidRPr="00C37132">
        <w:t>anaging the water flows in the Gilbert and Fitzroy Rivers</w:t>
      </w:r>
      <w:r>
        <w:t xml:space="preserve"> can </w:t>
      </w:r>
      <w:r w:rsidRPr="00C37132">
        <w:t>help to protect important fish and prawn breeding grounds in the Gulf.</w:t>
      </w:r>
    </w:p>
    <w:p w14:paraId="0B7C14C9" w14:textId="77777777" w:rsidR="00FD5A7E" w:rsidRDefault="00FD5A7E" w:rsidP="00C953C7">
      <w:pPr>
        <w:pStyle w:val="BodyText"/>
      </w:pPr>
    </w:p>
    <w:p w14:paraId="32362914" w14:textId="77777777" w:rsidR="00C953C7" w:rsidRDefault="00C953C7">
      <w:pPr>
        <w:pStyle w:val="BodyText"/>
      </w:pPr>
    </w:p>
    <w:sectPr w:rsidR="00C953C7" w:rsidSect="00C57072">
      <w:headerReference w:type="even" r:id="rId11"/>
      <w:headerReference w:type="default" r:id="rId12"/>
      <w:footerReference w:type="even" r:id="rId13"/>
      <w:footerReference w:type="default" r:id="rId14"/>
      <w:headerReference w:type="first" r:id="rId15"/>
      <w:footerReference w:type="first" r:id="rId16"/>
      <w:pgSz w:w="11907" w:h="16839" w:code="9"/>
      <w:pgMar w:top="1100" w:right="443" w:bottom="1320" w:left="956" w:header="456" w:footer="262" w:gutter="0"/>
      <w:pgNumType w:start="1"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64F2F" w14:textId="77777777" w:rsidR="00B3063B" w:rsidRDefault="00B3063B" w:rsidP="00D337DD">
      <w:pPr>
        <w:spacing w:after="0" w:line="240" w:lineRule="auto"/>
      </w:pPr>
      <w:r>
        <w:separator/>
      </w:r>
    </w:p>
  </w:endnote>
  <w:endnote w:type="continuationSeparator" w:id="0">
    <w:p w14:paraId="27E09A73" w14:textId="77777777" w:rsidR="00B3063B" w:rsidRDefault="00B3063B" w:rsidP="00D3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Std Lt Cn">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Neue">
    <w:altName w:val="Arial"/>
    <w:panose1 w:val="00000000000000000000"/>
    <w:charset w:val="00"/>
    <w:family w:val="modern"/>
    <w:notTrueType/>
    <w:pitch w:val="variable"/>
    <w:sig w:usb0="8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idot LT Std Headline">
    <w:altName w:val="Calibri"/>
    <w:panose1 w:val="00000000000000000000"/>
    <w:charset w:val="00"/>
    <w:family w:val="modern"/>
    <w:notTrueType/>
    <w:pitch w:val="variable"/>
    <w:sig w:usb0="800000AF" w:usb1="5000204A" w:usb2="00000000" w:usb3="00000000" w:csb0="00000001" w:csb1="00000000"/>
  </w:font>
  <w:font w:name="HelveticaNeueLT Std Cn">
    <w:altName w:val="Franklin Gothic Demi Cond"/>
    <w:panose1 w:val="00000000000000000000"/>
    <w:charset w:val="00"/>
    <w:family w:val="swiss"/>
    <w:notTrueType/>
    <w:pitch w:val="variable"/>
    <w:sig w:usb0="800000AF" w:usb1="4000204A" w:usb2="00000000" w:usb3="00000000" w:csb0="00000001" w:csb1="00000000"/>
  </w:font>
  <w:font w:name="Novecento Book">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E4BBC" w14:textId="77777777" w:rsidR="00456FDA" w:rsidRDefault="00456F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708"/>
      <w:gridCol w:w="800"/>
    </w:tblGrid>
    <w:tr w:rsidR="00456FDA" w14:paraId="52B57090" w14:textId="77777777" w:rsidTr="0089015A">
      <w:trPr>
        <w:trHeight w:val="620"/>
      </w:trPr>
      <w:tc>
        <w:tcPr>
          <w:tcW w:w="9708" w:type="dxa"/>
          <w:shd w:val="clear" w:color="auto" w:fill="auto"/>
          <w:tcMar>
            <w:right w:w="72" w:type="dxa"/>
          </w:tcMar>
          <w:vAlign w:val="bottom"/>
        </w:tcPr>
        <w:p w14:paraId="3FC94AE2" w14:textId="77777777" w:rsidR="00456FDA" w:rsidRDefault="00456FDA" w:rsidP="00C57072">
          <w:pPr>
            <w:pStyle w:val="FooterText"/>
          </w:pPr>
          <w:r>
            <w:t>caSE STUDY</w:t>
          </w:r>
        </w:p>
      </w:tc>
      <w:tc>
        <w:tcPr>
          <w:tcW w:w="800" w:type="dxa"/>
          <w:shd w:val="clear" w:color="auto" w:fill="auto"/>
          <w:vAlign w:val="bottom"/>
        </w:tcPr>
        <w:p w14:paraId="284AA555" w14:textId="77777777" w:rsidR="00456FDA" w:rsidRDefault="00456FDA" w:rsidP="00C57072">
          <w:pPr>
            <w:pStyle w:val="pageNumber"/>
          </w:pPr>
          <w:r>
            <w:fldChar w:fldCharType="begin"/>
          </w:r>
          <w:r>
            <w:instrText xml:space="preserve"> PAGE   \* MERGEFORMAT </w:instrText>
          </w:r>
          <w:r>
            <w:fldChar w:fldCharType="separate"/>
          </w:r>
          <w:r w:rsidR="00BA7FFD">
            <w:rPr>
              <w:noProof/>
            </w:rPr>
            <w:t>1</w:t>
          </w:r>
          <w:r>
            <w:rPr>
              <w:noProof/>
            </w:rPr>
            <w:fldChar w:fldCharType="end"/>
          </w:r>
        </w:p>
      </w:tc>
    </w:tr>
  </w:tbl>
  <w:p w14:paraId="15AC377B" w14:textId="77777777" w:rsidR="00456FDA" w:rsidRPr="00B21CCC" w:rsidRDefault="00456FDA" w:rsidP="00C570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6F842" w14:textId="77777777" w:rsidR="00456FDA" w:rsidRDefault="00456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7B009" w14:textId="77777777" w:rsidR="00B3063B" w:rsidRDefault="00B3063B" w:rsidP="00D337DD">
      <w:pPr>
        <w:spacing w:after="0" w:line="240" w:lineRule="auto"/>
      </w:pPr>
      <w:r>
        <w:separator/>
      </w:r>
    </w:p>
  </w:footnote>
  <w:footnote w:type="continuationSeparator" w:id="0">
    <w:p w14:paraId="12BB227A" w14:textId="77777777" w:rsidR="00B3063B" w:rsidRDefault="00B3063B" w:rsidP="00D337DD">
      <w:pPr>
        <w:spacing w:after="0" w:line="240" w:lineRule="auto"/>
      </w:pPr>
      <w:r>
        <w:continuationSeparator/>
      </w:r>
    </w:p>
  </w:footnote>
  <w:footnote w:id="1">
    <w:p w14:paraId="65312E68" w14:textId="77777777" w:rsidR="00456FDA" w:rsidRDefault="00456FDA">
      <w:pPr>
        <w:pStyle w:val="FootnoteText"/>
      </w:pPr>
      <w:r>
        <w:rPr>
          <w:rStyle w:val="FootnoteReference"/>
        </w:rPr>
        <w:footnoteRef/>
      </w:r>
      <w:r>
        <w:t xml:space="preserve"> </w:t>
      </w:r>
      <w:r w:rsidRPr="000052C7">
        <w:t xml:space="preserve">Water for a healthy country flagship review report 2009 to 2013, </w:t>
      </w:r>
      <w:r>
        <w:t xml:space="preserve">CSIRO, </w:t>
      </w:r>
      <w:r w:rsidRPr="000052C7">
        <w:t>2013.</w:t>
      </w:r>
    </w:p>
  </w:footnote>
  <w:footnote w:id="2">
    <w:p w14:paraId="2ACE31E9" w14:textId="77777777" w:rsidR="00456FDA" w:rsidRDefault="00456FDA" w:rsidP="00E34E48">
      <w:pPr>
        <w:pStyle w:val="FootnoteText"/>
      </w:pPr>
      <w:r>
        <w:rPr>
          <w:rStyle w:val="FootnoteReference"/>
        </w:rPr>
        <w:footnoteRef/>
      </w:r>
      <w:r>
        <w:t xml:space="preserve"> The</w:t>
      </w:r>
      <w:r w:rsidRPr="00FF611D">
        <w:t xml:space="preserve"> Northern Australia Infrastructure Facility (NAIF) may approve loans </w:t>
      </w:r>
      <w:r>
        <w:t>totalling up to $5 billion by end</w:t>
      </w:r>
      <w:r w:rsidRPr="00FF611D">
        <w:t xml:space="preserve"> June 2021. </w:t>
      </w:r>
      <w:r>
        <w:t>NAIF l</w:t>
      </w:r>
      <w:r w:rsidRPr="00FF611D">
        <w:t xml:space="preserve">oans </w:t>
      </w:r>
      <w:r>
        <w:t>are intended to</w:t>
      </w:r>
      <w:r w:rsidRPr="00FF611D">
        <w:t xml:space="preserve"> encourage and complement private sector investment in economic infrastructure that benefits northern Australia</w:t>
      </w:r>
      <w:r>
        <w:t xml:space="preserve">, such as </w:t>
      </w:r>
      <w:r w:rsidRPr="00FF611D">
        <w:t xml:space="preserve">airports, communications, energy, ports, rail and water. </w:t>
      </w:r>
    </w:p>
  </w:footnote>
  <w:footnote w:id="3">
    <w:p w14:paraId="435D8139" w14:textId="77777777" w:rsidR="00456FDA" w:rsidRDefault="00456FDA">
      <w:pPr>
        <w:pStyle w:val="FootnoteText"/>
      </w:pPr>
      <w:r>
        <w:rPr>
          <w:rStyle w:val="FootnoteReference"/>
        </w:rPr>
        <w:footnoteRef/>
      </w:r>
      <w:r>
        <w:t xml:space="preserve"> Personal communication with Andrew Dickson, Director, Office of Northern Australia, September 2017.</w:t>
      </w:r>
    </w:p>
  </w:footnote>
  <w:footnote w:id="4">
    <w:p w14:paraId="75334FC8" w14:textId="77777777" w:rsidR="00456FDA" w:rsidRDefault="00456FDA">
      <w:pPr>
        <w:pStyle w:val="FootnoteText"/>
      </w:pPr>
      <w:r>
        <w:rPr>
          <w:rStyle w:val="FootnoteReference"/>
        </w:rPr>
        <w:footnoteRef/>
      </w:r>
      <w:r>
        <w:t xml:space="preserve"> Around </w:t>
      </w:r>
      <w:r w:rsidRPr="00837234">
        <w:t xml:space="preserve">1,000 ha </w:t>
      </w:r>
      <w:r>
        <w:t>of land in the catchment was irrigated in 2014.</w:t>
      </w:r>
    </w:p>
  </w:footnote>
  <w:footnote w:id="5">
    <w:p w14:paraId="4C8890F5" w14:textId="77777777" w:rsidR="00456FDA" w:rsidRDefault="00456FDA">
      <w:pPr>
        <w:pStyle w:val="FootnoteText"/>
      </w:pPr>
      <w:r>
        <w:rPr>
          <w:rStyle w:val="FootnoteReference"/>
        </w:rPr>
        <w:footnoteRef/>
      </w:r>
      <w:r>
        <w:t xml:space="preserve"> </w:t>
      </w:r>
      <w:r w:rsidRPr="00133B1F">
        <w:t>Personal communication with Andrew Dickson, Director, Office of Northern Australia, September 2017.</w:t>
      </w:r>
    </w:p>
  </w:footnote>
  <w:footnote w:id="6">
    <w:p w14:paraId="2E2DF706" w14:textId="77777777" w:rsidR="00456FDA" w:rsidRDefault="00456FDA">
      <w:pPr>
        <w:pStyle w:val="FootnoteText"/>
      </w:pPr>
      <w:r>
        <w:rPr>
          <w:rStyle w:val="FootnoteReference"/>
        </w:rPr>
        <w:footnoteRef/>
      </w:r>
      <w:r>
        <w:t xml:space="preserve"> </w:t>
      </w:r>
      <w:r w:rsidRPr="00D91CFE">
        <w:t>In theory this would be enough water to irrigate some 60,000 ha.</w:t>
      </w:r>
    </w:p>
  </w:footnote>
  <w:footnote w:id="7">
    <w:p w14:paraId="346A69DC" w14:textId="77777777" w:rsidR="00456FDA" w:rsidRDefault="00456FDA" w:rsidP="002E6930">
      <w:pPr>
        <w:pStyle w:val="FootnoteText"/>
      </w:pPr>
      <w:r>
        <w:rPr>
          <w:rStyle w:val="FootnoteReference"/>
        </w:rPr>
        <w:footnoteRef/>
      </w:r>
      <w:r>
        <w:t xml:space="preserve"> Personal communication with </w:t>
      </w:r>
      <w:proofErr w:type="spellStart"/>
      <w:r>
        <w:t>Drue</w:t>
      </w:r>
      <w:proofErr w:type="spellEnd"/>
      <w:r>
        <w:t xml:space="preserve"> Edwards, Water Division, Department of Agriculture and Water Resources, October 2017.</w:t>
      </w:r>
    </w:p>
  </w:footnote>
  <w:footnote w:id="8">
    <w:p w14:paraId="716BFE1A" w14:textId="77777777" w:rsidR="00456FDA" w:rsidRDefault="00456FDA" w:rsidP="00496F2D">
      <w:pPr>
        <w:pStyle w:val="FootnoteText"/>
      </w:pPr>
      <w:r>
        <w:rPr>
          <w:rStyle w:val="FootnoteReference"/>
        </w:rPr>
        <w:footnoteRef/>
      </w:r>
      <w:r>
        <w:t xml:space="preserve"> Australia’s beef industry – Fast Facts 2016, MLA, </w:t>
      </w:r>
      <w:hyperlink r:id="rId1" w:history="1">
        <w:r w:rsidRPr="00B5047E">
          <w:rPr>
            <w:rStyle w:val="Hyperlink"/>
          </w:rPr>
          <w:t>https://www.mla.com.au/globalassets/mla-corporate/prices--markets/documents/trends--analysis/fast-facts--maps/mla_beef-fast-facts-2016.pdf</w:t>
        </w:r>
      </w:hyperlink>
      <w:r>
        <w:t>, accessed 24 August 2017.</w:t>
      </w:r>
    </w:p>
  </w:footnote>
  <w:footnote w:id="9">
    <w:p w14:paraId="57001BD6" w14:textId="77777777" w:rsidR="00456FDA" w:rsidRDefault="00456FDA">
      <w:pPr>
        <w:pStyle w:val="FootnoteText"/>
      </w:pPr>
      <w:r>
        <w:rPr>
          <w:rStyle w:val="FootnoteReference"/>
        </w:rPr>
        <w:footnoteRef/>
      </w:r>
      <w:r>
        <w:t xml:space="preserve"> Personal communication with Northern Territory Cattlemen’s Association, September 2017. </w:t>
      </w:r>
    </w:p>
  </w:footnote>
  <w:footnote w:id="10">
    <w:p w14:paraId="3A38CC44" w14:textId="77777777" w:rsidR="00456FDA" w:rsidRDefault="00456FDA" w:rsidP="003F0126">
      <w:pPr>
        <w:pStyle w:val="FootnoteText"/>
      </w:pPr>
      <w:r>
        <w:rPr>
          <w:rStyle w:val="FootnoteReference"/>
        </w:rPr>
        <w:footnoteRef/>
      </w:r>
      <w:r>
        <w:t xml:space="preserve"> Personal communication with </w:t>
      </w:r>
      <w:r w:rsidRPr="00C94FF7">
        <w:t>Queensland Department of Agriculture and Fisheries</w:t>
      </w:r>
      <w:r>
        <w:t>, September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B8E7D" w14:textId="77777777" w:rsidR="00456FDA" w:rsidRDefault="00456F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8" w:type="dxa"/>
      <w:tblInd w:w="-480" w:type="dxa"/>
      <w:tblBorders>
        <w:top w:val="single" w:sz="4" w:space="0" w:color="00000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5730"/>
    </w:tblGrid>
    <w:tr w:rsidR="00456FDA" w14:paraId="34E2527D" w14:textId="77777777" w:rsidTr="00C57072">
      <w:trPr>
        <w:trHeight w:hRule="exact" w:val="240"/>
      </w:trPr>
      <w:tc>
        <w:tcPr>
          <w:tcW w:w="5258" w:type="dxa"/>
          <w:shd w:val="clear" w:color="auto" w:fill="auto"/>
        </w:tcPr>
        <w:p w14:paraId="3B21B2EA" w14:textId="77777777" w:rsidR="00456FDA" w:rsidRDefault="00456FDA" w:rsidP="00C57072">
          <w:pPr>
            <w:pStyle w:val="Header-CompanyName"/>
          </w:pPr>
        </w:p>
      </w:tc>
      <w:tc>
        <w:tcPr>
          <w:tcW w:w="5730" w:type="dxa"/>
          <w:shd w:val="clear" w:color="auto" w:fill="auto"/>
          <w:tcMar>
            <w:top w:w="56" w:type="dxa"/>
            <w:right w:w="8" w:type="dxa"/>
          </w:tcMar>
        </w:tcPr>
        <w:p w14:paraId="16D9997F" w14:textId="77777777" w:rsidR="00456FDA" w:rsidRDefault="00456FDA" w:rsidP="00C57072">
          <w:pPr>
            <w:pStyle w:val="Header-CompanyName"/>
          </w:pPr>
          <w:r w:rsidRPr="002C3B4B">
            <w:rPr>
              <w:noProof/>
              <w:color w:val="BEB6AF"/>
              <w:lang w:eastAsia="en-AU"/>
            </w:rPr>
            <mc:AlternateContent>
              <mc:Choice Requires="wpg">
                <w:drawing>
                  <wp:anchor distT="0" distB="0" distL="114300" distR="114300" simplePos="0" relativeHeight="251872256" behindDoc="1" locked="1" layoutInCell="1" allowOverlap="1" wp14:anchorId="2B8EFF9E" wp14:editId="27F10A9F">
                    <wp:simplePos x="0" y="0"/>
                    <wp:positionH relativeFrom="rightMargin">
                      <wp:posOffset>-1345565</wp:posOffset>
                    </wp:positionH>
                    <wp:positionV relativeFrom="page">
                      <wp:posOffset>24765</wp:posOffset>
                    </wp:positionV>
                    <wp:extent cx="1329690" cy="65405"/>
                    <wp:effectExtent l="0" t="0" r="3810" b="0"/>
                    <wp:wrapNone/>
                    <wp:docPr id="11" name="Group 7"/>
                    <wp:cNvGraphicFramePr/>
                    <a:graphic xmlns:a="http://schemas.openxmlformats.org/drawingml/2006/main">
                      <a:graphicData uri="http://schemas.microsoft.com/office/word/2010/wordprocessingGroup">
                        <wpg:wgp>
                          <wpg:cNvGrpSpPr/>
                          <wpg:grpSpPr>
                            <a:xfrm>
                              <a:off x="0" y="0"/>
                              <a:ext cx="1329690" cy="65405"/>
                              <a:chOff x="0" y="0"/>
                              <a:chExt cx="12576176" cy="622300"/>
                            </a:xfrm>
                          </wpg:grpSpPr>
                          <wps:wsp>
                            <wps:cNvPr id="13" name="Freeform 12"/>
                            <wps:cNvSpPr>
                              <a:spLocks noEditPoints="1"/>
                            </wps:cNvSpPr>
                            <wps:spPr bwMode="auto">
                              <a:xfrm>
                                <a:off x="0" y="0"/>
                                <a:ext cx="5786438" cy="622300"/>
                              </a:xfrm>
                              <a:custGeom>
                                <a:avLst/>
                                <a:gdLst>
                                  <a:gd name="T0" fmla="*/ 39 w 1542"/>
                                  <a:gd name="T1" fmla="*/ 124 h 163"/>
                                  <a:gd name="T2" fmla="*/ 0 w 1542"/>
                                  <a:gd name="T3" fmla="*/ 160 h 163"/>
                                  <a:gd name="T4" fmla="*/ 84 w 1542"/>
                                  <a:gd name="T5" fmla="*/ 3 h 163"/>
                                  <a:gd name="T6" fmla="*/ 118 w 1542"/>
                                  <a:gd name="T7" fmla="*/ 160 h 163"/>
                                  <a:gd name="T8" fmla="*/ 97 w 1542"/>
                                  <a:gd name="T9" fmla="*/ 103 h 163"/>
                                  <a:gd name="T10" fmla="*/ 72 w 1542"/>
                                  <a:gd name="T11" fmla="*/ 31 h 163"/>
                                  <a:gd name="T12" fmla="*/ 65 w 1542"/>
                                  <a:gd name="T13" fmla="*/ 51 h 163"/>
                                  <a:gd name="T14" fmla="*/ 97 w 1542"/>
                                  <a:gd name="T15" fmla="*/ 103 h 163"/>
                                  <a:gd name="T16" fmla="*/ 259 w 1542"/>
                                  <a:gd name="T17" fmla="*/ 24 h 163"/>
                                  <a:gd name="T18" fmla="*/ 260 w 1542"/>
                                  <a:gd name="T19" fmla="*/ 139 h 163"/>
                                  <a:gd name="T20" fmla="*/ 326 w 1542"/>
                                  <a:gd name="T21" fmla="*/ 117 h 163"/>
                                  <a:gd name="T22" fmla="*/ 187 w 1542"/>
                                  <a:gd name="T23" fmla="*/ 81 h 163"/>
                                  <a:gd name="T24" fmla="*/ 324 w 1542"/>
                                  <a:gd name="T25" fmla="*/ 41 h 163"/>
                                  <a:gd name="T26" fmla="*/ 388 w 1542"/>
                                  <a:gd name="T27" fmla="*/ 160 h 163"/>
                                  <a:gd name="T28" fmla="*/ 412 w 1542"/>
                                  <a:gd name="T29" fmla="*/ 3 h 163"/>
                                  <a:gd name="T30" fmla="*/ 388 w 1542"/>
                                  <a:gd name="T31" fmla="*/ 160 h 163"/>
                                  <a:gd name="T32" fmla="*/ 586 w 1542"/>
                                  <a:gd name="T33" fmla="*/ 160 h 163"/>
                                  <a:gd name="T34" fmla="*/ 489 w 1542"/>
                                  <a:gd name="T35" fmla="*/ 3 h 163"/>
                                  <a:gd name="T36" fmla="*/ 513 w 1542"/>
                                  <a:gd name="T37" fmla="*/ 137 h 163"/>
                                  <a:gd name="T38" fmla="*/ 831 w 1542"/>
                                  <a:gd name="T39" fmla="*/ 124 h 163"/>
                                  <a:gd name="T40" fmla="*/ 752 w 1542"/>
                                  <a:gd name="T41" fmla="*/ 160 h 163"/>
                                  <a:gd name="T42" fmla="*/ 786 w 1542"/>
                                  <a:gd name="T43" fmla="*/ 3 h 163"/>
                                  <a:gd name="T44" fmla="*/ 870 w 1542"/>
                                  <a:gd name="T45" fmla="*/ 160 h 163"/>
                                  <a:gd name="T46" fmla="*/ 831 w 1542"/>
                                  <a:gd name="T47" fmla="*/ 124 h 163"/>
                                  <a:gd name="T48" fmla="*/ 805 w 1542"/>
                                  <a:gd name="T49" fmla="*/ 51 h 163"/>
                                  <a:gd name="T50" fmla="*/ 798 w 1542"/>
                                  <a:gd name="T51" fmla="*/ 31 h 163"/>
                                  <a:gd name="T52" fmla="*/ 773 w 1542"/>
                                  <a:gd name="T53" fmla="*/ 103 h 163"/>
                                  <a:gd name="T54" fmla="*/ 1026 w 1542"/>
                                  <a:gd name="T55" fmla="*/ 137 h 163"/>
                                  <a:gd name="T56" fmla="*/ 928 w 1542"/>
                                  <a:gd name="T57" fmla="*/ 160 h 163"/>
                                  <a:gd name="T58" fmla="*/ 953 w 1542"/>
                                  <a:gd name="T59" fmla="*/ 3 h 163"/>
                                  <a:gd name="T60" fmla="*/ 1026 w 1542"/>
                                  <a:gd name="T61" fmla="*/ 137 h 163"/>
                                  <a:gd name="T62" fmla="*/ 1186 w 1542"/>
                                  <a:gd name="T63" fmla="*/ 160 h 163"/>
                                  <a:gd name="T64" fmla="*/ 1089 w 1542"/>
                                  <a:gd name="T65" fmla="*/ 3 h 163"/>
                                  <a:gd name="T66" fmla="*/ 1113 w 1542"/>
                                  <a:gd name="T67" fmla="*/ 137 h 163"/>
                                  <a:gd name="T68" fmla="*/ 1349 w 1542"/>
                                  <a:gd name="T69" fmla="*/ 137 h 163"/>
                                  <a:gd name="T70" fmla="*/ 1249 w 1542"/>
                                  <a:gd name="T71" fmla="*/ 160 h 163"/>
                                  <a:gd name="T72" fmla="*/ 1348 w 1542"/>
                                  <a:gd name="T73" fmla="*/ 3 h 163"/>
                                  <a:gd name="T74" fmla="*/ 1274 w 1542"/>
                                  <a:gd name="T75" fmla="*/ 26 h 163"/>
                                  <a:gd name="T76" fmla="*/ 1332 w 1542"/>
                                  <a:gd name="T77" fmla="*/ 67 h 163"/>
                                  <a:gd name="T78" fmla="*/ 1274 w 1542"/>
                                  <a:gd name="T79" fmla="*/ 89 h 163"/>
                                  <a:gd name="T80" fmla="*/ 1349 w 1542"/>
                                  <a:gd name="T81" fmla="*/ 137 h 163"/>
                                  <a:gd name="T82" fmla="*/ 1542 w 1542"/>
                                  <a:gd name="T83" fmla="*/ 160 h 163"/>
                                  <a:gd name="T84" fmla="*/ 1467 w 1542"/>
                                  <a:gd name="T85" fmla="*/ 81 h 163"/>
                                  <a:gd name="T86" fmla="*/ 1444 w 1542"/>
                                  <a:gd name="T87" fmla="*/ 45 h 163"/>
                                  <a:gd name="T88" fmla="*/ 1445 w 1542"/>
                                  <a:gd name="T89" fmla="*/ 160 h 163"/>
                                  <a:gd name="T90" fmla="*/ 1421 w 1542"/>
                                  <a:gd name="T91" fmla="*/ 3 h 163"/>
                                  <a:gd name="T92" fmla="*/ 1496 w 1542"/>
                                  <a:gd name="T93" fmla="*/ 83 h 163"/>
                                  <a:gd name="T94" fmla="*/ 1519 w 1542"/>
                                  <a:gd name="T95" fmla="*/ 117 h 163"/>
                                  <a:gd name="T96" fmla="*/ 1518 w 1542"/>
                                  <a:gd name="T97" fmla="*/ 3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42" h="163">
                                    <a:moveTo>
                                      <a:pt x="105" y="124"/>
                                    </a:moveTo>
                                    <a:cubicBezTo>
                                      <a:pt x="39" y="124"/>
                                      <a:pt x="39" y="124"/>
                                      <a:pt x="39" y="124"/>
                                    </a:cubicBezTo>
                                    <a:cubicBezTo>
                                      <a:pt x="26" y="160"/>
                                      <a:pt x="26" y="160"/>
                                      <a:pt x="26" y="160"/>
                                    </a:cubicBezTo>
                                    <a:cubicBezTo>
                                      <a:pt x="0" y="160"/>
                                      <a:pt x="0" y="160"/>
                                      <a:pt x="0" y="160"/>
                                    </a:cubicBezTo>
                                    <a:cubicBezTo>
                                      <a:pt x="60" y="3"/>
                                      <a:pt x="60" y="3"/>
                                      <a:pt x="60" y="3"/>
                                    </a:cubicBezTo>
                                    <a:cubicBezTo>
                                      <a:pt x="84" y="3"/>
                                      <a:pt x="84" y="3"/>
                                      <a:pt x="84" y="3"/>
                                    </a:cubicBezTo>
                                    <a:cubicBezTo>
                                      <a:pt x="143" y="160"/>
                                      <a:pt x="143" y="160"/>
                                      <a:pt x="143" y="160"/>
                                    </a:cubicBezTo>
                                    <a:cubicBezTo>
                                      <a:pt x="118" y="160"/>
                                      <a:pt x="118" y="160"/>
                                      <a:pt x="118" y="160"/>
                                    </a:cubicBezTo>
                                    <a:lnTo>
                                      <a:pt x="105" y="124"/>
                                    </a:lnTo>
                                    <a:close/>
                                    <a:moveTo>
                                      <a:pt x="97" y="103"/>
                                    </a:moveTo>
                                    <a:cubicBezTo>
                                      <a:pt x="78" y="51"/>
                                      <a:pt x="78" y="51"/>
                                      <a:pt x="78" y="51"/>
                                    </a:cubicBezTo>
                                    <a:cubicBezTo>
                                      <a:pt x="75" y="41"/>
                                      <a:pt x="72" y="31"/>
                                      <a:pt x="72" y="31"/>
                                    </a:cubicBezTo>
                                    <a:cubicBezTo>
                                      <a:pt x="72" y="31"/>
                                      <a:pt x="72" y="31"/>
                                      <a:pt x="72" y="31"/>
                                    </a:cubicBezTo>
                                    <a:cubicBezTo>
                                      <a:pt x="72" y="31"/>
                                      <a:pt x="69" y="41"/>
                                      <a:pt x="65" y="51"/>
                                    </a:cubicBezTo>
                                    <a:cubicBezTo>
                                      <a:pt x="47" y="103"/>
                                      <a:pt x="47" y="103"/>
                                      <a:pt x="47" y="103"/>
                                    </a:cubicBezTo>
                                    <a:lnTo>
                                      <a:pt x="97" y="103"/>
                                    </a:lnTo>
                                    <a:close/>
                                    <a:moveTo>
                                      <a:pt x="299" y="48"/>
                                    </a:moveTo>
                                    <a:cubicBezTo>
                                      <a:pt x="291" y="32"/>
                                      <a:pt x="276" y="24"/>
                                      <a:pt x="259" y="24"/>
                                    </a:cubicBezTo>
                                    <a:cubicBezTo>
                                      <a:pt x="231" y="24"/>
                                      <a:pt x="212" y="46"/>
                                      <a:pt x="212" y="81"/>
                                    </a:cubicBezTo>
                                    <a:cubicBezTo>
                                      <a:pt x="212" y="118"/>
                                      <a:pt x="232" y="139"/>
                                      <a:pt x="260" y="139"/>
                                    </a:cubicBezTo>
                                    <a:cubicBezTo>
                                      <a:pt x="279" y="139"/>
                                      <a:pt x="295" y="129"/>
                                      <a:pt x="302" y="111"/>
                                    </a:cubicBezTo>
                                    <a:cubicBezTo>
                                      <a:pt x="326" y="117"/>
                                      <a:pt x="326" y="117"/>
                                      <a:pt x="326" y="117"/>
                                    </a:cubicBezTo>
                                    <a:cubicBezTo>
                                      <a:pt x="315" y="146"/>
                                      <a:pt x="290" y="163"/>
                                      <a:pt x="259" y="163"/>
                                    </a:cubicBezTo>
                                    <a:cubicBezTo>
                                      <a:pt x="218" y="163"/>
                                      <a:pt x="187" y="131"/>
                                      <a:pt x="187" y="81"/>
                                    </a:cubicBezTo>
                                    <a:cubicBezTo>
                                      <a:pt x="187" y="32"/>
                                      <a:pt x="218" y="0"/>
                                      <a:pt x="259" y="0"/>
                                    </a:cubicBezTo>
                                    <a:cubicBezTo>
                                      <a:pt x="288" y="0"/>
                                      <a:pt x="312" y="15"/>
                                      <a:pt x="324" y="41"/>
                                    </a:cubicBezTo>
                                    <a:lnTo>
                                      <a:pt x="299" y="48"/>
                                    </a:lnTo>
                                    <a:close/>
                                    <a:moveTo>
                                      <a:pt x="388" y="160"/>
                                    </a:moveTo>
                                    <a:cubicBezTo>
                                      <a:pt x="388" y="3"/>
                                      <a:pt x="388" y="3"/>
                                      <a:pt x="388" y="3"/>
                                    </a:cubicBezTo>
                                    <a:cubicBezTo>
                                      <a:pt x="412" y="3"/>
                                      <a:pt x="412" y="3"/>
                                      <a:pt x="412" y="3"/>
                                    </a:cubicBezTo>
                                    <a:cubicBezTo>
                                      <a:pt x="412" y="160"/>
                                      <a:pt x="412" y="160"/>
                                      <a:pt x="412" y="160"/>
                                    </a:cubicBezTo>
                                    <a:lnTo>
                                      <a:pt x="388" y="160"/>
                                    </a:lnTo>
                                    <a:close/>
                                    <a:moveTo>
                                      <a:pt x="586" y="137"/>
                                    </a:moveTo>
                                    <a:cubicBezTo>
                                      <a:pt x="586" y="160"/>
                                      <a:pt x="586" y="160"/>
                                      <a:pt x="586" y="160"/>
                                    </a:cubicBezTo>
                                    <a:cubicBezTo>
                                      <a:pt x="489" y="160"/>
                                      <a:pt x="489" y="160"/>
                                      <a:pt x="489" y="160"/>
                                    </a:cubicBezTo>
                                    <a:cubicBezTo>
                                      <a:pt x="489" y="3"/>
                                      <a:pt x="489" y="3"/>
                                      <a:pt x="489" y="3"/>
                                    </a:cubicBezTo>
                                    <a:cubicBezTo>
                                      <a:pt x="513" y="3"/>
                                      <a:pt x="513" y="3"/>
                                      <a:pt x="513" y="3"/>
                                    </a:cubicBezTo>
                                    <a:cubicBezTo>
                                      <a:pt x="513" y="137"/>
                                      <a:pt x="513" y="137"/>
                                      <a:pt x="513" y="137"/>
                                    </a:cubicBezTo>
                                    <a:lnTo>
                                      <a:pt x="586" y="137"/>
                                    </a:lnTo>
                                    <a:close/>
                                    <a:moveTo>
                                      <a:pt x="831" y="124"/>
                                    </a:moveTo>
                                    <a:cubicBezTo>
                                      <a:pt x="765" y="124"/>
                                      <a:pt x="765" y="124"/>
                                      <a:pt x="765" y="124"/>
                                    </a:cubicBezTo>
                                    <a:cubicBezTo>
                                      <a:pt x="752" y="160"/>
                                      <a:pt x="752" y="160"/>
                                      <a:pt x="752" y="160"/>
                                    </a:cubicBezTo>
                                    <a:cubicBezTo>
                                      <a:pt x="727" y="160"/>
                                      <a:pt x="727" y="160"/>
                                      <a:pt x="727" y="160"/>
                                    </a:cubicBezTo>
                                    <a:cubicBezTo>
                                      <a:pt x="786" y="3"/>
                                      <a:pt x="786" y="3"/>
                                      <a:pt x="786" y="3"/>
                                    </a:cubicBezTo>
                                    <a:cubicBezTo>
                                      <a:pt x="810" y="3"/>
                                      <a:pt x="810" y="3"/>
                                      <a:pt x="810" y="3"/>
                                    </a:cubicBezTo>
                                    <a:cubicBezTo>
                                      <a:pt x="870" y="160"/>
                                      <a:pt x="870" y="160"/>
                                      <a:pt x="870" y="160"/>
                                    </a:cubicBezTo>
                                    <a:cubicBezTo>
                                      <a:pt x="844" y="160"/>
                                      <a:pt x="844" y="160"/>
                                      <a:pt x="844" y="160"/>
                                    </a:cubicBezTo>
                                    <a:lnTo>
                                      <a:pt x="831" y="124"/>
                                    </a:lnTo>
                                    <a:close/>
                                    <a:moveTo>
                                      <a:pt x="823" y="103"/>
                                    </a:moveTo>
                                    <a:cubicBezTo>
                                      <a:pt x="805" y="51"/>
                                      <a:pt x="805" y="51"/>
                                      <a:pt x="805" y="51"/>
                                    </a:cubicBezTo>
                                    <a:cubicBezTo>
                                      <a:pt x="801" y="41"/>
                                      <a:pt x="799" y="31"/>
                                      <a:pt x="798" y="31"/>
                                    </a:cubicBezTo>
                                    <a:cubicBezTo>
                                      <a:pt x="798" y="31"/>
                                      <a:pt x="798" y="31"/>
                                      <a:pt x="798" y="31"/>
                                    </a:cubicBezTo>
                                    <a:cubicBezTo>
                                      <a:pt x="798" y="31"/>
                                      <a:pt x="795" y="41"/>
                                      <a:pt x="791" y="51"/>
                                    </a:cubicBezTo>
                                    <a:cubicBezTo>
                                      <a:pt x="773" y="103"/>
                                      <a:pt x="773" y="103"/>
                                      <a:pt x="773" y="103"/>
                                    </a:cubicBezTo>
                                    <a:lnTo>
                                      <a:pt x="823" y="103"/>
                                    </a:lnTo>
                                    <a:close/>
                                    <a:moveTo>
                                      <a:pt x="1026" y="137"/>
                                    </a:moveTo>
                                    <a:cubicBezTo>
                                      <a:pt x="1026" y="160"/>
                                      <a:pt x="1026" y="160"/>
                                      <a:pt x="1026" y="160"/>
                                    </a:cubicBezTo>
                                    <a:cubicBezTo>
                                      <a:pt x="928" y="160"/>
                                      <a:pt x="928" y="160"/>
                                      <a:pt x="928" y="160"/>
                                    </a:cubicBezTo>
                                    <a:cubicBezTo>
                                      <a:pt x="928" y="3"/>
                                      <a:pt x="928" y="3"/>
                                      <a:pt x="928" y="3"/>
                                    </a:cubicBezTo>
                                    <a:cubicBezTo>
                                      <a:pt x="953" y="3"/>
                                      <a:pt x="953" y="3"/>
                                      <a:pt x="953" y="3"/>
                                    </a:cubicBezTo>
                                    <a:cubicBezTo>
                                      <a:pt x="953" y="137"/>
                                      <a:pt x="953" y="137"/>
                                      <a:pt x="953" y="137"/>
                                    </a:cubicBezTo>
                                    <a:lnTo>
                                      <a:pt x="1026" y="137"/>
                                    </a:lnTo>
                                    <a:close/>
                                    <a:moveTo>
                                      <a:pt x="1186" y="137"/>
                                    </a:moveTo>
                                    <a:cubicBezTo>
                                      <a:pt x="1186" y="160"/>
                                      <a:pt x="1186" y="160"/>
                                      <a:pt x="1186" y="160"/>
                                    </a:cubicBezTo>
                                    <a:cubicBezTo>
                                      <a:pt x="1089" y="160"/>
                                      <a:pt x="1089" y="160"/>
                                      <a:pt x="1089" y="160"/>
                                    </a:cubicBezTo>
                                    <a:cubicBezTo>
                                      <a:pt x="1089" y="3"/>
                                      <a:pt x="1089" y="3"/>
                                      <a:pt x="1089" y="3"/>
                                    </a:cubicBezTo>
                                    <a:cubicBezTo>
                                      <a:pt x="1113" y="3"/>
                                      <a:pt x="1113" y="3"/>
                                      <a:pt x="1113" y="3"/>
                                    </a:cubicBezTo>
                                    <a:cubicBezTo>
                                      <a:pt x="1113" y="137"/>
                                      <a:pt x="1113" y="137"/>
                                      <a:pt x="1113" y="137"/>
                                    </a:cubicBezTo>
                                    <a:lnTo>
                                      <a:pt x="1186" y="137"/>
                                    </a:lnTo>
                                    <a:close/>
                                    <a:moveTo>
                                      <a:pt x="1349" y="137"/>
                                    </a:moveTo>
                                    <a:cubicBezTo>
                                      <a:pt x="1349" y="160"/>
                                      <a:pt x="1349" y="160"/>
                                      <a:pt x="1349" y="160"/>
                                    </a:cubicBezTo>
                                    <a:cubicBezTo>
                                      <a:pt x="1249" y="160"/>
                                      <a:pt x="1249" y="160"/>
                                      <a:pt x="1249" y="160"/>
                                    </a:cubicBezTo>
                                    <a:cubicBezTo>
                                      <a:pt x="1249" y="3"/>
                                      <a:pt x="1249" y="3"/>
                                      <a:pt x="1249" y="3"/>
                                    </a:cubicBezTo>
                                    <a:cubicBezTo>
                                      <a:pt x="1348" y="3"/>
                                      <a:pt x="1348" y="3"/>
                                      <a:pt x="1348" y="3"/>
                                    </a:cubicBezTo>
                                    <a:cubicBezTo>
                                      <a:pt x="1348" y="26"/>
                                      <a:pt x="1348" y="26"/>
                                      <a:pt x="1348" y="26"/>
                                    </a:cubicBezTo>
                                    <a:cubicBezTo>
                                      <a:pt x="1274" y="26"/>
                                      <a:pt x="1274" y="26"/>
                                      <a:pt x="1274" y="26"/>
                                    </a:cubicBezTo>
                                    <a:cubicBezTo>
                                      <a:pt x="1274" y="67"/>
                                      <a:pt x="1274" y="67"/>
                                      <a:pt x="1274" y="67"/>
                                    </a:cubicBezTo>
                                    <a:cubicBezTo>
                                      <a:pt x="1332" y="67"/>
                                      <a:pt x="1332" y="67"/>
                                      <a:pt x="1332" y="67"/>
                                    </a:cubicBezTo>
                                    <a:cubicBezTo>
                                      <a:pt x="1332" y="89"/>
                                      <a:pt x="1332" y="89"/>
                                      <a:pt x="1332" y="89"/>
                                    </a:cubicBezTo>
                                    <a:cubicBezTo>
                                      <a:pt x="1274" y="89"/>
                                      <a:pt x="1274" y="89"/>
                                      <a:pt x="1274" y="89"/>
                                    </a:cubicBezTo>
                                    <a:cubicBezTo>
                                      <a:pt x="1274" y="137"/>
                                      <a:pt x="1274" y="137"/>
                                      <a:pt x="1274" y="137"/>
                                    </a:cubicBezTo>
                                    <a:lnTo>
                                      <a:pt x="1349" y="137"/>
                                    </a:lnTo>
                                    <a:close/>
                                    <a:moveTo>
                                      <a:pt x="1542" y="3"/>
                                    </a:moveTo>
                                    <a:cubicBezTo>
                                      <a:pt x="1542" y="160"/>
                                      <a:pt x="1542" y="160"/>
                                      <a:pt x="1542" y="160"/>
                                    </a:cubicBezTo>
                                    <a:cubicBezTo>
                                      <a:pt x="1520" y="160"/>
                                      <a:pt x="1520" y="160"/>
                                      <a:pt x="1520" y="160"/>
                                    </a:cubicBezTo>
                                    <a:cubicBezTo>
                                      <a:pt x="1467" y="81"/>
                                      <a:pt x="1467" y="81"/>
                                      <a:pt x="1467" y="81"/>
                                    </a:cubicBezTo>
                                    <a:cubicBezTo>
                                      <a:pt x="1456" y="64"/>
                                      <a:pt x="1444" y="45"/>
                                      <a:pt x="1444" y="45"/>
                                    </a:cubicBezTo>
                                    <a:cubicBezTo>
                                      <a:pt x="1444" y="45"/>
                                      <a:pt x="1444" y="45"/>
                                      <a:pt x="1444" y="45"/>
                                    </a:cubicBezTo>
                                    <a:cubicBezTo>
                                      <a:pt x="1444" y="45"/>
                                      <a:pt x="1445" y="66"/>
                                      <a:pt x="1445" y="93"/>
                                    </a:cubicBezTo>
                                    <a:cubicBezTo>
                                      <a:pt x="1445" y="160"/>
                                      <a:pt x="1445" y="160"/>
                                      <a:pt x="1445" y="160"/>
                                    </a:cubicBezTo>
                                    <a:cubicBezTo>
                                      <a:pt x="1421" y="160"/>
                                      <a:pt x="1421" y="160"/>
                                      <a:pt x="1421" y="160"/>
                                    </a:cubicBezTo>
                                    <a:cubicBezTo>
                                      <a:pt x="1421" y="3"/>
                                      <a:pt x="1421" y="3"/>
                                      <a:pt x="1421" y="3"/>
                                    </a:cubicBezTo>
                                    <a:cubicBezTo>
                                      <a:pt x="1443" y="3"/>
                                      <a:pt x="1443" y="3"/>
                                      <a:pt x="1443" y="3"/>
                                    </a:cubicBezTo>
                                    <a:cubicBezTo>
                                      <a:pt x="1496" y="83"/>
                                      <a:pt x="1496" y="83"/>
                                      <a:pt x="1496" y="83"/>
                                    </a:cubicBezTo>
                                    <a:cubicBezTo>
                                      <a:pt x="1506" y="98"/>
                                      <a:pt x="1518" y="117"/>
                                      <a:pt x="1518" y="117"/>
                                    </a:cubicBezTo>
                                    <a:cubicBezTo>
                                      <a:pt x="1519" y="117"/>
                                      <a:pt x="1519" y="117"/>
                                      <a:pt x="1519" y="117"/>
                                    </a:cubicBezTo>
                                    <a:cubicBezTo>
                                      <a:pt x="1519" y="117"/>
                                      <a:pt x="1518" y="95"/>
                                      <a:pt x="1518" y="70"/>
                                    </a:cubicBezTo>
                                    <a:cubicBezTo>
                                      <a:pt x="1518" y="3"/>
                                      <a:pt x="1518" y="3"/>
                                      <a:pt x="1518" y="3"/>
                                    </a:cubicBezTo>
                                    <a:lnTo>
                                      <a:pt x="154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3"/>
                            <wps:cNvSpPr>
                              <a:spLocks noEditPoints="1"/>
                            </wps:cNvSpPr>
                            <wps:spPr bwMode="auto">
                              <a:xfrm>
                                <a:off x="6391276" y="0"/>
                                <a:ext cx="6184900" cy="622300"/>
                              </a:xfrm>
                              <a:custGeom>
                                <a:avLst/>
                                <a:gdLst>
                                  <a:gd name="T0" fmla="*/ 71 w 1648"/>
                                  <a:gd name="T1" fmla="*/ 12 h 163"/>
                                  <a:gd name="T2" fmla="*/ 71 w 1648"/>
                                  <a:gd name="T3" fmla="*/ 150 h 163"/>
                                  <a:gd name="T4" fmla="*/ 136 w 1648"/>
                                  <a:gd name="T5" fmla="*/ 118 h 163"/>
                                  <a:gd name="T6" fmla="*/ 0 w 1648"/>
                                  <a:gd name="T7" fmla="*/ 81 h 163"/>
                                  <a:gd name="T8" fmla="*/ 134 w 1648"/>
                                  <a:gd name="T9" fmla="*/ 41 h 163"/>
                                  <a:gd name="T10" fmla="*/ 265 w 1648"/>
                                  <a:gd name="T11" fmla="*/ 0 h 163"/>
                                  <a:gd name="T12" fmla="*/ 265 w 1648"/>
                                  <a:gd name="T13" fmla="*/ 163 h 163"/>
                                  <a:gd name="T14" fmla="*/ 265 w 1648"/>
                                  <a:gd name="T15" fmla="*/ 0 h 163"/>
                                  <a:gd name="T16" fmla="*/ 323 w 1648"/>
                                  <a:gd name="T17" fmla="*/ 81 h 163"/>
                                  <a:gd name="T18" fmla="*/ 206 w 1648"/>
                                  <a:gd name="T19" fmla="*/ 81 h 163"/>
                                  <a:gd name="T20" fmla="*/ 518 w 1648"/>
                                  <a:gd name="T21" fmla="*/ 3 h 163"/>
                                  <a:gd name="T22" fmla="*/ 506 w 1648"/>
                                  <a:gd name="T23" fmla="*/ 160 h 163"/>
                                  <a:gd name="T24" fmla="*/ 417 w 1648"/>
                                  <a:gd name="T25" fmla="*/ 24 h 163"/>
                                  <a:gd name="T26" fmla="*/ 418 w 1648"/>
                                  <a:gd name="T27" fmla="*/ 64 h 163"/>
                                  <a:gd name="T28" fmla="*/ 405 w 1648"/>
                                  <a:gd name="T29" fmla="*/ 160 h 163"/>
                                  <a:gd name="T30" fmla="*/ 417 w 1648"/>
                                  <a:gd name="T31" fmla="*/ 3 h 163"/>
                                  <a:gd name="T32" fmla="*/ 506 w 1648"/>
                                  <a:gd name="T33" fmla="*/ 138 h 163"/>
                                  <a:gd name="T34" fmla="*/ 505 w 1648"/>
                                  <a:gd name="T35" fmla="*/ 98 h 163"/>
                                  <a:gd name="T36" fmla="*/ 518 w 1648"/>
                                  <a:gd name="T37" fmla="*/ 3 h 163"/>
                                  <a:gd name="T38" fmla="*/ 638 w 1648"/>
                                  <a:gd name="T39" fmla="*/ 11 h 163"/>
                                  <a:gd name="T40" fmla="*/ 644 w 1648"/>
                                  <a:gd name="T41" fmla="*/ 73 h 163"/>
                                  <a:gd name="T42" fmla="*/ 640 w 1648"/>
                                  <a:gd name="T43" fmla="*/ 163 h 163"/>
                                  <a:gd name="T44" fmla="*/ 599 w 1648"/>
                                  <a:gd name="T45" fmla="*/ 116 h 163"/>
                                  <a:gd name="T46" fmla="*/ 678 w 1648"/>
                                  <a:gd name="T47" fmla="*/ 120 h 163"/>
                                  <a:gd name="T48" fmla="*/ 590 w 1648"/>
                                  <a:gd name="T49" fmla="*/ 40 h 163"/>
                                  <a:gd name="T50" fmla="*/ 689 w 1648"/>
                                  <a:gd name="T51" fmla="*/ 40 h 163"/>
                                  <a:gd name="T52" fmla="*/ 870 w 1648"/>
                                  <a:gd name="T53" fmla="*/ 3 h 163"/>
                                  <a:gd name="T54" fmla="*/ 813 w 1648"/>
                                  <a:gd name="T55" fmla="*/ 163 h 163"/>
                                  <a:gd name="T56" fmla="*/ 756 w 1648"/>
                                  <a:gd name="T57" fmla="*/ 3 h 163"/>
                                  <a:gd name="T58" fmla="*/ 769 w 1648"/>
                                  <a:gd name="T59" fmla="*/ 102 h 163"/>
                                  <a:gd name="T60" fmla="*/ 857 w 1648"/>
                                  <a:gd name="T61" fmla="*/ 102 h 163"/>
                                  <a:gd name="T62" fmla="*/ 870 w 1648"/>
                                  <a:gd name="T63" fmla="*/ 3 h 163"/>
                                  <a:gd name="T64" fmla="*/ 1034 w 1648"/>
                                  <a:gd name="T65" fmla="*/ 160 h 163"/>
                                  <a:gd name="T66" fmla="*/ 944 w 1648"/>
                                  <a:gd name="T67" fmla="*/ 3 h 163"/>
                                  <a:gd name="T68" fmla="*/ 956 w 1648"/>
                                  <a:gd name="T69" fmla="*/ 148 h 163"/>
                                  <a:gd name="T70" fmla="*/ 1172 w 1648"/>
                                  <a:gd name="T71" fmla="*/ 3 h 163"/>
                                  <a:gd name="T72" fmla="*/ 1123 w 1648"/>
                                  <a:gd name="T73" fmla="*/ 15 h 163"/>
                                  <a:gd name="T74" fmla="*/ 1110 w 1648"/>
                                  <a:gd name="T75" fmla="*/ 160 h 163"/>
                                  <a:gd name="T76" fmla="*/ 1061 w 1648"/>
                                  <a:gd name="T77" fmla="*/ 15 h 163"/>
                                  <a:gd name="T78" fmla="*/ 1172 w 1648"/>
                                  <a:gd name="T79" fmla="*/ 3 h 163"/>
                                  <a:gd name="T80" fmla="*/ 1237 w 1648"/>
                                  <a:gd name="T81" fmla="*/ 3 h 163"/>
                                  <a:gd name="T82" fmla="*/ 1250 w 1648"/>
                                  <a:gd name="T83" fmla="*/ 160 h 163"/>
                                  <a:gd name="T84" fmla="*/ 1443 w 1648"/>
                                  <a:gd name="T85" fmla="*/ 3 h 163"/>
                                  <a:gd name="T86" fmla="*/ 1432 w 1648"/>
                                  <a:gd name="T87" fmla="*/ 160 h 163"/>
                                  <a:gd name="T88" fmla="*/ 1343 w 1648"/>
                                  <a:gd name="T89" fmla="*/ 24 h 163"/>
                                  <a:gd name="T90" fmla="*/ 1343 w 1648"/>
                                  <a:gd name="T91" fmla="*/ 64 h 163"/>
                                  <a:gd name="T92" fmla="*/ 1330 w 1648"/>
                                  <a:gd name="T93" fmla="*/ 160 h 163"/>
                                  <a:gd name="T94" fmla="*/ 1342 w 1648"/>
                                  <a:gd name="T95" fmla="*/ 3 h 163"/>
                                  <a:gd name="T96" fmla="*/ 1431 w 1648"/>
                                  <a:gd name="T97" fmla="*/ 138 h 163"/>
                                  <a:gd name="T98" fmla="*/ 1431 w 1648"/>
                                  <a:gd name="T99" fmla="*/ 98 h 163"/>
                                  <a:gd name="T100" fmla="*/ 1443 w 1648"/>
                                  <a:gd name="T101" fmla="*/ 3 h 163"/>
                                  <a:gd name="T102" fmla="*/ 1584 w 1648"/>
                                  <a:gd name="T103" fmla="*/ 163 h 163"/>
                                  <a:gd name="T104" fmla="*/ 1584 w 1648"/>
                                  <a:gd name="T105" fmla="*/ 0 h 163"/>
                                  <a:gd name="T106" fmla="*/ 1634 w 1648"/>
                                  <a:gd name="T107" fmla="*/ 44 h 163"/>
                                  <a:gd name="T108" fmla="*/ 1526 w 1648"/>
                                  <a:gd name="T109" fmla="*/ 81 h 163"/>
                                  <a:gd name="T110" fmla="*/ 1637 w 1648"/>
                                  <a:gd name="T111" fmla="*/ 118 h 163"/>
                                  <a:gd name="T112" fmla="*/ 1593 w 1648"/>
                                  <a:gd name="T113" fmla="*/ 91 h 163"/>
                                  <a:gd name="T114" fmla="*/ 1648 w 1648"/>
                                  <a:gd name="T115" fmla="*/ 80 h 163"/>
                                  <a:gd name="T116" fmla="*/ 1637 w 1648"/>
                                  <a:gd name="T117" fmla="*/ 16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48" h="163">
                                    <a:moveTo>
                                      <a:pt x="121" y="44"/>
                                    </a:moveTo>
                                    <a:cubicBezTo>
                                      <a:pt x="112" y="24"/>
                                      <a:pt x="93" y="12"/>
                                      <a:pt x="71" y="12"/>
                                    </a:cubicBezTo>
                                    <a:cubicBezTo>
                                      <a:pt x="37" y="12"/>
                                      <a:pt x="13" y="39"/>
                                      <a:pt x="13" y="81"/>
                                    </a:cubicBezTo>
                                    <a:cubicBezTo>
                                      <a:pt x="13" y="124"/>
                                      <a:pt x="38" y="150"/>
                                      <a:pt x="71" y="150"/>
                                    </a:cubicBezTo>
                                    <a:cubicBezTo>
                                      <a:pt x="95" y="150"/>
                                      <a:pt x="114" y="137"/>
                                      <a:pt x="124" y="114"/>
                                    </a:cubicBezTo>
                                    <a:cubicBezTo>
                                      <a:pt x="136" y="118"/>
                                      <a:pt x="136" y="118"/>
                                      <a:pt x="136" y="118"/>
                                    </a:cubicBezTo>
                                    <a:cubicBezTo>
                                      <a:pt x="125" y="146"/>
                                      <a:pt x="101" y="163"/>
                                      <a:pt x="71" y="163"/>
                                    </a:cubicBezTo>
                                    <a:cubicBezTo>
                                      <a:pt x="30" y="163"/>
                                      <a:pt x="0" y="131"/>
                                      <a:pt x="0" y="81"/>
                                    </a:cubicBezTo>
                                    <a:cubicBezTo>
                                      <a:pt x="0" y="31"/>
                                      <a:pt x="30" y="0"/>
                                      <a:pt x="71" y="0"/>
                                    </a:cubicBezTo>
                                    <a:cubicBezTo>
                                      <a:pt x="99" y="0"/>
                                      <a:pt x="122" y="15"/>
                                      <a:pt x="134" y="41"/>
                                    </a:cubicBezTo>
                                    <a:lnTo>
                                      <a:pt x="121" y="44"/>
                                    </a:lnTo>
                                    <a:close/>
                                    <a:moveTo>
                                      <a:pt x="265" y="0"/>
                                    </a:moveTo>
                                    <a:cubicBezTo>
                                      <a:pt x="306" y="0"/>
                                      <a:pt x="337" y="32"/>
                                      <a:pt x="337" y="81"/>
                                    </a:cubicBezTo>
                                    <a:cubicBezTo>
                                      <a:pt x="337" y="131"/>
                                      <a:pt x="306" y="163"/>
                                      <a:pt x="265" y="163"/>
                                    </a:cubicBezTo>
                                    <a:cubicBezTo>
                                      <a:pt x="224" y="163"/>
                                      <a:pt x="193" y="131"/>
                                      <a:pt x="193" y="81"/>
                                    </a:cubicBezTo>
                                    <a:cubicBezTo>
                                      <a:pt x="193" y="31"/>
                                      <a:pt x="224" y="0"/>
                                      <a:pt x="265" y="0"/>
                                    </a:cubicBezTo>
                                    <a:close/>
                                    <a:moveTo>
                                      <a:pt x="265" y="151"/>
                                    </a:moveTo>
                                    <a:cubicBezTo>
                                      <a:pt x="299" y="151"/>
                                      <a:pt x="323" y="124"/>
                                      <a:pt x="323" y="81"/>
                                    </a:cubicBezTo>
                                    <a:cubicBezTo>
                                      <a:pt x="323" y="38"/>
                                      <a:pt x="299" y="12"/>
                                      <a:pt x="265" y="12"/>
                                    </a:cubicBezTo>
                                    <a:cubicBezTo>
                                      <a:pt x="231" y="12"/>
                                      <a:pt x="206" y="38"/>
                                      <a:pt x="206" y="81"/>
                                    </a:cubicBezTo>
                                    <a:cubicBezTo>
                                      <a:pt x="206" y="125"/>
                                      <a:pt x="231" y="151"/>
                                      <a:pt x="265" y="151"/>
                                    </a:cubicBezTo>
                                    <a:close/>
                                    <a:moveTo>
                                      <a:pt x="518" y="3"/>
                                    </a:moveTo>
                                    <a:cubicBezTo>
                                      <a:pt x="518" y="160"/>
                                      <a:pt x="518" y="160"/>
                                      <a:pt x="518" y="160"/>
                                    </a:cubicBezTo>
                                    <a:cubicBezTo>
                                      <a:pt x="506" y="160"/>
                                      <a:pt x="506" y="160"/>
                                      <a:pt x="506" y="160"/>
                                    </a:cubicBezTo>
                                    <a:cubicBezTo>
                                      <a:pt x="434" y="51"/>
                                      <a:pt x="434" y="51"/>
                                      <a:pt x="434" y="51"/>
                                    </a:cubicBezTo>
                                    <a:cubicBezTo>
                                      <a:pt x="424" y="35"/>
                                      <a:pt x="417" y="24"/>
                                      <a:pt x="417" y="24"/>
                                    </a:cubicBezTo>
                                    <a:cubicBezTo>
                                      <a:pt x="417" y="24"/>
                                      <a:pt x="417" y="24"/>
                                      <a:pt x="417" y="24"/>
                                    </a:cubicBezTo>
                                    <a:cubicBezTo>
                                      <a:pt x="416" y="24"/>
                                      <a:pt x="418" y="42"/>
                                      <a:pt x="418" y="64"/>
                                    </a:cubicBezTo>
                                    <a:cubicBezTo>
                                      <a:pt x="418" y="160"/>
                                      <a:pt x="418" y="160"/>
                                      <a:pt x="418" y="160"/>
                                    </a:cubicBezTo>
                                    <a:cubicBezTo>
                                      <a:pt x="405" y="160"/>
                                      <a:pt x="405" y="160"/>
                                      <a:pt x="405" y="160"/>
                                    </a:cubicBezTo>
                                    <a:cubicBezTo>
                                      <a:pt x="405" y="3"/>
                                      <a:pt x="405" y="3"/>
                                      <a:pt x="405" y="3"/>
                                    </a:cubicBezTo>
                                    <a:cubicBezTo>
                                      <a:pt x="417" y="3"/>
                                      <a:pt x="417" y="3"/>
                                      <a:pt x="417" y="3"/>
                                    </a:cubicBezTo>
                                    <a:cubicBezTo>
                                      <a:pt x="488" y="111"/>
                                      <a:pt x="488" y="111"/>
                                      <a:pt x="488" y="111"/>
                                    </a:cubicBezTo>
                                    <a:cubicBezTo>
                                      <a:pt x="499" y="126"/>
                                      <a:pt x="506" y="138"/>
                                      <a:pt x="506" y="138"/>
                                    </a:cubicBezTo>
                                    <a:cubicBezTo>
                                      <a:pt x="506" y="138"/>
                                      <a:pt x="506" y="138"/>
                                      <a:pt x="506" y="138"/>
                                    </a:cubicBezTo>
                                    <a:cubicBezTo>
                                      <a:pt x="506" y="138"/>
                                      <a:pt x="505" y="119"/>
                                      <a:pt x="505" y="98"/>
                                    </a:cubicBezTo>
                                    <a:cubicBezTo>
                                      <a:pt x="505" y="3"/>
                                      <a:pt x="505" y="3"/>
                                      <a:pt x="505" y="3"/>
                                    </a:cubicBezTo>
                                    <a:lnTo>
                                      <a:pt x="518" y="3"/>
                                    </a:lnTo>
                                    <a:close/>
                                    <a:moveTo>
                                      <a:pt x="677" y="43"/>
                                    </a:moveTo>
                                    <a:cubicBezTo>
                                      <a:pt x="673" y="23"/>
                                      <a:pt x="659" y="11"/>
                                      <a:pt x="638" y="11"/>
                                    </a:cubicBezTo>
                                    <a:cubicBezTo>
                                      <a:pt x="618" y="11"/>
                                      <a:pt x="603" y="22"/>
                                      <a:pt x="603" y="40"/>
                                    </a:cubicBezTo>
                                    <a:cubicBezTo>
                                      <a:pt x="603" y="58"/>
                                      <a:pt x="624" y="66"/>
                                      <a:pt x="644" y="73"/>
                                    </a:cubicBezTo>
                                    <a:cubicBezTo>
                                      <a:pt x="665" y="81"/>
                                      <a:pt x="691" y="91"/>
                                      <a:pt x="691" y="120"/>
                                    </a:cubicBezTo>
                                    <a:cubicBezTo>
                                      <a:pt x="691" y="145"/>
                                      <a:pt x="671" y="163"/>
                                      <a:pt x="640" y="163"/>
                                    </a:cubicBezTo>
                                    <a:cubicBezTo>
                                      <a:pt x="609" y="163"/>
                                      <a:pt x="590" y="144"/>
                                      <a:pt x="587" y="119"/>
                                    </a:cubicBezTo>
                                    <a:cubicBezTo>
                                      <a:pt x="599" y="116"/>
                                      <a:pt x="599" y="116"/>
                                      <a:pt x="599" y="116"/>
                                    </a:cubicBezTo>
                                    <a:cubicBezTo>
                                      <a:pt x="601" y="136"/>
                                      <a:pt x="615" y="151"/>
                                      <a:pt x="640" y="151"/>
                                    </a:cubicBezTo>
                                    <a:cubicBezTo>
                                      <a:pt x="663" y="151"/>
                                      <a:pt x="678" y="138"/>
                                      <a:pt x="678" y="120"/>
                                    </a:cubicBezTo>
                                    <a:cubicBezTo>
                                      <a:pt x="678" y="96"/>
                                      <a:pt x="653" y="90"/>
                                      <a:pt x="632" y="81"/>
                                    </a:cubicBezTo>
                                    <a:cubicBezTo>
                                      <a:pt x="614" y="74"/>
                                      <a:pt x="590" y="65"/>
                                      <a:pt x="590" y="40"/>
                                    </a:cubicBezTo>
                                    <a:cubicBezTo>
                                      <a:pt x="590" y="17"/>
                                      <a:pt x="610" y="0"/>
                                      <a:pt x="639" y="0"/>
                                    </a:cubicBezTo>
                                    <a:cubicBezTo>
                                      <a:pt x="665" y="0"/>
                                      <a:pt x="684" y="16"/>
                                      <a:pt x="689" y="40"/>
                                    </a:cubicBezTo>
                                    <a:lnTo>
                                      <a:pt x="677" y="43"/>
                                    </a:lnTo>
                                    <a:close/>
                                    <a:moveTo>
                                      <a:pt x="870" y="3"/>
                                    </a:moveTo>
                                    <a:cubicBezTo>
                                      <a:pt x="870" y="101"/>
                                      <a:pt x="870" y="101"/>
                                      <a:pt x="870" y="101"/>
                                    </a:cubicBezTo>
                                    <a:cubicBezTo>
                                      <a:pt x="870" y="142"/>
                                      <a:pt x="849" y="163"/>
                                      <a:pt x="813" y="163"/>
                                    </a:cubicBezTo>
                                    <a:cubicBezTo>
                                      <a:pt x="776" y="163"/>
                                      <a:pt x="756" y="142"/>
                                      <a:pt x="756" y="101"/>
                                    </a:cubicBezTo>
                                    <a:cubicBezTo>
                                      <a:pt x="756" y="3"/>
                                      <a:pt x="756" y="3"/>
                                      <a:pt x="756" y="3"/>
                                    </a:cubicBezTo>
                                    <a:cubicBezTo>
                                      <a:pt x="769" y="3"/>
                                      <a:pt x="769" y="3"/>
                                      <a:pt x="769" y="3"/>
                                    </a:cubicBezTo>
                                    <a:cubicBezTo>
                                      <a:pt x="769" y="102"/>
                                      <a:pt x="769" y="102"/>
                                      <a:pt x="769" y="102"/>
                                    </a:cubicBezTo>
                                    <a:cubicBezTo>
                                      <a:pt x="769" y="134"/>
                                      <a:pt x="784" y="151"/>
                                      <a:pt x="813" y="151"/>
                                    </a:cubicBezTo>
                                    <a:cubicBezTo>
                                      <a:pt x="842" y="151"/>
                                      <a:pt x="857" y="134"/>
                                      <a:pt x="857" y="102"/>
                                    </a:cubicBezTo>
                                    <a:cubicBezTo>
                                      <a:pt x="857" y="3"/>
                                      <a:pt x="857" y="3"/>
                                      <a:pt x="857" y="3"/>
                                    </a:cubicBezTo>
                                    <a:lnTo>
                                      <a:pt x="870" y="3"/>
                                    </a:lnTo>
                                    <a:close/>
                                    <a:moveTo>
                                      <a:pt x="1034" y="148"/>
                                    </a:moveTo>
                                    <a:cubicBezTo>
                                      <a:pt x="1034" y="160"/>
                                      <a:pt x="1034" y="160"/>
                                      <a:pt x="1034" y="160"/>
                                    </a:cubicBezTo>
                                    <a:cubicBezTo>
                                      <a:pt x="944" y="160"/>
                                      <a:pt x="944" y="160"/>
                                      <a:pt x="944" y="160"/>
                                    </a:cubicBezTo>
                                    <a:cubicBezTo>
                                      <a:pt x="944" y="3"/>
                                      <a:pt x="944" y="3"/>
                                      <a:pt x="944" y="3"/>
                                    </a:cubicBezTo>
                                    <a:cubicBezTo>
                                      <a:pt x="956" y="3"/>
                                      <a:pt x="956" y="3"/>
                                      <a:pt x="956" y="3"/>
                                    </a:cubicBezTo>
                                    <a:cubicBezTo>
                                      <a:pt x="956" y="148"/>
                                      <a:pt x="956" y="148"/>
                                      <a:pt x="956" y="148"/>
                                    </a:cubicBezTo>
                                    <a:lnTo>
                                      <a:pt x="1034" y="148"/>
                                    </a:lnTo>
                                    <a:close/>
                                    <a:moveTo>
                                      <a:pt x="1172" y="3"/>
                                    </a:moveTo>
                                    <a:cubicBezTo>
                                      <a:pt x="1172" y="15"/>
                                      <a:pt x="1172" y="15"/>
                                      <a:pt x="1172" y="15"/>
                                    </a:cubicBezTo>
                                    <a:cubicBezTo>
                                      <a:pt x="1123" y="15"/>
                                      <a:pt x="1123" y="15"/>
                                      <a:pt x="1123" y="15"/>
                                    </a:cubicBezTo>
                                    <a:cubicBezTo>
                                      <a:pt x="1123" y="160"/>
                                      <a:pt x="1123" y="160"/>
                                      <a:pt x="1123" y="160"/>
                                    </a:cubicBezTo>
                                    <a:cubicBezTo>
                                      <a:pt x="1110" y="160"/>
                                      <a:pt x="1110" y="160"/>
                                      <a:pt x="1110" y="160"/>
                                    </a:cubicBezTo>
                                    <a:cubicBezTo>
                                      <a:pt x="1110" y="15"/>
                                      <a:pt x="1110" y="15"/>
                                      <a:pt x="1110" y="15"/>
                                    </a:cubicBezTo>
                                    <a:cubicBezTo>
                                      <a:pt x="1061" y="15"/>
                                      <a:pt x="1061" y="15"/>
                                      <a:pt x="1061" y="15"/>
                                    </a:cubicBezTo>
                                    <a:cubicBezTo>
                                      <a:pt x="1061" y="3"/>
                                      <a:pt x="1061" y="3"/>
                                      <a:pt x="1061" y="3"/>
                                    </a:cubicBezTo>
                                    <a:lnTo>
                                      <a:pt x="1172" y="3"/>
                                    </a:lnTo>
                                    <a:close/>
                                    <a:moveTo>
                                      <a:pt x="1237" y="160"/>
                                    </a:moveTo>
                                    <a:cubicBezTo>
                                      <a:pt x="1237" y="3"/>
                                      <a:pt x="1237" y="3"/>
                                      <a:pt x="1237" y="3"/>
                                    </a:cubicBezTo>
                                    <a:cubicBezTo>
                                      <a:pt x="1250" y="3"/>
                                      <a:pt x="1250" y="3"/>
                                      <a:pt x="1250" y="3"/>
                                    </a:cubicBezTo>
                                    <a:cubicBezTo>
                                      <a:pt x="1250" y="160"/>
                                      <a:pt x="1250" y="160"/>
                                      <a:pt x="1250" y="160"/>
                                    </a:cubicBezTo>
                                    <a:lnTo>
                                      <a:pt x="1237" y="160"/>
                                    </a:lnTo>
                                    <a:close/>
                                    <a:moveTo>
                                      <a:pt x="1443" y="3"/>
                                    </a:moveTo>
                                    <a:cubicBezTo>
                                      <a:pt x="1443" y="160"/>
                                      <a:pt x="1443" y="160"/>
                                      <a:pt x="1443" y="160"/>
                                    </a:cubicBezTo>
                                    <a:cubicBezTo>
                                      <a:pt x="1432" y="160"/>
                                      <a:pt x="1432" y="160"/>
                                      <a:pt x="1432" y="160"/>
                                    </a:cubicBezTo>
                                    <a:cubicBezTo>
                                      <a:pt x="1360" y="51"/>
                                      <a:pt x="1360" y="51"/>
                                      <a:pt x="1360" y="51"/>
                                    </a:cubicBezTo>
                                    <a:cubicBezTo>
                                      <a:pt x="1349" y="35"/>
                                      <a:pt x="1343" y="24"/>
                                      <a:pt x="1343" y="24"/>
                                    </a:cubicBezTo>
                                    <a:cubicBezTo>
                                      <a:pt x="1342" y="24"/>
                                      <a:pt x="1342" y="24"/>
                                      <a:pt x="1342" y="24"/>
                                    </a:cubicBezTo>
                                    <a:cubicBezTo>
                                      <a:pt x="1342" y="24"/>
                                      <a:pt x="1343" y="42"/>
                                      <a:pt x="1343" y="64"/>
                                    </a:cubicBezTo>
                                    <a:cubicBezTo>
                                      <a:pt x="1343" y="160"/>
                                      <a:pt x="1343" y="160"/>
                                      <a:pt x="1343" y="160"/>
                                    </a:cubicBezTo>
                                    <a:cubicBezTo>
                                      <a:pt x="1330" y="160"/>
                                      <a:pt x="1330" y="160"/>
                                      <a:pt x="1330" y="160"/>
                                    </a:cubicBezTo>
                                    <a:cubicBezTo>
                                      <a:pt x="1330" y="3"/>
                                      <a:pt x="1330" y="3"/>
                                      <a:pt x="1330" y="3"/>
                                    </a:cubicBezTo>
                                    <a:cubicBezTo>
                                      <a:pt x="1342" y="3"/>
                                      <a:pt x="1342" y="3"/>
                                      <a:pt x="1342" y="3"/>
                                    </a:cubicBezTo>
                                    <a:cubicBezTo>
                                      <a:pt x="1414" y="111"/>
                                      <a:pt x="1414" y="111"/>
                                      <a:pt x="1414" y="111"/>
                                    </a:cubicBezTo>
                                    <a:cubicBezTo>
                                      <a:pt x="1424" y="126"/>
                                      <a:pt x="1431" y="138"/>
                                      <a:pt x="1431" y="138"/>
                                    </a:cubicBezTo>
                                    <a:cubicBezTo>
                                      <a:pt x="1432" y="138"/>
                                      <a:pt x="1432" y="138"/>
                                      <a:pt x="1432" y="138"/>
                                    </a:cubicBezTo>
                                    <a:cubicBezTo>
                                      <a:pt x="1432" y="138"/>
                                      <a:pt x="1431" y="119"/>
                                      <a:pt x="1431" y="98"/>
                                    </a:cubicBezTo>
                                    <a:cubicBezTo>
                                      <a:pt x="1431" y="3"/>
                                      <a:pt x="1431" y="3"/>
                                      <a:pt x="1431" y="3"/>
                                    </a:cubicBezTo>
                                    <a:lnTo>
                                      <a:pt x="1443" y="3"/>
                                    </a:lnTo>
                                    <a:close/>
                                    <a:moveTo>
                                      <a:pt x="1637" y="136"/>
                                    </a:moveTo>
                                    <a:cubicBezTo>
                                      <a:pt x="1631" y="145"/>
                                      <a:pt x="1613" y="163"/>
                                      <a:pt x="1584" y="163"/>
                                    </a:cubicBezTo>
                                    <a:cubicBezTo>
                                      <a:pt x="1543" y="163"/>
                                      <a:pt x="1513" y="131"/>
                                      <a:pt x="1513" y="81"/>
                                    </a:cubicBezTo>
                                    <a:cubicBezTo>
                                      <a:pt x="1513" y="31"/>
                                      <a:pt x="1543" y="0"/>
                                      <a:pt x="1584" y="0"/>
                                    </a:cubicBezTo>
                                    <a:cubicBezTo>
                                      <a:pt x="1614" y="1"/>
                                      <a:pt x="1635" y="16"/>
                                      <a:pt x="1647" y="41"/>
                                    </a:cubicBezTo>
                                    <a:cubicBezTo>
                                      <a:pt x="1634" y="44"/>
                                      <a:pt x="1634" y="44"/>
                                      <a:pt x="1634" y="44"/>
                                    </a:cubicBezTo>
                                    <a:cubicBezTo>
                                      <a:pt x="1625" y="24"/>
                                      <a:pt x="1606" y="12"/>
                                      <a:pt x="1584" y="12"/>
                                    </a:cubicBezTo>
                                    <a:cubicBezTo>
                                      <a:pt x="1550" y="12"/>
                                      <a:pt x="1526" y="38"/>
                                      <a:pt x="1526" y="81"/>
                                    </a:cubicBezTo>
                                    <a:cubicBezTo>
                                      <a:pt x="1526" y="124"/>
                                      <a:pt x="1550" y="150"/>
                                      <a:pt x="1585" y="150"/>
                                    </a:cubicBezTo>
                                    <a:cubicBezTo>
                                      <a:pt x="1613" y="150"/>
                                      <a:pt x="1632" y="132"/>
                                      <a:pt x="1637" y="118"/>
                                    </a:cubicBezTo>
                                    <a:cubicBezTo>
                                      <a:pt x="1637" y="91"/>
                                      <a:pt x="1637" y="91"/>
                                      <a:pt x="1637" y="91"/>
                                    </a:cubicBezTo>
                                    <a:cubicBezTo>
                                      <a:pt x="1593" y="91"/>
                                      <a:pt x="1593" y="91"/>
                                      <a:pt x="1593" y="91"/>
                                    </a:cubicBezTo>
                                    <a:cubicBezTo>
                                      <a:pt x="1593" y="80"/>
                                      <a:pt x="1593" y="80"/>
                                      <a:pt x="1593" y="80"/>
                                    </a:cubicBezTo>
                                    <a:cubicBezTo>
                                      <a:pt x="1648" y="80"/>
                                      <a:pt x="1648" y="80"/>
                                      <a:pt x="1648" y="80"/>
                                    </a:cubicBezTo>
                                    <a:cubicBezTo>
                                      <a:pt x="1648" y="160"/>
                                      <a:pt x="1648" y="160"/>
                                      <a:pt x="1648" y="160"/>
                                    </a:cubicBezTo>
                                    <a:cubicBezTo>
                                      <a:pt x="1637" y="160"/>
                                      <a:pt x="1637" y="160"/>
                                      <a:pt x="1637" y="160"/>
                                    </a:cubicBezTo>
                                    <a:cubicBezTo>
                                      <a:pt x="1637" y="141"/>
                                      <a:pt x="1637" y="136"/>
                                      <a:pt x="1637" y="136"/>
                                    </a:cubicBezTo>
                                    <a:close/>
                                  </a:path>
                                </a:pathLst>
                              </a:custGeom>
                              <a:solidFill>
                                <a:srgbClr val="978F8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FCFB9BB" id="Group 7" o:spid="_x0000_s1026" style="position:absolute;margin-left:-105.95pt;margin-top:1.95pt;width:104.7pt;height:5.15pt;z-index:-251444224;mso-position-horizontal-relative:right-margin-area;mso-position-vertical-relative:page;mso-width-relative:margin;mso-height-relative:margin" coordsize="12576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">
                    <v:shape id="Freeform 12" o:spid="_x0000_s1027" style="position:absolute;width:57864;height:6223;visibility:visible;mso-wrap-style:square;v-text-anchor:top" coordsize="1542,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mWlcAA&#10;AADbAAAADwAAAGRycy9kb3ducmV2LnhtbERP3WrCMBS+H/gO4Qy8m6nViXRGkYHgxUSsfYBDc9aU&#10;NSclyWx9ezMQdnc+vt+z2Y22EzfyoXWsYD7LQBDXTrfcKKiuh7c1iBCRNXaOScGdAuy2k5cNFtoN&#10;fKFbGRuRQjgUqMDE2BdShtqQxTBzPXHivp23GBP0jdQehxRuO5ln2UpabDk1GOzp01D9U/5aBThf&#10;eH2tVtVwkuXya2my/P1cKTV9HfcfICKN8V/8dB91mp/D3y/pAL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4mWlcAAAADbAAAADwAAAAAAAAAAAAAAAACYAgAAZHJzL2Rvd25y&#10;ZXYueG1sUEsFBgAAAAAEAAQA9QAAAIUDAAAAAA==&#10;" path="m105,124v-66,,-66,,-66,c26,160,26,160,26,160,,160,,160,,160,60,3,60,3,60,3v24,,24,,24,c143,160,143,160,143,160v-25,,-25,,-25,l105,124xm97,103c78,51,78,51,78,51,75,41,72,31,72,31v,,,,,c72,31,69,41,65,51,47,103,47,103,47,103r50,xm299,48c291,32,276,24,259,24v-28,,-47,22,-47,57c212,118,232,139,260,139v19,,35,-10,42,-28c326,117,326,117,326,117v-11,29,-36,46,-67,46c218,163,187,131,187,81,187,32,218,,259,v29,,53,15,65,41l299,48xm388,160c388,3,388,3,388,3v24,,24,,24,c412,160,412,160,412,160r-24,xm586,137v,23,,23,,23c489,160,489,160,489,160,489,3,489,3,489,3v24,,24,,24,c513,137,513,137,513,137r73,xm831,124v-66,,-66,,-66,c752,160,752,160,752,160v-25,,-25,,-25,c786,3,786,3,786,3v24,,24,,24,c870,160,870,160,870,160v-26,,-26,,-26,l831,124xm823,103c805,51,805,51,805,51,801,41,799,31,798,31v,,,,,c798,31,795,41,791,51v-18,52,-18,52,-18,52l823,103xm1026,137v,23,,23,,23c928,160,928,160,928,160,928,3,928,3,928,3v25,,25,,25,c953,137,953,137,953,137r73,xm1186,137v,23,,23,,23c1089,160,1089,160,1089,160v,-157,,-157,,-157c1113,3,1113,3,1113,3v,134,,134,,134l1186,137xm1349,137v,23,,23,,23c1249,160,1249,160,1249,160v,-157,,-157,,-157c1348,3,1348,3,1348,3v,23,,23,,23c1274,26,1274,26,1274,26v,41,,41,,41c1332,67,1332,67,1332,67v,22,,22,,22c1274,89,1274,89,1274,89v,48,,48,,48l1349,137xm1542,3v,157,,157,,157c1520,160,1520,160,1520,160,1467,81,1467,81,1467,81,1456,64,1444,45,1444,45v,,,,,c1444,45,1445,66,1445,93v,67,,67,,67c1421,160,1421,160,1421,160v,-157,,-157,,-157c1443,3,1443,3,1443,3v53,80,53,80,53,80c1506,98,1518,117,1518,117v1,,1,,1,c1519,117,1518,95,1518,70v,-67,,-67,,-67l1542,3xe" fillcolor="black" stroked="f">
                      <v:path arrowok="t" o:connecttype="custom" o:connectlocs="146350,473406;0,610847;315215,11453;442801,610847;363998,393233;270184,118352;243916,194707;363998,393233;971911,91627;975664,530673;1223333,446682;701728,309241;1215827,156529;1455991,610847;1546052,11453;1455991,610847;2198997,610847;1834999,11453;1925060,523037;3118372,473406;2821920,610847;2949507,11453;3264722,610847;3118372,473406;3020806,194707;2994538,118352;2900724,393233;3850120,523037;3482370,610847;3576184,11453;3850120,523037;4450529,610847;4086531,11453;4176592,523037;5062195,523037;4686940,610847;5058443,11453;4780754,99263;4998402,255792;4780754,339783;5062195,523037;5786438,610847;5504996,309241;5418688,171801;5422440,610847;5332379,11453;5613821,316877;5700129,446682;5696377,11453" o:connectangles="0,0,0,0,0,0,0,0,0,0,0,0,0,0,0,0,0,0,0,0,0,0,0,0,0,0,0,0,0,0,0,0,0,0,0,0,0,0,0,0,0,0,0,0,0,0,0,0,0"/>
                      <o:lock v:ext="edit" verticies="t"/>
                    </v:shape>
                    <v:shape id="Freeform 13" o:spid="_x0000_s1028" style="position:absolute;left:63912;width:61849;height:6223;visibility:visible;mso-wrap-style:square;v-text-anchor:top" coordsize="164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5mcMA&#10;AADbAAAADwAAAGRycy9kb3ducmV2LnhtbERPS2vCQBC+F/wPywi9FN2oVSS6igYqhV7q4+BxyI5J&#10;NDsbsxsT/323UOhtPr7nLNedKcWDaldYVjAaRiCIU6sLzhScjh+DOQjnkTWWlknBkxysV72XJcba&#10;trynx8FnIoSwi1FB7n0VS+nSnAy6oa2IA3extUEfYJ1JXWMbwk0px1E0kwYLDg05VpTklN4OjVHw&#10;VjRfR5k052Rr9u+76aa9Tu7fSr32u80ChKfO/4v/3J86zJ/A7y/h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Y5mcMAAADbAAAADwAAAAAAAAAAAAAAAACYAgAAZHJzL2Rv&#10;d25yZXYueG1sUEsFBgAAAAAEAAQA9QAAAIgDAAAAAA==&#10;" path="m121,44c112,24,93,12,71,12,37,12,13,39,13,81v,43,25,69,58,69c95,150,114,137,124,114v12,4,12,4,12,4c125,146,101,163,71,163,30,163,,131,,81,,31,30,,71,v28,,51,15,63,41l121,44xm265,v41,,72,32,72,81c337,131,306,163,265,163v-41,,-72,-32,-72,-82c193,31,224,,265,xm265,151v34,,58,-27,58,-70c323,38,299,12,265,12v-34,,-59,26,-59,69c206,125,231,151,265,151xm518,3v,157,,157,,157c506,160,506,160,506,160,434,51,434,51,434,51,424,35,417,24,417,24v,,,,,c416,24,418,42,418,64v,96,,96,,96c405,160,405,160,405,160,405,3,405,3,405,3v12,,12,,12,c488,111,488,111,488,111v11,15,18,27,18,27c506,138,506,138,506,138v,,-1,-19,-1,-40c505,3,505,3,505,3r13,xm677,43c673,23,659,11,638,11v-20,,-35,11,-35,29c603,58,624,66,644,73v21,8,47,18,47,47c691,145,671,163,640,163v-31,,-50,-19,-53,-44c599,116,599,116,599,116v2,20,16,35,41,35c663,151,678,138,678,120,678,96,653,90,632,81,614,74,590,65,590,40,590,17,610,,639,v26,,45,16,50,40l677,43xm870,3v,98,,98,,98c870,142,849,163,813,163v-37,,-57,-21,-57,-62c756,3,756,3,756,3v13,,13,,13,c769,102,769,102,769,102v,32,15,49,44,49c842,151,857,134,857,102v,-99,,-99,,-99l870,3xm1034,148v,12,,12,,12c944,160,944,160,944,160,944,3,944,3,944,3v12,,12,,12,c956,148,956,148,956,148r78,xm1172,3v,12,,12,,12c1123,15,1123,15,1123,15v,145,,145,,145c1110,160,1110,160,1110,160v,-145,,-145,,-145c1061,15,1061,15,1061,15v,-12,,-12,,-12l1172,3xm1237,160v,-157,,-157,,-157c1250,3,1250,3,1250,3v,157,,157,,157l1237,160xm1443,3v,157,,157,,157c1432,160,1432,160,1432,160,1360,51,1360,51,1360,51,1349,35,1343,24,1343,24v-1,,-1,,-1,c1342,24,1343,42,1343,64v,96,,96,,96c1330,160,1330,160,1330,160v,-157,,-157,,-157c1342,3,1342,3,1342,3v72,108,72,108,72,108c1424,126,1431,138,1431,138v1,,1,,1,c1432,138,1431,119,1431,98v,-95,,-95,,-95l1443,3xm1637,136v-6,9,-24,27,-53,27c1543,163,1513,131,1513,81v,-50,30,-81,71,-81c1614,1,1635,16,1647,41v-13,3,-13,3,-13,3c1625,24,1606,12,1584,12v-34,,-58,26,-58,69c1526,124,1550,150,1585,150v28,,47,-18,52,-32c1637,91,1637,91,1637,91v-44,,-44,,-44,c1593,80,1593,80,1593,80v55,,55,,55,c1648,160,1648,160,1648,160v-11,,-11,,-11,c1637,141,1637,136,1637,136xe" fillcolor="#978f8b" stroked="f">
                      <v:path arrowok="t" o:connecttype="custom" o:connectlocs="266461,45813;266461,572669;510404,450499;0,309241;502898,156529;994538,0;994538,622300;994538,0;1212210,309241;773113,309241;1944040,11453;1899004,610847;1564990,91627;1568743,244339;1519954,610847;1564990,11453;1899004,526855;1895252,374144;1944040,11453;2394397,41996;2416915,278699;2401903,622300;2248031,442864;2544516,458135;2214254,152712;2585799,152712;3265087,11453;3051167,622300;2837248,11453;2886036,389415;3216298,389415;3265087,11453;3880574,610847;3542807,11453;3587842,565033;4398485,11453;4214589,57267;4165800,610847;3981905,57267;4398485,11453;4642428,11453;4691217,610847;5415540,11453;5374258,610847;5040243,91627;5040243,244339;4991454,610847;5036490,11453;5370505,526855;5370505,374144;5415540,11453;5944710,622300;5944710,0;6132358,167983;5727037,309241;6143617,450499;5978486,347419;6184900,305423;6143617,610847" o:connectangles="0,0,0,0,0,0,0,0,0,0,0,0,0,0,0,0,0,0,0,0,0,0,0,0,0,0,0,0,0,0,0,0,0,0,0,0,0,0,0,0,0,0,0,0,0,0,0,0,0,0,0,0,0,0,0,0,0,0,0"/>
                      <o:lock v:ext="edit" verticies="t"/>
                    </v:shape>
                    <w10:wrap anchorx="margin" anchory="page"/>
                    <w10:anchorlock/>
                  </v:group>
                </w:pict>
              </mc:Fallback>
            </mc:AlternateContent>
          </w:r>
        </w:p>
      </w:tc>
    </w:tr>
  </w:tbl>
  <w:p w14:paraId="69834579" w14:textId="77777777" w:rsidR="00456FDA" w:rsidRPr="00584A21" w:rsidRDefault="00456FDA" w:rsidP="00C570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D38A" w14:textId="77777777" w:rsidR="00456FDA" w:rsidRDefault="00456F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448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E0FAA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44FCCE0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B1CF0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AAE6A9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F01497"/>
    <w:multiLevelType w:val="multilevel"/>
    <w:tmpl w:val="55DAED7E"/>
    <w:numStyleLink w:val="aaTableListBullets"/>
  </w:abstractNum>
  <w:abstractNum w:abstractNumId="6" w15:restartNumberingAfterBreak="0">
    <w:nsid w:val="06D55B15"/>
    <w:multiLevelType w:val="multilevel"/>
    <w:tmpl w:val="C1127ADE"/>
    <w:styleLink w:val="aaHeadingnonumberList"/>
    <w:lvl w:ilvl="0">
      <w:start w:val="1"/>
      <w:numFmt w:val="none"/>
      <w:pStyle w:val="Exec-SubHeadBanner"/>
      <w:suff w:val="nothing"/>
      <w:lvlText w:val="%1"/>
      <w:lvlJc w:val="left"/>
      <w:pPr>
        <w:ind w:left="0" w:firstLine="0"/>
      </w:pPr>
      <w:rPr>
        <w:rFonts w:hint="default"/>
      </w:rPr>
    </w:lvl>
    <w:lvl w:ilvl="1">
      <w:start w:val="1"/>
      <w:numFmt w:val="none"/>
      <w:pStyle w:val="Heading2nonumber"/>
      <w:suff w:val="nothing"/>
      <w:lvlText w:val="%2"/>
      <w:lvlJc w:val="left"/>
      <w:pPr>
        <w:ind w:left="0" w:firstLine="0"/>
      </w:pPr>
      <w:rPr>
        <w:rFonts w:hint="default"/>
      </w:rPr>
    </w:lvl>
    <w:lvl w:ilvl="2">
      <w:start w:val="1"/>
      <w:numFmt w:val="none"/>
      <w:pStyle w:val="Heading3nonumber"/>
      <w:suff w:val="nothing"/>
      <w:lvlText w:val="%3"/>
      <w:lvlJc w:val="left"/>
      <w:pPr>
        <w:ind w:left="0" w:firstLine="0"/>
      </w:pPr>
      <w:rPr>
        <w:rFonts w:hint="default"/>
      </w:rPr>
    </w:lvl>
    <w:lvl w:ilvl="3">
      <w:start w:val="1"/>
      <w:numFmt w:val="none"/>
      <w:pStyle w:val="Heading4nonumber"/>
      <w:suff w:val="nothing"/>
      <w:lvlText w:val=""/>
      <w:lvlJc w:val="left"/>
      <w:pPr>
        <w:ind w:left="0" w:firstLine="0"/>
      </w:pPr>
      <w:rPr>
        <w:rFonts w:hint="default"/>
      </w:rPr>
    </w:lvl>
    <w:lvl w:ilvl="4">
      <w:start w:val="1"/>
      <w:numFmt w:val="none"/>
      <w:pStyle w:val="Heading5nonumber"/>
      <w:suff w:val="nothing"/>
      <w:lvlText w:val=""/>
      <w:lvlJc w:val="left"/>
      <w:pPr>
        <w:ind w:left="0" w:firstLine="0"/>
      </w:pPr>
      <w:rPr>
        <w:rFonts w:hint="default"/>
      </w:rPr>
    </w:lvl>
    <w:lvl w:ilvl="5">
      <w:start w:val="1"/>
      <w:numFmt w:val="none"/>
      <w:pStyle w:val="Heading6nonumber"/>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06D671DF"/>
    <w:multiLevelType w:val="hybridMultilevel"/>
    <w:tmpl w:val="0DA6ED1E"/>
    <w:lvl w:ilvl="0" w:tplc="54CA5F08">
      <w:start w:val="1"/>
      <w:numFmt w:val="bullet"/>
      <w:lvlText w:val="—"/>
      <w:lvlJc w:val="left"/>
      <w:pPr>
        <w:ind w:left="264" w:hanging="360"/>
      </w:pPr>
      <w:rPr>
        <w:rFonts w:ascii="HelveticaNeueLT Std Lt Cn" w:hAnsi="HelveticaNeueLT Std Lt Cn" w:hint="default"/>
        <w:sz w:val="20"/>
      </w:rPr>
    </w:lvl>
    <w:lvl w:ilvl="1" w:tplc="04090003" w:tentative="1">
      <w:start w:val="1"/>
      <w:numFmt w:val="bullet"/>
      <w:lvlText w:val="o"/>
      <w:lvlJc w:val="left"/>
      <w:pPr>
        <w:ind w:left="984" w:hanging="360"/>
      </w:pPr>
      <w:rPr>
        <w:rFonts w:ascii="Courier New" w:hAnsi="Courier New" w:cs="Courier New" w:hint="default"/>
      </w:rPr>
    </w:lvl>
    <w:lvl w:ilvl="2" w:tplc="04090005" w:tentative="1">
      <w:start w:val="1"/>
      <w:numFmt w:val="bullet"/>
      <w:lvlText w:val=""/>
      <w:lvlJc w:val="left"/>
      <w:pPr>
        <w:ind w:left="1704" w:hanging="360"/>
      </w:pPr>
      <w:rPr>
        <w:rFonts w:ascii="Wingdings" w:hAnsi="Wingdings" w:hint="default"/>
      </w:rPr>
    </w:lvl>
    <w:lvl w:ilvl="3" w:tplc="04090001" w:tentative="1">
      <w:start w:val="1"/>
      <w:numFmt w:val="bullet"/>
      <w:lvlText w:val=""/>
      <w:lvlJc w:val="left"/>
      <w:pPr>
        <w:ind w:left="2424" w:hanging="360"/>
      </w:pPr>
      <w:rPr>
        <w:rFonts w:ascii="Symbol" w:hAnsi="Symbol" w:hint="default"/>
      </w:rPr>
    </w:lvl>
    <w:lvl w:ilvl="4" w:tplc="04090003" w:tentative="1">
      <w:start w:val="1"/>
      <w:numFmt w:val="bullet"/>
      <w:lvlText w:val="o"/>
      <w:lvlJc w:val="left"/>
      <w:pPr>
        <w:ind w:left="3144" w:hanging="360"/>
      </w:pPr>
      <w:rPr>
        <w:rFonts w:ascii="Courier New" w:hAnsi="Courier New" w:cs="Courier New" w:hint="default"/>
      </w:rPr>
    </w:lvl>
    <w:lvl w:ilvl="5" w:tplc="04090005" w:tentative="1">
      <w:start w:val="1"/>
      <w:numFmt w:val="bullet"/>
      <w:lvlText w:val=""/>
      <w:lvlJc w:val="left"/>
      <w:pPr>
        <w:ind w:left="3864" w:hanging="360"/>
      </w:pPr>
      <w:rPr>
        <w:rFonts w:ascii="Wingdings" w:hAnsi="Wingdings" w:hint="default"/>
      </w:rPr>
    </w:lvl>
    <w:lvl w:ilvl="6" w:tplc="04090001" w:tentative="1">
      <w:start w:val="1"/>
      <w:numFmt w:val="bullet"/>
      <w:lvlText w:val=""/>
      <w:lvlJc w:val="left"/>
      <w:pPr>
        <w:ind w:left="4584" w:hanging="360"/>
      </w:pPr>
      <w:rPr>
        <w:rFonts w:ascii="Symbol" w:hAnsi="Symbol" w:hint="default"/>
      </w:rPr>
    </w:lvl>
    <w:lvl w:ilvl="7" w:tplc="04090003" w:tentative="1">
      <w:start w:val="1"/>
      <w:numFmt w:val="bullet"/>
      <w:lvlText w:val="o"/>
      <w:lvlJc w:val="left"/>
      <w:pPr>
        <w:ind w:left="5304" w:hanging="360"/>
      </w:pPr>
      <w:rPr>
        <w:rFonts w:ascii="Courier New" w:hAnsi="Courier New" w:cs="Courier New" w:hint="default"/>
      </w:rPr>
    </w:lvl>
    <w:lvl w:ilvl="8" w:tplc="04090005" w:tentative="1">
      <w:start w:val="1"/>
      <w:numFmt w:val="bullet"/>
      <w:lvlText w:val=""/>
      <w:lvlJc w:val="left"/>
      <w:pPr>
        <w:ind w:left="6024" w:hanging="360"/>
      </w:pPr>
      <w:rPr>
        <w:rFonts w:ascii="Wingdings" w:hAnsi="Wingdings" w:hint="default"/>
      </w:rPr>
    </w:lvl>
  </w:abstractNum>
  <w:abstractNum w:abstractNumId="8" w15:restartNumberingAfterBreak="0">
    <w:nsid w:val="07877F50"/>
    <w:multiLevelType w:val="multilevel"/>
    <w:tmpl w:val="C958DAD4"/>
    <w:styleLink w:val="aaAppendixNumbering"/>
    <w:lvl w:ilvl="0">
      <w:start w:val="1"/>
      <w:numFmt w:val="upperLetter"/>
      <w:pStyle w:val="Heading7"/>
      <w:lvlText w:val="%1."/>
      <w:lvlJc w:val="right"/>
      <w:pPr>
        <w:tabs>
          <w:tab w:val="num" w:pos="248"/>
        </w:tabs>
        <w:ind w:left="248" w:hanging="384"/>
      </w:pPr>
      <w:rPr>
        <w:rFonts w:hint="default"/>
      </w:rPr>
    </w:lvl>
    <w:lvl w:ilvl="1">
      <w:start w:val="1"/>
      <w:numFmt w:val="decimal"/>
      <w:pStyle w:val="Heading8"/>
      <w:lvlText w:val="%1.%2"/>
      <w:lvlJc w:val="right"/>
      <w:pPr>
        <w:tabs>
          <w:tab w:val="num" w:pos="0"/>
        </w:tabs>
        <w:ind w:left="0" w:hanging="136"/>
      </w:pPr>
      <w:rPr>
        <w:rFonts w:hint="default"/>
      </w:rPr>
    </w:lvl>
    <w:lvl w:ilvl="2">
      <w:start w:val="1"/>
      <w:numFmt w:val="decimal"/>
      <w:pStyle w:val="Heading9"/>
      <w:lvlText w:val="%1.%2.%3"/>
      <w:lvlJc w:val="left"/>
      <w:pPr>
        <w:tabs>
          <w:tab w:val="num" w:pos="320"/>
        </w:tabs>
        <w:ind w:left="320" w:hanging="3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07C8395D"/>
    <w:multiLevelType w:val="multilevel"/>
    <w:tmpl w:val="30BE6EB8"/>
    <w:numStyleLink w:val="aaTOCList"/>
  </w:abstractNum>
  <w:abstractNum w:abstractNumId="10" w15:restartNumberingAfterBreak="0">
    <w:nsid w:val="07FA2EFB"/>
    <w:multiLevelType w:val="multilevel"/>
    <w:tmpl w:val="D4E4AEA8"/>
    <w:numStyleLink w:val="aaReportHeadings"/>
  </w:abstractNum>
  <w:abstractNum w:abstractNumId="11" w15:restartNumberingAfterBreak="0">
    <w:nsid w:val="08CE7DC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BC535B"/>
    <w:multiLevelType w:val="multilevel"/>
    <w:tmpl w:val="CC5C7C98"/>
    <w:styleLink w:val="ACILAllenDashedList"/>
    <w:lvl w:ilvl="0">
      <w:start w:val="1"/>
      <w:numFmt w:val="bullet"/>
      <w:lvlText w:val=""/>
      <w:lvlJc w:val="left"/>
      <w:pPr>
        <w:ind w:left="1702" w:hanging="284"/>
      </w:pPr>
      <w:rPr>
        <w:rFonts w:ascii="Symbol" w:hAnsi="Symbol" w:hint="default"/>
      </w:rPr>
    </w:lvl>
    <w:lvl w:ilvl="1">
      <w:start w:val="1"/>
      <w:numFmt w:val="bullet"/>
      <w:lvlText w:val=""/>
      <w:lvlJc w:val="left"/>
      <w:pPr>
        <w:ind w:left="426" w:hanging="284"/>
      </w:pPr>
      <w:rPr>
        <w:rFonts w:ascii="Symbol" w:hAnsi="Symbol" w:hint="default"/>
      </w:rPr>
    </w:lvl>
    <w:lvl w:ilvl="2">
      <w:start w:val="1"/>
      <w:numFmt w:val="bullet"/>
      <w:lvlText w:val=""/>
      <w:lvlJc w:val="left"/>
      <w:pPr>
        <w:ind w:left="1418" w:hanging="284"/>
      </w:pPr>
      <w:rPr>
        <w:rFonts w:ascii="Symbol" w:hAnsi="Symbol" w:hint="default"/>
      </w:rPr>
    </w:lvl>
    <w:lvl w:ilvl="3">
      <w:start w:val="1"/>
      <w:numFmt w:val="none"/>
      <w:suff w:val="nothing"/>
      <w:lvlText w:val=""/>
      <w:lvlJc w:val="left"/>
      <w:pPr>
        <w:ind w:left="4320" w:hanging="360"/>
      </w:pPr>
      <w:rPr>
        <w:rFonts w:hint="default"/>
      </w:rPr>
    </w:lvl>
    <w:lvl w:ilvl="4">
      <w:start w:val="1"/>
      <w:numFmt w:val="none"/>
      <w:suff w:val="nothing"/>
      <w:lvlText w:val=""/>
      <w:lvlJc w:val="left"/>
      <w:pPr>
        <w:ind w:left="5040" w:hanging="360"/>
      </w:pPr>
      <w:rPr>
        <w:rFonts w:hint="default"/>
      </w:rPr>
    </w:lvl>
    <w:lvl w:ilvl="5">
      <w:start w:val="1"/>
      <w:numFmt w:val="none"/>
      <w:suff w:val="nothing"/>
      <w:lvlText w:val=""/>
      <w:lvlJc w:val="left"/>
      <w:pPr>
        <w:ind w:left="576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7200" w:hanging="360"/>
      </w:pPr>
      <w:rPr>
        <w:rFonts w:hint="default"/>
      </w:rPr>
    </w:lvl>
    <w:lvl w:ilvl="8">
      <w:start w:val="1"/>
      <w:numFmt w:val="none"/>
      <w:suff w:val="nothing"/>
      <w:lvlText w:val=""/>
      <w:lvlJc w:val="left"/>
      <w:pPr>
        <w:ind w:left="7920" w:hanging="360"/>
      </w:pPr>
      <w:rPr>
        <w:rFonts w:hint="default"/>
      </w:rPr>
    </w:lvl>
  </w:abstractNum>
  <w:abstractNum w:abstractNumId="13" w15:restartNumberingAfterBreak="0">
    <w:nsid w:val="1046107E"/>
    <w:multiLevelType w:val="multilevel"/>
    <w:tmpl w:val="65D86914"/>
    <w:numStyleLink w:val="BoxList"/>
  </w:abstractNum>
  <w:abstractNum w:abstractNumId="14" w15:restartNumberingAfterBreak="0">
    <w:nsid w:val="16CC3DFF"/>
    <w:multiLevelType w:val="multilevel"/>
    <w:tmpl w:val="AB0EE45E"/>
    <w:styleLink w:val="BoxListBullets"/>
    <w:lvl w:ilvl="0">
      <w:start w:val="1"/>
      <w:numFmt w:val="bullet"/>
      <w:pStyle w:val="BoxListBullet"/>
      <w:lvlText w:val="—"/>
      <w:lvlJc w:val="left"/>
      <w:pPr>
        <w:ind w:left="446" w:hanging="446"/>
      </w:pPr>
      <w:rPr>
        <w:rFonts w:ascii="Arial Narrow" w:hAnsi="Arial Narrow" w:hint="default"/>
      </w:rPr>
    </w:lvl>
    <w:lvl w:ilvl="1">
      <w:start w:val="1"/>
      <w:numFmt w:val="bullet"/>
      <w:pStyle w:val="BoxListBullet2"/>
      <w:lvlText w:val="–"/>
      <w:lvlJc w:val="left"/>
      <w:pPr>
        <w:ind w:left="726" w:hanging="280"/>
      </w:pPr>
      <w:rPr>
        <w:rFonts w:ascii="Arial Narrow" w:hAnsi="Arial Narrow" w:hint="default"/>
        <w:sz w:val="16"/>
      </w:rPr>
    </w:lvl>
    <w:lvl w:ilvl="2">
      <w:start w:val="1"/>
      <w:numFmt w:val="bullet"/>
      <w:pStyle w:val="BoxListBullet3"/>
      <w:lvlText w:val="–"/>
      <w:lvlJc w:val="left"/>
      <w:pPr>
        <w:ind w:left="966" w:hanging="240"/>
      </w:pPr>
      <w:rPr>
        <w:rFonts w:ascii="Arial Narrow" w:hAnsi="Arial Narrow" w:hint="default"/>
      </w:rPr>
    </w:lvl>
    <w:lvl w:ilvl="3">
      <w:start w:val="1"/>
      <w:numFmt w:val="decimal"/>
      <w:lvlText w:val="(%4)"/>
      <w:lvlJc w:val="left"/>
      <w:pPr>
        <w:ind w:left="1166" w:hanging="446"/>
      </w:pPr>
      <w:rPr>
        <w:rFonts w:hint="default"/>
      </w:rPr>
    </w:lvl>
    <w:lvl w:ilvl="4">
      <w:start w:val="1"/>
      <w:numFmt w:val="lowerLetter"/>
      <w:lvlText w:val="(%5)"/>
      <w:lvlJc w:val="left"/>
      <w:pPr>
        <w:ind w:left="1406" w:hanging="446"/>
      </w:pPr>
      <w:rPr>
        <w:rFonts w:hint="default"/>
      </w:rPr>
    </w:lvl>
    <w:lvl w:ilvl="5">
      <w:start w:val="1"/>
      <w:numFmt w:val="lowerRoman"/>
      <w:lvlText w:val="(%6)"/>
      <w:lvlJc w:val="left"/>
      <w:pPr>
        <w:ind w:left="1646" w:hanging="446"/>
      </w:pPr>
      <w:rPr>
        <w:rFonts w:hint="default"/>
      </w:rPr>
    </w:lvl>
    <w:lvl w:ilvl="6">
      <w:start w:val="1"/>
      <w:numFmt w:val="decimal"/>
      <w:lvlText w:val="%7."/>
      <w:lvlJc w:val="left"/>
      <w:pPr>
        <w:ind w:left="1886" w:hanging="446"/>
      </w:pPr>
      <w:rPr>
        <w:rFonts w:hint="default"/>
      </w:rPr>
    </w:lvl>
    <w:lvl w:ilvl="7">
      <w:start w:val="1"/>
      <w:numFmt w:val="lowerLetter"/>
      <w:lvlText w:val="%8."/>
      <w:lvlJc w:val="left"/>
      <w:pPr>
        <w:ind w:left="2126" w:hanging="446"/>
      </w:pPr>
      <w:rPr>
        <w:rFonts w:hint="default"/>
      </w:rPr>
    </w:lvl>
    <w:lvl w:ilvl="8">
      <w:start w:val="1"/>
      <w:numFmt w:val="lowerRoman"/>
      <w:lvlText w:val="%9."/>
      <w:lvlJc w:val="left"/>
      <w:pPr>
        <w:ind w:left="2366" w:hanging="446"/>
      </w:pPr>
      <w:rPr>
        <w:rFonts w:hint="default"/>
      </w:rPr>
    </w:lvl>
  </w:abstractNum>
  <w:abstractNum w:abstractNumId="15" w15:restartNumberingAfterBreak="0">
    <w:nsid w:val="1877449B"/>
    <w:multiLevelType w:val="multilevel"/>
    <w:tmpl w:val="145205FC"/>
    <w:styleLink w:val="aaReportListDash"/>
    <w:lvl w:ilvl="0">
      <w:start w:val="1"/>
      <w:numFmt w:val="bullet"/>
      <w:pStyle w:val="ListDash"/>
      <w:lvlText w:val="—"/>
      <w:lvlJc w:val="left"/>
      <w:pPr>
        <w:ind w:left="0" w:hanging="448"/>
      </w:pPr>
      <w:rPr>
        <w:rFonts w:ascii="Arial Narrow" w:hAnsi="Arial Narrow" w:hint="default"/>
      </w:rPr>
    </w:lvl>
    <w:lvl w:ilvl="1">
      <w:start w:val="1"/>
      <w:numFmt w:val="bullet"/>
      <w:pStyle w:val="ListDash2"/>
      <w:lvlText w:val="–"/>
      <w:lvlJc w:val="left"/>
      <w:pPr>
        <w:ind w:left="238" w:hanging="238"/>
      </w:pPr>
      <w:rPr>
        <w:rFonts w:ascii="Arial Narrow" w:hAnsi="Arial Narrow" w:hint="default"/>
      </w:rPr>
    </w:lvl>
    <w:lvl w:ilvl="2">
      <w:start w:val="1"/>
      <w:numFmt w:val="bullet"/>
      <w:pStyle w:val="ListDash3"/>
      <w:lvlText w:val="−"/>
      <w:lvlJc w:val="left"/>
      <w:pPr>
        <w:ind w:left="482" w:hanging="244"/>
      </w:pPr>
      <w:rPr>
        <w:rFonts w:ascii="Arial Narrow" w:hAnsi="Arial Narrow" w:hint="default"/>
        <w:position w:val="-2"/>
      </w:rPr>
    </w:lvl>
    <w:lvl w:ilvl="3">
      <w:start w:val="1"/>
      <w:numFmt w:val="bullet"/>
      <w:lvlText w:val="−"/>
      <w:lvlJc w:val="left"/>
      <w:pPr>
        <w:ind w:left="0" w:hanging="448"/>
      </w:pPr>
      <w:rPr>
        <w:rFonts w:ascii="Calibri" w:hAnsi="Calibri" w:hint="default"/>
      </w:rPr>
    </w:lvl>
    <w:lvl w:ilvl="4">
      <w:start w:val="1"/>
      <w:numFmt w:val="bullet"/>
      <w:lvlText w:val="−"/>
      <w:lvlJc w:val="left"/>
      <w:pPr>
        <w:ind w:left="0" w:hanging="448"/>
      </w:pPr>
      <w:rPr>
        <w:rFonts w:ascii="Calibri" w:hAnsi="Calibri" w:hint="default"/>
      </w:rPr>
    </w:lvl>
    <w:lvl w:ilvl="5">
      <w:start w:val="1"/>
      <w:numFmt w:val="bullet"/>
      <w:lvlText w:val="−"/>
      <w:lvlJc w:val="left"/>
      <w:pPr>
        <w:ind w:left="0" w:hanging="448"/>
      </w:pPr>
      <w:rPr>
        <w:rFonts w:ascii="Calibri" w:hAnsi="Calibri" w:hint="default"/>
      </w:rPr>
    </w:lvl>
    <w:lvl w:ilvl="6">
      <w:start w:val="1"/>
      <w:numFmt w:val="bullet"/>
      <w:lvlText w:val="−"/>
      <w:lvlJc w:val="left"/>
      <w:pPr>
        <w:ind w:left="0" w:hanging="448"/>
      </w:pPr>
      <w:rPr>
        <w:rFonts w:ascii="Calibri" w:hAnsi="Calibri" w:hint="default"/>
      </w:rPr>
    </w:lvl>
    <w:lvl w:ilvl="7">
      <w:start w:val="1"/>
      <w:numFmt w:val="bullet"/>
      <w:lvlText w:val="−"/>
      <w:lvlJc w:val="left"/>
      <w:pPr>
        <w:ind w:left="0" w:hanging="448"/>
      </w:pPr>
      <w:rPr>
        <w:rFonts w:ascii="Calibri" w:hAnsi="Calibri" w:hint="default"/>
      </w:rPr>
    </w:lvl>
    <w:lvl w:ilvl="8">
      <w:start w:val="1"/>
      <w:numFmt w:val="bullet"/>
      <w:lvlText w:val="−"/>
      <w:lvlJc w:val="left"/>
      <w:pPr>
        <w:ind w:left="0" w:hanging="448"/>
      </w:pPr>
      <w:rPr>
        <w:rFonts w:ascii="Calibri" w:hAnsi="Calibri" w:hint="default"/>
      </w:rPr>
    </w:lvl>
  </w:abstractNum>
  <w:abstractNum w:abstractNumId="16" w15:restartNumberingAfterBreak="0">
    <w:nsid w:val="1B7502B7"/>
    <w:multiLevelType w:val="multilevel"/>
    <w:tmpl w:val="475CFF34"/>
    <w:numStyleLink w:val="aaReportListBullets"/>
  </w:abstractNum>
  <w:abstractNum w:abstractNumId="17" w15:restartNumberingAfterBreak="0">
    <w:nsid w:val="1BB100B0"/>
    <w:multiLevelType w:val="multilevel"/>
    <w:tmpl w:val="75081F48"/>
    <w:styleLink w:val="aaSideNotesBullets"/>
    <w:lvl w:ilvl="0">
      <w:start w:val="1"/>
      <w:numFmt w:val="bullet"/>
      <w:pStyle w:val="SideNoteDash"/>
      <w:lvlText w:val="–"/>
      <w:lvlJc w:val="left"/>
      <w:pPr>
        <w:tabs>
          <w:tab w:val="num" w:pos="60"/>
        </w:tabs>
        <w:ind w:left="220" w:hanging="220"/>
      </w:pPr>
      <w:rPr>
        <w:rFonts w:ascii="Arial Narrow" w:hAnsi="Arial Narrow" w:hint="default"/>
      </w:rPr>
    </w:lvl>
    <w:lvl w:ilvl="1">
      <w:start w:val="1"/>
      <w:numFmt w:val="bullet"/>
      <w:pStyle w:val="SideNoteBullet"/>
      <w:lvlText w:val="•"/>
      <w:lvlJc w:val="left"/>
      <w:pPr>
        <w:ind w:left="220" w:hanging="220"/>
      </w:pPr>
      <w:rPr>
        <w:rFonts w:ascii="Arial Narrow" w:hAnsi="Arial Narro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5A7EF8"/>
    <w:multiLevelType w:val="hybridMultilevel"/>
    <w:tmpl w:val="AA4C97A0"/>
    <w:lvl w:ilvl="0" w:tplc="82800CE2">
      <w:start w:val="1"/>
      <w:numFmt w:val="bullet"/>
      <w:pStyle w:val="TableQuoteBullet"/>
      <w:lvlText w:val="–"/>
      <w:lvlJc w:val="left"/>
      <w:pPr>
        <w:ind w:left="460" w:hanging="360"/>
      </w:pPr>
      <w:rPr>
        <w:rFonts w:ascii="Arial Narrow" w:hAnsi="Arial Narro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010423"/>
    <w:multiLevelType w:val="multilevel"/>
    <w:tmpl w:val="29E0E8DA"/>
    <w:styleLink w:val="aaTableListNumbers"/>
    <w:lvl w:ilvl="0">
      <w:start w:val="1"/>
      <w:numFmt w:val="decimal"/>
      <w:pStyle w:val="Tablelistnumber"/>
      <w:lvlText w:val="%1."/>
      <w:lvlJc w:val="left"/>
      <w:pPr>
        <w:ind w:left="340" w:hanging="340"/>
      </w:pPr>
      <w:rPr>
        <w:rFonts w:hint="default"/>
      </w:rPr>
    </w:lvl>
    <w:lvl w:ilvl="1">
      <w:start w:val="1"/>
      <w:numFmt w:val="lowerLetter"/>
      <w:pStyle w:val="Tablelistnumber2"/>
      <w:lvlText w:val="%2)"/>
      <w:lvlJc w:val="left"/>
      <w:pPr>
        <w:ind w:left="680" w:hanging="340"/>
      </w:pPr>
      <w:rPr>
        <w:rFonts w:hint="default"/>
      </w:rPr>
    </w:lvl>
    <w:lvl w:ilvl="2">
      <w:start w:val="1"/>
      <w:numFmt w:val="lowerRoman"/>
      <w:pStyle w:val="Tablelistnumber3"/>
      <w:lvlText w:val="%3)"/>
      <w:lvlJc w:val="left"/>
      <w:pPr>
        <w:ind w:left="907" w:hanging="227"/>
      </w:pPr>
      <w:rPr>
        <w:rFonts w:hint="default"/>
      </w:rPr>
    </w:lvl>
    <w:lvl w:ilvl="3">
      <w:start w:val="1"/>
      <w:numFmt w:val="decimal"/>
      <w:lvlText w:val="(%4)"/>
      <w:lvlJc w:val="left"/>
      <w:pPr>
        <w:ind w:left="960" w:hanging="240"/>
      </w:pPr>
      <w:rPr>
        <w:rFonts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20" w15:restartNumberingAfterBreak="0">
    <w:nsid w:val="24103F2B"/>
    <w:multiLevelType w:val="multilevel"/>
    <w:tmpl w:val="475CFF34"/>
    <w:styleLink w:val="aaReportListBullets"/>
    <w:lvl w:ilvl="0">
      <w:start w:val="1"/>
      <w:numFmt w:val="bullet"/>
      <w:pStyle w:val="ListBullet"/>
      <w:lvlText w:val="—"/>
      <w:lvlJc w:val="left"/>
      <w:pPr>
        <w:ind w:left="0" w:hanging="446"/>
      </w:pPr>
      <w:rPr>
        <w:rFonts w:ascii="Arial Narrow" w:hAnsi="Arial Narrow" w:hint="default"/>
        <w:sz w:val="20"/>
      </w:rPr>
    </w:lvl>
    <w:lvl w:ilvl="1">
      <w:start w:val="1"/>
      <w:numFmt w:val="bullet"/>
      <w:pStyle w:val="ListBullet2"/>
      <w:lvlText w:val="―"/>
      <w:lvlJc w:val="left"/>
      <w:pPr>
        <w:ind w:left="240" w:hanging="240"/>
      </w:pPr>
      <w:rPr>
        <w:rFonts w:ascii="Arial Narrow" w:hAnsi="Arial Narrow" w:hint="default"/>
        <w:sz w:val="16"/>
      </w:rPr>
    </w:lvl>
    <w:lvl w:ilvl="2">
      <w:start w:val="1"/>
      <w:numFmt w:val="bullet"/>
      <w:pStyle w:val="ListBullet3"/>
      <w:lvlText w:val="−"/>
      <w:lvlJc w:val="left"/>
      <w:pPr>
        <w:ind w:left="480" w:hanging="240"/>
      </w:pPr>
      <w:rPr>
        <w:rFonts w:ascii="Arial Narrow" w:hAnsi="Arial Narrow" w:hint="default"/>
        <w:position w:val="0"/>
        <w:sz w:val="16"/>
      </w:rPr>
    </w:lvl>
    <w:lvl w:ilvl="3">
      <w:start w:val="1"/>
      <w:numFmt w:val="bullet"/>
      <w:lvlText w:val="–"/>
      <w:lvlJc w:val="left"/>
      <w:pPr>
        <w:ind w:left="480" w:hanging="240"/>
      </w:pPr>
      <w:rPr>
        <w:rFonts w:ascii="HelveticaNeueLT Std Lt Cn" w:hAnsi="HelveticaNeueLT Std Lt Cn" w:hint="default"/>
      </w:rPr>
    </w:lvl>
    <w:lvl w:ilvl="4">
      <w:start w:val="1"/>
      <w:numFmt w:val="lowerLetter"/>
      <w:lvlText w:val="(%5)"/>
      <w:lvlJc w:val="left"/>
      <w:pPr>
        <w:ind w:left="960" w:hanging="446"/>
      </w:pPr>
      <w:rPr>
        <w:rFonts w:hint="default"/>
      </w:rPr>
    </w:lvl>
    <w:lvl w:ilvl="5">
      <w:start w:val="1"/>
      <w:numFmt w:val="lowerRoman"/>
      <w:lvlText w:val="(%6)"/>
      <w:lvlJc w:val="left"/>
      <w:pPr>
        <w:ind w:left="1200" w:hanging="446"/>
      </w:pPr>
      <w:rPr>
        <w:rFonts w:hint="default"/>
      </w:rPr>
    </w:lvl>
    <w:lvl w:ilvl="6">
      <w:start w:val="1"/>
      <w:numFmt w:val="decimal"/>
      <w:lvlText w:val="%7."/>
      <w:lvlJc w:val="left"/>
      <w:pPr>
        <w:ind w:left="1440" w:hanging="446"/>
      </w:pPr>
      <w:rPr>
        <w:rFonts w:hint="default"/>
      </w:rPr>
    </w:lvl>
    <w:lvl w:ilvl="7">
      <w:start w:val="1"/>
      <w:numFmt w:val="lowerLetter"/>
      <w:lvlText w:val="%8."/>
      <w:lvlJc w:val="left"/>
      <w:pPr>
        <w:ind w:left="1680" w:hanging="446"/>
      </w:pPr>
      <w:rPr>
        <w:rFonts w:hint="default"/>
      </w:rPr>
    </w:lvl>
    <w:lvl w:ilvl="8">
      <w:start w:val="1"/>
      <w:numFmt w:val="lowerRoman"/>
      <w:lvlText w:val="%9."/>
      <w:lvlJc w:val="left"/>
      <w:pPr>
        <w:ind w:left="1920" w:hanging="446"/>
      </w:pPr>
      <w:rPr>
        <w:rFonts w:hint="default"/>
      </w:rPr>
    </w:lvl>
  </w:abstractNum>
  <w:abstractNum w:abstractNumId="21" w15:restartNumberingAfterBreak="0">
    <w:nsid w:val="24602A3A"/>
    <w:multiLevelType w:val="multilevel"/>
    <w:tmpl w:val="55DAED7E"/>
    <w:styleLink w:val="aaTableListBullets"/>
    <w:lvl w:ilvl="0">
      <w:start w:val="1"/>
      <w:numFmt w:val="bullet"/>
      <w:pStyle w:val="Tablelistbullet"/>
      <w:lvlText w:val="–"/>
      <w:lvlJc w:val="left"/>
      <w:pPr>
        <w:ind w:left="280" w:hanging="280"/>
      </w:pPr>
      <w:rPr>
        <w:rFonts w:ascii="Arial Narrow" w:hAnsi="Arial Narrow" w:hint="default"/>
      </w:rPr>
    </w:lvl>
    <w:lvl w:ilvl="1">
      <w:start w:val="1"/>
      <w:numFmt w:val="bullet"/>
      <w:pStyle w:val="Tablelistbullet2"/>
      <w:lvlText w:val="–"/>
      <w:lvlJc w:val="left"/>
      <w:pPr>
        <w:ind w:left="520" w:hanging="240"/>
      </w:pPr>
      <w:rPr>
        <w:rFonts w:ascii="Arial Narrow" w:hAnsi="Arial Narrow" w:hint="default"/>
        <w:color w:val="000100"/>
      </w:rPr>
    </w:lvl>
    <w:lvl w:ilvl="2">
      <w:start w:val="1"/>
      <w:numFmt w:val="bullet"/>
      <w:pStyle w:val="Tablelistbullet3"/>
      <w:lvlText w:val="–"/>
      <w:lvlJc w:val="left"/>
      <w:pPr>
        <w:ind w:left="760" w:hanging="240"/>
      </w:pPr>
      <w:rPr>
        <w:rFonts w:ascii="Arial Narrow" w:hAnsi="Arial Narrow" w:hint="default"/>
      </w:rPr>
    </w:lvl>
    <w:lvl w:ilvl="3">
      <w:start w:val="1"/>
      <w:numFmt w:val="decimal"/>
      <w:lvlText w:val="(%4)"/>
      <w:lvlJc w:val="left"/>
      <w:pPr>
        <w:ind w:left="960" w:hanging="240"/>
      </w:pPr>
      <w:rPr>
        <w:rFonts w:ascii="Arial Narrow" w:hAnsi="Arial Narrow" w:hint="default"/>
      </w:rPr>
    </w:lvl>
    <w:lvl w:ilvl="4">
      <w:start w:val="1"/>
      <w:numFmt w:val="lowerLetter"/>
      <w:lvlText w:val="(%5)"/>
      <w:lvlJc w:val="left"/>
      <w:pPr>
        <w:ind w:left="1200" w:hanging="240"/>
      </w:pPr>
      <w:rPr>
        <w:rFonts w:hint="default"/>
      </w:rPr>
    </w:lvl>
    <w:lvl w:ilvl="5">
      <w:start w:val="1"/>
      <w:numFmt w:val="lowerRoman"/>
      <w:lvlText w:val="(%6)"/>
      <w:lvlJc w:val="left"/>
      <w:pPr>
        <w:ind w:left="1440" w:hanging="240"/>
      </w:pPr>
      <w:rPr>
        <w:rFonts w:hint="default"/>
      </w:rPr>
    </w:lvl>
    <w:lvl w:ilvl="6">
      <w:start w:val="1"/>
      <w:numFmt w:val="decimal"/>
      <w:lvlText w:val="%7."/>
      <w:lvlJc w:val="left"/>
      <w:pPr>
        <w:ind w:left="1680" w:hanging="240"/>
      </w:pPr>
      <w:rPr>
        <w:rFonts w:hint="default"/>
      </w:rPr>
    </w:lvl>
    <w:lvl w:ilvl="7">
      <w:start w:val="1"/>
      <w:numFmt w:val="lowerLetter"/>
      <w:lvlText w:val="%8."/>
      <w:lvlJc w:val="left"/>
      <w:pPr>
        <w:ind w:left="1920" w:hanging="240"/>
      </w:pPr>
      <w:rPr>
        <w:rFonts w:hint="default"/>
      </w:rPr>
    </w:lvl>
    <w:lvl w:ilvl="8">
      <w:start w:val="1"/>
      <w:numFmt w:val="lowerRoman"/>
      <w:lvlText w:val="%9."/>
      <w:lvlJc w:val="left"/>
      <w:pPr>
        <w:ind w:left="2160" w:hanging="240"/>
      </w:pPr>
      <w:rPr>
        <w:rFonts w:hint="default"/>
      </w:rPr>
    </w:lvl>
  </w:abstractNum>
  <w:abstractNum w:abstractNumId="22" w15:restartNumberingAfterBreak="0">
    <w:nsid w:val="297D6AEC"/>
    <w:multiLevelType w:val="multilevel"/>
    <w:tmpl w:val="5E28A05C"/>
    <w:lvl w:ilvl="0">
      <w:start w:val="1"/>
      <w:numFmt w:val="upperLetter"/>
      <w:pStyle w:val="App-Heading1"/>
      <w:suff w:val="nothing"/>
      <w:lvlText w:val="%1"/>
      <w:lvlJc w:val="left"/>
      <w:pPr>
        <w:ind w:left="1080" w:hanging="1080"/>
      </w:pPr>
      <w:rPr>
        <w:rFonts w:hint="default"/>
      </w:rPr>
    </w:lvl>
    <w:lvl w:ilvl="1">
      <w:start w:val="1"/>
      <w:numFmt w:val="decimal"/>
      <w:pStyle w:val="App-Heading2"/>
      <w:lvlText w:val="%1.%2"/>
      <w:lvlJc w:val="right"/>
      <w:pPr>
        <w:ind w:left="1361" w:hanging="119"/>
      </w:pPr>
      <w:rPr>
        <w:rFonts w:hint="default"/>
      </w:rPr>
    </w:lvl>
    <w:lvl w:ilvl="2">
      <w:start w:val="1"/>
      <w:numFmt w:val="decimal"/>
      <w:lvlText w:val="%1.%2.%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2AD9720E"/>
    <w:multiLevelType w:val="multilevel"/>
    <w:tmpl w:val="30BE6EB8"/>
    <w:styleLink w:val="aaTOCList"/>
    <w:lvl w:ilvl="0">
      <w:start w:val="1"/>
      <w:numFmt w:val="none"/>
      <w:pStyle w:val="TOC1"/>
      <w:lvlText w:val="%1"/>
      <w:lvlJc w:val="left"/>
      <w:pPr>
        <w:ind w:left="336" w:hanging="336"/>
      </w:pPr>
      <w:rPr>
        <w:rFonts w:ascii="Bodoni MT" w:hAnsi="Bodoni MT" w:hint="default"/>
        <w:sz w:val="20"/>
      </w:rPr>
    </w:lvl>
    <w:lvl w:ilvl="1">
      <w:start w:val="1"/>
      <w:numFmt w:val="none"/>
      <w:pStyle w:val="TOC2"/>
      <w:lvlText w:val="%2"/>
      <w:lvlJc w:val="left"/>
      <w:pPr>
        <w:ind w:left="336" w:hanging="336"/>
      </w:pPr>
      <w:rPr>
        <w:rFonts w:hint="default"/>
      </w:rPr>
    </w:lvl>
    <w:lvl w:ilvl="2">
      <w:start w:val="1"/>
      <w:numFmt w:val="none"/>
      <w:pStyle w:val="TOC3"/>
      <w:lvlText w:val="%3"/>
      <w:lvlJc w:val="left"/>
      <w:pPr>
        <w:tabs>
          <w:tab w:val="num" w:pos="336"/>
        </w:tabs>
        <w:ind w:left="336" w:hanging="336"/>
      </w:pPr>
      <w:rPr>
        <w:rFonts w:hint="default"/>
      </w:rPr>
    </w:lvl>
    <w:lvl w:ilvl="3">
      <w:start w:val="1"/>
      <w:numFmt w:val="none"/>
      <w:pStyle w:val="TOC4"/>
      <w:lvlText w:val=""/>
      <w:lvlJc w:val="left"/>
      <w:pPr>
        <w:tabs>
          <w:tab w:val="num" w:pos="454"/>
        </w:tabs>
        <w:ind w:left="454" w:hanging="454"/>
      </w:pPr>
      <w:rPr>
        <w:rFonts w:hint="default"/>
      </w:rPr>
    </w:lvl>
    <w:lvl w:ilvl="4">
      <w:start w:val="1"/>
      <w:numFmt w:val="lowerLetter"/>
      <w:lvlText w:val="(%5)"/>
      <w:lvlJc w:val="left"/>
      <w:pPr>
        <w:ind w:left="336" w:hanging="336"/>
      </w:pPr>
      <w:rPr>
        <w:rFonts w:hint="default"/>
      </w:rPr>
    </w:lvl>
    <w:lvl w:ilvl="5">
      <w:start w:val="1"/>
      <w:numFmt w:val="none"/>
      <w:pStyle w:val="TOC6"/>
      <w:lvlText w:val=""/>
      <w:lvlJc w:val="left"/>
      <w:pPr>
        <w:tabs>
          <w:tab w:val="num" w:pos="336"/>
        </w:tabs>
        <w:ind w:left="336" w:hanging="336"/>
      </w:pPr>
      <w:rPr>
        <w:rFonts w:hint="default"/>
      </w:rPr>
    </w:lvl>
    <w:lvl w:ilvl="6">
      <w:start w:val="1"/>
      <w:numFmt w:val="none"/>
      <w:pStyle w:val="TOC7"/>
      <w:lvlText w:val="%7"/>
      <w:lvlJc w:val="left"/>
      <w:pPr>
        <w:tabs>
          <w:tab w:val="num" w:pos="335"/>
        </w:tabs>
        <w:ind w:left="335" w:hanging="335"/>
      </w:pPr>
      <w:rPr>
        <w:rFonts w:hint="default"/>
        <w:color w:val="FFFEFF"/>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4" w15:restartNumberingAfterBreak="0">
    <w:nsid w:val="31AB2891"/>
    <w:multiLevelType w:val="multilevel"/>
    <w:tmpl w:val="B78E7766"/>
    <w:styleLink w:val="TOCList"/>
    <w:lvl w:ilvl="0">
      <w:start w:val="1"/>
      <w:numFmt w:val="none"/>
      <w:lvlText w:val="%1"/>
      <w:lvlJc w:val="left"/>
      <w:pPr>
        <w:ind w:left="336" w:hanging="336"/>
      </w:pPr>
      <w:rPr>
        <w:rFonts w:ascii="HelveticaNeueLT Std Lt Cn" w:hAnsi="HelveticaNeueLT Std Lt Cn" w:hint="default"/>
        <w:sz w:val="20"/>
      </w:rPr>
    </w:lvl>
    <w:lvl w:ilvl="1">
      <w:start w:val="1"/>
      <w:numFmt w:val="none"/>
      <w:lvlText w:val="%2"/>
      <w:lvlJc w:val="left"/>
      <w:pPr>
        <w:ind w:left="336" w:hanging="336"/>
      </w:pPr>
      <w:rPr>
        <w:rFonts w:hint="default"/>
      </w:rPr>
    </w:lvl>
    <w:lvl w:ilvl="2">
      <w:start w:val="1"/>
      <w:numFmt w:val="none"/>
      <w:lvlText w:val="%3"/>
      <w:lvlJc w:val="left"/>
      <w:pPr>
        <w:tabs>
          <w:tab w:val="num" w:pos="336"/>
        </w:tabs>
        <w:ind w:left="336" w:hanging="336"/>
      </w:pPr>
      <w:rPr>
        <w:rFonts w:hint="default"/>
      </w:rPr>
    </w:lvl>
    <w:lvl w:ilvl="3">
      <w:start w:val="1"/>
      <w:numFmt w:val="decimal"/>
      <w:lvlText w:val="(%4)"/>
      <w:lvlJc w:val="left"/>
      <w:pPr>
        <w:ind w:left="336" w:hanging="336"/>
      </w:pPr>
      <w:rPr>
        <w:rFonts w:hint="default"/>
      </w:rPr>
    </w:lvl>
    <w:lvl w:ilvl="4">
      <w:start w:val="1"/>
      <w:numFmt w:val="lowerLetter"/>
      <w:lvlText w:val="(%5)"/>
      <w:lvlJc w:val="left"/>
      <w:pPr>
        <w:ind w:left="336" w:hanging="336"/>
      </w:pPr>
      <w:rPr>
        <w:rFonts w:hint="default"/>
      </w:rPr>
    </w:lvl>
    <w:lvl w:ilvl="5">
      <w:start w:val="1"/>
      <w:numFmt w:val="lowerRoman"/>
      <w:lvlText w:val="(%6)"/>
      <w:lvlJc w:val="left"/>
      <w:pPr>
        <w:ind w:left="336" w:hanging="336"/>
      </w:pPr>
      <w:rPr>
        <w:rFonts w:hint="default"/>
      </w:rPr>
    </w:lvl>
    <w:lvl w:ilvl="6">
      <w:start w:val="1"/>
      <w:numFmt w:val="decimal"/>
      <w:lvlText w:val="%7."/>
      <w:lvlJc w:val="left"/>
      <w:pPr>
        <w:ind w:left="336" w:hanging="336"/>
      </w:pPr>
      <w:rPr>
        <w:rFonts w:hint="default"/>
      </w:rPr>
    </w:lvl>
    <w:lvl w:ilvl="7">
      <w:start w:val="1"/>
      <w:numFmt w:val="lowerLetter"/>
      <w:lvlText w:val="%8."/>
      <w:lvlJc w:val="left"/>
      <w:pPr>
        <w:ind w:left="336" w:hanging="336"/>
      </w:pPr>
      <w:rPr>
        <w:rFonts w:hint="default"/>
      </w:rPr>
    </w:lvl>
    <w:lvl w:ilvl="8">
      <w:start w:val="1"/>
      <w:numFmt w:val="lowerRoman"/>
      <w:lvlText w:val="%9."/>
      <w:lvlJc w:val="left"/>
      <w:pPr>
        <w:ind w:left="336" w:hanging="336"/>
      </w:pPr>
      <w:rPr>
        <w:rFonts w:hint="default"/>
      </w:rPr>
    </w:lvl>
  </w:abstractNum>
  <w:abstractNum w:abstractNumId="25" w15:restartNumberingAfterBreak="0">
    <w:nsid w:val="3333768D"/>
    <w:multiLevelType w:val="multilevel"/>
    <w:tmpl w:val="65D86914"/>
    <w:styleLink w:val="BoxList"/>
    <w:lvl w:ilvl="0">
      <w:start w:val="1"/>
      <w:numFmt w:val="decimal"/>
      <w:pStyle w:val="BoxListNumber"/>
      <w:lvlText w:val="%1."/>
      <w:lvlJc w:val="left"/>
      <w:pPr>
        <w:ind w:left="446" w:hanging="446"/>
      </w:pPr>
      <w:rPr>
        <w:rFonts w:ascii="Arial Narrow" w:hAnsi="Arial Narrow" w:hint="default"/>
        <w:sz w:val="20"/>
      </w:rPr>
    </w:lvl>
    <w:lvl w:ilvl="1">
      <w:start w:val="1"/>
      <w:numFmt w:val="lowerLetter"/>
      <w:pStyle w:val="BoxListNumber2"/>
      <w:lvlText w:val="%2)"/>
      <w:lvlJc w:val="left"/>
      <w:pPr>
        <w:ind w:left="800" w:hanging="354"/>
      </w:pPr>
      <w:rPr>
        <w:rFonts w:ascii="Arial Narrow" w:hAnsi="Arial Narrow" w:hint="default"/>
      </w:rPr>
    </w:lvl>
    <w:lvl w:ilvl="2">
      <w:start w:val="1"/>
      <w:numFmt w:val="lowerRoman"/>
      <w:pStyle w:val="BoxListNumber3"/>
      <w:lvlText w:val="%3)"/>
      <w:lvlJc w:val="left"/>
      <w:pPr>
        <w:ind w:left="1160" w:hanging="360"/>
      </w:pPr>
      <w:rPr>
        <w:rFonts w:ascii="Arial Narrow" w:hAnsi="Arial Narro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6232C7D"/>
    <w:multiLevelType w:val="multilevel"/>
    <w:tmpl w:val="AB0EE45E"/>
    <w:numStyleLink w:val="BoxListBullets"/>
  </w:abstractNum>
  <w:abstractNum w:abstractNumId="27" w15:restartNumberingAfterBreak="0">
    <w:nsid w:val="389B44FE"/>
    <w:multiLevelType w:val="multilevel"/>
    <w:tmpl w:val="2A9ADEF8"/>
    <w:numStyleLink w:val="aaReportListNumber"/>
  </w:abstractNum>
  <w:abstractNum w:abstractNumId="28" w15:restartNumberingAfterBreak="0">
    <w:nsid w:val="3B3E682E"/>
    <w:multiLevelType w:val="multilevel"/>
    <w:tmpl w:val="D4E4AEA8"/>
    <w:styleLink w:val="aaReportHeadings"/>
    <w:lvl w:ilvl="0">
      <w:start w:val="1"/>
      <w:numFmt w:val="decimal"/>
      <w:pStyle w:val="Heading1"/>
      <w:lvlText w:val="%1"/>
      <w:lvlJc w:val="right"/>
      <w:pPr>
        <w:tabs>
          <w:tab w:val="num" w:pos="248"/>
        </w:tabs>
        <w:ind w:left="248" w:hanging="384"/>
      </w:pPr>
      <w:rPr>
        <w:rFonts w:hint="default"/>
      </w:rPr>
    </w:lvl>
    <w:lvl w:ilvl="1">
      <w:start w:val="1"/>
      <w:numFmt w:val="decimal"/>
      <w:pStyle w:val="Heading2"/>
      <w:lvlText w:val="%1.%2"/>
      <w:lvlJc w:val="right"/>
      <w:pPr>
        <w:ind w:left="0" w:hanging="136"/>
      </w:pPr>
      <w:rPr>
        <w:rFonts w:hint="default"/>
      </w:rPr>
    </w:lvl>
    <w:lvl w:ilvl="2">
      <w:start w:val="1"/>
      <w:numFmt w:val="decimal"/>
      <w:pStyle w:val="Heading3"/>
      <w:lvlText w:val="%1.%2.%3"/>
      <w:lvlJc w:val="left"/>
      <w:pPr>
        <w:ind w:left="320" w:hanging="32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9" w15:restartNumberingAfterBreak="0">
    <w:nsid w:val="445E07F8"/>
    <w:multiLevelType w:val="multilevel"/>
    <w:tmpl w:val="30BE6EB8"/>
    <w:numStyleLink w:val="aaTOCList"/>
  </w:abstractNum>
  <w:abstractNum w:abstractNumId="30" w15:restartNumberingAfterBreak="0">
    <w:nsid w:val="453B1DD7"/>
    <w:multiLevelType w:val="multilevel"/>
    <w:tmpl w:val="475CFF34"/>
    <w:numStyleLink w:val="aaReportListBullets"/>
  </w:abstractNum>
  <w:abstractNum w:abstractNumId="31" w15:restartNumberingAfterBreak="0">
    <w:nsid w:val="45767BA0"/>
    <w:multiLevelType w:val="multilevel"/>
    <w:tmpl w:val="75081F48"/>
    <w:numStyleLink w:val="aaSideNotesBullets"/>
  </w:abstractNum>
  <w:abstractNum w:abstractNumId="32" w15:restartNumberingAfterBreak="0">
    <w:nsid w:val="47375183"/>
    <w:multiLevelType w:val="multilevel"/>
    <w:tmpl w:val="C958DAD4"/>
    <w:numStyleLink w:val="aaAppendixNumbering"/>
  </w:abstractNum>
  <w:abstractNum w:abstractNumId="33" w15:restartNumberingAfterBreak="0">
    <w:nsid w:val="4CF7721F"/>
    <w:multiLevelType w:val="multilevel"/>
    <w:tmpl w:val="0E7610C4"/>
    <w:styleLink w:val="1ai"/>
    <w:lvl w:ilvl="0">
      <w:start w:val="1"/>
      <w:numFmt w:val="decimal"/>
      <w:lvlText w:val="%1."/>
      <w:lvlJc w:val="left"/>
      <w:pPr>
        <w:tabs>
          <w:tab w:val="num" w:pos="446"/>
        </w:tabs>
        <w:ind w:left="800" w:hanging="354"/>
      </w:pPr>
      <w:rPr>
        <w:rFonts w:hint="default"/>
      </w:rPr>
    </w:lvl>
    <w:lvl w:ilvl="1">
      <w:start w:val="1"/>
      <w:numFmt w:val="lowerLetter"/>
      <w:lvlText w:val="%2)"/>
      <w:lvlJc w:val="left"/>
      <w:pPr>
        <w:tabs>
          <w:tab w:val="num" w:pos="806"/>
        </w:tabs>
        <w:ind w:left="1160" w:hanging="360"/>
      </w:pPr>
      <w:rPr>
        <w:rFonts w:hint="default"/>
      </w:rPr>
    </w:lvl>
    <w:lvl w:ilvl="2">
      <w:start w:val="1"/>
      <w:numFmt w:val="lowerRoman"/>
      <w:lvlText w:val="%3)"/>
      <w:lvlJc w:val="left"/>
      <w:pPr>
        <w:tabs>
          <w:tab w:val="num" w:pos="1160"/>
        </w:tabs>
        <w:ind w:left="1520" w:hanging="360"/>
      </w:pPr>
      <w:rPr>
        <w:rFonts w:hint="default"/>
      </w:rPr>
    </w:lvl>
    <w:lvl w:ilvl="3">
      <w:start w:val="1"/>
      <w:numFmt w:val="decimal"/>
      <w:lvlText w:val="(%4)"/>
      <w:lvlJc w:val="left"/>
      <w:pPr>
        <w:tabs>
          <w:tab w:val="num" w:pos="446"/>
        </w:tabs>
        <w:ind w:left="360" w:firstLine="86"/>
      </w:pPr>
      <w:rPr>
        <w:rFonts w:hint="default"/>
      </w:rPr>
    </w:lvl>
    <w:lvl w:ilvl="4">
      <w:start w:val="1"/>
      <w:numFmt w:val="lowerLetter"/>
      <w:lvlText w:val="(%5)"/>
      <w:lvlJc w:val="left"/>
      <w:pPr>
        <w:tabs>
          <w:tab w:val="num" w:pos="446"/>
        </w:tabs>
        <w:ind w:left="360" w:firstLine="86"/>
      </w:pPr>
      <w:rPr>
        <w:rFonts w:hint="default"/>
      </w:rPr>
    </w:lvl>
    <w:lvl w:ilvl="5">
      <w:start w:val="1"/>
      <w:numFmt w:val="lowerRoman"/>
      <w:lvlText w:val="(%6)"/>
      <w:lvlJc w:val="left"/>
      <w:pPr>
        <w:tabs>
          <w:tab w:val="num" w:pos="446"/>
        </w:tabs>
        <w:ind w:left="360" w:firstLine="86"/>
      </w:pPr>
      <w:rPr>
        <w:rFonts w:hint="default"/>
      </w:rPr>
    </w:lvl>
    <w:lvl w:ilvl="6">
      <w:start w:val="1"/>
      <w:numFmt w:val="decimal"/>
      <w:lvlText w:val="%7."/>
      <w:lvlJc w:val="left"/>
      <w:pPr>
        <w:tabs>
          <w:tab w:val="num" w:pos="446"/>
        </w:tabs>
        <w:ind w:left="360" w:firstLine="86"/>
      </w:pPr>
      <w:rPr>
        <w:rFonts w:hint="default"/>
      </w:rPr>
    </w:lvl>
    <w:lvl w:ilvl="7">
      <w:start w:val="1"/>
      <w:numFmt w:val="lowerLetter"/>
      <w:lvlText w:val="%8."/>
      <w:lvlJc w:val="left"/>
      <w:pPr>
        <w:tabs>
          <w:tab w:val="num" w:pos="446"/>
        </w:tabs>
        <w:ind w:left="360" w:firstLine="86"/>
      </w:pPr>
      <w:rPr>
        <w:rFonts w:hint="default"/>
      </w:rPr>
    </w:lvl>
    <w:lvl w:ilvl="8">
      <w:start w:val="1"/>
      <w:numFmt w:val="lowerRoman"/>
      <w:lvlText w:val="%9."/>
      <w:lvlJc w:val="left"/>
      <w:pPr>
        <w:tabs>
          <w:tab w:val="num" w:pos="446"/>
        </w:tabs>
        <w:ind w:left="360" w:firstLine="86"/>
      </w:pPr>
      <w:rPr>
        <w:rFonts w:hint="default"/>
      </w:rPr>
    </w:lvl>
  </w:abstractNum>
  <w:abstractNum w:abstractNumId="34" w15:restartNumberingAfterBreak="0">
    <w:nsid w:val="60DA6521"/>
    <w:multiLevelType w:val="multilevel"/>
    <w:tmpl w:val="65D86914"/>
    <w:lvl w:ilvl="0">
      <w:start w:val="1"/>
      <w:numFmt w:val="decimal"/>
      <w:lvlText w:val="%1."/>
      <w:lvlJc w:val="left"/>
      <w:pPr>
        <w:ind w:left="446" w:hanging="446"/>
      </w:pPr>
      <w:rPr>
        <w:rFonts w:hint="default"/>
        <w:sz w:val="20"/>
      </w:rPr>
    </w:lvl>
    <w:lvl w:ilvl="1">
      <w:start w:val="1"/>
      <w:numFmt w:val="lowerLetter"/>
      <w:lvlText w:val="%2)"/>
      <w:lvlJc w:val="left"/>
      <w:pPr>
        <w:ind w:left="800" w:hanging="354"/>
      </w:pPr>
      <w:rPr>
        <w:rFonts w:hint="default"/>
      </w:rPr>
    </w:lvl>
    <w:lvl w:ilvl="2">
      <w:start w:val="1"/>
      <w:numFmt w:val="lowerRoman"/>
      <w:lvlText w:val="%3)"/>
      <w:lvlJc w:val="left"/>
      <w:pPr>
        <w:ind w:left="1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42F1928"/>
    <w:multiLevelType w:val="hybridMultilevel"/>
    <w:tmpl w:val="E7FA14D4"/>
    <w:lvl w:ilvl="0" w:tplc="222EBD40">
      <w:start w:val="1"/>
      <w:numFmt w:val="bullet"/>
      <w:pStyle w:val="QuoteListBullet"/>
      <w:lvlText w:val="–"/>
      <w:lvlJc w:val="left"/>
      <w:pPr>
        <w:ind w:left="360" w:hanging="360"/>
      </w:pPr>
      <w:rPr>
        <w:rFonts w:ascii="Arial Narrow" w:hAnsi="Arial Narrow" w:hint="default"/>
        <w:sz w:val="18"/>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6" w15:restartNumberingAfterBreak="0">
    <w:nsid w:val="6A867113"/>
    <w:multiLevelType w:val="multilevel"/>
    <w:tmpl w:val="475CFF34"/>
    <w:numStyleLink w:val="aaReportListBullets"/>
  </w:abstractNum>
  <w:abstractNum w:abstractNumId="37" w15:restartNumberingAfterBreak="0">
    <w:nsid w:val="70BF0F11"/>
    <w:multiLevelType w:val="hybridMultilevel"/>
    <w:tmpl w:val="417A5B3C"/>
    <w:lvl w:ilvl="0" w:tplc="DC2C011C">
      <w:start w:val="1"/>
      <w:numFmt w:val="bullet"/>
      <w:pStyle w:val="BoxQuoteListBullet"/>
      <w:lvlText w:val="–"/>
      <w:lvlJc w:val="left"/>
      <w:pPr>
        <w:ind w:left="1168" w:hanging="360"/>
      </w:pPr>
      <w:rPr>
        <w:rFonts w:ascii="HelveticaNeueLT Std Lt Cn" w:hAnsi="HelveticaNeueLT Std Lt Cn" w:hint="default"/>
        <w:sz w:val="18"/>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38" w15:restartNumberingAfterBreak="0">
    <w:nsid w:val="729D46C6"/>
    <w:multiLevelType w:val="multilevel"/>
    <w:tmpl w:val="475CFF34"/>
    <w:numStyleLink w:val="aaReportListBullets"/>
  </w:abstractNum>
  <w:abstractNum w:abstractNumId="39" w15:restartNumberingAfterBreak="0">
    <w:nsid w:val="730424CB"/>
    <w:multiLevelType w:val="multilevel"/>
    <w:tmpl w:val="145205FC"/>
    <w:numStyleLink w:val="aaReportListDash"/>
  </w:abstractNum>
  <w:abstractNum w:abstractNumId="40" w15:restartNumberingAfterBreak="0">
    <w:nsid w:val="75047AA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C343541"/>
    <w:multiLevelType w:val="multilevel"/>
    <w:tmpl w:val="30BE6EB8"/>
    <w:numStyleLink w:val="aaTOCList"/>
  </w:abstractNum>
  <w:abstractNum w:abstractNumId="42" w15:restartNumberingAfterBreak="0">
    <w:nsid w:val="7D0906AF"/>
    <w:multiLevelType w:val="multilevel"/>
    <w:tmpl w:val="C1127ADE"/>
    <w:numStyleLink w:val="aaHeadingnonumberList"/>
  </w:abstractNum>
  <w:abstractNum w:abstractNumId="43" w15:restartNumberingAfterBreak="0">
    <w:nsid w:val="7F291278"/>
    <w:multiLevelType w:val="multilevel"/>
    <w:tmpl w:val="2A9ADEF8"/>
    <w:styleLink w:val="aaReportListNumber"/>
    <w:lvl w:ilvl="0">
      <w:start w:val="1"/>
      <w:numFmt w:val="decimal"/>
      <w:pStyle w:val="ListNumber"/>
      <w:lvlText w:val="%1."/>
      <w:lvlJc w:val="center"/>
      <w:pPr>
        <w:tabs>
          <w:tab w:val="num" w:pos="926"/>
        </w:tabs>
        <w:ind w:left="0" w:hanging="420"/>
      </w:pPr>
      <w:rPr>
        <w:rFonts w:hint="default"/>
      </w:rPr>
    </w:lvl>
    <w:lvl w:ilvl="1">
      <w:start w:val="1"/>
      <w:numFmt w:val="lowerLetter"/>
      <w:pStyle w:val="ListNumber2"/>
      <w:lvlText w:val="%2)"/>
      <w:lvlJc w:val="left"/>
      <w:pPr>
        <w:ind w:left="340" w:hanging="340"/>
      </w:pPr>
      <w:rPr>
        <w:rFonts w:hint="default"/>
      </w:rPr>
    </w:lvl>
    <w:lvl w:ilvl="2">
      <w:start w:val="1"/>
      <w:numFmt w:val="lowerRoman"/>
      <w:pStyle w:val="ListNumber3"/>
      <w:lvlText w:val="%3)"/>
      <w:lvlJc w:val="left"/>
      <w:pPr>
        <w:ind w:left="680"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3"/>
  </w:num>
  <w:num w:numId="2">
    <w:abstractNumId w:val="11"/>
  </w:num>
  <w:num w:numId="3">
    <w:abstractNumId w:val="33"/>
  </w:num>
  <w:num w:numId="4">
    <w:abstractNumId w:val="3"/>
  </w:num>
  <w:num w:numId="5">
    <w:abstractNumId w:val="2"/>
  </w:num>
  <w:num w:numId="6">
    <w:abstractNumId w:val="1"/>
  </w:num>
  <w:num w:numId="7">
    <w:abstractNumId w:val="0"/>
  </w:num>
  <w:num w:numId="8">
    <w:abstractNumId w:val="22"/>
    <w:lvlOverride w:ilvl="0">
      <w:lvl w:ilvl="0">
        <w:start w:val="1"/>
        <w:numFmt w:val="upperLetter"/>
        <w:pStyle w:val="App-Heading1"/>
        <w:suff w:val="nothing"/>
        <w:lvlText w:val="%1"/>
        <w:lvlJc w:val="left"/>
        <w:pPr>
          <w:ind w:left="1080" w:hanging="1080"/>
        </w:pPr>
        <w:rPr>
          <w:rFonts w:hint="default"/>
        </w:rPr>
      </w:lvl>
    </w:lvlOverride>
  </w:num>
  <w:num w:numId="9">
    <w:abstractNumId w:val="25"/>
  </w:num>
  <w:num w:numId="10">
    <w:abstractNumId w:val="21"/>
  </w:num>
  <w:num w:numId="11">
    <w:abstractNumId w:val="19"/>
  </w:num>
  <w:num w:numId="12">
    <w:abstractNumId w:val="14"/>
  </w:num>
  <w:num w:numId="13">
    <w:abstractNumId w:val="20"/>
  </w:num>
  <w:num w:numId="14">
    <w:abstractNumId w:val="43"/>
  </w:num>
  <w:num w:numId="15">
    <w:abstractNumId w:val="17"/>
  </w:num>
  <w:num w:numId="16">
    <w:abstractNumId w:val="28"/>
  </w:num>
  <w:num w:numId="17">
    <w:abstractNumId w:val="24"/>
  </w:num>
  <w:num w:numId="18">
    <w:abstractNumId w:val="8"/>
  </w:num>
  <w:num w:numId="19">
    <w:abstractNumId w:val="6"/>
  </w:num>
  <w:num w:numId="20">
    <w:abstractNumId w:val="42"/>
  </w:num>
  <w:num w:numId="21">
    <w:abstractNumId w:val="10"/>
  </w:num>
  <w:num w:numId="22">
    <w:abstractNumId w:val="32"/>
  </w:num>
  <w:num w:numId="23">
    <w:abstractNumId w:val="26"/>
  </w:num>
  <w:num w:numId="24">
    <w:abstractNumId w:val="37"/>
  </w:num>
  <w:num w:numId="25">
    <w:abstractNumId w:val="18"/>
  </w:num>
  <w:num w:numId="26">
    <w:abstractNumId w:val="35"/>
  </w:num>
  <w:num w:numId="27">
    <w:abstractNumId w:val="12"/>
  </w:num>
  <w:num w:numId="28">
    <w:abstractNumId w:val="15"/>
  </w:num>
  <w:num w:numId="29">
    <w:abstractNumId w:val="41"/>
  </w:num>
  <w:num w:numId="30">
    <w:abstractNumId w:val="27"/>
  </w:num>
  <w:num w:numId="31">
    <w:abstractNumId w:val="40"/>
  </w:num>
  <w:num w:numId="32">
    <w:abstractNumId w:val="5"/>
  </w:num>
  <w:num w:numId="33">
    <w:abstractNumId w:val="13"/>
  </w:num>
  <w:num w:numId="34">
    <w:abstractNumId w:val="38"/>
  </w:num>
  <w:num w:numId="35">
    <w:abstractNumId w:val="39"/>
  </w:num>
  <w:num w:numId="36">
    <w:abstractNumId w:val="31"/>
  </w:num>
  <w:num w:numId="37">
    <w:abstractNumId w:val="9"/>
  </w:num>
  <w:num w:numId="38">
    <w:abstractNumId w:val="7"/>
  </w:num>
  <w:num w:numId="39">
    <w:abstractNumId w:val="30"/>
  </w:num>
  <w:num w:numId="40">
    <w:abstractNumId w:val="29"/>
  </w:num>
  <w:num w:numId="41">
    <w:abstractNumId w:val="36"/>
  </w:num>
  <w:num w:numId="42">
    <w:abstractNumId w:val="34"/>
  </w:num>
  <w:num w:numId="43">
    <w:abstractNumId w:val="16"/>
  </w:num>
  <w:num w:numId="44">
    <w:abstractNumId w:val="10"/>
  </w:num>
  <w:num w:numId="45">
    <w:abstractNumId w:val="10"/>
  </w:num>
  <w:num w:numId="4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72"/>
    <w:rsid w:val="0000016D"/>
    <w:rsid w:val="000003FA"/>
    <w:rsid w:val="0000072F"/>
    <w:rsid w:val="00000915"/>
    <w:rsid w:val="000020DC"/>
    <w:rsid w:val="000026D1"/>
    <w:rsid w:val="00003692"/>
    <w:rsid w:val="0000370F"/>
    <w:rsid w:val="00003A77"/>
    <w:rsid w:val="000041D1"/>
    <w:rsid w:val="00004240"/>
    <w:rsid w:val="0000451C"/>
    <w:rsid w:val="00004A0B"/>
    <w:rsid w:val="00004DB3"/>
    <w:rsid w:val="00004F71"/>
    <w:rsid w:val="000052C7"/>
    <w:rsid w:val="00007785"/>
    <w:rsid w:val="000077F3"/>
    <w:rsid w:val="0001032B"/>
    <w:rsid w:val="00010A6D"/>
    <w:rsid w:val="00010E69"/>
    <w:rsid w:val="00010EEC"/>
    <w:rsid w:val="0001124F"/>
    <w:rsid w:val="000117A7"/>
    <w:rsid w:val="00011D89"/>
    <w:rsid w:val="000122BC"/>
    <w:rsid w:val="0001312C"/>
    <w:rsid w:val="00013472"/>
    <w:rsid w:val="00013485"/>
    <w:rsid w:val="000137BF"/>
    <w:rsid w:val="0001405C"/>
    <w:rsid w:val="0001425B"/>
    <w:rsid w:val="00014A77"/>
    <w:rsid w:val="00014F53"/>
    <w:rsid w:val="000153A4"/>
    <w:rsid w:val="00015522"/>
    <w:rsid w:val="0001570A"/>
    <w:rsid w:val="00015BA6"/>
    <w:rsid w:val="000160DC"/>
    <w:rsid w:val="0001633D"/>
    <w:rsid w:val="000167A3"/>
    <w:rsid w:val="00016DC1"/>
    <w:rsid w:val="00017CCF"/>
    <w:rsid w:val="000203F1"/>
    <w:rsid w:val="000205D7"/>
    <w:rsid w:val="00020825"/>
    <w:rsid w:val="000209F7"/>
    <w:rsid w:val="00020B67"/>
    <w:rsid w:val="00021B15"/>
    <w:rsid w:val="00021BBE"/>
    <w:rsid w:val="000234F1"/>
    <w:rsid w:val="00023554"/>
    <w:rsid w:val="0002372F"/>
    <w:rsid w:val="000238FF"/>
    <w:rsid w:val="0002476B"/>
    <w:rsid w:val="000249D2"/>
    <w:rsid w:val="00024CC3"/>
    <w:rsid w:val="0002583C"/>
    <w:rsid w:val="00027663"/>
    <w:rsid w:val="000300EE"/>
    <w:rsid w:val="00030160"/>
    <w:rsid w:val="00030424"/>
    <w:rsid w:val="00030613"/>
    <w:rsid w:val="00030FB5"/>
    <w:rsid w:val="00031E82"/>
    <w:rsid w:val="00034232"/>
    <w:rsid w:val="00034348"/>
    <w:rsid w:val="000348AE"/>
    <w:rsid w:val="00034BD3"/>
    <w:rsid w:val="00035481"/>
    <w:rsid w:val="0003561E"/>
    <w:rsid w:val="00035F91"/>
    <w:rsid w:val="00036289"/>
    <w:rsid w:val="000363C7"/>
    <w:rsid w:val="00036497"/>
    <w:rsid w:val="00036941"/>
    <w:rsid w:val="00036FD8"/>
    <w:rsid w:val="00037862"/>
    <w:rsid w:val="000378A3"/>
    <w:rsid w:val="00037F29"/>
    <w:rsid w:val="00037F2C"/>
    <w:rsid w:val="00040A42"/>
    <w:rsid w:val="000412F5"/>
    <w:rsid w:val="00041B52"/>
    <w:rsid w:val="00041C29"/>
    <w:rsid w:val="00041F2D"/>
    <w:rsid w:val="0004200D"/>
    <w:rsid w:val="00042392"/>
    <w:rsid w:val="00042403"/>
    <w:rsid w:val="00042763"/>
    <w:rsid w:val="00042C7F"/>
    <w:rsid w:val="000443A7"/>
    <w:rsid w:val="0004538B"/>
    <w:rsid w:val="00046770"/>
    <w:rsid w:val="00046AEF"/>
    <w:rsid w:val="00046DDD"/>
    <w:rsid w:val="000476DC"/>
    <w:rsid w:val="00047906"/>
    <w:rsid w:val="00047BF3"/>
    <w:rsid w:val="000506A0"/>
    <w:rsid w:val="00050A08"/>
    <w:rsid w:val="00050C51"/>
    <w:rsid w:val="00051180"/>
    <w:rsid w:val="00051299"/>
    <w:rsid w:val="0005155A"/>
    <w:rsid w:val="00051F28"/>
    <w:rsid w:val="000525F5"/>
    <w:rsid w:val="000528C5"/>
    <w:rsid w:val="00052E6F"/>
    <w:rsid w:val="00053CB7"/>
    <w:rsid w:val="00054B7B"/>
    <w:rsid w:val="00054EB3"/>
    <w:rsid w:val="000550B6"/>
    <w:rsid w:val="0005569B"/>
    <w:rsid w:val="00055D37"/>
    <w:rsid w:val="00055F5C"/>
    <w:rsid w:val="00057286"/>
    <w:rsid w:val="000607AE"/>
    <w:rsid w:val="00060C32"/>
    <w:rsid w:val="00060D51"/>
    <w:rsid w:val="00060E80"/>
    <w:rsid w:val="00061358"/>
    <w:rsid w:val="000615DC"/>
    <w:rsid w:val="000617A5"/>
    <w:rsid w:val="0006199B"/>
    <w:rsid w:val="00061B66"/>
    <w:rsid w:val="00062668"/>
    <w:rsid w:val="00062E27"/>
    <w:rsid w:val="000634C6"/>
    <w:rsid w:val="000639FD"/>
    <w:rsid w:val="00063FAF"/>
    <w:rsid w:val="00064313"/>
    <w:rsid w:val="00064CD8"/>
    <w:rsid w:val="00064FC7"/>
    <w:rsid w:val="000650D7"/>
    <w:rsid w:val="00065537"/>
    <w:rsid w:val="000659A4"/>
    <w:rsid w:val="00065BBB"/>
    <w:rsid w:val="00065E94"/>
    <w:rsid w:val="0006645F"/>
    <w:rsid w:val="000671EF"/>
    <w:rsid w:val="00067716"/>
    <w:rsid w:val="00067752"/>
    <w:rsid w:val="000706B5"/>
    <w:rsid w:val="00070918"/>
    <w:rsid w:val="000715D7"/>
    <w:rsid w:val="000716C6"/>
    <w:rsid w:val="0007195C"/>
    <w:rsid w:val="00071BA6"/>
    <w:rsid w:val="00071C40"/>
    <w:rsid w:val="000722F4"/>
    <w:rsid w:val="0007234B"/>
    <w:rsid w:val="00072C38"/>
    <w:rsid w:val="00073F70"/>
    <w:rsid w:val="0007431E"/>
    <w:rsid w:val="0007443F"/>
    <w:rsid w:val="0007450A"/>
    <w:rsid w:val="00074A62"/>
    <w:rsid w:val="000757EC"/>
    <w:rsid w:val="00076481"/>
    <w:rsid w:val="000764A2"/>
    <w:rsid w:val="00076673"/>
    <w:rsid w:val="000768D9"/>
    <w:rsid w:val="00076FF6"/>
    <w:rsid w:val="00077394"/>
    <w:rsid w:val="000774B6"/>
    <w:rsid w:val="00081206"/>
    <w:rsid w:val="000819F2"/>
    <w:rsid w:val="00081C64"/>
    <w:rsid w:val="00081E27"/>
    <w:rsid w:val="000820A5"/>
    <w:rsid w:val="0008282C"/>
    <w:rsid w:val="00082DE2"/>
    <w:rsid w:val="00083C7A"/>
    <w:rsid w:val="00084707"/>
    <w:rsid w:val="000848F9"/>
    <w:rsid w:val="00085F77"/>
    <w:rsid w:val="00086CED"/>
    <w:rsid w:val="00086EDA"/>
    <w:rsid w:val="000874D0"/>
    <w:rsid w:val="000905CE"/>
    <w:rsid w:val="000907BA"/>
    <w:rsid w:val="00090E9B"/>
    <w:rsid w:val="000911B2"/>
    <w:rsid w:val="000914B1"/>
    <w:rsid w:val="00091B65"/>
    <w:rsid w:val="0009249F"/>
    <w:rsid w:val="00092BAA"/>
    <w:rsid w:val="0009315F"/>
    <w:rsid w:val="00093BE8"/>
    <w:rsid w:val="00093DAA"/>
    <w:rsid w:val="0009412F"/>
    <w:rsid w:val="000941CD"/>
    <w:rsid w:val="00095431"/>
    <w:rsid w:val="00095A82"/>
    <w:rsid w:val="0009667A"/>
    <w:rsid w:val="00096BD6"/>
    <w:rsid w:val="00096C1F"/>
    <w:rsid w:val="00096C56"/>
    <w:rsid w:val="00096E48"/>
    <w:rsid w:val="00096E60"/>
    <w:rsid w:val="000974BB"/>
    <w:rsid w:val="00097ADC"/>
    <w:rsid w:val="000A03EA"/>
    <w:rsid w:val="000A05D0"/>
    <w:rsid w:val="000A1101"/>
    <w:rsid w:val="000A14AD"/>
    <w:rsid w:val="000A21D8"/>
    <w:rsid w:val="000A28EB"/>
    <w:rsid w:val="000A295D"/>
    <w:rsid w:val="000A3266"/>
    <w:rsid w:val="000A3A67"/>
    <w:rsid w:val="000A3B34"/>
    <w:rsid w:val="000A4097"/>
    <w:rsid w:val="000A49A4"/>
    <w:rsid w:val="000A56BD"/>
    <w:rsid w:val="000A56D0"/>
    <w:rsid w:val="000A5A88"/>
    <w:rsid w:val="000A5EAA"/>
    <w:rsid w:val="000A66C8"/>
    <w:rsid w:val="000A6A75"/>
    <w:rsid w:val="000A6C37"/>
    <w:rsid w:val="000A6DE4"/>
    <w:rsid w:val="000A6F8C"/>
    <w:rsid w:val="000A70E3"/>
    <w:rsid w:val="000A72F3"/>
    <w:rsid w:val="000A72FA"/>
    <w:rsid w:val="000A73C1"/>
    <w:rsid w:val="000A7AA9"/>
    <w:rsid w:val="000A7E08"/>
    <w:rsid w:val="000B0809"/>
    <w:rsid w:val="000B0818"/>
    <w:rsid w:val="000B0D62"/>
    <w:rsid w:val="000B120B"/>
    <w:rsid w:val="000B1D09"/>
    <w:rsid w:val="000B203D"/>
    <w:rsid w:val="000B23D9"/>
    <w:rsid w:val="000B2A7F"/>
    <w:rsid w:val="000B3031"/>
    <w:rsid w:val="000B32AA"/>
    <w:rsid w:val="000B3A3C"/>
    <w:rsid w:val="000B3A93"/>
    <w:rsid w:val="000B3BDF"/>
    <w:rsid w:val="000B41B9"/>
    <w:rsid w:val="000B479B"/>
    <w:rsid w:val="000B4E2A"/>
    <w:rsid w:val="000B5177"/>
    <w:rsid w:val="000B581E"/>
    <w:rsid w:val="000B5F5C"/>
    <w:rsid w:val="000B69A6"/>
    <w:rsid w:val="000B6A4F"/>
    <w:rsid w:val="000B6A5A"/>
    <w:rsid w:val="000B6BCD"/>
    <w:rsid w:val="000B7498"/>
    <w:rsid w:val="000B7682"/>
    <w:rsid w:val="000B7907"/>
    <w:rsid w:val="000C00F2"/>
    <w:rsid w:val="000C0C8F"/>
    <w:rsid w:val="000C1D03"/>
    <w:rsid w:val="000C1D6D"/>
    <w:rsid w:val="000C24B3"/>
    <w:rsid w:val="000C2592"/>
    <w:rsid w:val="000C264C"/>
    <w:rsid w:val="000C2DDD"/>
    <w:rsid w:val="000C2F26"/>
    <w:rsid w:val="000C2F57"/>
    <w:rsid w:val="000C38B6"/>
    <w:rsid w:val="000C38D6"/>
    <w:rsid w:val="000C3AD9"/>
    <w:rsid w:val="000C3B96"/>
    <w:rsid w:val="000C4897"/>
    <w:rsid w:val="000C498F"/>
    <w:rsid w:val="000C5605"/>
    <w:rsid w:val="000C5986"/>
    <w:rsid w:val="000C603C"/>
    <w:rsid w:val="000C606F"/>
    <w:rsid w:val="000C675D"/>
    <w:rsid w:val="000C69F2"/>
    <w:rsid w:val="000C6A73"/>
    <w:rsid w:val="000C709A"/>
    <w:rsid w:val="000C7239"/>
    <w:rsid w:val="000C76DA"/>
    <w:rsid w:val="000D005A"/>
    <w:rsid w:val="000D0520"/>
    <w:rsid w:val="000D219B"/>
    <w:rsid w:val="000D268F"/>
    <w:rsid w:val="000D295B"/>
    <w:rsid w:val="000D2C75"/>
    <w:rsid w:val="000D3482"/>
    <w:rsid w:val="000D3496"/>
    <w:rsid w:val="000D4260"/>
    <w:rsid w:val="000D47A1"/>
    <w:rsid w:val="000D5594"/>
    <w:rsid w:val="000D576C"/>
    <w:rsid w:val="000D58A1"/>
    <w:rsid w:val="000D59AB"/>
    <w:rsid w:val="000D5E30"/>
    <w:rsid w:val="000D60CB"/>
    <w:rsid w:val="000D66CC"/>
    <w:rsid w:val="000D6B53"/>
    <w:rsid w:val="000D6D58"/>
    <w:rsid w:val="000D6FF8"/>
    <w:rsid w:val="000D701C"/>
    <w:rsid w:val="000D7274"/>
    <w:rsid w:val="000D74E4"/>
    <w:rsid w:val="000D761F"/>
    <w:rsid w:val="000D7648"/>
    <w:rsid w:val="000D7E01"/>
    <w:rsid w:val="000E1B89"/>
    <w:rsid w:val="000E22A3"/>
    <w:rsid w:val="000E2B05"/>
    <w:rsid w:val="000E2CE0"/>
    <w:rsid w:val="000E2DE5"/>
    <w:rsid w:val="000E3153"/>
    <w:rsid w:val="000E33A9"/>
    <w:rsid w:val="000E34A7"/>
    <w:rsid w:val="000E3668"/>
    <w:rsid w:val="000E3E89"/>
    <w:rsid w:val="000E42D6"/>
    <w:rsid w:val="000E484D"/>
    <w:rsid w:val="000E5028"/>
    <w:rsid w:val="000E51A4"/>
    <w:rsid w:val="000E57C6"/>
    <w:rsid w:val="000E594A"/>
    <w:rsid w:val="000E5BBC"/>
    <w:rsid w:val="000E5CC4"/>
    <w:rsid w:val="000E61A8"/>
    <w:rsid w:val="000E68D2"/>
    <w:rsid w:val="000E7220"/>
    <w:rsid w:val="000E7823"/>
    <w:rsid w:val="000E7EC8"/>
    <w:rsid w:val="000F0032"/>
    <w:rsid w:val="000F02E7"/>
    <w:rsid w:val="000F053E"/>
    <w:rsid w:val="000F0593"/>
    <w:rsid w:val="000F1208"/>
    <w:rsid w:val="000F121E"/>
    <w:rsid w:val="000F1B47"/>
    <w:rsid w:val="000F2200"/>
    <w:rsid w:val="000F2248"/>
    <w:rsid w:val="000F27C5"/>
    <w:rsid w:val="000F2D22"/>
    <w:rsid w:val="000F375F"/>
    <w:rsid w:val="000F3831"/>
    <w:rsid w:val="000F428E"/>
    <w:rsid w:val="000F4359"/>
    <w:rsid w:val="000F45B2"/>
    <w:rsid w:val="000F5488"/>
    <w:rsid w:val="000F5AAB"/>
    <w:rsid w:val="000F5C5E"/>
    <w:rsid w:val="000F5DE8"/>
    <w:rsid w:val="000F5EB6"/>
    <w:rsid w:val="000F6322"/>
    <w:rsid w:val="000F64FF"/>
    <w:rsid w:val="000F7205"/>
    <w:rsid w:val="00100047"/>
    <w:rsid w:val="0010038E"/>
    <w:rsid w:val="00100EB0"/>
    <w:rsid w:val="00100EEE"/>
    <w:rsid w:val="0010123A"/>
    <w:rsid w:val="0010181C"/>
    <w:rsid w:val="00101855"/>
    <w:rsid w:val="00101A1B"/>
    <w:rsid w:val="00101BFE"/>
    <w:rsid w:val="001025F4"/>
    <w:rsid w:val="001031C2"/>
    <w:rsid w:val="00103DEB"/>
    <w:rsid w:val="001040F1"/>
    <w:rsid w:val="00105CED"/>
    <w:rsid w:val="001061FA"/>
    <w:rsid w:val="00106346"/>
    <w:rsid w:val="00106822"/>
    <w:rsid w:val="00106E7C"/>
    <w:rsid w:val="00107585"/>
    <w:rsid w:val="00107CD7"/>
    <w:rsid w:val="001100D3"/>
    <w:rsid w:val="00111090"/>
    <w:rsid w:val="001112F5"/>
    <w:rsid w:val="00111A71"/>
    <w:rsid w:val="00111C88"/>
    <w:rsid w:val="001123E7"/>
    <w:rsid w:val="00112A55"/>
    <w:rsid w:val="00112B80"/>
    <w:rsid w:val="001139EA"/>
    <w:rsid w:val="00113B9A"/>
    <w:rsid w:val="00113BB1"/>
    <w:rsid w:val="00113D65"/>
    <w:rsid w:val="001141B8"/>
    <w:rsid w:val="00114344"/>
    <w:rsid w:val="001161ED"/>
    <w:rsid w:val="00116243"/>
    <w:rsid w:val="001162CD"/>
    <w:rsid w:val="00116859"/>
    <w:rsid w:val="00117074"/>
    <w:rsid w:val="001170FB"/>
    <w:rsid w:val="00117101"/>
    <w:rsid w:val="001175E2"/>
    <w:rsid w:val="0011780C"/>
    <w:rsid w:val="001200DB"/>
    <w:rsid w:val="00120171"/>
    <w:rsid w:val="001203B8"/>
    <w:rsid w:val="00120F55"/>
    <w:rsid w:val="001213C5"/>
    <w:rsid w:val="001217A0"/>
    <w:rsid w:val="001219A7"/>
    <w:rsid w:val="00121E37"/>
    <w:rsid w:val="001228BF"/>
    <w:rsid w:val="00122AA8"/>
    <w:rsid w:val="00123816"/>
    <w:rsid w:val="00123907"/>
    <w:rsid w:val="00123C33"/>
    <w:rsid w:val="00123C34"/>
    <w:rsid w:val="001241AD"/>
    <w:rsid w:val="00124248"/>
    <w:rsid w:val="001246F8"/>
    <w:rsid w:val="00124C37"/>
    <w:rsid w:val="00124C3C"/>
    <w:rsid w:val="001259BB"/>
    <w:rsid w:val="0012631F"/>
    <w:rsid w:val="00126859"/>
    <w:rsid w:val="001270E6"/>
    <w:rsid w:val="00127822"/>
    <w:rsid w:val="00127F54"/>
    <w:rsid w:val="00130135"/>
    <w:rsid w:val="00131278"/>
    <w:rsid w:val="00131319"/>
    <w:rsid w:val="001317DA"/>
    <w:rsid w:val="001322B8"/>
    <w:rsid w:val="00132876"/>
    <w:rsid w:val="0013329C"/>
    <w:rsid w:val="00133819"/>
    <w:rsid w:val="00133B1F"/>
    <w:rsid w:val="001341C2"/>
    <w:rsid w:val="00134334"/>
    <w:rsid w:val="001345FF"/>
    <w:rsid w:val="00134B9D"/>
    <w:rsid w:val="00134F26"/>
    <w:rsid w:val="0013540C"/>
    <w:rsid w:val="00136700"/>
    <w:rsid w:val="00137274"/>
    <w:rsid w:val="0013764F"/>
    <w:rsid w:val="00137899"/>
    <w:rsid w:val="00137FCD"/>
    <w:rsid w:val="00140190"/>
    <w:rsid w:val="0014019A"/>
    <w:rsid w:val="001401FE"/>
    <w:rsid w:val="001404E1"/>
    <w:rsid w:val="00140B4F"/>
    <w:rsid w:val="00140FED"/>
    <w:rsid w:val="0014128E"/>
    <w:rsid w:val="001416DC"/>
    <w:rsid w:val="0014197B"/>
    <w:rsid w:val="00141CAC"/>
    <w:rsid w:val="00142237"/>
    <w:rsid w:val="00143CCE"/>
    <w:rsid w:val="00143D6D"/>
    <w:rsid w:val="00143F29"/>
    <w:rsid w:val="001440E5"/>
    <w:rsid w:val="00144128"/>
    <w:rsid w:val="0014453E"/>
    <w:rsid w:val="00145546"/>
    <w:rsid w:val="001458FD"/>
    <w:rsid w:val="00145B40"/>
    <w:rsid w:val="00146251"/>
    <w:rsid w:val="001464AF"/>
    <w:rsid w:val="00147126"/>
    <w:rsid w:val="0014735E"/>
    <w:rsid w:val="0014742E"/>
    <w:rsid w:val="00147784"/>
    <w:rsid w:val="00147B3C"/>
    <w:rsid w:val="00147B7A"/>
    <w:rsid w:val="0015051D"/>
    <w:rsid w:val="00150550"/>
    <w:rsid w:val="00150801"/>
    <w:rsid w:val="00150E2C"/>
    <w:rsid w:val="001512EB"/>
    <w:rsid w:val="00151AC4"/>
    <w:rsid w:val="00151E05"/>
    <w:rsid w:val="0015216D"/>
    <w:rsid w:val="00152229"/>
    <w:rsid w:val="001527AA"/>
    <w:rsid w:val="00153571"/>
    <w:rsid w:val="0015367D"/>
    <w:rsid w:val="00154CBB"/>
    <w:rsid w:val="00154FFC"/>
    <w:rsid w:val="00155D76"/>
    <w:rsid w:val="00155DA6"/>
    <w:rsid w:val="00156034"/>
    <w:rsid w:val="00156327"/>
    <w:rsid w:val="0015666E"/>
    <w:rsid w:val="00156827"/>
    <w:rsid w:val="001568FA"/>
    <w:rsid w:val="00156D54"/>
    <w:rsid w:val="0015717C"/>
    <w:rsid w:val="001571D1"/>
    <w:rsid w:val="0015770D"/>
    <w:rsid w:val="00160065"/>
    <w:rsid w:val="00160289"/>
    <w:rsid w:val="001602F1"/>
    <w:rsid w:val="001605B6"/>
    <w:rsid w:val="00160ABC"/>
    <w:rsid w:val="00160D9D"/>
    <w:rsid w:val="001612B0"/>
    <w:rsid w:val="00161BFF"/>
    <w:rsid w:val="0016213C"/>
    <w:rsid w:val="00162774"/>
    <w:rsid w:val="00162E68"/>
    <w:rsid w:val="00162E69"/>
    <w:rsid w:val="00164828"/>
    <w:rsid w:val="00164859"/>
    <w:rsid w:val="001650BE"/>
    <w:rsid w:val="00165D29"/>
    <w:rsid w:val="00165EAE"/>
    <w:rsid w:val="001668E6"/>
    <w:rsid w:val="00166917"/>
    <w:rsid w:val="00166A6D"/>
    <w:rsid w:val="00166FE6"/>
    <w:rsid w:val="0016714B"/>
    <w:rsid w:val="00167BBD"/>
    <w:rsid w:val="00167C22"/>
    <w:rsid w:val="00170383"/>
    <w:rsid w:val="00170588"/>
    <w:rsid w:val="001705BD"/>
    <w:rsid w:val="001708D5"/>
    <w:rsid w:val="00170977"/>
    <w:rsid w:val="00170E23"/>
    <w:rsid w:val="001714C7"/>
    <w:rsid w:val="0017154D"/>
    <w:rsid w:val="001717F6"/>
    <w:rsid w:val="00171EF7"/>
    <w:rsid w:val="001732B2"/>
    <w:rsid w:val="001736AA"/>
    <w:rsid w:val="00173C5F"/>
    <w:rsid w:val="00174A83"/>
    <w:rsid w:val="00174FAD"/>
    <w:rsid w:val="00175802"/>
    <w:rsid w:val="00175BD1"/>
    <w:rsid w:val="00176522"/>
    <w:rsid w:val="00176B29"/>
    <w:rsid w:val="00176DE8"/>
    <w:rsid w:val="0017713B"/>
    <w:rsid w:val="0017726F"/>
    <w:rsid w:val="001777CE"/>
    <w:rsid w:val="00177926"/>
    <w:rsid w:val="00177BC8"/>
    <w:rsid w:val="00177FD5"/>
    <w:rsid w:val="00180903"/>
    <w:rsid w:val="00180A13"/>
    <w:rsid w:val="001810BD"/>
    <w:rsid w:val="001813C6"/>
    <w:rsid w:val="0018170C"/>
    <w:rsid w:val="00181730"/>
    <w:rsid w:val="0018239A"/>
    <w:rsid w:val="00182545"/>
    <w:rsid w:val="0018259B"/>
    <w:rsid w:val="00182640"/>
    <w:rsid w:val="001827BF"/>
    <w:rsid w:val="001828AB"/>
    <w:rsid w:val="00182BAE"/>
    <w:rsid w:val="00182BDB"/>
    <w:rsid w:val="00182D0C"/>
    <w:rsid w:val="001837E7"/>
    <w:rsid w:val="00183A4E"/>
    <w:rsid w:val="00183BB2"/>
    <w:rsid w:val="00183E6A"/>
    <w:rsid w:val="001841DF"/>
    <w:rsid w:val="001842C0"/>
    <w:rsid w:val="001854E9"/>
    <w:rsid w:val="001856A5"/>
    <w:rsid w:val="00185A2F"/>
    <w:rsid w:val="00185BC5"/>
    <w:rsid w:val="00186650"/>
    <w:rsid w:val="00186D5D"/>
    <w:rsid w:val="00186F81"/>
    <w:rsid w:val="00187C2B"/>
    <w:rsid w:val="0019005B"/>
    <w:rsid w:val="001908E0"/>
    <w:rsid w:val="00190F2F"/>
    <w:rsid w:val="00191005"/>
    <w:rsid w:val="001919FF"/>
    <w:rsid w:val="00193924"/>
    <w:rsid w:val="00193CEB"/>
    <w:rsid w:val="00193E65"/>
    <w:rsid w:val="00194171"/>
    <w:rsid w:val="0019489E"/>
    <w:rsid w:val="00194926"/>
    <w:rsid w:val="00195E21"/>
    <w:rsid w:val="001961A9"/>
    <w:rsid w:val="0019658E"/>
    <w:rsid w:val="001967FC"/>
    <w:rsid w:val="00197065"/>
    <w:rsid w:val="00197126"/>
    <w:rsid w:val="001977F8"/>
    <w:rsid w:val="00197872"/>
    <w:rsid w:val="001979E7"/>
    <w:rsid w:val="00197C08"/>
    <w:rsid w:val="00197D23"/>
    <w:rsid w:val="00197DD2"/>
    <w:rsid w:val="001A0665"/>
    <w:rsid w:val="001A079C"/>
    <w:rsid w:val="001A1269"/>
    <w:rsid w:val="001A15D5"/>
    <w:rsid w:val="001A15DA"/>
    <w:rsid w:val="001A171D"/>
    <w:rsid w:val="001A1D04"/>
    <w:rsid w:val="001A2D12"/>
    <w:rsid w:val="001A2D82"/>
    <w:rsid w:val="001A2F0E"/>
    <w:rsid w:val="001A3354"/>
    <w:rsid w:val="001A3AE4"/>
    <w:rsid w:val="001A4349"/>
    <w:rsid w:val="001A57C2"/>
    <w:rsid w:val="001A5941"/>
    <w:rsid w:val="001A5FC3"/>
    <w:rsid w:val="001A606C"/>
    <w:rsid w:val="001A6605"/>
    <w:rsid w:val="001A6FBB"/>
    <w:rsid w:val="001A7B73"/>
    <w:rsid w:val="001B04C9"/>
    <w:rsid w:val="001B1B58"/>
    <w:rsid w:val="001B2702"/>
    <w:rsid w:val="001B2703"/>
    <w:rsid w:val="001B2897"/>
    <w:rsid w:val="001B35CE"/>
    <w:rsid w:val="001B3BFE"/>
    <w:rsid w:val="001B3F0A"/>
    <w:rsid w:val="001B4801"/>
    <w:rsid w:val="001B5742"/>
    <w:rsid w:val="001B5DFE"/>
    <w:rsid w:val="001B686B"/>
    <w:rsid w:val="001B68C5"/>
    <w:rsid w:val="001B6E19"/>
    <w:rsid w:val="001B7557"/>
    <w:rsid w:val="001B786C"/>
    <w:rsid w:val="001B7A2C"/>
    <w:rsid w:val="001B7EC4"/>
    <w:rsid w:val="001C0301"/>
    <w:rsid w:val="001C0769"/>
    <w:rsid w:val="001C0E48"/>
    <w:rsid w:val="001C10D3"/>
    <w:rsid w:val="001C1B18"/>
    <w:rsid w:val="001C1C60"/>
    <w:rsid w:val="001C2B88"/>
    <w:rsid w:val="001C2C43"/>
    <w:rsid w:val="001C2F70"/>
    <w:rsid w:val="001C2F8F"/>
    <w:rsid w:val="001C3621"/>
    <w:rsid w:val="001C3EEC"/>
    <w:rsid w:val="001C41D0"/>
    <w:rsid w:val="001C4C9E"/>
    <w:rsid w:val="001C4E5B"/>
    <w:rsid w:val="001C503F"/>
    <w:rsid w:val="001C599A"/>
    <w:rsid w:val="001C6804"/>
    <w:rsid w:val="001C700E"/>
    <w:rsid w:val="001D0035"/>
    <w:rsid w:val="001D024C"/>
    <w:rsid w:val="001D033F"/>
    <w:rsid w:val="001D04A5"/>
    <w:rsid w:val="001D0955"/>
    <w:rsid w:val="001D0AE7"/>
    <w:rsid w:val="001D134A"/>
    <w:rsid w:val="001D27C8"/>
    <w:rsid w:val="001D280E"/>
    <w:rsid w:val="001D28B0"/>
    <w:rsid w:val="001D3C3B"/>
    <w:rsid w:val="001D3E12"/>
    <w:rsid w:val="001D3E1B"/>
    <w:rsid w:val="001D4716"/>
    <w:rsid w:val="001D4F98"/>
    <w:rsid w:val="001D528B"/>
    <w:rsid w:val="001D5A53"/>
    <w:rsid w:val="001D5F9D"/>
    <w:rsid w:val="001D61BE"/>
    <w:rsid w:val="001D6229"/>
    <w:rsid w:val="001D6CCD"/>
    <w:rsid w:val="001D7350"/>
    <w:rsid w:val="001E029A"/>
    <w:rsid w:val="001E04E5"/>
    <w:rsid w:val="001E096E"/>
    <w:rsid w:val="001E0BB4"/>
    <w:rsid w:val="001E0BF5"/>
    <w:rsid w:val="001E11BA"/>
    <w:rsid w:val="001E18E5"/>
    <w:rsid w:val="001E1AC8"/>
    <w:rsid w:val="001E20D7"/>
    <w:rsid w:val="001E2935"/>
    <w:rsid w:val="001E2BA5"/>
    <w:rsid w:val="001E2D3F"/>
    <w:rsid w:val="001E32CC"/>
    <w:rsid w:val="001E384E"/>
    <w:rsid w:val="001E39F5"/>
    <w:rsid w:val="001E3CCA"/>
    <w:rsid w:val="001E419C"/>
    <w:rsid w:val="001E4A25"/>
    <w:rsid w:val="001E4C2F"/>
    <w:rsid w:val="001E50B0"/>
    <w:rsid w:val="001E55A1"/>
    <w:rsid w:val="001E60A9"/>
    <w:rsid w:val="001E625A"/>
    <w:rsid w:val="001E6423"/>
    <w:rsid w:val="001E67CC"/>
    <w:rsid w:val="001E6BFC"/>
    <w:rsid w:val="001E7AA0"/>
    <w:rsid w:val="001F02D7"/>
    <w:rsid w:val="001F0349"/>
    <w:rsid w:val="001F0B82"/>
    <w:rsid w:val="001F0DFF"/>
    <w:rsid w:val="001F0F7B"/>
    <w:rsid w:val="001F1F72"/>
    <w:rsid w:val="001F2033"/>
    <w:rsid w:val="001F20A2"/>
    <w:rsid w:val="001F218B"/>
    <w:rsid w:val="001F2450"/>
    <w:rsid w:val="001F2992"/>
    <w:rsid w:val="001F2CB5"/>
    <w:rsid w:val="001F31CC"/>
    <w:rsid w:val="001F3497"/>
    <w:rsid w:val="001F39D3"/>
    <w:rsid w:val="001F3F79"/>
    <w:rsid w:val="001F4B42"/>
    <w:rsid w:val="001F5057"/>
    <w:rsid w:val="001F5576"/>
    <w:rsid w:val="001F571D"/>
    <w:rsid w:val="001F5BE5"/>
    <w:rsid w:val="001F647C"/>
    <w:rsid w:val="001F7026"/>
    <w:rsid w:val="001F7CB9"/>
    <w:rsid w:val="001F7F6E"/>
    <w:rsid w:val="00200509"/>
    <w:rsid w:val="002011F7"/>
    <w:rsid w:val="002014E8"/>
    <w:rsid w:val="00201AAA"/>
    <w:rsid w:val="00201EB1"/>
    <w:rsid w:val="002020D4"/>
    <w:rsid w:val="002025F6"/>
    <w:rsid w:val="0020278F"/>
    <w:rsid w:val="00202B69"/>
    <w:rsid w:val="00202C38"/>
    <w:rsid w:val="00203FC6"/>
    <w:rsid w:val="00203FF6"/>
    <w:rsid w:val="002042C0"/>
    <w:rsid w:val="00204BE8"/>
    <w:rsid w:val="00205C74"/>
    <w:rsid w:val="002064BF"/>
    <w:rsid w:val="00206950"/>
    <w:rsid w:val="0020761F"/>
    <w:rsid w:val="00207DC4"/>
    <w:rsid w:val="00207FFE"/>
    <w:rsid w:val="00210A30"/>
    <w:rsid w:val="002112FE"/>
    <w:rsid w:val="00211808"/>
    <w:rsid w:val="002120B8"/>
    <w:rsid w:val="002121E8"/>
    <w:rsid w:val="0021239E"/>
    <w:rsid w:val="002129FB"/>
    <w:rsid w:val="00212B4E"/>
    <w:rsid w:val="0021371E"/>
    <w:rsid w:val="00214BD5"/>
    <w:rsid w:val="00215130"/>
    <w:rsid w:val="002152CD"/>
    <w:rsid w:val="00215836"/>
    <w:rsid w:val="0021596B"/>
    <w:rsid w:val="002164C7"/>
    <w:rsid w:val="00217035"/>
    <w:rsid w:val="00217278"/>
    <w:rsid w:val="00217283"/>
    <w:rsid w:val="002179F6"/>
    <w:rsid w:val="00221AA9"/>
    <w:rsid w:val="00221ACF"/>
    <w:rsid w:val="00221FD1"/>
    <w:rsid w:val="00222190"/>
    <w:rsid w:val="0022291C"/>
    <w:rsid w:val="002229D9"/>
    <w:rsid w:val="00223516"/>
    <w:rsid w:val="00223883"/>
    <w:rsid w:val="00224077"/>
    <w:rsid w:val="00224100"/>
    <w:rsid w:val="0022638B"/>
    <w:rsid w:val="002269CF"/>
    <w:rsid w:val="00227352"/>
    <w:rsid w:val="00227846"/>
    <w:rsid w:val="00227E8B"/>
    <w:rsid w:val="0023052A"/>
    <w:rsid w:val="0023054E"/>
    <w:rsid w:val="0023156D"/>
    <w:rsid w:val="00231A31"/>
    <w:rsid w:val="00231D39"/>
    <w:rsid w:val="00232290"/>
    <w:rsid w:val="00232674"/>
    <w:rsid w:val="00232913"/>
    <w:rsid w:val="00232B16"/>
    <w:rsid w:val="00232BC3"/>
    <w:rsid w:val="0023338E"/>
    <w:rsid w:val="00233AE0"/>
    <w:rsid w:val="00233D2F"/>
    <w:rsid w:val="00233EC6"/>
    <w:rsid w:val="0023417B"/>
    <w:rsid w:val="00234613"/>
    <w:rsid w:val="00234630"/>
    <w:rsid w:val="00235E79"/>
    <w:rsid w:val="0023681D"/>
    <w:rsid w:val="00236EB1"/>
    <w:rsid w:val="0023706F"/>
    <w:rsid w:val="002371AC"/>
    <w:rsid w:val="0023774C"/>
    <w:rsid w:val="002377DD"/>
    <w:rsid w:val="002377F5"/>
    <w:rsid w:val="00240C4B"/>
    <w:rsid w:val="00240EA1"/>
    <w:rsid w:val="00240FE0"/>
    <w:rsid w:val="00241186"/>
    <w:rsid w:val="002412A2"/>
    <w:rsid w:val="00241A5F"/>
    <w:rsid w:val="002428AB"/>
    <w:rsid w:val="0024377D"/>
    <w:rsid w:val="0024398F"/>
    <w:rsid w:val="00243B96"/>
    <w:rsid w:val="00243EE2"/>
    <w:rsid w:val="0024400B"/>
    <w:rsid w:val="00244523"/>
    <w:rsid w:val="002448CB"/>
    <w:rsid w:val="00244B96"/>
    <w:rsid w:val="002452FB"/>
    <w:rsid w:val="00245C7E"/>
    <w:rsid w:val="00245DB3"/>
    <w:rsid w:val="00246FC4"/>
    <w:rsid w:val="0024706B"/>
    <w:rsid w:val="00247B47"/>
    <w:rsid w:val="002502E6"/>
    <w:rsid w:val="002503DC"/>
    <w:rsid w:val="00250AE6"/>
    <w:rsid w:val="00250B34"/>
    <w:rsid w:val="00250E2F"/>
    <w:rsid w:val="00250ECF"/>
    <w:rsid w:val="00250EE5"/>
    <w:rsid w:val="002511AC"/>
    <w:rsid w:val="00251EE4"/>
    <w:rsid w:val="00251FFE"/>
    <w:rsid w:val="0025238B"/>
    <w:rsid w:val="00252874"/>
    <w:rsid w:val="002528DF"/>
    <w:rsid w:val="00252CAA"/>
    <w:rsid w:val="002534A2"/>
    <w:rsid w:val="00253509"/>
    <w:rsid w:val="002536C6"/>
    <w:rsid w:val="00253AAC"/>
    <w:rsid w:val="00253EDE"/>
    <w:rsid w:val="00253F38"/>
    <w:rsid w:val="002542D9"/>
    <w:rsid w:val="00254637"/>
    <w:rsid w:val="00254814"/>
    <w:rsid w:val="00255A10"/>
    <w:rsid w:val="00255B2E"/>
    <w:rsid w:val="00255E9D"/>
    <w:rsid w:val="00255F15"/>
    <w:rsid w:val="00257371"/>
    <w:rsid w:val="00257828"/>
    <w:rsid w:val="0026025D"/>
    <w:rsid w:val="00260F8A"/>
    <w:rsid w:val="00261530"/>
    <w:rsid w:val="00261711"/>
    <w:rsid w:val="00261C77"/>
    <w:rsid w:val="00261F72"/>
    <w:rsid w:val="00262023"/>
    <w:rsid w:val="0026207C"/>
    <w:rsid w:val="002625B6"/>
    <w:rsid w:val="00262CB7"/>
    <w:rsid w:val="0026306A"/>
    <w:rsid w:val="002631E9"/>
    <w:rsid w:val="002643DC"/>
    <w:rsid w:val="00264FC0"/>
    <w:rsid w:val="00265424"/>
    <w:rsid w:val="00265617"/>
    <w:rsid w:val="00265B24"/>
    <w:rsid w:val="00265BA3"/>
    <w:rsid w:val="00265E9B"/>
    <w:rsid w:val="002660B8"/>
    <w:rsid w:val="00266802"/>
    <w:rsid w:val="00266848"/>
    <w:rsid w:val="00266930"/>
    <w:rsid w:val="002676C2"/>
    <w:rsid w:val="002677D9"/>
    <w:rsid w:val="00267881"/>
    <w:rsid w:val="0027071B"/>
    <w:rsid w:val="00270A04"/>
    <w:rsid w:val="00271CEC"/>
    <w:rsid w:val="00272A8A"/>
    <w:rsid w:val="00273253"/>
    <w:rsid w:val="00273502"/>
    <w:rsid w:val="00273E1E"/>
    <w:rsid w:val="002745DC"/>
    <w:rsid w:val="0027462E"/>
    <w:rsid w:val="00274D60"/>
    <w:rsid w:val="0027561E"/>
    <w:rsid w:val="00275B15"/>
    <w:rsid w:val="00275E27"/>
    <w:rsid w:val="0027715B"/>
    <w:rsid w:val="002773AA"/>
    <w:rsid w:val="0027784E"/>
    <w:rsid w:val="00277B10"/>
    <w:rsid w:val="00277DBB"/>
    <w:rsid w:val="00280DCC"/>
    <w:rsid w:val="00281430"/>
    <w:rsid w:val="0028179E"/>
    <w:rsid w:val="00281FFE"/>
    <w:rsid w:val="00282DC3"/>
    <w:rsid w:val="00282F13"/>
    <w:rsid w:val="0028317D"/>
    <w:rsid w:val="00283239"/>
    <w:rsid w:val="002834BF"/>
    <w:rsid w:val="0028378E"/>
    <w:rsid w:val="002839D7"/>
    <w:rsid w:val="0028428F"/>
    <w:rsid w:val="00284A62"/>
    <w:rsid w:val="0028527E"/>
    <w:rsid w:val="00285591"/>
    <w:rsid w:val="002857A2"/>
    <w:rsid w:val="00285A87"/>
    <w:rsid w:val="00285BC6"/>
    <w:rsid w:val="00286318"/>
    <w:rsid w:val="002865BC"/>
    <w:rsid w:val="00286740"/>
    <w:rsid w:val="00286A2D"/>
    <w:rsid w:val="00287A6C"/>
    <w:rsid w:val="00287C8C"/>
    <w:rsid w:val="002904B0"/>
    <w:rsid w:val="00290544"/>
    <w:rsid w:val="0029068C"/>
    <w:rsid w:val="0029068D"/>
    <w:rsid w:val="0029083E"/>
    <w:rsid w:val="0029152B"/>
    <w:rsid w:val="00291A31"/>
    <w:rsid w:val="00291D32"/>
    <w:rsid w:val="00291E2E"/>
    <w:rsid w:val="002922A2"/>
    <w:rsid w:val="002922D5"/>
    <w:rsid w:val="00292AD7"/>
    <w:rsid w:val="002934F7"/>
    <w:rsid w:val="002935F7"/>
    <w:rsid w:val="002938D7"/>
    <w:rsid w:val="00293D5E"/>
    <w:rsid w:val="002941B3"/>
    <w:rsid w:val="002943B4"/>
    <w:rsid w:val="00294F8A"/>
    <w:rsid w:val="00295064"/>
    <w:rsid w:val="00295C30"/>
    <w:rsid w:val="00295F78"/>
    <w:rsid w:val="00296A44"/>
    <w:rsid w:val="002973B5"/>
    <w:rsid w:val="0029794C"/>
    <w:rsid w:val="00297EFF"/>
    <w:rsid w:val="002A04E6"/>
    <w:rsid w:val="002A09EA"/>
    <w:rsid w:val="002A0B49"/>
    <w:rsid w:val="002A193F"/>
    <w:rsid w:val="002A1969"/>
    <w:rsid w:val="002A1F19"/>
    <w:rsid w:val="002A2555"/>
    <w:rsid w:val="002A2FBC"/>
    <w:rsid w:val="002A311B"/>
    <w:rsid w:val="002A3599"/>
    <w:rsid w:val="002A36F3"/>
    <w:rsid w:val="002A386B"/>
    <w:rsid w:val="002A4153"/>
    <w:rsid w:val="002A5530"/>
    <w:rsid w:val="002A5670"/>
    <w:rsid w:val="002A5EE6"/>
    <w:rsid w:val="002A5FCC"/>
    <w:rsid w:val="002A6410"/>
    <w:rsid w:val="002A64D3"/>
    <w:rsid w:val="002A696A"/>
    <w:rsid w:val="002A72A9"/>
    <w:rsid w:val="002A7806"/>
    <w:rsid w:val="002A7BB8"/>
    <w:rsid w:val="002A7C85"/>
    <w:rsid w:val="002B032E"/>
    <w:rsid w:val="002B0C2B"/>
    <w:rsid w:val="002B0CC0"/>
    <w:rsid w:val="002B0EA1"/>
    <w:rsid w:val="002B0F47"/>
    <w:rsid w:val="002B1A45"/>
    <w:rsid w:val="002B22AB"/>
    <w:rsid w:val="002B2DAA"/>
    <w:rsid w:val="002B2EE2"/>
    <w:rsid w:val="002B3AB8"/>
    <w:rsid w:val="002B4447"/>
    <w:rsid w:val="002B4F21"/>
    <w:rsid w:val="002B4FCF"/>
    <w:rsid w:val="002B5D48"/>
    <w:rsid w:val="002B5FDF"/>
    <w:rsid w:val="002B606C"/>
    <w:rsid w:val="002B7042"/>
    <w:rsid w:val="002B7221"/>
    <w:rsid w:val="002B776B"/>
    <w:rsid w:val="002B79C8"/>
    <w:rsid w:val="002B7CDD"/>
    <w:rsid w:val="002C089A"/>
    <w:rsid w:val="002C0E24"/>
    <w:rsid w:val="002C1691"/>
    <w:rsid w:val="002C256B"/>
    <w:rsid w:val="002C3297"/>
    <w:rsid w:val="002C3A6D"/>
    <w:rsid w:val="002C3B4B"/>
    <w:rsid w:val="002C3CEB"/>
    <w:rsid w:val="002C3FB3"/>
    <w:rsid w:val="002C4366"/>
    <w:rsid w:val="002C43B2"/>
    <w:rsid w:val="002C5A23"/>
    <w:rsid w:val="002C5D9D"/>
    <w:rsid w:val="002C6C27"/>
    <w:rsid w:val="002C6C9C"/>
    <w:rsid w:val="002C7034"/>
    <w:rsid w:val="002D0243"/>
    <w:rsid w:val="002D0ADC"/>
    <w:rsid w:val="002D0BA5"/>
    <w:rsid w:val="002D0D14"/>
    <w:rsid w:val="002D1280"/>
    <w:rsid w:val="002D1587"/>
    <w:rsid w:val="002D1BA0"/>
    <w:rsid w:val="002D1C02"/>
    <w:rsid w:val="002D28FD"/>
    <w:rsid w:val="002D2C04"/>
    <w:rsid w:val="002D2D78"/>
    <w:rsid w:val="002D332B"/>
    <w:rsid w:val="002D34A8"/>
    <w:rsid w:val="002D35B6"/>
    <w:rsid w:val="002D36DB"/>
    <w:rsid w:val="002D388F"/>
    <w:rsid w:val="002D3F8B"/>
    <w:rsid w:val="002D4322"/>
    <w:rsid w:val="002D49C0"/>
    <w:rsid w:val="002D4B49"/>
    <w:rsid w:val="002D4BCD"/>
    <w:rsid w:val="002D4C25"/>
    <w:rsid w:val="002D6918"/>
    <w:rsid w:val="002D715E"/>
    <w:rsid w:val="002D7A90"/>
    <w:rsid w:val="002D7B79"/>
    <w:rsid w:val="002D7C05"/>
    <w:rsid w:val="002D7F44"/>
    <w:rsid w:val="002E0237"/>
    <w:rsid w:val="002E02C2"/>
    <w:rsid w:val="002E0A63"/>
    <w:rsid w:val="002E142B"/>
    <w:rsid w:val="002E1593"/>
    <w:rsid w:val="002E1729"/>
    <w:rsid w:val="002E1E9D"/>
    <w:rsid w:val="002E25B0"/>
    <w:rsid w:val="002E28AC"/>
    <w:rsid w:val="002E2A6F"/>
    <w:rsid w:val="002E2FF6"/>
    <w:rsid w:val="002E3745"/>
    <w:rsid w:val="002E406B"/>
    <w:rsid w:val="002E47C2"/>
    <w:rsid w:val="002E48DB"/>
    <w:rsid w:val="002E4A07"/>
    <w:rsid w:val="002E4CCA"/>
    <w:rsid w:val="002E4CCE"/>
    <w:rsid w:val="002E4EFC"/>
    <w:rsid w:val="002E4F59"/>
    <w:rsid w:val="002E504F"/>
    <w:rsid w:val="002E5139"/>
    <w:rsid w:val="002E54C3"/>
    <w:rsid w:val="002E56F2"/>
    <w:rsid w:val="002E5CC4"/>
    <w:rsid w:val="002E632D"/>
    <w:rsid w:val="002E6546"/>
    <w:rsid w:val="002E68DE"/>
    <w:rsid w:val="002E6930"/>
    <w:rsid w:val="002E6A07"/>
    <w:rsid w:val="002E7019"/>
    <w:rsid w:val="002E72C0"/>
    <w:rsid w:val="002E73C9"/>
    <w:rsid w:val="002E7F04"/>
    <w:rsid w:val="002E7FB3"/>
    <w:rsid w:val="002F00A4"/>
    <w:rsid w:val="002F0428"/>
    <w:rsid w:val="002F14A0"/>
    <w:rsid w:val="002F173D"/>
    <w:rsid w:val="002F181C"/>
    <w:rsid w:val="002F188D"/>
    <w:rsid w:val="002F1995"/>
    <w:rsid w:val="002F1D45"/>
    <w:rsid w:val="002F2AA8"/>
    <w:rsid w:val="002F3151"/>
    <w:rsid w:val="002F3786"/>
    <w:rsid w:val="002F3A40"/>
    <w:rsid w:val="002F3E05"/>
    <w:rsid w:val="002F4266"/>
    <w:rsid w:val="002F447D"/>
    <w:rsid w:val="002F492A"/>
    <w:rsid w:val="002F4B42"/>
    <w:rsid w:val="002F4D39"/>
    <w:rsid w:val="002F5BE1"/>
    <w:rsid w:val="002F616A"/>
    <w:rsid w:val="002F6AF0"/>
    <w:rsid w:val="002F6F42"/>
    <w:rsid w:val="002F6F4D"/>
    <w:rsid w:val="002F7031"/>
    <w:rsid w:val="003002BE"/>
    <w:rsid w:val="00300A7B"/>
    <w:rsid w:val="00300D7B"/>
    <w:rsid w:val="003012ED"/>
    <w:rsid w:val="00301A57"/>
    <w:rsid w:val="00302911"/>
    <w:rsid w:val="0030344E"/>
    <w:rsid w:val="003037C8"/>
    <w:rsid w:val="0030389D"/>
    <w:rsid w:val="00303F65"/>
    <w:rsid w:val="00303FD5"/>
    <w:rsid w:val="00304122"/>
    <w:rsid w:val="00305226"/>
    <w:rsid w:val="00305706"/>
    <w:rsid w:val="003057FC"/>
    <w:rsid w:val="00306560"/>
    <w:rsid w:val="00306843"/>
    <w:rsid w:val="00306B83"/>
    <w:rsid w:val="00306C67"/>
    <w:rsid w:val="003079BE"/>
    <w:rsid w:val="00307DF3"/>
    <w:rsid w:val="0031004F"/>
    <w:rsid w:val="00310476"/>
    <w:rsid w:val="003106B8"/>
    <w:rsid w:val="0031077A"/>
    <w:rsid w:val="00310941"/>
    <w:rsid w:val="00311314"/>
    <w:rsid w:val="0031181D"/>
    <w:rsid w:val="0031260D"/>
    <w:rsid w:val="00313F0B"/>
    <w:rsid w:val="003142E9"/>
    <w:rsid w:val="00314678"/>
    <w:rsid w:val="00314E35"/>
    <w:rsid w:val="00316717"/>
    <w:rsid w:val="00316BDF"/>
    <w:rsid w:val="003202CD"/>
    <w:rsid w:val="00320413"/>
    <w:rsid w:val="003205D0"/>
    <w:rsid w:val="00321ECC"/>
    <w:rsid w:val="00322058"/>
    <w:rsid w:val="003222C5"/>
    <w:rsid w:val="003223E6"/>
    <w:rsid w:val="003226D6"/>
    <w:rsid w:val="00322A1F"/>
    <w:rsid w:val="00322E1C"/>
    <w:rsid w:val="00322EB0"/>
    <w:rsid w:val="00322EC6"/>
    <w:rsid w:val="0032415B"/>
    <w:rsid w:val="00324188"/>
    <w:rsid w:val="00324A90"/>
    <w:rsid w:val="00324F68"/>
    <w:rsid w:val="003252C7"/>
    <w:rsid w:val="003253FA"/>
    <w:rsid w:val="00325C5F"/>
    <w:rsid w:val="00325FEC"/>
    <w:rsid w:val="003260E8"/>
    <w:rsid w:val="00326754"/>
    <w:rsid w:val="00326ADF"/>
    <w:rsid w:val="0032740D"/>
    <w:rsid w:val="00327C26"/>
    <w:rsid w:val="00327D87"/>
    <w:rsid w:val="00327DBE"/>
    <w:rsid w:val="00330842"/>
    <w:rsid w:val="003312FF"/>
    <w:rsid w:val="0033175C"/>
    <w:rsid w:val="0033202A"/>
    <w:rsid w:val="00332373"/>
    <w:rsid w:val="0033265A"/>
    <w:rsid w:val="00332AAD"/>
    <w:rsid w:val="00332E60"/>
    <w:rsid w:val="0033314F"/>
    <w:rsid w:val="00333159"/>
    <w:rsid w:val="00333415"/>
    <w:rsid w:val="0033379E"/>
    <w:rsid w:val="0033394F"/>
    <w:rsid w:val="003339DC"/>
    <w:rsid w:val="0033420D"/>
    <w:rsid w:val="0033469B"/>
    <w:rsid w:val="00334B67"/>
    <w:rsid w:val="00334CE5"/>
    <w:rsid w:val="00335324"/>
    <w:rsid w:val="00335666"/>
    <w:rsid w:val="00336470"/>
    <w:rsid w:val="003366C7"/>
    <w:rsid w:val="003373DC"/>
    <w:rsid w:val="00337A9F"/>
    <w:rsid w:val="00337F66"/>
    <w:rsid w:val="0034013D"/>
    <w:rsid w:val="0034039C"/>
    <w:rsid w:val="00340B8D"/>
    <w:rsid w:val="00341438"/>
    <w:rsid w:val="00341B9B"/>
    <w:rsid w:val="00343306"/>
    <w:rsid w:val="003435A9"/>
    <w:rsid w:val="00343C85"/>
    <w:rsid w:val="00343E06"/>
    <w:rsid w:val="00343E6B"/>
    <w:rsid w:val="003441A6"/>
    <w:rsid w:val="003441CF"/>
    <w:rsid w:val="003442C0"/>
    <w:rsid w:val="003448AD"/>
    <w:rsid w:val="00344ED7"/>
    <w:rsid w:val="00344F57"/>
    <w:rsid w:val="003450CF"/>
    <w:rsid w:val="00345653"/>
    <w:rsid w:val="00345698"/>
    <w:rsid w:val="003459BB"/>
    <w:rsid w:val="003467D5"/>
    <w:rsid w:val="00346E50"/>
    <w:rsid w:val="00346FA1"/>
    <w:rsid w:val="00347F33"/>
    <w:rsid w:val="00347FA4"/>
    <w:rsid w:val="00350027"/>
    <w:rsid w:val="00350292"/>
    <w:rsid w:val="00350A7B"/>
    <w:rsid w:val="00350A93"/>
    <w:rsid w:val="00351BCE"/>
    <w:rsid w:val="00352712"/>
    <w:rsid w:val="003528E4"/>
    <w:rsid w:val="00353F70"/>
    <w:rsid w:val="003542B1"/>
    <w:rsid w:val="003543DB"/>
    <w:rsid w:val="0035489D"/>
    <w:rsid w:val="00355186"/>
    <w:rsid w:val="00355460"/>
    <w:rsid w:val="0035637D"/>
    <w:rsid w:val="003563FF"/>
    <w:rsid w:val="0035663D"/>
    <w:rsid w:val="00356901"/>
    <w:rsid w:val="00356E90"/>
    <w:rsid w:val="003572F5"/>
    <w:rsid w:val="00357CEF"/>
    <w:rsid w:val="00357D56"/>
    <w:rsid w:val="00360701"/>
    <w:rsid w:val="0036105C"/>
    <w:rsid w:val="00361B2D"/>
    <w:rsid w:val="003624FE"/>
    <w:rsid w:val="003626A9"/>
    <w:rsid w:val="00362B43"/>
    <w:rsid w:val="003631C0"/>
    <w:rsid w:val="00363809"/>
    <w:rsid w:val="00363879"/>
    <w:rsid w:val="003639BD"/>
    <w:rsid w:val="00363A07"/>
    <w:rsid w:val="00363B29"/>
    <w:rsid w:val="003645C6"/>
    <w:rsid w:val="003648BF"/>
    <w:rsid w:val="003658BD"/>
    <w:rsid w:val="003659F3"/>
    <w:rsid w:val="003662F0"/>
    <w:rsid w:val="00366705"/>
    <w:rsid w:val="00366796"/>
    <w:rsid w:val="00366C80"/>
    <w:rsid w:val="00366D74"/>
    <w:rsid w:val="003676C4"/>
    <w:rsid w:val="003676D3"/>
    <w:rsid w:val="00367C31"/>
    <w:rsid w:val="00370010"/>
    <w:rsid w:val="00370091"/>
    <w:rsid w:val="003702B2"/>
    <w:rsid w:val="00370BC2"/>
    <w:rsid w:val="00370DA3"/>
    <w:rsid w:val="003715D6"/>
    <w:rsid w:val="0037193D"/>
    <w:rsid w:val="00371FE8"/>
    <w:rsid w:val="0037202A"/>
    <w:rsid w:val="0037227A"/>
    <w:rsid w:val="00373096"/>
    <w:rsid w:val="0037312F"/>
    <w:rsid w:val="00373FBE"/>
    <w:rsid w:val="0037467C"/>
    <w:rsid w:val="003749AD"/>
    <w:rsid w:val="00374AAB"/>
    <w:rsid w:val="00375053"/>
    <w:rsid w:val="00375429"/>
    <w:rsid w:val="00375454"/>
    <w:rsid w:val="003755B8"/>
    <w:rsid w:val="0037575A"/>
    <w:rsid w:val="003765EC"/>
    <w:rsid w:val="00376619"/>
    <w:rsid w:val="00376A4C"/>
    <w:rsid w:val="00376C53"/>
    <w:rsid w:val="003772EF"/>
    <w:rsid w:val="0037757F"/>
    <w:rsid w:val="003776DA"/>
    <w:rsid w:val="00377A63"/>
    <w:rsid w:val="00377B4E"/>
    <w:rsid w:val="00380558"/>
    <w:rsid w:val="00380876"/>
    <w:rsid w:val="00381538"/>
    <w:rsid w:val="00382316"/>
    <w:rsid w:val="00383392"/>
    <w:rsid w:val="00383A9F"/>
    <w:rsid w:val="00383BE9"/>
    <w:rsid w:val="00385115"/>
    <w:rsid w:val="003851AF"/>
    <w:rsid w:val="003854B0"/>
    <w:rsid w:val="003856CF"/>
    <w:rsid w:val="003857C1"/>
    <w:rsid w:val="0038595F"/>
    <w:rsid w:val="00385AED"/>
    <w:rsid w:val="00385CA3"/>
    <w:rsid w:val="00386121"/>
    <w:rsid w:val="003863F3"/>
    <w:rsid w:val="00386500"/>
    <w:rsid w:val="00387205"/>
    <w:rsid w:val="0038754D"/>
    <w:rsid w:val="00387680"/>
    <w:rsid w:val="003877EA"/>
    <w:rsid w:val="00387864"/>
    <w:rsid w:val="00387915"/>
    <w:rsid w:val="003902A5"/>
    <w:rsid w:val="00390914"/>
    <w:rsid w:val="00390C9F"/>
    <w:rsid w:val="00391137"/>
    <w:rsid w:val="003912C2"/>
    <w:rsid w:val="00391558"/>
    <w:rsid w:val="00391936"/>
    <w:rsid w:val="00391BB2"/>
    <w:rsid w:val="00391E5D"/>
    <w:rsid w:val="00392659"/>
    <w:rsid w:val="0039292A"/>
    <w:rsid w:val="00392AAA"/>
    <w:rsid w:val="00392C0C"/>
    <w:rsid w:val="00393706"/>
    <w:rsid w:val="003947FB"/>
    <w:rsid w:val="00394BF3"/>
    <w:rsid w:val="003954A0"/>
    <w:rsid w:val="0039559E"/>
    <w:rsid w:val="00396B4D"/>
    <w:rsid w:val="00397601"/>
    <w:rsid w:val="003976EE"/>
    <w:rsid w:val="0039773C"/>
    <w:rsid w:val="00397864"/>
    <w:rsid w:val="00397910"/>
    <w:rsid w:val="00397A0C"/>
    <w:rsid w:val="003A005B"/>
    <w:rsid w:val="003A0580"/>
    <w:rsid w:val="003A1094"/>
    <w:rsid w:val="003A2660"/>
    <w:rsid w:val="003A26D7"/>
    <w:rsid w:val="003A2B1B"/>
    <w:rsid w:val="003A2C1E"/>
    <w:rsid w:val="003A343C"/>
    <w:rsid w:val="003A3660"/>
    <w:rsid w:val="003A3B58"/>
    <w:rsid w:val="003A3D1E"/>
    <w:rsid w:val="003A410E"/>
    <w:rsid w:val="003A5610"/>
    <w:rsid w:val="003A5716"/>
    <w:rsid w:val="003A59F0"/>
    <w:rsid w:val="003A5BA2"/>
    <w:rsid w:val="003A5DB9"/>
    <w:rsid w:val="003A5F40"/>
    <w:rsid w:val="003A6066"/>
    <w:rsid w:val="003A610E"/>
    <w:rsid w:val="003A6394"/>
    <w:rsid w:val="003A64FF"/>
    <w:rsid w:val="003A6930"/>
    <w:rsid w:val="003A6FC0"/>
    <w:rsid w:val="003A7FF4"/>
    <w:rsid w:val="003B0016"/>
    <w:rsid w:val="003B0C8C"/>
    <w:rsid w:val="003B0E20"/>
    <w:rsid w:val="003B1774"/>
    <w:rsid w:val="003B18FC"/>
    <w:rsid w:val="003B20FB"/>
    <w:rsid w:val="003B32D6"/>
    <w:rsid w:val="003B3408"/>
    <w:rsid w:val="003B3437"/>
    <w:rsid w:val="003B365C"/>
    <w:rsid w:val="003B3BF7"/>
    <w:rsid w:val="003B464B"/>
    <w:rsid w:val="003B46BD"/>
    <w:rsid w:val="003B46DB"/>
    <w:rsid w:val="003B4AF9"/>
    <w:rsid w:val="003B4CD7"/>
    <w:rsid w:val="003B566E"/>
    <w:rsid w:val="003B5757"/>
    <w:rsid w:val="003B58D5"/>
    <w:rsid w:val="003B58DC"/>
    <w:rsid w:val="003B6090"/>
    <w:rsid w:val="003B6642"/>
    <w:rsid w:val="003B66D4"/>
    <w:rsid w:val="003B67B1"/>
    <w:rsid w:val="003B67D7"/>
    <w:rsid w:val="003B6AF8"/>
    <w:rsid w:val="003B7A52"/>
    <w:rsid w:val="003B7C2F"/>
    <w:rsid w:val="003C0332"/>
    <w:rsid w:val="003C04D5"/>
    <w:rsid w:val="003C1603"/>
    <w:rsid w:val="003C1625"/>
    <w:rsid w:val="003C1DC8"/>
    <w:rsid w:val="003C2601"/>
    <w:rsid w:val="003C2726"/>
    <w:rsid w:val="003C28E0"/>
    <w:rsid w:val="003C29AA"/>
    <w:rsid w:val="003C30F3"/>
    <w:rsid w:val="003C3A1B"/>
    <w:rsid w:val="003C5037"/>
    <w:rsid w:val="003C6697"/>
    <w:rsid w:val="003C6734"/>
    <w:rsid w:val="003C72A0"/>
    <w:rsid w:val="003D0E24"/>
    <w:rsid w:val="003D0F66"/>
    <w:rsid w:val="003D0FB2"/>
    <w:rsid w:val="003D15A6"/>
    <w:rsid w:val="003D1611"/>
    <w:rsid w:val="003D18E6"/>
    <w:rsid w:val="003D20E7"/>
    <w:rsid w:val="003D3199"/>
    <w:rsid w:val="003D375C"/>
    <w:rsid w:val="003D3CD2"/>
    <w:rsid w:val="003D4340"/>
    <w:rsid w:val="003D4E0F"/>
    <w:rsid w:val="003D69A4"/>
    <w:rsid w:val="003D6B3C"/>
    <w:rsid w:val="003D6E65"/>
    <w:rsid w:val="003D7472"/>
    <w:rsid w:val="003E18A6"/>
    <w:rsid w:val="003E21A8"/>
    <w:rsid w:val="003E2545"/>
    <w:rsid w:val="003E2D12"/>
    <w:rsid w:val="003E2D83"/>
    <w:rsid w:val="003E3050"/>
    <w:rsid w:val="003E3ABA"/>
    <w:rsid w:val="003E41F9"/>
    <w:rsid w:val="003E441D"/>
    <w:rsid w:val="003E4D71"/>
    <w:rsid w:val="003E50B4"/>
    <w:rsid w:val="003E67EF"/>
    <w:rsid w:val="003E6F2F"/>
    <w:rsid w:val="003E761C"/>
    <w:rsid w:val="003E7C20"/>
    <w:rsid w:val="003E7CC7"/>
    <w:rsid w:val="003E7DAC"/>
    <w:rsid w:val="003E7E4E"/>
    <w:rsid w:val="003F0126"/>
    <w:rsid w:val="003F09BB"/>
    <w:rsid w:val="003F0E2C"/>
    <w:rsid w:val="003F0FEC"/>
    <w:rsid w:val="003F101F"/>
    <w:rsid w:val="003F112C"/>
    <w:rsid w:val="003F2374"/>
    <w:rsid w:val="003F2501"/>
    <w:rsid w:val="003F263B"/>
    <w:rsid w:val="003F3037"/>
    <w:rsid w:val="003F38F2"/>
    <w:rsid w:val="003F39E8"/>
    <w:rsid w:val="003F3EB5"/>
    <w:rsid w:val="003F414D"/>
    <w:rsid w:val="003F47D1"/>
    <w:rsid w:val="003F4D6D"/>
    <w:rsid w:val="003F5A9D"/>
    <w:rsid w:val="003F5AE3"/>
    <w:rsid w:val="003F5F21"/>
    <w:rsid w:val="003F657F"/>
    <w:rsid w:val="003F69CA"/>
    <w:rsid w:val="003F6BE3"/>
    <w:rsid w:val="003F7CF3"/>
    <w:rsid w:val="003F7DCF"/>
    <w:rsid w:val="0040077B"/>
    <w:rsid w:val="004011B0"/>
    <w:rsid w:val="004013FF"/>
    <w:rsid w:val="0040181E"/>
    <w:rsid w:val="00401BFC"/>
    <w:rsid w:val="00401F7C"/>
    <w:rsid w:val="0040206F"/>
    <w:rsid w:val="0040224B"/>
    <w:rsid w:val="00402342"/>
    <w:rsid w:val="0040287C"/>
    <w:rsid w:val="00402D1A"/>
    <w:rsid w:val="0040327F"/>
    <w:rsid w:val="00403858"/>
    <w:rsid w:val="00403AB1"/>
    <w:rsid w:val="004055F4"/>
    <w:rsid w:val="0040592C"/>
    <w:rsid w:val="00405AA6"/>
    <w:rsid w:val="00406157"/>
    <w:rsid w:val="00406893"/>
    <w:rsid w:val="0040695E"/>
    <w:rsid w:val="00406A5B"/>
    <w:rsid w:val="0040707E"/>
    <w:rsid w:val="00407609"/>
    <w:rsid w:val="00407E5E"/>
    <w:rsid w:val="00407E83"/>
    <w:rsid w:val="0041032B"/>
    <w:rsid w:val="004106ED"/>
    <w:rsid w:val="00410EAC"/>
    <w:rsid w:val="00411141"/>
    <w:rsid w:val="004111EA"/>
    <w:rsid w:val="00411525"/>
    <w:rsid w:val="00412077"/>
    <w:rsid w:val="004127F2"/>
    <w:rsid w:val="0041294A"/>
    <w:rsid w:val="004129B3"/>
    <w:rsid w:val="00413040"/>
    <w:rsid w:val="004138F8"/>
    <w:rsid w:val="00414050"/>
    <w:rsid w:val="00414485"/>
    <w:rsid w:val="004149E0"/>
    <w:rsid w:val="0041562B"/>
    <w:rsid w:val="004158D4"/>
    <w:rsid w:val="00415CFC"/>
    <w:rsid w:val="00416112"/>
    <w:rsid w:val="0041716F"/>
    <w:rsid w:val="0041762A"/>
    <w:rsid w:val="004177CD"/>
    <w:rsid w:val="00417C93"/>
    <w:rsid w:val="00420693"/>
    <w:rsid w:val="00420936"/>
    <w:rsid w:val="00421BCB"/>
    <w:rsid w:val="00421FCE"/>
    <w:rsid w:val="00422340"/>
    <w:rsid w:val="0042236C"/>
    <w:rsid w:val="004233AB"/>
    <w:rsid w:val="004233DB"/>
    <w:rsid w:val="00423591"/>
    <w:rsid w:val="00423678"/>
    <w:rsid w:val="00423AA0"/>
    <w:rsid w:val="00424225"/>
    <w:rsid w:val="00424738"/>
    <w:rsid w:val="004247B2"/>
    <w:rsid w:val="004248A4"/>
    <w:rsid w:val="00425093"/>
    <w:rsid w:val="0042553A"/>
    <w:rsid w:val="0042656D"/>
    <w:rsid w:val="00426CCE"/>
    <w:rsid w:val="00427243"/>
    <w:rsid w:val="004275DE"/>
    <w:rsid w:val="00427B86"/>
    <w:rsid w:val="0043029A"/>
    <w:rsid w:val="00431043"/>
    <w:rsid w:val="004319CF"/>
    <w:rsid w:val="00431E22"/>
    <w:rsid w:val="00431F90"/>
    <w:rsid w:val="00432AF9"/>
    <w:rsid w:val="004336A9"/>
    <w:rsid w:val="00433ABF"/>
    <w:rsid w:val="00434097"/>
    <w:rsid w:val="0043492D"/>
    <w:rsid w:val="00434CD5"/>
    <w:rsid w:val="004352A3"/>
    <w:rsid w:val="00435383"/>
    <w:rsid w:val="00435933"/>
    <w:rsid w:val="00436DA7"/>
    <w:rsid w:val="00437850"/>
    <w:rsid w:val="004401A5"/>
    <w:rsid w:val="004409BB"/>
    <w:rsid w:val="00440C3E"/>
    <w:rsid w:val="00440DC3"/>
    <w:rsid w:val="004422F6"/>
    <w:rsid w:val="0044245E"/>
    <w:rsid w:val="00442AC6"/>
    <w:rsid w:val="00442E80"/>
    <w:rsid w:val="004438B6"/>
    <w:rsid w:val="00443ADC"/>
    <w:rsid w:val="00443F15"/>
    <w:rsid w:val="00443F64"/>
    <w:rsid w:val="00444091"/>
    <w:rsid w:val="004443C4"/>
    <w:rsid w:val="00444F6E"/>
    <w:rsid w:val="004452DD"/>
    <w:rsid w:val="00445707"/>
    <w:rsid w:val="00445BB8"/>
    <w:rsid w:val="00445FAE"/>
    <w:rsid w:val="004465CE"/>
    <w:rsid w:val="004465E5"/>
    <w:rsid w:val="00446A09"/>
    <w:rsid w:val="00446B26"/>
    <w:rsid w:val="00446D44"/>
    <w:rsid w:val="00447094"/>
    <w:rsid w:val="0044744C"/>
    <w:rsid w:val="004477DF"/>
    <w:rsid w:val="004478C7"/>
    <w:rsid w:val="00447C49"/>
    <w:rsid w:val="00447EDC"/>
    <w:rsid w:val="004501F9"/>
    <w:rsid w:val="0045029D"/>
    <w:rsid w:val="0045124D"/>
    <w:rsid w:val="00451493"/>
    <w:rsid w:val="00451689"/>
    <w:rsid w:val="00452100"/>
    <w:rsid w:val="00452BB0"/>
    <w:rsid w:val="00452C8E"/>
    <w:rsid w:val="00453339"/>
    <w:rsid w:val="00453693"/>
    <w:rsid w:val="004537D9"/>
    <w:rsid w:val="0045381A"/>
    <w:rsid w:val="0045387A"/>
    <w:rsid w:val="00453C6F"/>
    <w:rsid w:val="00453D6A"/>
    <w:rsid w:val="0045408D"/>
    <w:rsid w:val="00454532"/>
    <w:rsid w:val="004545AB"/>
    <w:rsid w:val="004551E3"/>
    <w:rsid w:val="004553F3"/>
    <w:rsid w:val="004556E5"/>
    <w:rsid w:val="004558FD"/>
    <w:rsid w:val="00455BA5"/>
    <w:rsid w:val="00455C9A"/>
    <w:rsid w:val="00456220"/>
    <w:rsid w:val="00456B6C"/>
    <w:rsid w:val="00456FDA"/>
    <w:rsid w:val="00457A78"/>
    <w:rsid w:val="00460F23"/>
    <w:rsid w:val="00461553"/>
    <w:rsid w:val="00461AD3"/>
    <w:rsid w:val="00461E54"/>
    <w:rsid w:val="00461F4C"/>
    <w:rsid w:val="00462002"/>
    <w:rsid w:val="00462114"/>
    <w:rsid w:val="00462351"/>
    <w:rsid w:val="00462890"/>
    <w:rsid w:val="0046349B"/>
    <w:rsid w:val="00463F17"/>
    <w:rsid w:val="0046412B"/>
    <w:rsid w:val="0046477A"/>
    <w:rsid w:val="0046493D"/>
    <w:rsid w:val="00464AC9"/>
    <w:rsid w:val="00464BAA"/>
    <w:rsid w:val="00464C4E"/>
    <w:rsid w:val="00464C5F"/>
    <w:rsid w:val="00464D38"/>
    <w:rsid w:val="00464F9C"/>
    <w:rsid w:val="00465595"/>
    <w:rsid w:val="004661F2"/>
    <w:rsid w:val="004665BC"/>
    <w:rsid w:val="00466CC9"/>
    <w:rsid w:val="00466E44"/>
    <w:rsid w:val="004671E1"/>
    <w:rsid w:val="00467C9E"/>
    <w:rsid w:val="00467EB4"/>
    <w:rsid w:val="004705AB"/>
    <w:rsid w:val="00470833"/>
    <w:rsid w:val="00470A2D"/>
    <w:rsid w:val="004712EC"/>
    <w:rsid w:val="004717D7"/>
    <w:rsid w:val="00471BD6"/>
    <w:rsid w:val="00471C1E"/>
    <w:rsid w:val="0047365F"/>
    <w:rsid w:val="00473778"/>
    <w:rsid w:val="00473EE3"/>
    <w:rsid w:val="00474233"/>
    <w:rsid w:val="00474330"/>
    <w:rsid w:val="004743A1"/>
    <w:rsid w:val="00474821"/>
    <w:rsid w:val="00474BB1"/>
    <w:rsid w:val="00475AF8"/>
    <w:rsid w:val="00475AFC"/>
    <w:rsid w:val="004769BA"/>
    <w:rsid w:val="00476B83"/>
    <w:rsid w:val="0048014E"/>
    <w:rsid w:val="004801AD"/>
    <w:rsid w:val="00480A02"/>
    <w:rsid w:val="00481B74"/>
    <w:rsid w:val="0048235C"/>
    <w:rsid w:val="004825DA"/>
    <w:rsid w:val="00483067"/>
    <w:rsid w:val="00483696"/>
    <w:rsid w:val="0048443C"/>
    <w:rsid w:val="004844C9"/>
    <w:rsid w:val="00484592"/>
    <w:rsid w:val="00484E6C"/>
    <w:rsid w:val="00484F44"/>
    <w:rsid w:val="0048531A"/>
    <w:rsid w:val="00485C7D"/>
    <w:rsid w:val="00485CF3"/>
    <w:rsid w:val="00485F04"/>
    <w:rsid w:val="0048627B"/>
    <w:rsid w:val="00486611"/>
    <w:rsid w:val="0048725E"/>
    <w:rsid w:val="00487749"/>
    <w:rsid w:val="0048781E"/>
    <w:rsid w:val="00487E2F"/>
    <w:rsid w:val="00487F2B"/>
    <w:rsid w:val="00487FDD"/>
    <w:rsid w:val="00490614"/>
    <w:rsid w:val="00491882"/>
    <w:rsid w:val="0049233C"/>
    <w:rsid w:val="00492B9E"/>
    <w:rsid w:val="00492C75"/>
    <w:rsid w:val="004930F0"/>
    <w:rsid w:val="00493177"/>
    <w:rsid w:val="00493C02"/>
    <w:rsid w:val="004942CC"/>
    <w:rsid w:val="004944DD"/>
    <w:rsid w:val="004951DC"/>
    <w:rsid w:val="00495263"/>
    <w:rsid w:val="004953AA"/>
    <w:rsid w:val="004958EF"/>
    <w:rsid w:val="00495F9A"/>
    <w:rsid w:val="00496093"/>
    <w:rsid w:val="00496151"/>
    <w:rsid w:val="00496377"/>
    <w:rsid w:val="004968F8"/>
    <w:rsid w:val="00496F2D"/>
    <w:rsid w:val="00497194"/>
    <w:rsid w:val="004979F4"/>
    <w:rsid w:val="00497A52"/>
    <w:rsid w:val="00497D0C"/>
    <w:rsid w:val="004A006F"/>
    <w:rsid w:val="004A0125"/>
    <w:rsid w:val="004A0B9D"/>
    <w:rsid w:val="004A1D76"/>
    <w:rsid w:val="004A2130"/>
    <w:rsid w:val="004A2C2D"/>
    <w:rsid w:val="004A3138"/>
    <w:rsid w:val="004A314E"/>
    <w:rsid w:val="004A3462"/>
    <w:rsid w:val="004A3588"/>
    <w:rsid w:val="004A4A87"/>
    <w:rsid w:val="004A4B73"/>
    <w:rsid w:val="004A5A2D"/>
    <w:rsid w:val="004A5B31"/>
    <w:rsid w:val="004A60EB"/>
    <w:rsid w:val="004A728B"/>
    <w:rsid w:val="004A72C7"/>
    <w:rsid w:val="004A731B"/>
    <w:rsid w:val="004A7649"/>
    <w:rsid w:val="004A767F"/>
    <w:rsid w:val="004A771B"/>
    <w:rsid w:val="004A7B0B"/>
    <w:rsid w:val="004B01BD"/>
    <w:rsid w:val="004B06E3"/>
    <w:rsid w:val="004B0918"/>
    <w:rsid w:val="004B137B"/>
    <w:rsid w:val="004B1F25"/>
    <w:rsid w:val="004B2412"/>
    <w:rsid w:val="004B2775"/>
    <w:rsid w:val="004B2901"/>
    <w:rsid w:val="004B290B"/>
    <w:rsid w:val="004B2F17"/>
    <w:rsid w:val="004B348C"/>
    <w:rsid w:val="004B36E7"/>
    <w:rsid w:val="004B37C6"/>
    <w:rsid w:val="004B3F0C"/>
    <w:rsid w:val="004B4014"/>
    <w:rsid w:val="004B4307"/>
    <w:rsid w:val="004B49A8"/>
    <w:rsid w:val="004B4BFF"/>
    <w:rsid w:val="004B4DD6"/>
    <w:rsid w:val="004B4F59"/>
    <w:rsid w:val="004B51B8"/>
    <w:rsid w:val="004B5785"/>
    <w:rsid w:val="004B5A1C"/>
    <w:rsid w:val="004B5A2F"/>
    <w:rsid w:val="004B5A70"/>
    <w:rsid w:val="004B5E23"/>
    <w:rsid w:val="004B649F"/>
    <w:rsid w:val="004B64D3"/>
    <w:rsid w:val="004B6A6A"/>
    <w:rsid w:val="004B6BB2"/>
    <w:rsid w:val="004B75B3"/>
    <w:rsid w:val="004B7BB5"/>
    <w:rsid w:val="004C0611"/>
    <w:rsid w:val="004C0658"/>
    <w:rsid w:val="004C0FC9"/>
    <w:rsid w:val="004C1B2A"/>
    <w:rsid w:val="004C1EA1"/>
    <w:rsid w:val="004C1FE4"/>
    <w:rsid w:val="004C2042"/>
    <w:rsid w:val="004C263E"/>
    <w:rsid w:val="004C2DF1"/>
    <w:rsid w:val="004C3C03"/>
    <w:rsid w:val="004C46C2"/>
    <w:rsid w:val="004C4E2D"/>
    <w:rsid w:val="004C5491"/>
    <w:rsid w:val="004C5EEE"/>
    <w:rsid w:val="004C61F3"/>
    <w:rsid w:val="004C6717"/>
    <w:rsid w:val="004C6BBE"/>
    <w:rsid w:val="004C70B0"/>
    <w:rsid w:val="004C7685"/>
    <w:rsid w:val="004C7A6D"/>
    <w:rsid w:val="004C7C78"/>
    <w:rsid w:val="004D0846"/>
    <w:rsid w:val="004D0DA2"/>
    <w:rsid w:val="004D0F01"/>
    <w:rsid w:val="004D161F"/>
    <w:rsid w:val="004D1B35"/>
    <w:rsid w:val="004D20BC"/>
    <w:rsid w:val="004D2CFC"/>
    <w:rsid w:val="004D2DFF"/>
    <w:rsid w:val="004D360C"/>
    <w:rsid w:val="004D3643"/>
    <w:rsid w:val="004D3CEC"/>
    <w:rsid w:val="004D4709"/>
    <w:rsid w:val="004D5D0F"/>
    <w:rsid w:val="004D629D"/>
    <w:rsid w:val="004D6517"/>
    <w:rsid w:val="004D6CCD"/>
    <w:rsid w:val="004D737F"/>
    <w:rsid w:val="004D76F2"/>
    <w:rsid w:val="004D7BD2"/>
    <w:rsid w:val="004E0025"/>
    <w:rsid w:val="004E00E2"/>
    <w:rsid w:val="004E0936"/>
    <w:rsid w:val="004E0FED"/>
    <w:rsid w:val="004E1C9B"/>
    <w:rsid w:val="004E23BC"/>
    <w:rsid w:val="004E2E1E"/>
    <w:rsid w:val="004E37BB"/>
    <w:rsid w:val="004E3ED7"/>
    <w:rsid w:val="004E4A42"/>
    <w:rsid w:val="004E5CF9"/>
    <w:rsid w:val="004E60EF"/>
    <w:rsid w:val="004E6396"/>
    <w:rsid w:val="004E7892"/>
    <w:rsid w:val="004E7FC1"/>
    <w:rsid w:val="004F0A14"/>
    <w:rsid w:val="004F0D13"/>
    <w:rsid w:val="004F0FD3"/>
    <w:rsid w:val="004F100C"/>
    <w:rsid w:val="004F1131"/>
    <w:rsid w:val="004F114F"/>
    <w:rsid w:val="004F19C0"/>
    <w:rsid w:val="004F22FC"/>
    <w:rsid w:val="004F242E"/>
    <w:rsid w:val="004F2ADF"/>
    <w:rsid w:val="004F3C97"/>
    <w:rsid w:val="004F4294"/>
    <w:rsid w:val="004F42BA"/>
    <w:rsid w:val="004F4589"/>
    <w:rsid w:val="004F4697"/>
    <w:rsid w:val="004F5302"/>
    <w:rsid w:val="004F5BF4"/>
    <w:rsid w:val="004F5CB5"/>
    <w:rsid w:val="004F681D"/>
    <w:rsid w:val="004F6B7F"/>
    <w:rsid w:val="004F6F1C"/>
    <w:rsid w:val="004F7624"/>
    <w:rsid w:val="00500386"/>
    <w:rsid w:val="00501258"/>
    <w:rsid w:val="0050184E"/>
    <w:rsid w:val="00501F10"/>
    <w:rsid w:val="005025D9"/>
    <w:rsid w:val="005027E8"/>
    <w:rsid w:val="0050327A"/>
    <w:rsid w:val="005038CC"/>
    <w:rsid w:val="005039DE"/>
    <w:rsid w:val="00504157"/>
    <w:rsid w:val="00504D1E"/>
    <w:rsid w:val="00504F73"/>
    <w:rsid w:val="00505293"/>
    <w:rsid w:val="00506E76"/>
    <w:rsid w:val="005076F5"/>
    <w:rsid w:val="00507799"/>
    <w:rsid w:val="00507E15"/>
    <w:rsid w:val="005101B0"/>
    <w:rsid w:val="00510632"/>
    <w:rsid w:val="00510948"/>
    <w:rsid w:val="00511BAD"/>
    <w:rsid w:val="00511DBF"/>
    <w:rsid w:val="005126E8"/>
    <w:rsid w:val="00512D23"/>
    <w:rsid w:val="00513670"/>
    <w:rsid w:val="005138C5"/>
    <w:rsid w:val="00514611"/>
    <w:rsid w:val="00514B3C"/>
    <w:rsid w:val="005150C9"/>
    <w:rsid w:val="0051586C"/>
    <w:rsid w:val="00515E1D"/>
    <w:rsid w:val="00516191"/>
    <w:rsid w:val="0051632B"/>
    <w:rsid w:val="00516E08"/>
    <w:rsid w:val="0051759B"/>
    <w:rsid w:val="005176B0"/>
    <w:rsid w:val="00520329"/>
    <w:rsid w:val="00520356"/>
    <w:rsid w:val="005206D2"/>
    <w:rsid w:val="005210F6"/>
    <w:rsid w:val="005213DA"/>
    <w:rsid w:val="00521486"/>
    <w:rsid w:val="00522BA5"/>
    <w:rsid w:val="005233E5"/>
    <w:rsid w:val="00523477"/>
    <w:rsid w:val="005239F5"/>
    <w:rsid w:val="005240F4"/>
    <w:rsid w:val="00524223"/>
    <w:rsid w:val="00524867"/>
    <w:rsid w:val="0052491C"/>
    <w:rsid w:val="00525852"/>
    <w:rsid w:val="00525E23"/>
    <w:rsid w:val="005267E0"/>
    <w:rsid w:val="005270F7"/>
    <w:rsid w:val="00527726"/>
    <w:rsid w:val="00527A15"/>
    <w:rsid w:val="00527C19"/>
    <w:rsid w:val="00527D70"/>
    <w:rsid w:val="0053016A"/>
    <w:rsid w:val="005301C9"/>
    <w:rsid w:val="00530496"/>
    <w:rsid w:val="0053088B"/>
    <w:rsid w:val="00530F03"/>
    <w:rsid w:val="00531D9F"/>
    <w:rsid w:val="00532538"/>
    <w:rsid w:val="00532AC6"/>
    <w:rsid w:val="00533354"/>
    <w:rsid w:val="005335AA"/>
    <w:rsid w:val="005337D6"/>
    <w:rsid w:val="00533BC9"/>
    <w:rsid w:val="00533C2A"/>
    <w:rsid w:val="00533F87"/>
    <w:rsid w:val="00534443"/>
    <w:rsid w:val="0053490D"/>
    <w:rsid w:val="00534B91"/>
    <w:rsid w:val="00534E3E"/>
    <w:rsid w:val="00534EBD"/>
    <w:rsid w:val="00534EE2"/>
    <w:rsid w:val="005354C6"/>
    <w:rsid w:val="00535796"/>
    <w:rsid w:val="0053581A"/>
    <w:rsid w:val="00535AA2"/>
    <w:rsid w:val="0053629C"/>
    <w:rsid w:val="005365FA"/>
    <w:rsid w:val="00536B93"/>
    <w:rsid w:val="00536CD5"/>
    <w:rsid w:val="00537379"/>
    <w:rsid w:val="005374FC"/>
    <w:rsid w:val="005402AF"/>
    <w:rsid w:val="00540591"/>
    <w:rsid w:val="0054071A"/>
    <w:rsid w:val="005409BA"/>
    <w:rsid w:val="00541197"/>
    <w:rsid w:val="00541833"/>
    <w:rsid w:val="005418B5"/>
    <w:rsid w:val="0054202F"/>
    <w:rsid w:val="00542555"/>
    <w:rsid w:val="005428E6"/>
    <w:rsid w:val="00542CD9"/>
    <w:rsid w:val="005433FD"/>
    <w:rsid w:val="00543936"/>
    <w:rsid w:val="00543CC6"/>
    <w:rsid w:val="0054457E"/>
    <w:rsid w:val="00544620"/>
    <w:rsid w:val="005450C6"/>
    <w:rsid w:val="005454AD"/>
    <w:rsid w:val="00546525"/>
    <w:rsid w:val="00546D18"/>
    <w:rsid w:val="00547DBC"/>
    <w:rsid w:val="005502B5"/>
    <w:rsid w:val="005506B7"/>
    <w:rsid w:val="005509A7"/>
    <w:rsid w:val="00550A62"/>
    <w:rsid w:val="00550DDB"/>
    <w:rsid w:val="00551399"/>
    <w:rsid w:val="005513CD"/>
    <w:rsid w:val="005513EA"/>
    <w:rsid w:val="005515EC"/>
    <w:rsid w:val="00551E4B"/>
    <w:rsid w:val="00551F5F"/>
    <w:rsid w:val="00552108"/>
    <w:rsid w:val="005522A9"/>
    <w:rsid w:val="005524B3"/>
    <w:rsid w:val="005524CF"/>
    <w:rsid w:val="00552F6F"/>
    <w:rsid w:val="00553691"/>
    <w:rsid w:val="005536D2"/>
    <w:rsid w:val="00553C48"/>
    <w:rsid w:val="00554041"/>
    <w:rsid w:val="00554390"/>
    <w:rsid w:val="005547CB"/>
    <w:rsid w:val="005552C9"/>
    <w:rsid w:val="005553E5"/>
    <w:rsid w:val="00555DBD"/>
    <w:rsid w:val="00556E95"/>
    <w:rsid w:val="00556ECC"/>
    <w:rsid w:val="00557A49"/>
    <w:rsid w:val="0056035C"/>
    <w:rsid w:val="00560683"/>
    <w:rsid w:val="00560D7C"/>
    <w:rsid w:val="005610C8"/>
    <w:rsid w:val="00561221"/>
    <w:rsid w:val="00561C6A"/>
    <w:rsid w:val="00561C82"/>
    <w:rsid w:val="005625D5"/>
    <w:rsid w:val="00562DE9"/>
    <w:rsid w:val="005633FD"/>
    <w:rsid w:val="00563754"/>
    <w:rsid w:val="00563A61"/>
    <w:rsid w:val="00564395"/>
    <w:rsid w:val="005647F5"/>
    <w:rsid w:val="00564BC5"/>
    <w:rsid w:val="00564C3E"/>
    <w:rsid w:val="005651A7"/>
    <w:rsid w:val="005657F9"/>
    <w:rsid w:val="005663EB"/>
    <w:rsid w:val="005667C7"/>
    <w:rsid w:val="00566FC7"/>
    <w:rsid w:val="0056738F"/>
    <w:rsid w:val="00567A91"/>
    <w:rsid w:val="00567DF1"/>
    <w:rsid w:val="00570017"/>
    <w:rsid w:val="0057006A"/>
    <w:rsid w:val="005702B0"/>
    <w:rsid w:val="0057160A"/>
    <w:rsid w:val="00571F7A"/>
    <w:rsid w:val="00572767"/>
    <w:rsid w:val="00572CE9"/>
    <w:rsid w:val="005732FA"/>
    <w:rsid w:val="00573D69"/>
    <w:rsid w:val="0057464C"/>
    <w:rsid w:val="0057528E"/>
    <w:rsid w:val="00575B3E"/>
    <w:rsid w:val="00575F57"/>
    <w:rsid w:val="00576001"/>
    <w:rsid w:val="005769B6"/>
    <w:rsid w:val="00576B1F"/>
    <w:rsid w:val="00576DC9"/>
    <w:rsid w:val="00577172"/>
    <w:rsid w:val="005771AC"/>
    <w:rsid w:val="005775C7"/>
    <w:rsid w:val="00577BFA"/>
    <w:rsid w:val="00577EE1"/>
    <w:rsid w:val="0058079F"/>
    <w:rsid w:val="00580C8D"/>
    <w:rsid w:val="00581277"/>
    <w:rsid w:val="00581385"/>
    <w:rsid w:val="005818C6"/>
    <w:rsid w:val="00581F27"/>
    <w:rsid w:val="00582976"/>
    <w:rsid w:val="005829DA"/>
    <w:rsid w:val="00582ACC"/>
    <w:rsid w:val="00582D67"/>
    <w:rsid w:val="00583B65"/>
    <w:rsid w:val="00584035"/>
    <w:rsid w:val="005840F1"/>
    <w:rsid w:val="005842C2"/>
    <w:rsid w:val="0058466F"/>
    <w:rsid w:val="00584837"/>
    <w:rsid w:val="00584A21"/>
    <w:rsid w:val="00584D64"/>
    <w:rsid w:val="00585198"/>
    <w:rsid w:val="00585338"/>
    <w:rsid w:val="00585431"/>
    <w:rsid w:val="005854BD"/>
    <w:rsid w:val="0058584C"/>
    <w:rsid w:val="00587070"/>
    <w:rsid w:val="00590709"/>
    <w:rsid w:val="00590CD1"/>
    <w:rsid w:val="00590F8B"/>
    <w:rsid w:val="005912FC"/>
    <w:rsid w:val="00591CE7"/>
    <w:rsid w:val="00591D54"/>
    <w:rsid w:val="00591E91"/>
    <w:rsid w:val="00592CE7"/>
    <w:rsid w:val="00592F4F"/>
    <w:rsid w:val="005938D7"/>
    <w:rsid w:val="00593952"/>
    <w:rsid w:val="00594530"/>
    <w:rsid w:val="00595245"/>
    <w:rsid w:val="00595880"/>
    <w:rsid w:val="00597F5E"/>
    <w:rsid w:val="005A0E92"/>
    <w:rsid w:val="005A13A3"/>
    <w:rsid w:val="005A1DBB"/>
    <w:rsid w:val="005A202E"/>
    <w:rsid w:val="005A280F"/>
    <w:rsid w:val="005A28D1"/>
    <w:rsid w:val="005A2917"/>
    <w:rsid w:val="005A297C"/>
    <w:rsid w:val="005A3131"/>
    <w:rsid w:val="005A3567"/>
    <w:rsid w:val="005A402E"/>
    <w:rsid w:val="005A4229"/>
    <w:rsid w:val="005A43D3"/>
    <w:rsid w:val="005A5926"/>
    <w:rsid w:val="005A5E15"/>
    <w:rsid w:val="005A6494"/>
    <w:rsid w:val="005A662D"/>
    <w:rsid w:val="005A6A91"/>
    <w:rsid w:val="005A6F4A"/>
    <w:rsid w:val="005A7075"/>
    <w:rsid w:val="005A7347"/>
    <w:rsid w:val="005A7460"/>
    <w:rsid w:val="005B082D"/>
    <w:rsid w:val="005B0CDF"/>
    <w:rsid w:val="005B1D4A"/>
    <w:rsid w:val="005B21C4"/>
    <w:rsid w:val="005B22F2"/>
    <w:rsid w:val="005B2EC7"/>
    <w:rsid w:val="005B2F25"/>
    <w:rsid w:val="005B2FCB"/>
    <w:rsid w:val="005B3427"/>
    <w:rsid w:val="005B49FB"/>
    <w:rsid w:val="005B4AF1"/>
    <w:rsid w:val="005B55C5"/>
    <w:rsid w:val="005B5D4E"/>
    <w:rsid w:val="005B6103"/>
    <w:rsid w:val="005B6298"/>
    <w:rsid w:val="005B63AF"/>
    <w:rsid w:val="005B67FA"/>
    <w:rsid w:val="005B6EEF"/>
    <w:rsid w:val="005B732E"/>
    <w:rsid w:val="005B75E4"/>
    <w:rsid w:val="005B79D9"/>
    <w:rsid w:val="005B7E2E"/>
    <w:rsid w:val="005C0960"/>
    <w:rsid w:val="005C2039"/>
    <w:rsid w:val="005C24F4"/>
    <w:rsid w:val="005C29EE"/>
    <w:rsid w:val="005C3036"/>
    <w:rsid w:val="005C3165"/>
    <w:rsid w:val="005C32C6"/>
    <w:rsid w:val="005C3C40"/>
    <w:rsid w:val="005C3EDE"/>
    <w:rsid w:val="005C4732"/>
    <w:rsid w:val="005C504F"/>
    <w:rsid w:val="005C5AFB"/>
    <w:rsid w:val="005C5C5F"/>
    <w:rsid w:val="005C6723"/>
    <w:rsid w:val="005C740B"/>
    <w:rsid w:val="005C77F7"/>
    <w:rsid w:val="005C7839"/>
    <w:rsid w:val="005D0133"/>
    <w:rsid w:val="005D0A99"/>
    <w:rsid w:val="005D0F43"/>
    <w:rsid w:val="005D102D"/>
    <w:rsid w:val="005D205D"/>
    <w:rsid w:val="005D269D"/>
    <w:rsid w:val="005D2758"/>
    <w:rsid w:val="005D2878"/>
    <w:rsid w:val="005D2CB1"/>
    <w:rsid w:val="005D3E2B"/>
    <w:rsid w:val="005D4177"/>
    <w:rsid w:val="005D45D5"/>
    <w:rsid w:val="005D4EE7"/>
    <w:rsid w:val="005D52DF"/>
    <w:rsid w:val="005D55B0"/>
    <w:rsid w:val="005D609F"/>
    <w:rsid w:val="005D64D8"/>
    <w:rsid w:val="005D6B89"/>
    <w:rsid w:val="005D710B"/>
    <w:rsid w:val="005D72EB"/>
    <w:rsid w:val="005D75B1"/>
    <w:rsid w:val="005D777C"/>
    <w:rsid w:val="005D7DA5"/>
    <w:rsid w:val="005D7EE2"/>
    <w:rsid w:val="005D7F9F"/>
    <w:rsid w:val="005E0073"/>
    <w:rsid w:val="005E04CF"/>
    <w:rsid w:val="005E12A1"/>
    <w:rsid w:val="005E12AB"/>
    <w:rsid w:val="005E151F"/>
    <w:rsid w:val="005E17A4"/>
    <w:rsid w:val="005E2097"/>
    <w:rsid w:val="005E2385"/>
    <w:rsid w:val="005E23AC"/>
    <w:rsid w:val="005E2418"/>
    <w:rsid w:val="005E27DF"/>
    <w:rsid w:val="005E2D35"/>
    <w:rsid w:val="005E2FF4"/>
    <w:rsid w:val="005E3E10"/>
    <w:rsid w:val="005E4286"/>
    <w:rsid w:val="005E4355"/>
    <w:rsid w:val="005E47DD"/>
    <w:rsid w:val="005E4BDD"/>
    <w:rsid w:val="005E4C74"/>
    <w:rsid w:val="005E54D9"/>
    <w:rsid w:val="005E5764"/>
    <w:rsid w:val="005E5BD3"/>
    <w:rsid w:val="005E6297"/>
    <w:rsid w:val="005E6955"/>
    <w:rsid w:val="005E75CE"/>
    <w:rsid w:val="005F08F5"/>
    <w:rsid w:val="005F0E16"/>
    <w:rsid w:val="005F0E8F"/>
    <w:rsid w:val="005F1543"/>
    <w:rsid w:val="005F17B3"/>
    <w:rsid w:val="005F2B55"/>
    <w:rsid w:val="005F2E1B"/>
    <w:rsid w:val="005F4307"/>
    <w:rsid w:val="005F54C5"/>
    <w:rsid w:val="005F5B17"/>
    <w:rsid w:val="005F68B2"/>
    <w:rsid w:val="005F6AAC"/>
    <w:rsid w:val="005F6D6A"/>
    <w:rsid w:val="005F6EBD"/>
    <w:rsid w:val="005F6F16"/>
    <w:rsid w:val="005F6FD4"/>
    <w:rsid w:val="005F7545"/>
    <w:rsid w:val="005F798F"/>
    <w:rsid w:val="0060026E"/>
    <w:rsid w:val="0060095D"/>
    <w:rsid w:val="00600AA4"/>
    <w:rsid w:val="006019DF"/>
    <w:rsid w:val="00602084"/>
    <w:rsid w:val="0060215D"/>
    <w:rsid w:val="006024D2"/>
    <w:rsid w:val="00603BCF"/>
    <w:rsid w:val="00603E7D"/>
    <w:rsid w:val="00603FA5"/>
    <w:rsid w:val="00604541"/>
    <w:rsid w:val="00605328"/>
    <w:rsid w:val="00605727"/>
    <w:rsid w:val="006057D8"/>
    <w:rsid w:val="00605DC5"/>
    <w:rsid w:val="00606326"/>
    <w:rsid w:val="00607CC5"/>
    <w:rsid w:val="00610574"/>
    <w:rsid w:val="00612639"/>
    <w:rsid w:val="00612838"/>
    <w:rsid w:val="00612951"/>
    <w:rsid w:val="00612D0F"/>
    <w:rsid w:val="00612ECB"/>
    <w:rsid w:val="006139EA"/>
    <w:rsid w:val="00613A5F"/>
    <w:rsid w:val="00613BC1"/>
    <w:rsid w:val="00614EB3"/>
    <w:rsid w:val="00614FBF"/>
    <w:rsid w:val="00615E4E"/>
    <w:rsid w:val="00615FAA"/>
    <w:rsid w:val="0061614C"/>
    <w:rsid w:val="0061618D"/>
    <w:rsid w:val="00616836"/>
    <w:rsid w:val="0061752A"/>
    <w:rsid w:val="0061757A"/>
    <w:rsid w:val="00617B42"/>
    <w:rsid w:val="00617DF4"/>
    <w:rsid w:val="00620244"/>
    <w:rsid w:val="0062050C"/>
    <w:rsid w:val="006209A6"/>
    <w:rsid w:val="006210B3"/>
    <w:rsid w:val="00621F82"/>
    <w:rsid w:val="0062243A"/>
    <w:rsid w:val="0062246B"/>
    <w:rsid w:val="0062293A"/>
    <w:rsid w:val="00622C66"/>
    <w:rsid w:val="00622EC4"/>
    <w:rsid w:val="0062372D"/>
    <w:rsid w:val="00623830"/>
    <w:rsid w:val="00623872"/>
    <w:rsid w:val="006239B6"/>
    <w:rsid w:val="00624217"/>
    <w:rsid w:val="0062429B"/>
    <w:rsid w:val="00625534"/>
    <w:rsid w:val="006256DE"/>
    <w:rsid w:val="006265EA"/>
    <w:rsid w:val="00626C92"/>
    <w:rsid w:val="0062733E"/>
    <w:rsid w:val="00627640"/>
    <w:rsid w:val="0062797A"/>
    <w:rsid w:val="006306AC"/>
    <w:rsid w:val="0063096A"/>
    <w:rsid w:val="00630F01"/>
    <w:rsid w:val="00630F49"/>
    <w:rsid w:val="00631EC0"/>
    <w:rsid w:val="006321C6"/>
    <w:rsid w:val="00632430"/>
    <w:rsid w:val="00632594"/>
    <w:rsid w:val="00632924"/>
    <w:rsid w:val="00633A4C"/>
    <w:rsid w:val="00633AC7"/>
    <w:rsid w:val="00633C81"/>
    <w:rsid w:val="00633D33"/>
    <w:rsid w:val="006342AB"/>
    <w:rsid w:val="00634903"/>
    <w:rsid w:val="0063495B"/>
    <w:rsid w:val="006353B1"/>
    <w:rsid w:val="006353F1"/>
    <w:rsid w:val="00635F8E"/>
    <w:rsid w:val="00636130"/>
    <w:rsid w:val="00636596"/>
    <w:rsid w:val="006368BC"/>
    <w:rsid w:val="00636BBC"/>
    <w:rsid w:val="00637AEF"/>
    <w:rsid w:val="00637B10"/>
    <w:rsid w:val="00637F9B"/>
    <w:rsid w:val="006402C2"/>
    <w:rsid w:val="006402C8"/>
    <w:rsid w:val="00640ACD"/>
    <w:rsid w:val="0064155F"/>
    <w:rsid w:val="00641598"/>
    <w:rsid w:val="006416E1"/>
    <w:rsid w:val="0064197A"/>
    <w:rsid w:val="00641C8D"/>
    <w:rsid w:val="00642449"/>
    <w:rsid w:val="00642580"/>
    <w:rsid w:val="00642933"/>
    <w:rsid w:val="0064302B"/>
    <w:rsid w:val="00643420"/>
    <w:rsid w:val="006435C9"/>
    <w:rsid w:val="00643C59"/>
    <w:rsid w:val="0064434F"/>
    <w:rsid w:val="006451E1"/>
    <w:rsid w:val="0064604A"/>
    <w:rsid w:val="0064639A"/>
    <w:rsid w:val="0064666E"/>
    <w:rsid w:val="00646DAB"/>
    <w:rsid w:val="0064724A"/>
    <w:rsid w:val="00647C3D"/>
    <w:rsid w:val="00647FA6"/>
    <w:rsid w:val="006504FB"/>
    <w:rsid w:val="0065074D"/>
    <w:rsid w:val="00650B0B"/>
    <w:rsid w:val="0065123B"/>
    <w:rsid w:val="00651848"/>
    <w:rsid w:val="00651B99"/>
    <w:rsid w:val="00651D1A"/>
    <w:rsid w:val="0065247B"/>
    <w:rsid w:val="006524A9"/>
    <w:rsid w:val="00652599"/>
    <w:rsid w:val="006526C8"/>
    <w:rsid w:val="00652D4D"/>
    <w:rsid w:val="00653261"/>
    <w:rsid w:val="006543DC"/>
    <w:rsid w:val="006544E6"/>
    <w:rsid w:val="006546FF"/>
    <w:rsid w:val="00654867"/>
    <w:rsid w:val="00654EA8"/>
    <w:rsid w:val="00654EBA"/>
    <w:rsid w:val="0065561A"/>
    <w:rsid w:val="00655D10"/>
    <w:rsid w:val="00655E36"/>
    <w:rsid w:val="00655FEF"/>
    <w:rsid w:val="00656397"/>
    <w:rsid w:val="006564EC"/>
    <w:rsid w:val="00656CA0"/>
    <w:rsid w:val="00656EAA"/>
    <w:rsid w:val="00657C2B"/>
    <w:rsid w:val="00657F1B"/>
    <w:rsid w:val="00657FB8"/>
    <w:rsid w:val="006601A1"/>
    <w:rsid w:val="00660797"/>
    <w:rsid w:val="006607B0"/>
    <w:rsid w:val="00660852"/>
    <w:rsid w:val="00661C53"/>
    <w:rsid w:val="006625D5"/>
    <w:rsid w:val="0066260A"/>
    <w:rsid w:val="00662715"/>
    <w:rsid w:val="00662B00"/>
    <w:rsid w:val="00662FE7"/>
    <w:rsid w:val="0066366B"/>
    <w:rsid w:val="00663FD7"/>
    <w:rsid w:val="006644D7"/>
    <w:rsid w:val="006645D1"/>
    <w:rsid w:val="00664BB3"/>
    <w:rsid w:val="00665E8C"/>
    <w:rsid w:val="00666515"/>
    <w:rsid w:val="006706D2"/>
    <w:rsid w:val="00670F00"/>
    <w:rsid w:val="00671B8C"/>
    <w:rsid w:val="00671BE7"/>
    <w:rsid w:val="00671DA2"/>
    <w:rsid w:val="00672238"/>
    <w:rsid w:val="0067235A"/>
    <w:rsid w:val="0067277B"/>
    <w:rsid w:val="00672996"/>
    <w:rsid w:val="00672C8E"/>
    <w:rsid w:val="00673456"/>
    <w:rsid w:val="00673B1C"/>
    <w:rsid w:val="00673CF0"/>
    <w:rsid w:val="00673D6C"/>
    <w:rsid w:val="00673DAD"/>
    <w:rsid w:val="00674091"/>
    <w:rsid w:val="006745EE"/>
    <w:rsid w:val="006758DC"/>
    <w:rsid w:val="00675D21"/>
    <w:rsid w:val="006761D0"/>
    <w:rsid w:val="00676885"/>
    <w:rsid w:val="00676D7F"/>
    <w:rsid w:val="00677A97"/>
    <w:rsid w:val="00677BA8"/>
    <w:rsid w:val="006812A0"/>
    <w:rsid w:val="00681BFB"/>
    <w:rsid w:val="00681C2C"/>
    <w:rsid w:val="006823A4"/>
    <w:rsid w:val="00682D6E"/>
    <w:rsid w:val="00685109"/>
    <w:rsid w:val="00685281"/>
    <w:rsid w:val="0068536A"/>
    <w:rsid w:val="00685423"/>
    <w:rsid w:val="0068543D"/>
    <w:rsid w:val="0068594D"/>
    <w:rsid w:val="00685F5E"/>
    <w:rsid w:val="00685F9C"/>
    <w:rsid w:val="00686506"/>
    <w:rsid w:val="0068692F"/>
    <w:rsid w:val="0068783A"/>
    <w:rsid w:val="006879A3"/>
    <w:rsid w:val="0069025A"/>
    <w:rsid w:val="00690B71"/>
    <w:rsid w:val="00690C6C"/>
    <w:rsid w:val="006910CD"/>
    <w:rsid w:val="006912EC"/>
    <w:rsid w:val="00692111"/>
    <w:rsid w:val="00693247"/>
    <w:rsid w:val="00693282"/>
    <w:rsid w:val="006932E5"/>
    <w:rsid w:val="0069344D"/>
    <w:rsid w:val="00693AC8"/>
    <w:rsid w:val="00693DAE"/>
    <w:rsid w:val="00693E46"/>
    <w:rsid w:val="00694069"/>
    <w:rsid w:val="00694DFA"/>
    <w:rsid w:val="00694F03"/>
    <w:rsid w:val="00695B6C"/>
    <w:rsid w:val="00695D38"/>
    <w:rsid w:val="0069671F"/>
    <w:rsid w:val="00696991"/>
    <w:rsid w:val="00696B0A"/>
    <w:rsid w:val="00696B2D"/>
    <w:rsid w:val="00696C78"/>
    <w:rsid w:val="00697379"/>
    <w:rsid w:val="006973E9"/>
    <w:rsid w:val="006A0302"/>
    <w:rsid w:val="006A0A44"/>
    <w:rsid w:val="006A0BD9"/>
    <w:rsid w:val="006A0E41"/>
    <w:rsid w:val="006A0EEA"/>
    <w:rsid w:val="006A1055"/>
    <w:rsid w:val="006A14C1"/>
    <w:rsid w:val="006A17BD"/>
    <w:rsid w:val="006A20AC"/>
    <w:rsid w:val="006A23C8"/>
    <w:rsid w:val="006A256D"/>
    <w:rsid w:val="006A27DA"/>
    <w:rsid w:val="006A2F0D"/>
    <w:rsid w:val="006A3032"/>
    <w:rsid w:val="006A3716"/>
    <w:rsid w:val="006A3E21"/>
    <w:rsid w:val="006A40A7"/>
    <w:rsid w:val="006A4A87"/>
    <w:rsid w:val="006A5676"/>
    <w:rsid w:val="006A5AA9"/>
    <w:rsid w:val="006A63F4"/>
    <w:rsid w:val="006A6B82"/>
    <w:rsid w:val="006A6C49"/>
    <w:rsid w:val="006A73DB"/>
    <w:rsid w:val="006B1493"/>
    <w:rsid w:val="006B1B3C"/>
    <w:rsid w:val="006B1C2D"/>
    <w:rsid w:val="006B29E6"/>
    <w:rsid w:val="006B2CED"/>
    <w:rsid w:val="006B31E4"/>
    <w:rsid w:val="006B35B6"/>
    <w:rsid w:val="006B3B9A"/>
    <w:rsid w:val="006B4320"/>
    <w:rsid w:val="006B521B"/>
    <w:rsid w:val="006B5448"/>
    <w:rsid w:val="006B5502"/>
    <w:rsid w:val="006B6076"/>
    <w:rsid w:val="006B62D1"/>
    <w:rsid w:val="006B6509"/>
    <w:rsid w:val="006B6691"/>
    <w:rsid w:val="006B6846"/>
    <w:rsid w:val="006B68D1"/>
    <w:rsid w:val="006B6D6C"/>
    <w:rsid w:val="006B72A9"/>
    <w:rsid w:val="006B7656"/>
    <w:rsid w:val="006B766A"/>
    <w:rsid w:val="006B77F8"/>
    <w:rsid w:val="006C00B5"/>
    <w:rsid w:val="006C05D3"/>
    <w:rsid w:val="006C0C95"/>
    <w:rsid w:val="006C17E6"/>
    <w:rsid w:val="006C1B4E"/>
    <w:rsid w:val="006C1BBB"/>
    <w:rsid w:val="006C23AD"/>
    <w:rsid w:val="006C23BE"/>
    <w:rsid w:val="006C280C"/>
    <w:rsid w:val="006C2F11"/>
    <w:rsid w:val="006C3CFB"/>
    <w:rsid w:val="006C49F9"/>
    <w:rsid w:val="006C4C54"/>
    <w:rsid w:val="006C59E7"/>
    <w:rsid w:val="006C5A45"/>
    <w:rsid w:val="006C5FD0"/>
    <w:rsid w:val="006C6278"/>
    <w:rsid w:val="006C661C"/>
    <w:rsid w:val="006C6770"/>
    <w:rsid w:val="006C73BB"/>
    <w:rsid w:val="006C7A57"/>
    <w:rsid w:val="006D0530"/>
    <w:rsid w:val="006D1375"/>
    <w:rsid w:val="006D1AF9"/>
    <w:rsid w:val="006D1E6B"/>
    <w:rsid w:val="006D1EEE"/>
    <w:rsid w:val="006D1F3C"/>
    <w:rsid w:val="006D22F1"/>
    <w:rsid w:val="006D23A3"/>
    <w:rsid w:val="006D3006"/>
    <w:rsid w:val="006D3386"/>
    <w:rsid w:val="006D3517"/>
    <w:rsid w:val="006D37E0"/>
    <w:rsid w:val="006D3B57"/>
    <w:rsid w:val="006D3D5C"/>
    <w:rsid w:val="006D541F"/>
    <w:rsid w:val="006D5840"/>
    <w:rsid w:val="006D584A"/>
    <w:rsid w:val="006D5D75"/>
    <w:rsid w:val="006D5DA9"/>
    <w:rsid w:val="006D6088"/>
    <w:rsid w:val="006D6500"/>
    <w:rsid w:val="006D6630"/>
    <w:rsid w:val="006D6C8E"/>
    <w:rsid w:val="006D7589"/>
    <w:rsid w:val="006D7CD6"/>
    <w:rsid w:val="006E0443"/>
    <w:rsid w:val="006E055D"/>
    <w:rsid w:val="006E068C"/>
    <w:rsid w:val="006E0743"/>
    <w:rsid w:val="006E094F"/>
    <w:rsid w:val="006E0E93"/>
    <w:rsid w:val="006E0F5D"/>
    <w:rsid w:val="006E117F"/>
    <w:rsid w:val="006E11D5"/>
    <w:rsid w:val="006E149F"/>
    <w:rsid w:val="006E1EF5"/>
    <w:rsid w:val="006E2260"/>
    <w:rsid w:val="006E3226"/>
    <w:rsid w:val="006E392F"/>
    <w:rsid w:val="006E39C1"/>
    <w:rsid w:val="006E3D96"/>
    <w:rsid w:val="006E4637"/>
    <w:rsid w:val="006E5A95"/>
    <w:rsid w:val="006E5F19"/>
    <w:rsid w:val="006E68F0"/>
    <w:rsid w:val="006E694A"/>
    <w:rsid w:val="006E6CED"/>
    <w:rsid w:val="006E6FB4"/>
    <w:rsid w:val="006E75C8"/>
    <w:rsid w:val="006E7FCC"/>
    <w:rsid w:val="006F0527"/>
    <w:rsid w:val="006F08AF"/>
    <w:rsid w:val="006F08E3"/>
    <w:rsid w:val="006F0A40"/>
    <w:rsid w:val="006F0F3D"/>
    <w:rsid w:val="006F1630"/>
    <w:rsid w:val="006F1A7D"/>
    <w:rsid w:val="006F1D1C"/>
    <w:rsid w:val="006F20F0"/>
    <w:rsid w:val="006F27D0"/>
    <w:rsid w:val="006F2FE7"/>
    <w:rsid w:val="006F3441"/>
    <w:rsid w:val="006F34F0"/>
    <w:rsid w:val="006F47A7"/>
    <w:rsid w:val="006F4B40"/>
    <w:rsid w:val="006F4B9E"/>
    <w:rsid w:val="006F4E59"/>
    <w:rsid w:val="006F5038"/>
    <w:rsid w:val="006F510F"/>
    <w:rsid w:val="006F590C"/>
    <w:rsid w:val="006F5A6C"/>
    <w:rsid w:val="006F5BD3"/>
    <w:rsid w:val="006F6004"/>
    <w:rsid w:val="006F65A8"/>
    <w:rsid w:val="006F65D1"/>
    <w:rsid w:val="006F6F15"/>
    <w:rsid w:val="006F7042"/>
    <w:rsid w:val="006F743A"/>
    <w:rsid w:val="006F74E6"/>
    <w:rsid w:val="006F7872"/>
    <w:rsid w:val="006F7B9C"/>
    <w:rsid w:val="00700631"/>
    <w:rsid w:val="0070080F"/>
    <w:rsid w:val="00700852"/>
    <w:rsid w:val="00700D10"/>
    <w:rsid w:val="00701444"/>
    <w:rsid w:val="00701922"/>
    <w:rsid w:val="00701E80"/>
    <w:rsid w:val="0070269C"/>
    <w:rsid w:val="007026F0"/>
    <w:rsid w:val="00702ADC"/>
    <w:rsid w:val="00702E10"/>
    <w:rsid w:val="00702ED7"/>
    <w:rsid w:val="007039BB"/>
    <w:rsid w:val="00703ACD"/>
    <w:rsid w:val="0070532B"/>
    <w:rsid w:val="00705F48"/>
    <w:rsid w:val="00706008"/>
    <w:rsid w:val="0070614D"/>
    <w:rsid w:val="00706449"/>
    <w:rsid w:val="00706932"/>
    <w:rsid w:val="0070694B"/>
    <w:rsid w:val="00706BFD"/>
    <w:rsid w:val="00706C7A"/>
    <w:rsid w:val="00707445"/>
    <w:rsid w:val="007100B7"/>
    <w:rsid w:val="00710CC0"/>
    <w:rsid w:val="00711226"/>
    <w:rsid w:val="007113A4"/>
    <w:rsid w:val="007119E5"/>
    <w:rsid w:val="00711AE7"/>
    <w:rsid w:val="00713569"/>
    <w:rsid w:val="00714B7F"/>
    <w:rsid w:val="00714F67"/>
    <w:rsid w:val="00716502"/>
    <w:rsid w:val="00716AEC"/>
    <w:rsid w:val="007170A8"/>
    <w:rsid w:val="007171CE"/>
    <w:rsid w:val="0071738B"/>
    <w:rsid w:val="007176E5"/>
    <w:rsid w:val="00717851"/>
    <w:rsid w:val="0072066E"/>
    <w:rsid w:val="00721082"/>
    <w:rsid w:val="0072127D"/>
    <w:rsid w:val="00721C54"/>
    <w:rsid w:val="00721F9A"/>
    <w:rsid w:val="007222BF"/>
    <w:rsid w:val="007222FE"/>
    <w:rsid w:val="00722626"/>
    <w:rsid w:val="007228EC"/>
    <w:rsid w:val="00722DE2"/>
    <w:rsid w:val="007244AE"/>
    <w:rsid w:val="0072498A"/>
    <w:rsid w:val="00724AE2"/>
    <w:rsid w:val="00724DA9"/>
    <w:rsid w:val="00725007"/>
    <w:rsid w:val="00725E6E"/>
    <w:rsid w:val="00725E80"/>
    <w:rsid w:val="00725F58"/>
    <w:rsid w:val="00725FA6"/>
    <w:rsid w:val="00726283"/>
    <w:rsid w:val="007263A0"/>
    <w:rsid w:val="007266BE"/>
    <w:rsid w:val="00726C52"/>
    <w:rsid w:val="00726F0D"/>
    <w:rsid w:val="00727126"/>
    <w:rsid w:val="007271E1"/>
    <w:rsid w:val="007277DC"/>
    <w:rsid w:val="0073009A"/>
    <w:rsid w:val="0073065D"/>
    <w:rsid w:val="00730894"/>
    <w:rsid w:val="00730D6E"/>
    <w:rsid w:val="00730DDA"/>
    <w:rsid w:val="007311F0"/>
    <w:rsid w:val="007315BC"/>
    <w:rsid w:val="00731C25"/>
    <w:rsid w:val="007323D4"/>
    <w:rsid w:val="007323DA"/>
    <w:rsid w:val="00732F34"/>
    <w:rsid w:val="007330D2"/>
    <w:rsid w:val="007340A8"/>
    <w:rsid w:val="00734169"/>
    <w:rsid w:val="007363B4"/>
    <w:rsid w:val="007363B9"/>
    <w:rsid w:val="0073657E"/>
    <w:rsid w:val="0073659A"/>
    <w:rsid w:val="00736635"/>
    <w:rsid w:val="0073676B"/>
    <w:rsid w:val="0073702F"/>
    <w:rsid w:val="0073719D"/>
    <w:rsid w:val="00737B19"/>
    <w:rsid w:val="00737C45"/>
    <w:rsid w:val="00737CB2"/>
    <w:rsid w:val="00740CF4"/>
    <w:rsid w:val="00740EA8"/>
    <w:rsid w:val="0074139E"/>
    <w:rsid w:val="00742230"/>
    <w:rsid w:val="007430C7"/>
    <w:rsid w:val="0074348B"/>
    <w:rsid w:val="00743814"/>
    <w:rsid w:val="00743B25"/>
    <w:rsid w:val="00743F5C"/>
    <w:rsid w:val="00744875"/>
    <w:rsid w:val="00745816"/>
    <w:rsid w:val="00746766"/>
    <w:rsid w:val="00746D77"/>
    <w:rsid w:val="0074787D"/>
    <w:rsid w:val="00747CF3"/>
    <w:rsid w:val="00750A6B"/>
    <w:rsid w:val="00750B68"/>
    <w:rsid w:val="00750B98"/>
    <w:rsid w:val="00751A16"/>
    <w:rsid w:val="00751AD2"/>
    <w:rsid w:val="00751FB4"/>
    <w:rsid w:val="007521B9"/>
    <w:rsid w:val="007523A4"/>
    <w:rsid w:val="00753012"/>
    <w:rsid w:val="0075328F"/>
    <w:rsid w:val="0075378D"/>
    <w:rsid w:val="007537B5"/>
    <w:rsid w:val="00753CAB"/>
    <w:rsid w:val="00753E24"/>
    <w:rsid w:val="0075442F"/>
    <w:rsid w:val="0075478A"/>
    <w:rsid w:val="00754E33"/>
    <w:rsid w:val="00754EFE"/>
    <w:rsid w:val="00755631"/>
    <w:rsid w:val="00755709"/>
    <w:rsid w:val="00755848"/>
    <w:rsid w:val="00755F77"/>
    <w:rsid w:val="0075615A"/>
    <w:rsid w:val="00756458"/>
    <w:rsid w:val="007566CD"/>
    <w:rsid w:val="00756805"/>
    <w:rsid w:val="0075687D"/>
    <w:rsid w:val="00757187"/>
    <w:rsid w:val="00757213"/>
    <w:rsid w:val="00757916"/>
    <w:rsid w:val="00760096"/>
    <w:rsid w:val="00760996"/>
    <w:rsid w:val="00760AE8"/>
    <w:rsid w:val="00760C34"/>
    <w:rsid w:val="00761436"/>
    <w:rsid w:val="00762140"/>
    <w:rsid w:val="00762797"/>
    <w:rsid w:val="00762D2B"/>
    <w:rsid w:val="00763543"/>
    <w:rsid w:val="00763AAD"/>
    <w:rsid w:val="007642A5"/>
    <w:rsid w:val="00764E98"/>
    <w:rsid w:val="00764F25"/>
    <w:rsid w:val="0076566D"/>
    <w:rsid w:val="00765EC5"/>
    <w:rsid w:val="0076691E"/>
    <w:rsid w:val="00766DC5"/>
    <w:rsid w:val="007671D1"/>
    <w:rsid w:val="00770C2C"/>
    <w:rsid w:val="00770E58"/>
    <w:rsid w:val="00771F38"/>
    <w:rsid w:val="00772012"/>
    <w:rsid w:val="0077232A"/>
    <w:rsid w:val="0077255C"/>
    <w:rsid w:val="007737C3"/>
    <w:rsid w:val="00773A39"/>
    <w:rsid w:val="00774D03"/>
    <w:rsid w:val="00775324"/>
    <w:rsid w:val="007755B8"/>
    <w:rsid w:val="00775ED3"/>
    <w:rsid w:val="00775F4B"/>
    <w:rsid w:val="00776144"/>
    <w:rsid w:val="007764BA"/>
    <w:rsid w:val="00776694"/>
    <w:rsid w:val="00776842"/>
    <w:rsid w:val="00776D78"/>
    <w:rsid w:val="00777894"/>
    <w:rsid w:val="0078116E"/>
    <w:rsid w:val="007824AF"/>
    <w:rsid w:val="0078275D"/>
    <w:rsid w:val="00783B17"/>
    <w:rsid w:val="00783C91"/>
    <w:rsid w:val="00783C92"/>
    <w:rsid w:val="007844EB"/>
    <w:rsid w:val="0078487A"/>
    <w:rsid w:val="0078488D"/>
    <w:rsid w:val="00784FE8"/>
    <w:rsid w:val="0078508A"/>
    <w:rsid w:val="00785BB5"/>
    <w:rsid w:val="00786466"/>
    <w:rsid w:val="00786EF6"/>
    <w:rsid w:val="00787611"/>
    <w:rsid w:val="00787E29"/>
    <w:rsid w:val="007923A2"/>
    <w:rsid w:val="007923AB"/>
    <w:rsid w:val="00792E30"/>
    <w:rsid w:val="0079315D"/>
    <w:rsid w:val="007933EF"/>
    <w:rsid w:val="00793714"/>
    <w:rsid w:val="007941D2"/>
    <w:rsid w:val="00794A7C"/>
    <w:rsid w:val="00794B42"/>
    <w:rsid w:val="007955A7"/>
    <w:rsid w:val="00796289"/>
    <w:rsid w:val="007963FE"/>
    <w:rsid w:val="00796649"/>
    <w:rsid w:val="0079668C"/>
    <w:rsid w:val="00796B1E"/>
    <w:rsid w:val="00797162"/>
    <w:rsid w:val="0079770F"/>
    <w:rsid w:val="007A0200"/>
    <w:rsid w:val="007A0A03"/>
    <w:rsid w:val="007A28B7"/>
    <w:rsid w:val="007A2A66"/>
    <w:rsid w:val="007A34C6"/>
    <w:rsid w:val="007A3E1E"/>
    <w:rsid w:val="007A3F84"/>
    <w:rsid w:val="007A3FA5"/>
    <w:rsid w:val="007A4FA2"/>
    <w:rsid w:val="007A5A20"/>
    <w:rsid w:val="007A62A6"/>
    <w:rsid w:val="007A63B4"/>
    <w:rsid w:val="007A695D"/>
    <w:rsid w:val="007A7360"/>
    <w:rsid w:val="007A75B3"/>
    <w:rsid w:val="007A7613"/>
    <w:rsid w:val="007A7F79"/>
    <w:rsid w:val="007B0B7F"/>
    <w:rsid w:val="007B21EE"/>
    <w:rsid w:val="007B266D"/>
    <w:rsid w:val="007B2BCF"/>
    <w:rsid w:val="007B2D7B"/>
    <w:rsid w:val="007B39C6"/>
    <w:rsid w:val="007B42AD"/>
    <w:rsid w:val="007B49BB"/>
    <w:rsid w:val="007B4A2E"/>
    <w:rsid w:val="007B4AB9"/>
    <w:rsid w:val="007B4B16"/>
    <w:rsid w:val="007B4D86"/>
    <w:rsid w:val="007B5761"/>
    <w:rsid w:val="007B5D4F"/>
    <w:rsid w:val="007B61AB"/>
    <w:rsid w:val="007B690C"/>
    <w:rsid w:val="007B6DB8"/>
    <w:rsid w:val="007B6FBE"/>
    <w:rsid w:val="007B7069"/>
    <w:rsid w:val="007B73AA"/>
    <w:rsid w:val="007C0B78"/>
    <w:rsid w:val="007C0DB9"/>
    <w:rsid w:val="007C111B"/>
    <w:rsid w:val="007C12D5"/>
    <w:rsid w:val="007C1438"/>
    <w:rsid w:val="007C205A"/>
    <w:rsid w:val="007C20D5"/>
    <w:rsid w:val="007C22BD"/>
    <w:rsid w:val="007C28E7"/>
    <w:rsid w:val="007C32D2"/>
    <w:rsid w:val="007C336C"/>
    <w:rsid w:val="007C37EF"/>
    <w:rsid w:val="007C3845"/>
    <w:rsid w:val="007C3927"/>
    <w:rsid w:val="007C3F94"/>
    <w:rsid w:val="007C3FE7"/>
    <w:rsid w:val="007C44B7"/>
    <w:rsid w:val="007C4863"/>
    <w:rsid w:val="007C4AEB"/>
    <w:rsid w:val="007C4B68"/>
    <w:rsid w:val="007C5074"/>
    <w:rsid w:val="007C5472"/>
    <w:rsid w:val="007C5C3D"/>
    <w:rsid w:val="007C5D60"/>
    <w:rsid w:val="007C5DA6"/>
    <w:rsid w:val="007C61D7"/>
    <w:rsid w:val="007C6F55"/>
    <w:rsid w:val="007C732E"/>
    <w:rsid w:val="007C74C2"/>
    <w:rsid w:val="007C77D0"/>
    <w:rsid w:val="007C7A28"/>
    <w:rsid w:val="007C7E1E"/>
    <w:rsid w:val="007D07E2"/>
    <w:rsid w:val="007D1603"/>
    <w:rsid w:val="007D1860"/>
    <w:rsid w:val="007D1AA7"/>
    <w:rsid w:val="007D1AFB"/>
    <w:rsid w:val="007D2061"/>
    <w:rsid w:val="007D2283"/>
    <w:rsid w:val="007D276A"/>
    <w:rsid w:val="007D29B6"/>
    <w:rsid w:val="007D2BE2"/>
    <w:rsid w:val="007D2D13"/>
    <w:rsid w:val="007D2DBB"/>
    <w:rsid w:val="007D2F41"/>
    <w:rsid w:val="007D4C1E"/>
    <w:rsid w:val="007D4EAB"/>
    <w:rsid w:val="007D509F"/>
    <w:rsid w:val="007D5C4F"/>
    <w:rsid w:val="007D627D"/>
    <w:rsid w:val="007D64E4"/>
    <w:rsid w:val="007D6AEE"/>
    <w:rsid w:val="007D7143"/>
    <w:rsid w:val="007D72C3"/>
    <w:rsid w:val="007D73FB"/>
    <w:rsid w:val="007D76E1"/>
    <w:rsid w:val="007D7BBE"/>
    <w:rsid w:val="007E041A"/>
    <w:rsid w:val="007E0BB0"/>
    <w:rsid w:val="007E1A8F"/>
    <w:rsid w:val="007E1AC6"/>
    <w:rsid w:val="007E1CE7"/>
    <w:rsid w:val="007E2381"/>
    <w:rsid w:val="007E2EC4"/>
    <w:rsid w:val="007E31CA"/>
    <w:rsid w:val="007E368A"/>
    <w:rsid w:val="007E3BBC"/>
    <w:rsid w:val="007E48B2"/>
    <w:rsid w:val="007E4A4C"/>
    <w:rsid w:val="007E4AE0"/>
    <w:rsid w:val="007E4CD8"/>
    <w:rsid w:val="007E4D7C"/>
    <w:rsid w:val="007E563C"/>
    <w:rsid w:val="007E599B"/>
    <w:rsid w:val="007E5C49"/>
    <w:rsid w:val="007E601C"/>
    <w:rsid w:val="007E6299"/>
    <w:rsid w:val="007E632A"/>
    <w:rsid w:val="007E6545"/>
    <w:rsid w:val="007E6690"/>
    <w:rsid w:val="007E67A3"/>
    <w:rsid w:val="007E67CE"/>
    <w:rsid w:val="007E6846"/>
    <w:rsid w:val="007E6B1A"/>
    <w:rsid w:val="007E7441"/>
    <w:rsid w:val="007E7782"/>
    <w:rsid w:val="007E7970"/>
    <w:rsid w:val="007E7EA2"/>
    <w:rsid w:val="007F0836"/>
    <w:rsid w:val="007F1036"/>
    <w:rsid w:val="007F10A0"/>
    <w:rsid w:val="007F13BE"/>
    <w:rsid w:val="007F14CC"/>
    <w:rsid w:val="007F1515"/>
    <w:rsid w:val="007F1E43"/>
    <w:rsid w:val="007F268B"/>
    <w:rsid w:val="007F2776"/>
    <w:rsid w:val="007F2DEC"/>
    <w:rsid w:val="007F2EFD"/>
    <w:rsid w:val="007F339E"/>
    <w:rsid w:val="007F3A2D"/>
    <w:rsid w:val="007F3AA0"/>
    <w:rsid w:val="007F4DF6"/>
    <w:rsid w:val="007F5209"/>
    <w:rsid w:val="007F5210"/>
    <w:rsid w:val="007F55BB"/>
    <w:rsid w:val="007F5B6A"/>
    <w:rsid w:val="007F603A"/>
    <w:rsid w:val="007F6339"/>
    <w:rsid w:val="007F6D4D"/>
    <w:rsid w:val="007F7075"/>
    <w:rsid w:val="007F70C7"/>
    <w:rsid w:val="007F7316"/>
    <w:rsid w:val="007F73A5"/>
    <w:rsid w:val="007F7549"/>
    <w:rsid w:val="007F7935"/>
    <w:rsid w:val="00800247"/>
    <w:rsid w:val="00800C94"/>
    <w:rsid w:val="00801AEA"/>
    <w:rsid w:val="00801DBB"/>
    <w:rsid w:val="00801F5D"/>
    <w:rsid w:val="00802E41"/>
    <w:rsid w:val="00803880"/>
    <w:rsid w:val="00803C87"/>
    <w:rsid w:val="0080413C"/>
    <w:rsid w:val="008048ED"/>
    <w:rsid w:val="00804C8F"/>
    <w:rsid w:val="00804CC5"/>
    <w:rsid w:val="00804E22"/>
    <w:rsid w:val="008052BF"/>
    <w:rsid w:val="00805302"/>
    <w:rsid w:val="008054FE"/>
    <w:rsid w:val="00805574"/>
    <w:rsid w:val="00805E23"/>
    <w:rsid w:val="00806128"/>
    <w:rsid w:val="00806152"/>
    <w:rsid w:val="008068FB"/>
    <w:rsid w:val="00806FE4"/>
    <w:rsid w:val="00807BAC"/>
    <w:rsid w:val="0081083F"/>
    <w:rsid w:val="008118D7"/>
    <w:rsid w:val="008119E6"/>
    <w:rsid w:val="00811CCE"/>
    <w:rsid w:val="00812A46"/>
    <w:rsid w:val="00812CE5"/>
    <w:rsid w:val="00812E5D"/>
    <w:rsid w:val="00813C7E"/>
    <w:rsid w:val="00814C35"/>
    <w:rsid w:val="008151A3"/>
    <w:rsid w:val="00815CE1"/>
    <w:rsid w:val="008168F7"/>
    <w:rsid w:val="008170C3"/>
    <w:rsid w:val="00817108"/>
    <w:rsid w:val="008172CB"/>
    <w:rsid w:val="0082027A"/>
    <w:rsid w:val="008202EE"/>
    <w:rsid w:val="008203E5"/>
    <w:rsid w:val="008209B6"/>
    <w:rsid w:val="00821E04"/>
    <w:rsid w:val="0082200E"/>
    <w:rsid w:val="0082269E"/>
    <w:rsid w:val="0082308F"/>
    <w:rsid w:val="00824705"/>
    <w:rsid w:val="00825259"/>
    <w:rsid w:val="008252C5"/>
    <w:rsid w:val="0082535C"/>
    <w:rsid w:val="0082541A"/>
    <w:rsid w:val="0082569A"/>
    <w:rsid w:val="00825B2A"/>
    <w:rsid w:val="00826314"/>
    <w:rsid w:val="008263F4"/>
    <w:rsid w:val="0082666A"/>
    <w:rsid w:val="008269DF"/>
    <w:rsid w:val="00826CEA"/>
    <w:rsid w:val="00826DE8"/>
    <w:rsid w:val="00827B85"/>
    <w:rsid w:val="00827C39"/>
    <w:rsid w:val="00827EAF"/>
    <w:rsid w:val="00830065"/>
    <w:rsid w:val="0083044B"/>
    <w:rsid w:val="008309A2"/>
    <w:rsid w:val="0083161A"/>
    <w:rsid w:val="00831D90"/>
    <w:rsid w:val="008321E2"/>
    <w:rsid w:val="00832257"/>
    <w:rsid w:val="008328C6"/>
    <w:rsid w:val="00832EB4"/>
    <w:rsid w:val="0083545F"/>
    <w:rsid w:val="0083577B"/>
    <w:rsid w:val="00836332"/>
    <w:rsid w:val="0083634D"/>
    <w:rsid w:val="00837234"/>
    <w:rsid w:val="00840271"/>
    <w:rsid w:val="00840F9F"/>
    <w:rsid w:val="00842153"/>
    <w:rsid w:val="00842946"/>
    <w:rsid w:val="00843595"/>
    <w:rsid w:val="00843B32"/>
    <w:rsid w:val="0084411A"/>
    <w:rsid w:val="008445DC"/>
    <w:rsid w:val="008447F1"/>
    <w:rsid w:val="0084499E"/>
    <w:rsid w:val="00844BB6"/>
    <w:rsid w:val="00846AD7"/>
    <w:rsid w:val="00846D1F"/>
    <w:rsid w:val="00847302"/>
    <w:rsid w:val="008478C4"/>
    <w:rsid w:val="0084795D"/>
    <w:rsid w:val="00847B5D"/>
    <w:rsid w:val="00850025"/>
    <w:rsid w:val="008505C4"/>
    <w:rsid w:val="00850BCD"/>
    <w:rsid w:val="008510B9"/>
    <w:rsid w:val="0085165F"/>
    <w:rsid w:val="00851834"/>
    <w:rsid w:val="00853E8F"/>
    <w:rsid w:val="008551BA"/>
    <w:rsid w:val="0085599F"/>
    <w:rsid w:val="00855A01"/>
    <w:rsid w:val="00855CEC"/>
    <w:rsid w:val="00855DB7"/>
    <w:rsid w:val="00855E74"/>
    <w:rsid w:val="0085690C"/>
    <w:rsid w:val="00856B62"/>
    <w:rsid w:val="00856CC8"/>
    <w:rsid w:val="00856FED"/>
    <w:rsid w:val="0085755D"/>
    <w:rsid w:val="00857684"/>
    <w:rsid w:val="00857819"/>
    <w:rsid w:val="008600AA"/>
    <w:rsid w:val="00860B4C"/>
    <w:rsid w:val="00860EF3"/>
    <w:rsid w:val="00861123"/>
    <w:rsid w:val="00861226"/>
    <w:rsid w:val="0086196D"/>
    <w:rsid w:val="00862A2D"/>
    <w:rsid w:val="00862A42"/>
    <w:rsid w:val="00864227"/>
    <w:rsid w:val="00864A97"/>
    <w:rsid w:val="0086526B"/>
    <w:rsid w:val="008657F5"/>
    <w:rsid w:val="00865DE8"/>
    <w:rsid w:val="00865E14"/>
    <w:rsid w:val="00866793"/>
    <w:rsid w:val="008667DA"/>
    <w:rsid w:val="008669DC"/>
    <w:rsid w:val="0086795D"/>
    <w:rsid w:val="00867B0A"/>
    <w:rsid w:val="008705A6"/>
    <w:rsid w:val="0087072E"/>
    <w:rsid w:val="00870EB7"/>
    <w:rsid w:val="008715DC"/>
    <w:rsid w:val="00871640"/>
    <w:rsid w:val="0087187C"/>
    <w:rsid w:val="008719B1"/>
    <w:rsid w:val="008723B5"/>
    <w:rsid w:val="008724A8"/>
    <w:rsid w:val="00872F1B"/>
    <w:rsid w:val="00873025"/>
    <w:rsid w:val="0087330E"/>
    <w:rsid w:val="0087369C"/>
    <w:rsid w:val="00874ABE"/>
    <w:rsid w:val="00874DB4"/>
    <w:rsid w:val="00874E14"/>
    <w:rsid w:val="008752AD"/>
    <w:rsid w:val="00875559"/>
    <w:rsid w:val="0087605D"/>
    <w:rsid w:val="00876F43"/>
    <w:rsid w:val="00877569"/>
    <w:rsid w:val="00877619"/>
    <w:rsid w:val="0088053D"/>
    <w:rsid w:val="0088065D"/>
    <w:rsid w:val="00880705"/>
    <w:rsid w:val="00880CEC"/>
    <w:rsid w:val="008812C4"/>
    <w:rsid w:val="00881873"/>
    <w:rsid w:val="00882ED0"/>
    <w:rsid w:val="00882F11"/>
    <w:rsid w:val="008832B5"/>
    <w:rsid w:val="00883585"/>
    <w:rsid w:val="00883E96"/>
    <w:rsid w:val="008846FD"/>
    <w:rsid w:val="00884A69"/>
    <w:rsid w:val="00885354"/>
    <w:rsid w:val="00885D20"/>
    <w:rsid w:val="0088642A"/>
    <w:rsid w:val="008864A6"/>
    <w:rsid w:val="00886DD3"/>
    <w:rsid w:val="008873FA"/>
    <w:rsid w:val="008879C6"/>
    <w:rsid w:val="00887E2A"/>
    <w:rsid w:val="0089015A"/>
    <w:rsid w:val="00890425"/>
    <w:rsid w:val="00890427"/>
    <w:rsid w:val="0089048C"/>
    <w:rsid w:val="00890B48"/>
    <w:rsid w:val="008915FD"/>
    <w:rsid w:val="008916C1"/>
    <w:rsid w:val="00891B17"/>
    <w:rsid w:val="00891E7B"/>
    <w:rsid w:val="00891F0D"/>
    <w:rsid w:val="008925DD"/>
    <w:rsid w:val="0089281F"/>
    <w:rsid w:val="00892F90"/>
    <w:rsid w:val="00893839"/>
    <w:rsid w:val="008938C0"/>
    <w:rsid w:val="008939ED"/>
    <w:rsid w:val="00893AC4"/>
    <w:rsid w:val="00893C5F"/>
    <w:rsid w:val="00894068"/>
    <w:rsid w:val="008949F2"/>
    <w:rsid w:val="00894F79"/>
    <w:rsid w:val="00895249"/>
    <w:rsid w:val="00895285"/>
    <w:rsid w:val="008952EF"/>
    <w:rsid w:val="00895562"/>
    <w:rsid w:val="008956BC"/>
    <w:rsid w:val="008967C0"/>
    <w:rsid w:val="00896BE8"/>
    <w:rsid w:val="008970FF"/>
    <w:rsid w:val="00897505"/>
    <w:rsid w:val="008A0682"/>
    <w:rsid w:val="008A0910"/>
    <w:rsid w:val="008A0E38"/>
    <w:rsid w:val="008A18DB"/>
    <w:rsid w:val="008A18F2"/>
    <w:rsid w:val="008A1912"/>
    <w:rsid w:val="008A19C7"/>
    <w:rsid w:val="008A2414"/>
    <w:rsid w:val="008A294D"/>
    <w:rsid w:val="008A2A32"/>
    <w:rsid w:val="008A359C"/>
    <w:rsid w:val="008A3723"/>
    <w:rsid w:val="008A3808"/>
    <w:rsid w:val="008A3E2D"/>
    <w:rsid w:val="008A4999"/>
    <w:rsid w:val="008A4C7D"/>
    <w:rsid w:val="008A4E3C"/>
    <w:rsid w:val="008A5503"/>
    <w:rsid w:val="008A5898"/>
    <w:rsid w:val="008A70FA"/>
    <w:rsid w:val="008A7E8F"/>
    <w:rsid w:val="008B059D"/>
    <w:rsid w:val="008B09BF"/>
    <w:rsid w:val="008B0F09"/>
    <w:rsid w:val="008B1164"/>
    <w:rsid w:val="008B155D"/>
    <w:rsid w:val="008B2191"/>
    <w:rsid w:val="008B222C"/>
    <w:rsid w:val="008B3068"/>
    <w:rsid w:val="008B33F2"/>
    <w:rsid w:val="008B3686"/>
    <w:rsid w:val="008B4196"/>
    <w:rsid w:val="008B459A"/>
    <w:rsid w:val="008B4760"/>
    <w:rsid w:val="008B4AC9"/>
    <w:rsid w:val="008B4C43"/>
    <w:rsid w:val="008B4CF2"/>
    <w:rsid w:val="008B4DEF"/>
    <w:rsid w:val="008B4E21"/>
    <w:rsid w:val="008B5413"/>
    <w:rsid w:val="008B551D"/>
    <w:rsid w:val="008B55B4"/>
    <w:rsid w:val="008B5EA4"/>
    <w:rsid w:val="008B637D"/>
    <w:rsid w:val="008B6582"/>
    <w:rsid w:val="008B6714"/>
    <w:rsid w:val="008B696C"/>
    <w:rsid w:val="008B6A0C"/>
    <w:rsid w:val="008B6C21"/>
    <w:rsid w:val="008B6E28"/>
    <w:rsid w:val="008B7F4A"/>
    <w:rsid w:val="008C024A"/>
    <w:rsid w:val="008C0669"/>
    <w:rsid w:val="008C068D"/>
    <w:rsid w:val="008C11F7"/>
    <w:rsid w:val="008C1EC0"/>
    <w:rsid w:val="008C26DF"/>
    <w:rsid w:val="008C2925"/>
    <w:rsid w:val="008C2C4C"/>
    <w:rsid w:val="008C2CCB"/>
    <w:rsid w:val="008C36FA"/>
    <w:rsid w:val="008C394C"/>
    <w:rsid w:val="008C3992"/>
    <w:rsid w:val="008C4273"/>
    <w:rsid w:val="008C42F7"/>
    <w:rsid w:val="008C4848"/>
    <w:rsid w:val="008C4E32"/>
    <w:rsid w:val="008C4FAB"/>
    <w:rsid w:val="008C5A99"/>
    <w:rsid w:val="008C5F45"/>
    <w:rsid w:val="008C677E"/>
    <w:rsid w:val="008C6D67"/>
    <w:rsid w:val="008C701C"/>
    <w:rsid w:val="008C73D6"/>
    <w:rsid w:val="008C795E"/>
    <w:rsid w:val="008C7DAA"/>
    <w:rsid w:val="008D0AA9"/>
    <w:rsid w:val="008D138E"/>
    <w:rsid w:val="008D1631"/>
    <w:rsid w:val="008D1FC4"/>
    <w:rsid w:val="008D24BC"/>
    <w:rsid w:val="008D2939"/>
    <w:rsid w:val="008D2993"/>
    <w:rsid w:val="008D2B4E"/>
    <w:rsid w:val="008D2B61"/>
    <w:rsid w:val="008D2F38"/>
    <w:rsid w:val="008D362E"/>
    <w:rsid w:val="008D41FC"/>
    <w:rsid w:val="008D43FF"/>
    <w:rsid w:val="008D447D"/>
    <w:rsid w:val="008D4539"/>
    <w:rsid w:val="008D5826"/>
    <w:rsid w:val="008D690C"/>
    <w:rsid w:val="008D6996"/>
    <w:rsid w:val="008D734A"/>
    <w:rsid w:val="008D7716"/>
    <w:rsid w:val="008D7720"/>
    <w:rsid w:val="008D772A"/>
    <w:rsid w:val="008E00D6"/>
    <w:rsid w:val="008E07A0"/>
    <w:rsid w:val="008E2473"/>
    <w:rsid w:val="008E2D8C"/>
    <w:rsid w:val="008E3AA2"/>
    <w:rsid w:val="008E408E"/>
    <w:rsid w:val="008E4644"/>
    <w:rsid w:val="008E472D"/>
    <w:rsid w:val="008E4EA3"/>
    <w:rsid w:val="008E4EF5"/>
    <w:rsid w:val="008E52FB"/>
    <w:rsid w:val="008E602E"/>
    <w:rsid w:val="008E6163"/>
    <w:rsid w:val="008E62AC"/>
    <w:rsid w:val="008E6565"/>
    <w:rsid w:val="008E68E6"/>
    <w:rsid w:val="008E6AB0"/>
    <w:rsid w:val="008E6C05"/>
    <w:rsid w:val="008E7041"/>
    <w:rsid w:val="008E711F"/>
    <w:rsid w:val="008E7316"/>
    <w:rsid w:val="008E74F4"/>
    <w:rsid w:val="008E7C27"/>
    <w:rsid w:val="008E7CDC"/>
    <w:rsid w:val="008E7E9B"/>
    <w:rsid w:val="008F0341"/>
    <w:rsid w:val="008F0548"/>
    <w:rsid w:val="008F0FDE"/>
    <w:rsid w:val="008F1112"/>
    <w:rsid w:val="008F1186"/>
    <w:rsid w:val="008F17EE"/>
    <w:rsid w:val="008F1992"/>
    <w:rsid w:val="008F1B4D"/>
    <w:rsid w:val="008F2440"/>
    <w:rsid w:val="008F249F"/>
    <w:rsid w:val="008F271F"/>
    <w:rsid w:val="008F34BF"/>
    <w:rsid w:val="008F39A7"/>
    <w:rsid w:val="008F4751"/>
    <w:rsid w:val="008F516F"/>
    <w:rsid w:val="008F5675"/>
    <w:rsid w:val="008F5D08"/>
    <w:rsid w:val="008F5EC4"/>
    <w:rsid w:val="008F6DEB"/>
    <w:rsid w:val="008F74EC"/>
    <w:rsid w:val="008F7677"/>
    <w:rsid w:val="008F78F3"/>
    <w:rsid w:val="008F791C"/>
    <w:rsid w:val="008F7F93"/>
    <w:rsid w:val="008F7FD6"/>
    <w:rsid w:val="009000DF"/>
    <w:rsid w:val="009005D5"/>
    <w:rsid w:val="009008FD"/>
    <w:rsid w:val="0090091D"/>
    <w:rsid w:val="00900E51"/>
    <w:rsid w:val="009012A4"/>
    <w:rsid w:val="009012AB"/>
    <w:rsid w:val="00901632"/>
    <w:rsid w:val="009017E9"/>
    <w:rsid w:val="00901B98"/>
    <w:rsid w:val="00901C4B"/>
    <w:rsid w:val="009025DB"/>
    <w:rsid w:val="0090273E"/>
    <w:rsid w:val="00902AFD"/>
    <w:rsid w:val="00903260"/>
    <w:rsid w:val="0090378E"/>
    <w:rsid w:val="00903D06"/>
    <w:rsid w:val="00905574"/>
    <w:rsid w:val="0090566C"/>
    <w:rsid w:val="009060B4"/>
    <w:rsid w:val="009068BF"/>
    <w:rsid w:val="00907ED8"/>
    <w:rsid w:val="009103BD"/>
    <w:rsid w:val="00910957"/>
    <w:rsid w:val="0091099D"/>
    <w:rsid w:val="00910BEC"/>
    <w:rsid w:val="00910E35"/>
    <w:rsid w:val="009117D4"/>
    <w:rsid w:val="00912E20"/>
    <w:rsid w:val="00913396"/>
    <w:rsid w:val="0091345E"/>
    <w:rsid w:val="00913F3F"/>
    <w:rsid w:val="0091440D"/>
    <w:rsid w:val="009144D8"/>
    <w:rsid w:val="0091473B"/>
    <w:rsid w:val="009149C7"/>
    <w:rsid w:val="00914E87"/>
    <w:rsid w:val="00914EF5"/>
    <w:rsid w:val="009155D5"/>
    <w:rsid w:val="009155FF"/>
    <w:rsid w:val="00915726"/>
    <w:rsid w:val="009157C0"/>
    <w:rsid w:val="00915ED4"/>
    <w:rsid w:val="0091629E"/>
    <w:rsid w:val="00916792"/>
    <w:rsid w:val="00916C30"/>
    <w:rsid w:val="009206A9"/>
    <w:rsid w:val="00920B83"/>
    <w:rsid w:val="00920F87"/>
    <w:rsid w:val="009216E6"/>
    <w:rsid w:val="00921B4C"/>
    <w:rsid w:val="00921BBD"/>
    <w:rsid w:val="00921E3D"/>
    <w:rsid w:val="00922EBC"/>
    <w:rsid w:val="009240BC"/>
    <w:rsid w:val="00924C0A"/>
    <w:rsid w:val="00924D22"/>
    <w:rsid w:val="00924DC1"/>
    <w:rsid w:val="00924FFC"/>
    <w:rsid w:val="0092534E"/>
    <w:rsid w:val="0092605F"/>
    <w:rsid w:val="00926364"/>
    <w:rsid w:val="00926845"/>
    <w:rsid w:val="00926D64"/>
    <w:rsid w:val="00927208"/>
    <w:rsid w:val="009277B1"/>
    <w:rsid w:val="0093016D"/>
    <w:rsid w:val="00930797"/>
    <w:rsid w:val="00931108"/>
    <w:rsid w:val="009315F1"/>
    <w:rsid w:val="00931D8B"/>
    <w:rsid w:val="009320A8"/>
    <w:rsid w:val="00932328"/>
    <w:rsid w:val="00932CAE"/>
    <w:rsid w:val="00932F3E"/>
    <w:rsid w:val="009336C4"/>
    <w:rsid w:val="00933FF7"/>
    <w:rsid w:val="009349A9"/>
    <w:rsid w:val="00934FC2"/>
    <w:rsid w:val="00934FDA"/>
    <w:rsid w:val="009351F7"/>
    <w:rsid w:val="00935AE7"/>
    <w:rsid w:val="00935C69"/>
    <w:rsid w:val="00936993"/>
    <w:rsid w:val="00936C95"/>
    <w:rsid w:val="00936F7F"/>
    <w:rsid w:val="00937046"/>
    <w:rsid w:val="00937782"/>
    <w:rsid w:val="0093784E"/>
    <w:rsid w:val="00937CA4"/>
    <w:rsid w:val="00940373"/>
    <w:rsid w:val="00940E36"/>
    <w:rsid w:val="0094181B"/>
    <w:rsid w:val="00942129"/>
    <w:rsid w:val="009422C2"/>
    <w:rsid w:val="00942369"/>
    <w:rsid w:val="00942611"/>
    <w:rsid w:val="00942DE7"/>
    <w:rsid w:val="00943684"/>
    <w:rsid w:val="009442D4"/>
    <w:rsid w:val="00944713"/>
    <w:rsid w:val="00945B7E"/>
    <w:rsid w:val="009460F9"/>
    <w:rsid w:val="009468A5"/>
    <w:rsid w:val="0094729F"/>
    <w:rsid w:val="009476AE"/>
    <w:rsid w:val="009476CD"/>
    <w:rsid w:val="00947C22"/>
    <w:rsid w:val="00947FCB"/>
    <w:rsid w:val="009509B6"/>
    <w:rsid w:val="0095103D"/>
    <w:rsid w:val="009514EC"/>
    <w:rsid w:val="00951877"/>
    <w:rsid w:val="00951FD5"/>
    <w:rsid w:val="00952375"/>
    <w:rsid w:val="009532D1"/>
    <w:rsid w:val="00954258"/>
    <w:rsid w:val="00954307"/>
    <w:rsid w:val="00954800"/>
    <w:rsid w:val="00954F5A"/>
    <w:rsid w:val="00954FDD"/>
    <w:rsid w:val="009554C3"/>
    <w:rsid w:val="00955646"/>
    <w:rsid w:val="009557FC"/>
    <w:rsid w:val="00955FC7"/>
    <w:rsid w:val="00955FDC"/>
    <w:rsid w:val="0095692E"/>
    <w:rsid w:val="00957666"/>
    <w:rsid w:val="00957C82"/>
    <w:rsid w:val="009606C6"/>
    <w:rsid w:val="0096093E"/>
    <w:rsid w:val="00960949"/>
    <w:rsid w:val="00960C78"/>
    <w:rsid w:val="009616BC"/>
    <w:rsid w:val="009618FE"/>
    <w:rsid w:val="00962269"/>
    <w:rsid w:val="00962488"/>
    <w:rsid w:val="00962CD6"/>
    <w:rsid w:val="0096325B"/>
    <w:rsid w:val="009633A2"/>
    <w:rsid w:val="00963F03"/>
    <w:rsid w:val="00963FC9"/>
    <w:rsid w:val="00965E0D"/>
    <w:rsid w:val="0096603B"/>
    <w:rsid w:val="00966262"/>
    <w:rsid w:val="00966454"/>
    <w:rsid w:val="00966A6B"/>
    <w:rsid w:val="009673E1"/>
    <w:rsid w:val="0096741C"/>
    <w:rsid w:val="00967555"/>
    <w:rsid w:val="009675BD"/>
    <w:rsid w:val="0096789E"/>
    <w:rsid w:val="009678C1"/>
    <w:rsid w:val="00970014"/>
    <w:rsid w:val="00970928"/>
    <w:rsid w:val="00970F74"/>
    <w:rsid w:val="009715EA"/>
    <w:rsid w:val="00971AFB"/>
    <w:rsid w:val="00971FB9"/>
    <w:rsid w:val="009722AA"/>
    <w:rsid w:val="00972982"/>
    <w:rsid w:val="00972B07"/>
    <w:rsid w:val="00972CA3"/>
    <w:rsid w:val="009732D5"/>
    <w:rsid w:val="0097345F"/>
    <w:rsid w:val="00973779"/>
    <w:rsid w:val="00973F26"/>
    <w:rsid w:val="009741F7"/>
    <w:rsid w:val="00974506"/>
    <w:rsid w:val="00974C88"/>
    <w:rsid w:val="00974CF4"/>
    <w:rsid w:val="00975443"/>
    <w:rsid w:val="00975810"/>
    <w:rsid w:val="00975859"/>
    <w:rsid w:val="00975A13"/>
    <w:rsid w:val="00975EDB"/>
    <w:rsid w:val="00976901"/>
    <w:rsid w:val="00976F5C"/>
    <w:rsid w:val="00977D2A"/>
    <w:rsid w:val="00980120"/>
    <w:rsid w:val="00980335"/>
    <w:rsid w:val="00980472"/>
    <w:rsid w:val="00980DF1"/>
    <w:rsid w:val="00981C1F"/>
    <w:rsid w:val="00981E36"/>
    <w:rsid w:val="0098260B"/>
    <w:rsid w:val="00982AD7"/>
    <w:rsid w:val="009834CC"/>
    <w:rsid w:val="009840FB"/>
    <w:rsid w:val="009842C4"/>
    <w:rsid w:val="00984BB8"/>
    <w:rsid w:val="00985531"/>
    <w:rsid w:val="00985671"/>
    <w:rsid w:val="00986343"/>
    <w:rsid w:val="009863EE"/>
    <w:rsid w:val="00986915"/>
    <w:rsid w:val="009869BE"/>
    <w:rsid w:val="00986A1C"/>
    <w:rsid w:val="00986BEA"/>
    <w:rsid w:val="00987013"/>
    <w:rsid w:val="00987422"/>
    <w:rsid w:val="00987430"/>
    <w:rsid w:val="00987493"/>
    <w:rsid w:val="0098753A"/>
    <w:rsid w:val="009901D9"/>
    <w:rsid w:val="00990432"/>
    <w:rsid w:val="00990575"/>
    <w:rsid w:val="009905AB"/>
    <w:rsid w:val="0099063A"/>
    <w:rsid w:val="009906FE"/>
    <w:rsid w:val="009907FB"/>
    <w:rsid w:val="00990EB4"/>
    <w:rsid w:val="009921B0"/>
    <w:rsid w:val="009922BB"/>
    <w:rsid w:val="00992575"/>
    <w:rsid w:val="00992849"/>
    <w:rsid w:val="009928CD"/>
    <w:rsid w:val="009938B9"/>
    <w:rsid w:val="00993B88"/>
    <w:rsid w:val="00994D83"/>
    <w:rsid w:val="0099549F"/>
    <w:rsid w:val="009955E2"/>
    <w:rsid w:val="009956C9"/>
    <w:rsid w:val="009956E8"/>
    <w:rsid w:val="00995CE4"/>
    <w:rsid w:val="00996FF4"/>
    <w:rsid w:val="009974FB"/>
    <w:rsid w:val="009975FF"/>
    <w:rsid w:val="009A1613"/>
    <w:rsid w:val="009A17B4"/>
    <w:rsid w:val="009A1959"/>
    <w:rsid w:val="009A2726"/>
    <w:rsid w:val="009A2A3C"/>
    <w:rsid w:val="009A2DD5"/>
    <w:rsid w:val="009A42F2"/>
    <w:rsid w:val="009A4AC9"/>
    <w:rsid w:val="009A4BED"/>
    <w:rsid w:val="009A4E33"/>
    <w:rsid w:val="009A50B3"/>
    <w:rsid w:val="009A51AD"/>
    <w:rsid w:val="009A5A6C"/>
    <w:rsid w:val="009A6882"/>
    <w:rsid w:val="009A68CA"/>
    <w:rsid w:val="009A6EFF"/>
    <w:rsid w:val="009B0087"/>
    <w:rsid w:val="009B02EE"/>
    <w:rsid w:val="009B06A0"/>
    <w:rsid w:val="009B08DD"/>
    <w:rsid w:val="009B0BED"/>
    <w:rsid w:val="009B0F18"/>
    <w:rsid w:val="009B136B"/>
    <w:rsid w:val="009B1A31"/>
    <w:rsid w:val="009B1E82"/>
    <w:rsid w:val="009B222F"/>
    <w:rsid w:val="009B2739"/>
    <w:rsid w:val="009B325E"/>
    <w:rsid w:val="009B35FE"/>
    <w:rsid w:val="009B3965"/>
    <w:rsid w:val="009B4385"/>
    <w:rsid w:val="009B484E"/>
    <w:rsid w:val="009B4F44"/>
    <w:rsid w:val="009B5405"/>
    <w:rsid w:val="009B5DA7"/>
    <w:rsid w:val="009B6142"/>
    <w:rsid w:val="009B6864"/>
    <w:rsid w:val="009B6D93"/>
    <w:rsid w:val="009B7150"/>
    <w:rsid w:val="009B731F"/>
    <w:rsid w:val="009B74E0"/>
    <w:rsid w:val="009B7A46"/>
    <w:rsid w:val="009B7F8E"/>
    <w:rsid w:val="009C0944"/>
    <w:rsid w:val="009C0CEE"/>
    <w:rsid w:val="009C0D45"/>
    <w:rsid w:val="009C1463"/>
    <w:rsid w:val="009C163F"/>
    <w:rsid w:val="009C19DD"/>
    <w:rsid w:val="009C1C91"/>
    <w:rsid w:val="009C2D03"/>
    <w:rsid w:val="009C3237"/>
    <w:rsid w:val="009C3720"/>
    <w:rsid w:val="009C42EA"/>
    <w:rsid w:val="009C437D"/>
    <w:rsid w:val="009C48A8"/>
    <w:rsid w:val="009C4AD2"/>
    <w:rsid w:val="009C5165"/>
    <w:rsid w:val="009C5208"/>
    <w:rsid w:val="009C5AFD"/>
    <w:rsid w:val="009C5C6F"/>
    <w:rsid w:val="009C65C2"/>
    <w:rsid w:val="009C6CF2"/>
    <w:rsid w:val="009C738F"/>
    <w:rsid w:val="009C7592"/>
    <w:rsid w:val="009C75D5"/>
    <w:rsid w:val="009C7D8B"/>
    <w:rsid w:val="009D0047"/>
    <w:rsid w:val="009D0B3F"/>
    <w:rsid w:val="009D0BA8"/>
    <w:rsid w:val="009D13C4"/>
    <w:rsid w:val="009D1501"/>
    <w:rsid w:val="009D19BF"/>
    <w:rsid w:val="009D201F"/>
    <w:rsid w:val="009D2D5C"/>
    <w:rsid w:val="009D378F"/>
    <w:rsid w:val="009D47E9"/>
    <w:rsid w:val="009D4AA7"/>
    <w:rsid w:val="009D5F22"/>
    <w:rsid w:val="009D5FBF"/>
    <w:rsid w:val="009D60DF"/>
    <w:rsid w:val="009D6A00"/>
    <w:rsid w:val="009D6B98"/>
    <w:rsid w:val="009D72B9"/>
    <w:rsid w:val="009D7B04"/>
    <w:rsid w:val="009D7C81"/>
    <w:rsid w:val="009D7F82"/>
    <w:rsid w:val="009E00A3"/>
    <w:rsid w:val="009E1878"/>
    <w:rsid w:val="009E1CDF"/>
    <w:rsid w:val="009E2141"/>
    <w:rsid w:val="009E2580"/>
    <w:rsid w:val="009E282D"/>
    <w:rsid w:val="009E2F97"/>
    <w:rsid w:val="009E3259"/>
    <w:rsid w:val="009E3EDC"/>
    <w:rsid w:val="009E442A"/>
    <w:rsid w:val="009E4B96"/>
    <w:rsid w:val="009E4C5F"/>
    <w:rsid w:val="009E4E7F"/>
    <w:rsid w:val="009E5047"/>
    <w:rsid w:val="009E53B6"/>
    <w:rsid w:val="009E5790"/>
    <w:rsid w:val="009E5959"/>
    <w:rsid w:val="009E5F5E"/>
    <w:rsid w:val="009E6BAF"/>
    <w:rsid w:val="009E7780"/>
    <w:rsid w:val="009F1961"/>
    <w:rsid w:val="009F2B79"/>
    <w:rsid w:val="009F2C4A"/>
    <w:rsid w:val="009F3BAE"/>
    <w:rsid w:val="009F3F52"/>
    <w:rsid w:val="009F4E9E"/>
    <w:rsid w:val="009F4F40"/>
    <w:rsid w:val="009F5569"/>
    <w:rsid w:val="009F56EE"/>
    <w:rsid w:val="009F59E8"/>
    <w:rsid w:val="009F5B7B"/>
    <w:rsid w:val="009F61AC"/>
    <w:rsid w:val="009F67FF"/>
    <w:rsid w:val="009F6EB4"/>
    <w:rsid w:val="009F6F16"/>
    <w:rsid w:val="009F786F"/>
    <w:rsid w:val="00A00635"/>
    <w:rsid w:val="00A0068F"/>
    <w:rsid w:val="00A007AA"/>
    <w:rsid w:val="00A0094E"/>
    <w:rsid w:val="00A00DA2"/>
    <w:rsid w:val="00A01BDB"/>
    <w:rsid w:val="00A01D41"/>
    <w:rsid w:val="00A01E7C"/>
    <w:rsid w:val="00A01FD1"/>
    <w:rsid w:val="00A024DB"/>
    <w:rsid w:val="00A02D27"/>
    <w:rsid w:val="00A03303"/>
    <w:rsid w:val="00A041D9"/>
    <w:rsid w:val="00A06444"/>
    <w:rsid w:val="00A06773"/>
    <w:rsid w:val="00A06DBF"/>
    <w:rsid w:val="00A07119"/>
    <w:rsid w:val="00A07C25"/>
    <w:rsid w:val="00A07C73"/>
    <w:rsid w:val="00A07D18"/>
    <w:rsid w:val="00A07EAC"/>
    <w:rsid w:val="00A10A9B"/>
    <w:rsid w:val="00A10B6D"/>
    <w:rsid w:val="00A1103E"/>
    <w:rsid w:val="00A110F9"/>
    <w:rsid w:val="00A116B2"/>
    <w:rsid w:val="00A12066"/>
    <w:rsid w:val="00A12E46"/>
    <w:rsid w:val="00A133BF"/>
    <w:rsid w:val="00A136E1"/>
    <w:rsid w:val="00A1370C"/>
    <w:rsid w:val="00A13CC5"/>
    <w:rsid w:val="00A13F24"/>
    <w:rsid w:val="00A13F95"/>
    <w:rsid w:val="00A1444A"/>
    <w:rsid w:val="00A14A5C"/>
    <w:rsid w:val="00A14A6D"/>
    <w:rsid w:val="00A14BD2"/>
    <w:rsid w:val="00A15210"/>
    <w:rsid w:val="00A152EB"/>
    <w:rsid w:val="00A1555D"/>
    <w:rsid w:val="00A158D0"/>
    <w:rsid w:val="00A15EE0"/>
    <w:rsid w:val="00A16B6D"/>
    <w:rsid w:val="00A17022"/>
    <w:rsid w:val="00A1796C"/>
    <w:rsid w:val="00A17FC8"/>
    <w:rsid w:val="00A20EFC"/>
    <w:rsid w:val="00A21C6F"/>
    <w:rsid w:val="00A21DE7"/>
    <w:rsid w:val="00A2266C"/>
    <w:rsid w:val="00A22A97"/>
    <w:rsid w:val="00A22B02"/>
    <w:rsid w:val="00A23071"/>
    <w:rsid w:val="00A23E1A"/>
    <w:rsid w:val="00A242DB"/>
    <w:rsid w:val="00A24610"/>
    <w:rsid w:val="00A2476C"/>
    <w:rsid w:val="00A25132"/>
    <w:rsid w:val="00A25366"/>
    <w:rsid w:val="00A2646C"/>
    <w:rsid w:val="00A267BF"/>
    <w:rsid w:val="00A267D5"/>
    <w:rsid w:val="00A26A27"/>
    <w:rsid w:val="00A26CC6"/>
    <w:rsid w:val="00A26CF5"/>
    <w:rsid w:val="00A26EA1"/>
    <w:rsid w:val="00A270F4"/>
    <w:rsid w:val="00A2787F"/>
    <w:rsid w:val="00A279B5"/>
    <w:rsid w:val="00A27CD4"/>
    <w:rsid w:val="00A30F1E"/>
    <w:rsid w:val="00A314C5"/>
    <w:rsid w:val="00A31590"/>
    <w:rsid w:val="00A318E7"/>
    <w:rsid w:val="00A31F92"/>
    <w:rsid w:val="00A3215B"/>
    <w:rsid w:val="00A3288C"/>
    <w:rsid w:val="00A32B60"/>
    <w:rsid w:val="00A32E09"/>
    <w:rsid w:val="00A32F23"/>
    <w:rsid w:val="00A33348"/>
    <w:rsid w:val="00A34379"/>
    <w:rsid w:val="00A34402"/>
    <w:rsid w:val="00A348D1"/>
    <w:rsid w:val="00A34C7B"/>
    <w:rsid w:val="00A35225"/>
    <w:rsid w:val="00A35A8B"/>
    <w:rsid w:val="00A35AF5"/>
    <w:rsid w:val="00A35FBB"/>
    <w:rsid w:val="00A360D5"/>
    <w:rsid w:val="00A36136"/>
    <w:rsid w:val="00A36B56"/>
    <w:rsid w:val="00A36D23"/>
    <w:rsid w:val="00A37202"/>
    <w:rsid w:val="00A374D1"/>
    <w:rsid w:val="00A37EFF"/>
    <w:rsid w:val="00A40594"/>
    <w:rsid w:val="00A4063F"/>
    <w:rsid w:val="00A40C3C"/>
    <w:rsid w:val="00A412F0"/>
    <w:rsid w:val="00A4162D"/>
    <w:rsid w:val="00A41A5B"/>
    <w:rsid w:val="00A421C7"/>
    <w:rsid w:val="00A42ED1"/>
    <w:rsid w:val="00A430ED"/>
    <w:rsid w:val="00A439BA"/>
    <w:rsid w:val="00A44E11"/>
    <w:rsid w:val="00A457A6"/>
    <w:rsid w:val="00A45947"/>
    <w:rsid w:val="00A46C59"/>
    <w:rsid w:val="00A4731F"/>
    <w:rsid w:val="00A473D4"/>
    <w:rsid w:val="00A47F63"/>
    <w:rsid w:val="00A50A4B"/>
    <w:rsid w:val="00A51C5A"/>
    <w:rsid w:val="00A523CE"/>
    <w:rsid w:val="00A52536"/>
    <w:rsid w:val="00A527E2"/>
    <w:rsid w:val="00A52972"/>
    <w:rsid w:val="00A529C9"/>
    <w:rsid w:val="00A52E69"/>
    <w:rsid w:val="00A53B5F"/>
    <w:rsid w:val="00A54728"/>
    <w:rsid w:val="00A54951"/>
    <w:rsid w:val="00A55025"/>
    <w:rsid w:val="00A56368"/>
    <w:rsid w:val="00A5672F"/>
    <w:rsid w:val="00A56CF9"/>
    <w:rsid w:val="00A56F1E"/>
    <w:rsid w:val="00A5706E"/>
    <w:rsid w:val="00A570C4"/>
    <w:rsid w:val="00A5735B"/>
    <w:rsid w:val="00A574BD"/>
    <w:rsid w:val="00A57A09"/>
    <w:rsid w:val="00A57F59"/>
    <w:rsid w:val="00A604B8"/>
    <w:rsid w:val="00A604F7"/>
    <w:rsid w:val="00A607EE"/>
    <w:rsid w:val="00A60B5D"/>
    <w:rsid w:val="00A60CDC"/>
    <w:rsid w:val="00A60D49"/>
    <w:rsid w:val="00A610BF"/>
    <w:rsid w:val="00A61B6A"/>
    <w:rsid w:val="00A61CB1"/>
    <w:rsid w:val="00A62A61"/>
    <w:rsid w:val="00A63404"/>
    <w:rsid w:val="00A6359C"/>
    <w:rsid w:val="00A6367B"/>
    <w:rsid w:val="00A64061"/>
    <w:rsid w:val="00A64749"/>
    <w:rsid w:val="00A64A92"/>
    <w:rsid w:val="00A658C3"/>
    <w:rsid w:val="00A65F81"/>
    <w:rsid w:val="00A66B07"/>
    <w:rsid w:val="00A66E97"/>
    <w:rsid w:val="00A67A80"/>
    <w:rsid w:val="00A67C19"/>
    <w:rsid w:val="00A67EB3"/>
    <w:rsid w:val="00A70692"/>
    <w:rsid w:val="00A70C45"/>
    <w:rsid w:val="00A70D46"/>
    <w:rsid w:val="00A71209"/>
    <w:rsid w:val="00A71253"/>
    <w:rsid w:val="00A716EA"/>
    <w:rsid w:val="00A724D0"/>
    <w:rsid w:val="00A724ED"/>
    <w:rsid w:val="00A728D4"/>
    <w:rsid w:val="00A7312B"/>
    <w:rsid w:val="00A731E6"/>
    <w:rsid w:val="00A7358A"/>
    <w:rsid w:val="00A73726"/>
    <w:rsid w:val="00A73DBD"/>
    <w:rsid w:val="00A7471E"/>
    <w:rsid w:val="00A74C64"/>
    <w:rsid w:val="00A74D9B"/>
    <w:rsid w:val="00A75306"/>
    <w:rsid w:val="00A753F5"/>
    <w:rsid w:val="00A7561D"/>
    <w:rsid w:val="00A76258"/>
    <w:rsid w:val="00A762A0"/>
    <w:rsid w:val="00A76427"/>
    <w:rsid w:val="00A76663"/>
    <w:rsid w:val="00A769AC"/>
    <w:rsid w:val="00A775A0"/>
    <w:rsid w:val="00A77FEC"/>
    <w:rsid w:val="00A80216"/>
    <w:rsid w:val="00A803F7"/>
    <w:rsid w:val="00A80CA7"/>
    <w:rsid w:val="00A82793"/>
    <w:rsid w:val="00A830F1"/>
    <w:rsid w:val="00A834B9"/>
    <w:rsid w:val="00A8394B"/>
    <w:rsid w:val="00A83E88"/>
    <w:rsid w:val="00A84C19"/>
    <w:rsid w:val="00A84F3B"/>
    <w:rsid w:val="00A851D9"/>
    <w:rsid w:val="00A8550D"/>
    <w:rsid w:val="00A85551"/>
    <w:rsid w:val="00A8579F"/>
    <w:rsid w:val="00A86FE0"/>
    <w:rsid w:val="00A87424"/>
    <w:rsid w:val="00A87777"/>
    <w:rsid w:val="00A907B7"/>
    <w:rsid w:val="00A90882"/>
    <w:rsid w:val="00A909E3"/>
    <w:rsid w:val="00A90A83"/>
    <w:rsid w:val="00A90AA1"/>
    <w:rsid w:val="00A91221"/>
    <w:rsid w:val="00A91314"/>
    <w:rsid w:val="00A916A2"/>
    <w:rsid w:val="00A91B82"/>
    <w:rsid w:val="00A91FD1"/>
    <w:rsid w:val="00A93BE8"/>
    <w:rsid w:val="00A93C1F"/>
    <w:rsid w:val="00A93E8B"/>
    <w:rsid w:val="00A94AA1"/>
    <w:rsid w:val="00A95255"/>
    <w:rsid w:val="00A95286"/>
    <w:rsid w:val="00A956AB"/>
    <w:rsid w:val="00A964A7"/>
    <w:rsid w:val="00A968A2"/>
    <w:rsid w:val="00A96DE0"/>
    <w:rsid w:val="00A96F35"/>
    <w:rsid w:val="00A96F96"/>
    <w:rsid w:val="00A970B5"/>
    <w:rsid w:val="00A97841"/>
    <w:rsid w:val="00A97888"/>
    <w:rsid w:val="00AA128B"/>
    <w:rsid w:val="00AA2095"/>
    <w:rsid w:val="00AA216F"/>
    <w:rsid w:val="00AA2371"/>
    <w:rsid w:val="00AA2F1B"/>
    <w:rsid w:val="00AA3058"/>
    <w:rsid w:val="00AA30E4"/>
    <w:rsid w:val="00AA31BE"/>
    <w:rsid w:val="00AA3EFA"/>
    <w:rsid w:val="00AA48D4"/>
    <w:rsid w:val="00AA4BDB"/>
    <w:rsid w:val="00AA4DEE"/>
    <w:rsid w:val="00AA50C1"/>
    <w:rsid w:val="00AA5933"/>
    <w:rsid w:val="00AA5EEC"/>
    <w:rsid w:val="00AA5FE8"/>
    <w:rsid w:val="00AA616E"/>
    <w:rsid w:val="00AA6451"/>
    <w:rsid w:val="00AA6ACF"/>
    <w:rsid w:val="00AA74BD"/>
    <w:rsid w:val="00AA759B"/>
    <w:rsid w:val="00AA77A3"/>
    <w:rsid w:val="00AA79D7"/>
    <w:rsid w:val="00AB05D3"/>
    <w:rsid w:val="00AB0CD1"/>
    <w:rsid w:val="00AB0FB9"/>
    <w:rsid w:val="00AB1021"/>
    <w:rsid w:val="00AB11B4"/>
    <w:rsid w:val="00AB15F8"/>
    <w:rsid w:val="00AB1B3A"/>
    <w:rsid w:val="00AB1CB9"/>
    <w:rsid w:val="00AB1F35"/>
    <w:rsid w:val="00AB2161"/>
    <w:rsid w:val="00AB2854"/>
    <w:rsid w:val="00AB2BCC"/>
    <w:rsid w:val="00AB3243"/>
    <w:rsid w:val="00AB3881"/>
    <w:rsid w:val="00AB3B1D"/>
    <w:rsid w:val="00AB3B51"/>
    <w:rsid w:val="00AB3C74"/>
    <w:rsid w:val="00AB3D43"/>
    <w:rsid w:val="00AB4EC2"/>
    <w:rsid w:val="00AB51F5"/>
    <w:rsid w:val="00AB59F3"/>
    <w:rsid w:val="00AB5FCA"/>
    <w:rsid w:val="00AB60F8"/>
    <w:rsid w:val="00AB6114"/>
    <w:rsid w:val="00AB67E8"/>
    <w:rsid w:val="00AB6E41"/>
    <w:rsid w:val="00AB6F0F"/>
    <w:rsid w:val="00AB7851"/>
    <w:rsid w:val="00AB7C63"/>
    <w:rsid w:val="00AC015F"/>
    <w:rsid w:val="00AC0168"/>
    <w:rsid w:val="00AC07E1"/>
    <w:rsid w:val="00AC0CFB"/>
    <w:rsid w:val="00AC0D79"/>
    <w:rsid w:val="00AC0D87"/>
    <w:rsid w:val="00AC1B91"/>
    <w:rsid w:val="00AC1CF5"/>
    <w:rsid w:val="00AC25A3"/>
    <w:rsid w:val="00AC269E"/>
    <w:rsid w:val="00AC2AB0"/>
    <w:rsid w:val="00AC3A71"/>
    <w:rsid w:val="00AC40A7"/>
    <w:rsid w:val="00AC43CD"/>
    <w:rsid w:val="00AC44C7"/>
    <w:rsid w:val="00AC4782"/>
    <w:rsid w:val="00AC5943"/>
    <w:rsid w:val="00AC5A9F"/>
    <w:rsid w:val="00AC69DB"/>
    <w:rsid w:val="00AC779D"/>
    <w:rsid w:val="00AD055F"/>
    <w:rsid w:val="00AD062F"/>
    <w:rsid w:val="00AD0B31"/>
    <w:rsid w:val="00AD0D6B"/>
    <w:rsid w:val="00AD162C"/>
    <w:rsid w:val="00AD1682"/>
    <w:rsid w:val="00AD1FAA"/>
    <w:rsid w:val="00AD201A"/>
    <w:rsid w:val="00AD3B2C"/>
    <w:rsid w:val="00AD3DF4"/>
    <w:rsid w:val="00AD40B5"/>
    <w:rsid w:val="00AD42DB"/>
    <w:rsid w:val="00AD5FAE"/>
    <w:rsid w:val="00AD6322"/>
    <w:rsid w:val="00AD65CD"/>
    <w:rsid w:val="00AD730D"/>
    <w:rsid w:val="00AE094B"/>
    <w:rsid w:val="00AE0C7D"/>
    <w:rsid w:val="00AE0EEE"/>
    <w:rsid w:val="00AE129F"/>
    <w:rsid w:val="00AE13ED"/>
    <w:rsid w:val="00AE1E44"/>
    <w:rsid w:val="00AE20B0"/>
    <w:rsid w:val="00AE2244"/>
    <w:rsid w:val="00AE295F"/>
    <w:rsid w:val="00AE29C9"/>
    <w:rsid w:val="00AE2BB3"/>
    <w:rsid w:val="00AE3AF1"/>
    <w:rsid w:val="00AE3D53"/>
    <w:rsid w:val="00AE4913"/>
    <w:rsid w:val="00AE4C0F"/>
    <w:rsid w:val="00AE5109"/>
    <w:rsid w:val="00AE63A2"/>
    <w:rsid w:val="00AE6FBB"/>
    <w:rsid w:val="00AE6FF9"/>
    <w:rsid w:val="00AF02C8"/>
    <w:rsid w:val="00AF05DD"/>
    <w:rsid w:val="00AF0A41"/>
    <w:rsid w:val="00AF0C86"/>
    <w:rsid w:val="00AF153B"/>
    <w:rsid w:val="00AF264A"/>
    <w:rsid w:val="00AF2CF4"/>
    <w:rsid w:val="00AF3643"/>
    <w:rsid w:val="00AF37AC"/>
    <w:rsid w:val="00AF3C10"/>
    <w:rsid w:val="00AF40C5"/>
    <w:rsid w:val="00AF42EB"/>
    <w:rsid w:val="00AF45EE"/>
    <w:rsid w:val="00AF48FE"/>
    <w:rsid w:val="00AF4AD7"/>
    <w:rsid w:val="00AF4F70"/>
    <w:rsid w:val="00AF4F97"/>
    <w:rsid w:val="00AF52F5"/>
    <w:rsid w:val="00AF59E4"/>
    <w:rsid w:val="00AF61C4"/>
    <w:rsid w:val="00AF6929"/>
    <w:rsid w:val="00AF6B34"/>
    <w:rsid w:val="00AF712C"/>
    <w:rsid w:val="00B0015B"/>
    <w:rsid w:val="00B004FF"/>
    <w:rsid w:val="00B00931"/>
    <w:rsid w:val="00B00FB5"/>
    <w:rsid w:val="00B0142F"/>
    <w:rsid w:val="00B01639"/>
    <w:rsid w:val="00B0174E"/>
    <w:rsid w:val="00B0180E"/>
    <w:rsid w:val="00B019F3"/>
    <w:rsid w:val="00B01C3A"/>
    <w:rsid w:val="00B01CF1"/>
    <w:rsid w:val="00B01DB7"/>
    <w:rsid w:val="00B02252"/>
    <w:rsid w:val="00B0249A"/>
    <w:rsid w:val="00B0254F"/>
    <w:rsid w:val="00B02589"/>
    <w:rsid w:val="00B02D4A"/>
    <w:rsid w:val="00B02F3F"/>
    <w:rsid w:val="00B03CA8"/>
    <w:rsid w:val="00B0454D"/>
    <w:rsid w:val="00B055DC"/>
    <w:rsid w:val="00B0589F"/>
    <w:rsid w:val="00B061FA"/>
    <w:rsid w:val="00B06461"/>
    <w:rsid w:val="00B06A80"/>
    <w:rsid w:val="00B06BAD"/>
    <w:rsid w:val="00B06FFA"/>
    <w:rsid w:val="00B07121"/>
    <w:rsid w:val="00B07455"/>
    <w:rsid w:val="00B07912"/>
    <w:rsid w:val="00B10265"/>
    <w:rsid w:val="00B10A19"/>
    <w:rsid w:val="00B1174C"/>
    <w:rsid w:val="00B118BF"/>
    <w:rsid w:val="00B1192F"/>
    <w:rsid w:val="00B11C08"/>
    <w:rsid w:val="00B11C43"/>
    <w:rsid w:val="00B1249C"/>
    <w:rsid w:val="00B124D1"/>
    <w:rsid w:val="00B12AFE"/>
    <w:rsid w:val="00B12B43"/>
    <w:rsid w:val="00B13252"/>
    <w:rsid w:val="00B13257"/>
    <w:rsid w:val="00B13417"/>
    <w:rsid w:val="00B1386C"/>
    <w:rsid w:val="00B1394D"/>
    <w:rsid w:val="00B13B30"/>
    <w:rsid w:val="00B14318"/>
    <w:rsid w:val="00B14E2C"/>
    <w:rsid w:val="00B15073"/>
    <w:rsid w:val="00B157E3"/>
    <w:rsid w:val="00B159FF"/>
    <w:rsid w:val="00B15C7C"/>
    <w:rsid w:val="00B162F9"/>
    <w:rsid w:val="00B16391"/>
    <w:rsid w:val="00B1692B"/>
    <w:rsid w:val="00B17127"/>
    <w:rsid w:val="00B17279"/>
    <w:rsid w:val="00B172B6"/>
    <w:rsid w:val="00B178FA"/>
    <w:rsid w:val="00B17A42"/>
    <w:rsid w:val="00B20681"/>
    <w:rsid w:val="00B20766"/>
    <w:rsid w:val="00B208F3"/>
    <w:rsid w:val="00B20996"/>
    <w:rsid w:val="00B20C8A"/>
    <w:rsid w:val="00B20F3A"/>
    <w:rsid w:val="00B21CCC"/>
    <w:rsid w:val="00B21D37"/>
    <w:rsid w:val="00B222F4"/>
    <w:rsid w:val="00B22544"/>
    <w:rsid w:val="00B22B36"/>
    <w:rsid w:val="00B22B7C"/>
    <w:rsid w:val="00B2310B"/>
    <w:rsid w:val="00B2361E"/>
    <w:rsid w:val="00B2406F"/>
    <w:rsid w:val="00B24384"/>
    <w:rsid w:val="00B24CBC"/>
    <w:rsid w:val="00B2544A"/>
    <w:rsid w:val="00B2585A"/>
    <w:rsid w:val="00B25AA0"/>
    <w:rsid w:val="00B261E6"/>
    <w:rsid w:val="00B262D0"/>
    <w:rsid w:val="00B263E8"/>
    <w:rsid w:val="00B2644B"/>
    <w:rsid w:val="00B26458"/>
    <w:rsid w:val="00B26680"/>
    <w:rsid w:val="00B26988"/>
    <w:rsid w:val="00B271AF"/>
    <w:rsid w:val="00B273A0"/>
    <w:rsid w:val="00B279BA"/>
    <w:rsid w:val="00B305BF"/>
    <w:rsid w:val="00B3063B"/>
    <w:rsid w:val="00B30BC1"/>
    <w:rsid w:val="00B30D11"/>
    <w:rsid w:val="00B32083"/>
    <w:rsid w:val="00B324B8"/>
    <w:rsid w:val="00B3295C"/>
    <w:rsid w:val="00B33122"/>
    <w:rsid w:val="00B33958"/>
    <w:rsid w:val="00B33A86"/>
    <w:rsid w:val="00B33B1F"/>
    <w:rsid w:val="00B33DE8"/>
    <w:rsid w:val="00B344CE"/>
    <w:rsid w:val="00B34752"/>
    <w:rsid w:val="00B34C40"/>
    <w:rsid w:val="00B3517C"/>
    <w:rsid w:val="00B35FC0"/>
    <w:rsid w:val="00B36545"/>
    <w:rsid w:val="00B3768A"/>
    <w:rsid w:val="00B3773D"/>
    <w:rsid w:val="00B379FE"/>
    <w:rsid w:val="00B40DDA"/>
    <w:rsid w:val="00B417B4"/>
    <w:rsid w:val="00B41A86"/>
    <w:rsid w:val="00B41D3E"/>
    <w:rsid w:val="00B420C2"/>
    <w:rsid w:val="00B426D7"/>
    <w:rsid w:val="00B43347"/>
    <w:rsid w:val="00B43A40"/>
    <w:rsid w:val="00B44271"/>
    <w:rsid w:val="00B4490B"/>
    <w:rsid w:val="00B452D8"/>
    <w:rsid w:val="00B45BBD"/>
    <w:rsid w:val="00B4699B"/>
    <w:rsid w:val="00B47490"/>
    <w:rsid w:val="00B476CD"/>
    <w:rsid w:val="00B50195"/>
    <w:rsid w:val="00B50257"/>
    <w:rsid w:val="00B50281"/>
    <w:rsid w:val="00B505B6"/>
    <w:rsid w:val="00B50CE4"/>
    <w:rsid w:val="00B51D4E"/>
    <w:rsid w:val="00B51E7E"/>
    <w:rsid w:val="00B52072"/>
    <w:rsid w:val="00B52A39"/>
    <w:rsid w:val="00B53203"/>
    <w:rsid w:val="00B53344"/>
    <w:rsid w:val="00B53BC2"/>
    <w:rsid w:val="00B54872"/>
    <w:rsid w:val="00B54BDF"/>
    <w:rsid w:val="00B54C7C"/>
    <w:rsid w:val="00B54CB3"/>
    <w:rsid w:val="00B54E7F"/>
    <w:rsid w:val="00B5590A"/>
    <w:rsid w:val="00B55AD1"/>
    <w:rsid w:val="00B55D6C"/>
    <w:rsid w:val="00B5616F"/>
    <w:rsid w:val="00B563A7"/>
    <w:rsid w:val="00B5694D"/>
    <w:rsid w:val="00B56A72"/>
    <w:rsid w:val="00B570B0"/>
    <w:rsid w:val="00B577D2"/>
    <w:rsid w:val="00B57A19"/>
    <w:rsid w:val="00B60F89"/>
    <w:rsid w:val="00B610D8"/>
    <w:rsid w:val="00B61883"/>
    <w:rsid w:val="00B62096"/>
    <w:rsid w:val="00B62672"/>
    <w:rsid w:val="00B628D2"/>
    <w:rsid w:val="00B628F1"/>
    <w:rsid w:val="00B63847"/>
    <w:rsid w:val="00B639B1"/>
    <w:rsid w:val="00B63A1A"/>
    <w:rsid w:val="00B63A30"/>
    <w:rsid w:val="00B65F9B"/>
    <w:rsid w:val="00B662B7"/>
    <w:rsid w:val="00B664FD"/>
    <w:rsid w:val="00B66B1C"/>
    <w:rsid w:val="00B67102"/>
    <w:rsid w:val="00B671FF"/>
    <w:rsid w:val="00B677B0"/>
    <w:rsid w:val="00B67868"/>
    <w:rsid w:val="00B67BB4"/>
    <w:rsid w:val="00B67EA0"/>
    <w:rsid w:val="00B70692"/>
    <w:rsid w:val="00B70F9D"/>
    <w:rsid w:val="00B711A4"/>
    <w:rsid w:val="00B71B66"/>
    <w:rsid w:val="00B71BC5"/>
    <w:rsid w:val="00B722F7"/>
    <w:rsid w:val="00B72AB8"/>
    <w:rsid w:val="00B72C74"/>
    <w:rsid w:val="00B72D4C"/>
    <w:rsid w:val="00B737C7"/>
    <w:rsid w:val="00B73AAD"/>
    <w:rsid w:val="00B743E8"/>
    <w:rsid w:val="00B745FC"/>
    <w:rsid w:val="00B75091"/>
    <w:rsid w:val="00B762E9"/>
    <w:rsid w:val="00B762F8"/>
    <w:rsid w:val="00B76D6B"/>
    <w:rsid w:val="00B770E8"/>
    <w:rsid w:val="00B772B7"/>
    <w:rsid w:val="00B77910"/>
    <w:rsid w:val="00B77911"/>
    <w:rsid w:val="00B77B1C"/>
    <w:rsid w:val="00B77B34"/>
    <w:rsid w:val="00B77EEF"/>
    <w:rsid w:val="00B809DD"/>
    <w:rsid w:val="00B80AE2"/>
    <w:rsid w:val="00B82368"/>
    <w:rsid w:val="00B82417"/>
    <w:rsid w:val="00B83104"/>
    <w:rsid w:val="00B83AC4"/>
    <w:rsid w:val="00B83DB5"/>
    <w:rsid w:val="00B853C3"/>
    <w:rsid w:val="00B856BB"/>
    <w:rsid w:val="00B862A9"/>
    <w:rsid w:val="00B868B6"/>
    <w:rsid w:val="00B86A7E"/>
    <w:rsid w:val="00B86B11"/>
    <w:rsid w:val="00B86C7A"/>
    <w:rsid w:val="00B870DA"/>
    <w:rsid w:val="00B871C9"/>
    <w:rsid w:val="00B87439"/>
    <w:rsid w:val="00B87864"/>
    <w:rsid w:val="00B87EB2"/>
    <w:rsid w:val="00B907EA"/>
    <w:rsid w:val="00B90B0F"/>
    <w:rsid w:val="00B90FB4"/>
    <w:rsid w:val="00B91EEE"/>
    <w:rsid w:val="00B92E37"/>
    <w:rsid w:val="00B92EE0"/>
    <w:rsid w:val="00B932AC"/>
    <w:rsid w:val="00B93CF5"/>
    <w:rsid w:val="00B94BE9"/>
    <w:rsid w:val="00B94C30"/>
    <w:rsid w:val="00B952F4"/>
    <w:rsid w:val="00B95831"/>
    <w:rsid w:val="00B95935"/>
    <w:rsid w:val="00B95C20"/>
    <w:rsid w:val="00B95C84"/>
    <w:rsid w:val="00B962DE"/>
    <w:rsid w:val="00B96FAC"/>
    <w:rsid w:val="00B96FAE"/>
    <w:rsid w:val="00B977D1"/>
    <w:rsid w:val="00B9794E"/>
    <w:rsid w:val="00BA013B"/>
    <w:rsid w:val="00BA019D"/>
    <w:rsid w:val="00BA04A2"/>
    <w:rsid w:val="00BA069E"/>
    <w:rsid w:val="00BA14AE"/>
    <w:rsid w:val="00BA1766"/>
    <w:rsid w:val="00BA1973"/>
    <w:rsid w:val="00BA1E29"/>
    <w:rsid w:val="00BA1F94"/>
    <w:rsid w:val="00BA24B1"/>
    <w:rsid w:val="00BA2AE3"/>
    <w:rsid w:val="00BA3660"/>
    <w:rsid w:val="00BA3791"/>
    <w:rsid w:val="00BA3ACB"/>
    <w:rsid w:val="00BA3DEE"/>
    <w:rsid w:val="00BA3EF3"/>
    <w:rsid w:val="00BA4D5D"/>
    <w:rsid w:val="00BA5113"/>
    <w:rsid w:val="00BA544F"/>
    <w:rsid w:val="00BA577A"/>
    <w:rsid w:val="00BA583C"/>
    <w:rsid w:val="00BA5C50"/>
    <w:rsid w:val="00BA6108"/>
    <w:rsid w:val="00BA6398"/>
    <w:rsid w:val="00BA6A03"/>
    <w:rsid w:val="00BA6CE3"/>
    <w:rsid w:val="00BA6DA6"/>
    <w:rsid w:val="00BA6E00"/>
    <w:rsid w:val="00BA7446"/>
    <w:rsid w:val="00BA7919"/>
    <w:rsid w:val="00BA7A7D"/>
    <w:rsid w:val="00BA7AF2"/>
    <w:rsid w:val="00BA7BDF"/>
    <w:rsid w:val="00BA7FFD"/>
    <w:rsid w:val="00BB043F"/>
    <w:rsid w:val="00BB04E1"/>
    <w:rsid w:val="00BB0D87"/>
    <w:rsid w:val="00BB13A7"/>
    <w:rsid w:val="00BB19F6"/>
    <w:rsid w:val="00BB1A66"/>
    <w:rsid w:val="00BB22AC"/>
    <w:rsid w:val="00BB31C5"/>
    <w:rsid w:val="00BB552B"/>
    <w:rsid w:val="00BB5619"/>
    <w:rsid w:val="00BB5BEB"/>
    <w:rsid w:val="00BB5E96"/>
    <w:rsid w:val="00BB6A70"/>
    <w:rsid w:val="00BB6B76"/>
    <w:rsid w:val="00BB753B"/>
    <w:rsid w:val="00BB7BFF"/>
    <w:rsid w:val="00BC054B"/>
    <w:rsid w:val="00BC0CFC"/>
    <w:rsid w:val="00BC1377"/>
    <w:rsid w:val="00BC1394"/>
    <w:rsid w:val="00BC17B7"/>
    <w:rsid w:val="00BC1CF1"/>
    <w:rsid w:val="00BC235C"/>
    <w:rsid w:val="00BC23DA"/>
    <w:rsid w:val="00BC29FA"/>
    <w:rsid w:val="00BC2AB6"/>
    <w:rsid w:val="00BC2D4F"/>
    <w:rsid w:val="00BC30AB"/>
    <w:rsid w:val="00BC353D"/>
    <w:rsid w:val="00BC387F"/>
    <w:rsid w:val="00BC39E3"/>
    <w:rsid w:val="00BC41EC"/>
    <w:rsid w:val="00BC4690"/>
    <w:rsid w:val="00BC4693"/>
    <w:rsid w:val="00BC480E"/>
    <w:rsid w:val="00BC4B42"/>
    <w:rsid w:val="00BC5662"/>
    <w:rsid w:val="00BC5FF2"/>
    <w:rsid w:val="00BC62F1"/>
    <w:rsid w:val="00BC739D"/>
    <w:rsid w:val="00BC7680"/>
    <w:rsid w:val="00BC7B81"/>
    <w:rsid w:val="00BC7BE8"/>
    <w:rsid w:val="00BD0C07"/>
    <w:rsid w:val="00BD0D39"/>
    <w:rsid w:val="00BD0EFF"/>
    <w:rsid w:val="00BD0FD1"/>
    <w:rsid w:val="00BD1797"/>
    <w:rsid w:val="00BD18C3"/>
    <w:rsid w:val="00BD1CC1"/>
    <w:rsid w:val="00BD1D44"/>
    <w:rsid w:val="00BD24D7"/>
    <w:rsid w:val="00BD2861"/>
    <w:rsid w:val="00BD2DF5"/>
    <w:rsid w:val="00BD2F06"/>
    <w:rsid w:val="00BD3219"/>
    <w:rsid w:val="00BD345F"/>
    <w:rsid w:val="00BD35A6"/>
    <w:rsid w:val="00BD381E"/>
    <w:rsid w:val="00BD5FDF"/>
    <w:rsid w:val="00BD6182"/>
    <w:rsid w:val="00BD65F5"/>
    <w:rsid w:val="00BD6DEF"/>
    <w:rsid w:val="00BD7789"/>
    <w:rsid w:val="00BD7983"/>
    <w:rsid w:val="00BE01EB"/>
    <w:rsid w:val="00BE04A4"/>
    <w:rsid w:val="00BE0F08"/>
    <w:rsid w:val="00BE2B68"/>
    <w:rsid w:val="00BE3339"/>
    <w:rsid w:val="00BE3EC6"/>
    <w:rsid w:val="00BE3FCC"/>
    <w:rsid w:val="00BE4628"/>
    <w:rsid w:val="00BE4757"/>
    <w:rsid w:val="00BE48B6"/>
    <w:rsid w:val="00BE4BE6"/>
    <w:rsid w:val="00BE4D61"/>
    <w:rsid w:val="00BE503F"/>
    <w:rsid w:val="00BE50B4"/>
    <w:rsid w:val="00BE51AB"/>
    <w:rsid w:val="00BE5646"/>
    <w:rsid w:val="00BE5A05"/>
    <w:rsid w:val="00BE601F"/>
    <w:rsid w:val="00BE64E3"/>
    <w:rsid w:val="00BE713A"/>
    <w:rsid w:val="00BE7683"/>
    <w:rsid w:val="00BE7853"/>
    <w:rsid w:val="00BE7DAE"/>
    <w:rsid w:val="00BE7DBE"/>
    <w:rsid w:val="00BE7F17"/>
    <w:rsid w:val="00BF03A4"/>
    <w:rsid w:val="00BF0462"/>
    <w:rsid w:val="00BF0A6F"/>
    <w:rsid w:val="00BF0C49"/>
    <w:rsid w:val="00BF0CE3"/>
    <w:rsid w:val="00BF2271"/>
    <w:rsid w:val="00BF27AA"/>
    <w:rsid w:val="00BF2F67"/>
    <w:rsid w:val="00BF30A8"/>
    <w:rsid w:val="00BF34DD"/>
    <w:rsid w:val="00BF3DD5"/>
    <w:rsid w:val="00BF3E9C"/>
    <w:rsid w:val="00BF4508"/>
    <w:rsid w:val="00BF472A"/>
    <w:rsid w:val="00BF4825"/>
    <w:rsid w:val="00BF4B93"/>
    <w:rsid w:val="00BF54F0"/>
    <w:rsid w:val="00BF5519"/>
    <w:rsid w:val="00BF56B0"/>
    <w:rsid w:val="00BF6071"/>
    <w:rsid w:val="00BF6C24"/>
    <w:rsid w:val="00BF6E73"/>
    <w:rsid w:val="00BF70C8"/>
    <w:rsid w:val="00BF73D2"/>
    <w:rsid w:val="00BF7B73"/>
    <w:rsid w:val="00C013BF"/>
    <w:rsid w:val="00C01910"/>
    <w:rsid w:val="00C03574"/>
    <w:rsid w:val="00C0392F"/>
    <w:rsid w:val="00C03EE0"/>
    <w:rsid w:val="00C0444A"/>
    <w:rsid w:val="00C04B67"/>
    <w:rsid w:val="00C0505B"/>
    <w:rsid w:val="00C054F7"/>
    <w:rsid w:val="00C05BFC"/>
    <w:rsid w:val="00C06110"/>
    <w:rsid w:val="00C06541"/>
    <w:rsid w:val="00C065DF"/>
    <w:rsid w:val="00C06654"/>
    <w:rsid w:val="00C06975"/>
    <w:rsid w:val="00C06FE6"/>
    <w:rsid w:val="00C071C8"/>
    <w:rsid w:val="00C0752C"/>
    <w:rsid w:val="00C10224"/>
    <w:rsid w:val="00C11C0D"/>
    <w:rsid w:val="00C123E3"/>
    <w:rsid w:val="00C1262A"/>
    <w:rsid w:val="00C1308D"/>
    <w:rsid w:val="00C130DA"/>
    <w:rsid w:val="00C13417"/>
    <w:rsid w:val="00C1344E"/>
    <w:rsid w:val="00C13A09"/>
    <w:rsid w:val="00C13D28"/>
    <w:rsid w:val="00C13D35"/>
    <w:rsid w:val="00C14792"/>
    <w:rsid w:val="00C14E00"/>
    <w:rsid w:val="00C15781"/>
    <w:rsid w:val="00C157C2"/>
    <w:rsid w:val="00C15BD7"/>
    <w:rsid w:val="00C15F60"/>
    <w:rsid w:val="00C16095"/>
    <w:rsid w:val="00C16703"/>
    <w:rsid w:val="00C168A7"/>
    <w:rsid w:val="00C16D9E"/>
    <w:rsid w:val="00C171AB"/>
    <w:rsid w:val="00C17200"/>
    <w:rsid w:val="00C2007E"/>
    <w:rsid w:val="00C203C3"/>
    <w:rsid w:val="00C2067C"/>
    <w:rsid w:val="00C21750"/>
    <w:rsid w:val="00C21BAC"/>
    <w:rsid w:val="00C21D89"/>
    <w:rsid w:val="00C21EDB"/>
    <w:rsid w:val="00C21F3A"/>
    <w:rsid w:val="00C220BF"/>
    <w:rsid w:val="00C22289"/>
    <w:rsid w:val="00C22506"/>
    <w:rsid w:val="00C2302B"/>
    <w:rsid w:val="00C23369"/>
    <w:rsid w:val="00C23534"/>
    <w:rsid w:val="00C2387B"/>
    <w:rsid w:val="00C23907"/>
    <w:rsid w:val="00C23BA4"/>
    <w:rsid w:val="00C2524D"/>
    <w:rsid w:val="00C253BD"/>
    <w:rsid w:val="00C255B5"/>
    <w:rsid w:val="00C256D0"/>
    <w:rsid w:val="00C25B41"/>
    <w:rsid w:val="00C261CF"/>
    <w:rsid w:val="00C261DC"/>
    <w:rsid w:val="00C261E5"/>
    <w:rsid w:val="00C262EB"/>
    <w:rsid w:val="00C2745D"/>
    <w:rsid w:val="00C301AE"/>
    <w:rsid w:val="00C30292"/>
    <w:rsid w:val="00C309A6"/>
    <w:rsid w:val="00C30A00"/>
    <w:rsid w:val="00C3126D"/>
    <w:rsid w:val="00C323A6"/>
    <w:rsid w:val="00C32873"/>
    <w:rsid w:val="00C32FFD"/>
    <w:rsid w:val="00C33745"/>
    <w:rsid w:val="00C340C5"/>
    <w:rsid w:val="00C3487A"/>
    <w:rsid w:val="00C348CD"/>
    <w:rsid w:val="00C34BCF"/>
    <w:rsid w:val="00C352E5"/>
    <w:rsid w:val="00C35896"/>
    <w:rsid w:val="00C35991"/>
    <w:rsid w:val="00C36148"/>
    <w:rsid w:val="00C362F5"/>
    <w:rsid w:val="00C366C0"/>
    <w:rsid w:val="00C36B2C"/>
    <w:rsid w:val="00C36D9B"/>
    <w:rsid w:val="00C37132"/>
    <w:rsid w:val="00C37C33"/>
    <w:rsid w:val="00C4133D"/>
    <w:rsid w:val="00C417D1"/>
    <w:rsid w:val="00C41969"/>
    <w:rsid w:val="00C41975"/>
    <w:rsid w:val="00C4271A"/>
    <w:rsid w:val="00C43AD0"/>
    <w:rsid w:val="00C43EA9"/>
    <w:rsid w:val="00C43FD4"/>
    <w:rsid w:val="00C45255"/>
    <w:rsid w:val="00C45DEC"/>
    <w:rsid w:val="00C4635F"/>
    <w:rsid w:val="00C463EE"/>
    <w:rsid w:val="00C46541"/>
    <w:rsid w:val="00C4662A"/>
    <w:rsid w:val="00C468EF"/>
    <w:rsid w:val="00C46A9C"/>
    <w:rsid w:val="00C46D67"/>
    <w:rsid w:val="00C478B8"/>
    <w:rsid w:val="00C507BD"/>
    <w:rsid w:val="00C50D76"/>
    <w:rsid w:val="00C50DEE"/>
    <w:rsid w:val="00C50E19"/>
    <w:rsid w:val="00C511D4"/>
    <w:rsid w:val="00C52187"/>
    <w:rsid w:val="00C5247D"/>
    <w:rsid w:val="00C532D6"/>
    <w:rsid w:val="00C53A1E"/>
    <w:rsid w:val="00C54071"/>
    <w:rsid w:val="00C5470C"/>
    <w:rsid w:val="00C56041"/>
    <w:rsid w:val="00C56185"/>
    <w:rsid w:val="00C566A2"/>
    <w:rsid w:val="00C5692B"/>
    <w:rsid w:val="00C57072"/>
    <w:rsid w:val="00C575A1"/>
    <w:rsid w:val="00C57C81"/>
    <w:rsid w:val="00C57CA9"/>
    <w:rsid w:val="00C57EEE"/>
    <w:rsid w:val="00C607DA"/>
    <w:rsid w:val="00C6093B"/>
    <w:rsid w:val="00C60DE0"/>
    <w:rsid w:val="00C61608"/>
    <w:rsid w:val="00C6270C"/>
    <w:rsid w:val="00C632D9"/>
    <w:rsid w:val="00C63476"/>
    <w:rsid w:val="00C63A47"/>
    <w:rsid w:val="00C64965"/>
    <w:rsid w:val="00C65943"/>
    <w:rsid w:val="00C65B92"/>
    <w:rsid w:val="00C65C12"/>
    <w:rsid w:val="00C65E3D"/>
    <w:rsid w:val="00C6632E"/>
    <w:rsid w:val="00C66661"/>
    <w:rsid w:val="00C6716C"/>
    <w:rsid w:val="00C67960"/>
    <w:rsid w:val="00C67F01"/>
    <w:rsid w:val="00C70480"/>
    <w:rsid w:val="00C70814"/>
    <w:rsid w:val="00C70921"/>
    <w:rsid w:val="00C70960"/>
    <w:rsid w:val="00C70C94"/>
    <w:rsid w:val="00C7160C"/>
    <w:rsid w:val="00C71BFC"/>
    <w:rsid w:val="00C71EDA"/>
    <w:rsid w:val="00C7275A"/>
    <w:rsid w:val="00C72ADA"/>
    <w:rsid w:val="00C72D2D"/>
    <w:rsid w:val="00C73372"/>
    <w:rsid w:val="00C7352E"/>
    <w:rsid w:val="00C73624"/>
    <w:rsid w:val="00C73D36"/>
    <w:rsid w:val="00C73DD7"/>
    <w:rsid w:val="00C73EC6"/>
    <w:rsid w:val="00C7568A"/>
    <w:rsid w:val="00C75798"/>
    <w:rsid w:val="00C75B14"/>
    <w:rsid w:val="00C75CFC"/>
    <w:rsid w:val="00C7629E"/>
    <w:rsid w:val="00C762CD"/>
    <w:rsid w:val="00C76602"/>
    <w:rsid w:val="00C76882"/>
    <w:rsid w:val="00C77108"/>
    <w:rsid w:val="00C775F9"/>
    <w:rsid w:val="00C8015A"/>
    <w:rsid w:val="00C80DA5"/>
    <w:rsid w:val="00C81222"/>
    <w:rsid w:val="00C81252"/>
    <w:rsid w:val="00C8168D"/>
    <w:rsid w:val="00C82D86"/>
    <w:rsid w:val="00C82FF1"/>
    <w:rsid w:val="00C83547"/>
    <w:rsid w:val="00C83EE2"/>
    <w:rsid w:val="00C841FA"/>
    <w:rsid w:val="00C84671"/>
    <w:rsid w:val="00C858A5"/>
    <w:rsid w:val="00C8599F"/>
    <w:rsid w:val="00C859FA"/>
    <w:rsid w:val="00C85E12"/>
    <w:rsid w:val="00C863A9"/>
    <w:rsid w:val="00C866B7"/>
    <w:rsid w:val="00C86CFD"/>
    <w:rsid w:val="00C87442"/>
    <w:rsid w:val="00C904BC"/>
    <w:rsid w:val="00C9069C"/>
    <w:rsid w:val="00C91B12"/>
    <w:rsid w:val="00C91F69"/>
    <w:rsid w:val="00C921DB"/>
    <w:rsid w:val="00C925C5"/>
    <w:rsid w:val="00C92743"/>
    <w:rsid w:val="00C92A53"/>
    <w:rsid w:val="00C934D7"/>
    <w:rsid w:val="00C93A9A"/>
    <w:rsid w:val="00C949B7"/>
    <w:rsid w:val="00C94FF7"/>
    <w:rsid w:val="00C95334"/>
    <w:rsid w:val="00C953C7"/>
    <w:rsid w:val="00C95E83"/>
    <w:rsid w:val="00C95EF5"/>
    <w:rsid w:val="00C96467"/>
    <w:rsid w:val="00C97723"/>
    <w:rsid w:val="00C97A4E"/>
    <w:rsid w:val="00CA0150"/>
    <w:rsid w:val="00CA042D"/>
    <w:rsid w:val="00CA0C38"/>
    <w:rsid w:val="00CA10D9"/>
    <w:rsid w:val="00CA1B6E"/>
    <w:rsid w:val="00CA1EC8"/>
    <w:rsid w:val="00CA2333"/>
    <w:rsid w:val="00CA2472"/>
    <w:rsid w:val="00CA2823"/>
    <w:rsid w:val="00CA29A9"/>
    <w:rsid w:val="00CA2C03"/>
    <w:rsid w:val="00CA2EF3"/>
    <w:rsid w:val="00CA3291"/>
    <w:rsid w:val="00CA366C"/>
    <w:rsid w:val="00CA3916"/>
    <w:rsid w:val="00CA4BD7"/>
    <w:rsid w:val="00CA4F31"/>
    <w:rsid w:val="00CA5256"/>
    <w:rsid w:val="00CA60D6"/>
    <w:rsid w:val="00CA63DC"/>
    <w:rsid w:val="00CA64BC"/>
    <w:rsid w:val="00CA6BD1"/>
    <w:rsid w:val="00CA6F30"/>
    <w:rsid w:val="00CA738E"/>
    <w:rsid w:val="00CB12CC"/>
    <w:rsid w:val="00CB180D"/>
    <w:rsid w:val="00CB243C"/>
    <w:rsid w:val="00CB26D4"/>
    <w:rsid w:val="00CB2A7B"/>
    <w:rsid w:val="00CB2C4C"/>
    <w:rsid w:val="00CB3113"/>
    <w:rsid w:val="00CB3FD3"/>
    <w:rsid w:val="00CB48EE"/>
    <w:rsid w:val="00CB4D06"/>
    <w:rsid w:val="00CB5080"/>
    <w:rsid w:val="00CB5A4D"/>
    <w:rsid w:val="00CB5F61"/>
    <w:rsid w:val="00CB6CAF"/>
    <w:rsid w:val="00CB6F8D"/>
    <w:rsid w:val="00CB78F4"/>
    <w:rsid w:val="00CC0043"/>
    <w:rsid w:val="00CC00A0"/>
    <w:rsid w:val="00CC0A55"/>
    <w:rsid w:val="00CC0FAA"/>
    <w:rsid w:val="00CC0FD4"/>
    <w:rsid w:val="00CC0FEA"/>
    <w:rsid w:val="00CC1DAB"/>
    <w:rsid w:val="00CC214F"/>
    <w:rsid w:val="00CC2372"/>
    <w:rsid w:val="00CC2373"/>
    <w:rsid w:val="00CC2A0E"/>
    <w:rsid w:val="00CC3083"/>
    <w:rsid w:val="00CC3440"/>
    <w:rsid w:val="00CC369C"/>
    <w:rsid w:val="00CC3CC3"/>
    <w:rsid w:val="00CC3D49"/>
    <w:rsid w:val="00CC42B2"/>
    <w:rsid w:val="00CC47CE"/>
    <w:rsid w:val="00CC48C0"/>
    <w:rsid w:val="00CC5B3B"/>
    <w:rsid w:val="00CC6729"/>
    <w:rsid w:val="00CC68BF"/>
    <w:rsid w:val="00CC6911"/>
    <w:rsid w:val="00CC6ABC"/>
    <w:rsid w:val="00CC7603"/>
    <w:rsid w:val="00CC78CC"/>
    <w:rsid w:val="00CD0026"/>
    <w:rsid w:val="00CD0305"/>
    <w:rsid w:val="00CD10AE"/>
    <w:rsid w:val="00CD1CF1"/>
    <w:rsid w:val="00CD2087"/>
    <w:rsid w:val="00CD232E"/>
    <w:rsid w:val="00CD2993"/>
    <w:rsid w:val="00CD2D19"/>
    <w:rsid w:val="00CD38EA"/>
    <w:rsid w:val="00CD3A48"/>
    <w:rsid w:val="00CD3B8B"/>
    <w:rsid w:val="00CD4573"/>
    <w:rsid w:val="00CD5F97"/>
    <w:rsid w:val="00CD67ED"/>
    <w:rsid w:val="00CD7AE9"/>
    <w:rsid w:val="00CE011F"/>
    <w:rsid w:val="00CE05D6"/>
    <w:rsid w:val="00CE119F"/>
    <w:rsid w:val="00CE1C01"/>
    <w:rsid w:val="00CE208C"/>
    <w:rsid w:val="00CE2118"/>
    <w:rsid w:val="00CE215F"/>
    <w:rsid w:val="00CE2B52"/>
    <w:rsid w:val="00CE3A3B"/>
    <w:rsid w:val="00CE3A76"/>
    <w:rsid w:val="00CE3A94"/>
    <w:rsid w:val="00CE40D0"/>
    <w:rsid w:val="00CE42F1"/>
    <w:rsid w:val="00CE4A58"/>
    <w:rsid w:val="00CE4F24"/>
    <w:rsid w:val="00CE51C1"/>
    <w:rsid w:val="00CE63A2"/>
    <w:rsid w:val="00CE6CD8"/>
    <w:rsid w:val="00CE750F"/>
    <w:rsid w:val="00CE775D"/>
    <w:rsid w:val="00CE78F2"/>
    <w:rsid w:val="00CE7926"/>
    <w:rsid w:val="00CE7955"/>
    <w:rsid w:val="00CE7EFA"/>
    <w:rsid w:val="00CE7F88"/>
    <w:rsid w:val="00CF0276"/>
    <w:rsid w:val="00CF083D"/>
    <w:rsid w:val="00CF0BED"/>
    <w:rsid w:val="00CF0FD7"/>
    <w:rsid w:val="00CF105A"/>
    <w:rsid w:val="00CF1CD4"/>
    <w:rsid w:val="00CF1E02"/>
    <w:rsid w:val="00CF2278"/>
    <w:rsid w:val="00CF2473"/>
    <w:rsid w:val="00CF2924"/>
    <w:rsid w:val="00CF2C59"/>
    <w:rsid w:val="00CF3047"/>
    <w:rsid w:val="00CF32E3"/>
    <w:rsid w:val="00CF3CE2"/>
    <w:rsid w:val="00CF4189"/>
    <w:rsid w:val="00CF426D"/>
    <w:rsid w:val="00CF55BF"/>
    <w:rsid w:val="00CF5ADF"/>
    <w:rsid w:val="00CF5C95"/>
    <w:rsid w:val="00CF6891"/>
    <w:rsid w:val="00CF689D"/>
    <w:rsid w:val="00CF6DB9"/>
    <w:rsid w:val="00CF721A"/>
    <w:rsid w:val="00CF77E5"/>
    <w:rsid w:val="00CF79DD"/>
    <w:rsid w:val="00CF7B41"/>
    <w:rsid w:val="00D000DD"/>
    <w:rsid w:val="00D01BBA"/>
    <w:rsid w:val="00D01EA0"/>
    <w:rsid w:val="00D027B6"/>
    <w:rsid w:val="00D0293A"/>
    <w:rsid w:val="00D03629"/>
    <w:rsid w:val="00D03691"/>
    <w:rsid w:val="00D03BE2"/>
    <w:rsid w:val="00D03C46"/>
    <w:rsid w:val="00D03CAD"/>
    <w:rsid w:val="00D04493"/>
    <w:rsid w:val="00D04AED"/>
    <w:rsid w:val="00D05021"/>
    <w:rsid w:val="00D0521E"/>
    <w:rsid w:val="00D05507"/>
    <w:rsid w:val="00D05794"/>
    <w:rsid w:val="00D05926"/>
    <w:rsid w:val="00D05940"/>
    <w:rsid w:val="00D0596F"/>
    <w:rsid w:val="00D05A14"/>
    <w:rsid w:val="00D05C5C"/>
    <w:rsid w:val="00D0607B"/>
    <w:rsid w:val="00D06190"/>
    <w:rsid w:val="00D065FC"/>
    <w:rsid w:val="00D068A8"/>
    <w:rsid w:val="00D0693A"/>
    <w:rsid w:val="00D07A13"/>
    <w:rsid w:val="00D106E2"/>
    <w:rsid w:val="00D109DD"/>
    <w:rsid w:val="00D10CB6"/>
    <w:rsid w:val="00D10FEB"/>
    <w:rsid w:val="00D113BB"/>
    <w:rsid w:val="00D120C7"/>
    <w:rsid w:val="00D128F6"/>
    <w:rsid w:val="00D13230"/>
    <w:rsid w:val="00D13356"/>
    <w:rsid w:val="00D1399A"/>
    <w:rsid w:val="00D141DF"/>
    <w:rsid w:val="00D14317"/>
    <w:rsid w:val="00D149A5"/>
    <w:rsid w:val="00D151D2"/>
    <w:rsid w:val="00D1609E"/>
    <w:rsid w:val="00D167CB"/>
    <w:rsid w:val="00D16C1F"/>
    <w:rsid w:val="00D20583"/>
    <w:rsid w:val="00D20C4F"/>
    <w:rsid w:val="00D20D14"/>
    <w:rsid w:val="00D21523"/>
    <w:rsid w:val="00D22ACF"/>
    <w:rsid w:val="00D22FD7"/>
    <w:rsid w:val="00D23431"/>
    <w:rsid w:val="00D2362C"/>
    <w:rsid w:val="00D23820"/>
    <w:rsid w:val="00D239AF"/>
    <w:rsid w:val="00D24043"/>
    <w:rsid w:val="00D2418B"/>
    <w:rsid w:val="00D24B88"/>
    <w:rsid w:val="00D2539F"/>
    <w:rsid w:val="00D25C05"/>
    <w:rsid w:val="00D25E9D"/>
    <w:rsid w:val="00D264CC"/>
    <w:rsid w:val="00D273A1"/>
    <w:rsid w:val="00D27D41"/>
    <w:rsid w:val="00D30FD2"/>
    <w:rsid w:val="00D317CA"/>
    <w:rsid w:val="00D320C0"/>
    <w:rsid w:val="00D321A7"/>
    <w:rsid w:val="00D32C64"/>
    <w:rsid w:val="00D32D23"/>
    <w:rsid w:val="00D3307A"/>
    <w:rsid w:val="00D332C2"/>
    <w:rsid w:val="00D337DD"/>
    <w:rsid w:val="00D3406F"/>
    <w:rsid w:val="00D3481F"/>
    <w:rsid w:val="00D34A64"/>
    <w:rsid w:val="00D34ACE"/>
    <w:rsid w:val="00D34C78"/>
    <w:rsid w:val="00D35A33"/>
    <w:rsid w:val="00D35B1D"/>
    <w:rsid w:val="00D35DE9"/>
    <w:rsid w:val="00D36268"/>
    <w:rsid w:val="00D36527"/>
    <w:rsid w:val="00D3669A"/>
    <w:rsid w:val="00D3698C"/>
    <w:rsid w:val="00D37366"/>
    <w:rsid w:val="00D4041D"/>
    <w:rsid w:val="00D40E32"/>
    <w:rsid w:val="00D415E7"/>
    <w:rsid w:val="00D42AAD"/>
    <w:rsid w:val="00D4305B"/>
    <w:rsid w:val="00D438D9"/>
    <w:rsid w:val="00D439B5"/>
    <w:rsid w:val="00D43CC9"/>
    <w:rsid w:val="00D44A95"/>
    <w:rsid w:val="00D44BEA"/>
    <w:rsid w:val="00D44EC0"/>
    <w:rsid w:val="00D455DA"/>
    <w:rsid w:val="00D4569A"/>
    <w:rsid w:val="00D45E80"/>
    <w:rsid w:val="00D45ED6"/>
    <w:rsid w:val="00D46114"/>
    <w:rsid w:val="00D46592"/>
    <w:rsid w:val="00D4697B"/>
    <w:rsid w:val="00D46A4E"/>
    <w:rsid w:val="00D46AE4"/>
    <w:rsid w:val="00D47025"/>
    <w:rsid w:val="00D4720B"/>
    <w:rsid w:val="00D47273"/>
    <w:rsid w:val="00D47690"/>
    <w:rsid w:val="00D5053A"/>
    <w:rsid w:val="00D5058E"/>
    <w:rsid w:val="00D505AF"/>
    <w:rsid w:val="00D512B2"/>
    <w:rsid w:val="00D51607"/>
    <w:rsid w:val="00D516F3"/>
    <w:rsid w:val="00D51C68"/>
    <w:rsid w:val="00D52851"/>
    <w:rsid w:val="00D52C84"/>
    <w:rsid w:val="00D52D57"/>
    <w:rsid w:val="00D52F61"/>
    <w:rsid w:val="00D53012"/>
    <w:rsid w:val="00D534BE"/>
    <w:rsid w:val="00D53525"/>
    <w:rsid w:val="00D536D3"/>
    <w:rsid w:val="00D53BE6"/>
    <w:rsid w:val="00D54D95"/>
    <w:rsid w:val="00D553F9"/>
    <w:rsid w:val="00D55F44"/>
    <w:rsid w:val="00D56074"/>
    <w:rsid w:val="00D573B6"/>
    <w:rsid w:val="00D57B90"/>
    <w:rsid w:val="00D57FA7"/>
    <w:rsid w:val="00D60124"/>
    <w:rsid w:val="00D606B7"/>
    <w:rsid w:val="00D60BA9"/>
    <w:rsid w:val="00D60E99"/>
    <w:rsid w:val="00D61287"/>
    <w:rsid w:val="00D61571"/>
    <w:rsid w:val="00D61CCA"/>
    <w:rsid w:val="00D61CE6"/>
    <w:rsid w:val="00D61F98"/>
    <w:rsid w:val="00D6225E"/>
    <w:rsid w:val="00D62671"/>
    <w:rsid w:val="00D62A66"/>
    <w:rsid w:val="00D62BCC"/>
    <w:rsid w:val="00D6314B"/>
    <w:rsid w:val="00D633B9"/>
    <w:rsid w:val="00D63B2F"/>
    <w:rsid w:val="00D641A1"/>
    <w:rsid w:val="00D64B24"/>
    <w:rsid w:val="00D6542C"/>
    <w:rsid w:val="00D656CD"/>
    <w:rsid w:val="00D65B17"/>
    <w:rsid w:val="00D65BF7"/>
    <w:rsid w:val="00D6645F"/>
    <w:rsid w:val="00D66999"/>
    <w:rsid w:val="00D679FB"/>
    <w:rsid w:val="00D706B7"/>
    <w:rsid w:val="00D70E51"/>
    <w:rsid w:val="00D7102E"/>
    <w:rsid w:val="00D71052"/>
    <w:rsid w:val="00D717D4"/>
    <w:rsid w:val="00D71876"/>
    <w:rsid w:val="00D718EC"/>
    <w:rsid w:val="00D71A09"/>
    <w:rsid w:val="00D71A14"/>
    <w:rsid w:val="00D72649"/>
    <w:rsid w:val="00D72863"/>
    <w:rsid w:val="00D72867"/>
    <w:rsid w:val="00D72EEC"/>
    <w:rsid w:val="00D731EC"/>
    <w:rsid w:val="00D737DA"/>
    <w:rsid w:val="00D73CAE"/>
    <w:rsid w:val="00D73CBD"/>
    <w:rsid w:val="00D73F96"/>
    <w:rsid w:val="00D747B3"/>
    <w:rsid w:val="00D74B6E"/>
    <w:rsid w:val="00D74D11"/>
    <w:rsid w:val="00D752B8"/>
    <w:rsid w:val="00D75CDC"/>
    <w:rsid w:val="00D75DAF"/>
    <w:rsid w:val="00D75E7C"/>
    <w:rsid w:val="00D7698D"/>
    <w:rsid w:val="00D76B99"/>
    <w:rsid w:val="00D771E0"/>
    <w:rsid w:val="00D77EB4"/>
    <w:rsid w:val="00D802CB"/>
    <w:rsid w:val="00D80BF7"/>
    <w:rsid w:val="00D819F6"/>
    <w:rsid w:val="00D81A38"/>
    <w:rsid w:val="00D81A8A"/>
    <w:rsid w:val="00D81C7E"/>
    <w:rsid w:val="00D82608"/>
    <w:rsid w:val="00D83695"/>
    <w:rsid w:val="00D836E7"/>
    <w:rsid w:val="00D847C5"/>
    <w:rsid w:val="00D84B91"/>
    <w:rsid w:val="00D84E5E"/>
    <w:rsid w:val="00D84F43"/>
    <w:rsid w:val="00D85897"/>
    <w:rsid w:val="00D85A9E"/>
    <w:rsid w:val="00D85DEC"/>
    <w:rsid w:val="00D872B0"/>
    <w:rsid w:val="00D87A9E"/>
    <w:rsid w:val="00D87C36"/>
    <w:rsid w:val="00D90163"/>
    <w:rsid w:val="00D904FD"/>
    <w:rsid w:val="00D9091A"/>
    <w:rsid w:val="00D90BA7"/>
    <w:rsid w:val="00D90F86"/>
    <w:rsid w:val="00D919D3"/>
    <w:rsid w:val="00D91CFE"/>
    <w:rsid w:val="00D9258C"/>
    <w:rsid w:val="00D929AB"/>
    <w:rsid w:val="00D93BF1"/>
    <w:rsid w:val="00D93FD8"/>
    <w:rsid w:val="00D9412C"/>
    <w:rsid w:val="00D943E1"/>
    <w:rsid w:val="00D94C51"/>
    <w:rsid w:val="00D94DCE"/>
    <w:rsid w:val="00D94DE6"/>
    <w:rsid w:val="00D94FAD"/>
    <w:rsid w:val="00D952D5"/>
    <w:rsid w:val="00D954E0"/>
    <w:rsid w:val="00D958D6"/>
    <w:rsid w:val="00D959EC"/>
    <w:rsid w:val="00D9618A"/>
    <w:rsid w:val="00D96838"/>
    <w:rsid w:val="00D96ACE"/>
    <w:rsid w:val="00D97395"/>
    <w:rsid w:val="00D975B5"/>
    <w:rsid w:val="00DA00ED"/>
    <w:rsid w:val="00DA0BD8"/>
    <w:rsid w:val="00DA1BF1"/>
    <w:rsid w:val="00DA1DDF"/>
    <w:rsid w:val="00DA2242"/>
    <w:rsid w:val="00DA279C"/>
    <w:rsid w:val="00DA2CCE"/>
    <w:rsid w:val="00DA30FC"/>
    <w:rsid w:val="00DA44C8"/>
    <w:rsid w:val="00DA4618"/>
    <w:rsid w:val="00DA4625"/>
    <w:rsid w:val="00DA46AB"/>
    <w:rsid w:val="00DA539E"/>
    <w:rsid w:val="00DA53D8"/>
    <w:rsid w:val="00DA5B95"/>
    <w:rsid w:val="00DA5CF2"/>
    <w:rsid w:val="00DA5DC2"/>
    <w:rsid w:val="00DA7244"/>
    <w:rsid w:val="00DA74C0"/>
    <w:rsid w:val="00DB02A5"/>
    <w:rsid w:val="00DB0C42"/>
    <w:rsid w:val="00DB121A"/>
    <w:rsid w:val="00DB142F"/>
    <w:rsid w:val="00DB1514"/>
    <w:rsid w:val="00DB1534"/>
    <w:rsid w:val="00DB1B44"/>
    <w:rsid w:val="00DB2137"/>
    <w:rsid w:val="00DB2505"/>
    <w:rsid w:val="00DB2701"/>
    <w:rsid w:val="00DB29E7"/>
    <w:rsid w:val="00DB2C2D"/>
    <w:rsid w:val="00DB373A"/>
    <w:rsid w:val="00DB3923"/>
    <w:rsid w:val="00DB3BE5"/>
    <w:rsid w:val="00DB3FE9"/>
    <w:rsid w:val="00DB4945"/>
    <w:rsid w:val="00DB4C21"/>
    <w:rsid w:val="00DB4F6E"/>
    <w:rsid w:val="00DB52BB"/>
    <w:rsid w:val="00DB57A9"/>
    <w:rsid w:val="00DB5C1B"/>
    <w:rsid w:val="00DB5E5E"/>
    <w:rsid w:val="00DB644F"/>
    <w:rsid w:val="00DB65AC"/>
    <w:rsid w:val="00DB6A03"/>
    <w:rsid w:val="00DB704B"/>
    <w:rsid w:val="00DB73F0"/>
    <w:rsid w:val="00DB798F"/>
    <w:rsid w:val="00DB7AAB"/>
    <w:rsid w:val="00DB7E1A"/>
    <w:rsid w:val="00DC02A8"/>
    <w:rsid w:val="00DC0A79"/>
    <w:rsid w:val="00DC0B86"/>
    <w:rsid w:val="00DC0F61"/>
    <w:rsid w:val="00DC1306"/>
    <w:rsid w:val="00DC16B6"/>
    <w:rsid w:val="00DC1855"/>
    <w:rsid w:val="00DC1901"/>
    <w:rsid w:val="00DC19FC"/>
    <w:rsid w:val="00DC1CE3"/>
    <w:rsid w:val="00DC1EF8"/>
    <w:rsid w:val="00DC2125"/>
    <w:rsid w:val="00DC3425"/>
    <w:rsid w:val="00DC37D2"/>
    <w:rsid w:val="00DC42AB"/>
    <w:rsid w:val="00DC57D5"/>
    <w:rsid w:val="00DC619A"/>
    <w:rsid w:val="00DC6494"/>
    <w:rsid w:val="00DC66D5"/>
    <w:rsid w:val="00DC674F"/>
    <w:rsid w:val="00DC73B5"/>
    <w:rsid w:val="00DC75B2"/>
    <w:rsid w:val="00DC7924"/>
    <w:rsid w:val="00DD19DA"/>
    <w:rsid w:val="00DD2284"/>
    <w:rsid w:val="00DD2D86"/>
    <w:rsid w:val="00DD2DD8"/>
    <w:rsid w:val="00DD3138"/>
    <w:rsid w:val="00DD3B86"/>
    <w:rsid w:val="00DD3CC9"/>
    <w:rsid w:val="00DD412D"/>
    <w:rsid w:val="00DD4F58"/>
    <w:rsid w:val="00DD5BF4"/>
    <w:rsid w:val="00DD5BF7"/>
    <w:rsid w:val="00DD60DD"/>
    <w:rsid w:val="00DD6D11"/>
    <w:rsid w:val="00DD7B29"/>
    <w:rsid w:val="00DD7FBD"/>
    <w:rsid w:val="00DE01DD"/>
    <w:rsid w:val="00DE1602"/>
    <w:rsid w:val="00DE1747"/>
    <w:rsid w:val="00DE18F3"/>
    <w:rsid w:val="00DE193B"/>
    <w:rsid w:val="00DE1DB6"/>
    <w:rsid w:val="00DE2363"/>
    <w:rsid w:val="00DE24D2"/>
    <w:rsid w:val="00DE24E0"/>
    <w:rsid w:val="00DE25D3"/>
    <w:rsid w:val="00DE27CD"/>
    <w:rsid w:val="00DE2A25"/>
    <w:rsid w:val="00DE2D8D"/>
    <w:rsid w:val="00DE2EC7"/>
    <w:rsid w:val="00DE3249"/>
    <w:rsid w:val="00DE3B9C"/>
    <w:rsid w:val="00DE4490"/>
    <w:rsid w:val="00DE4504"/>
    <w:rsid w:val="00DE4780"/>
    <w:rsid w:val="00DE4D07"/>
    <w:rsid w:val="00DE51EE"/>
    <w:rsid w:val="00DE55C7"/>
    <w:rsid w:val="00DE583F"/>
    <w:rsid w:val="00DE5D0C"/>
    <w:rsid w:val="00DE5E06"/>
    <w:rsid w:val="00DE5F14"/>
    <w:rsid w:val="00DE69C5"/>
    <w:rsid w:val="00DE6EFE"/>
    <w:rsid w:val="00DE7405"/>
    <w:rsid w:val="00DE761D"/>
    <w:rsid w:val="00DE7E78"/>
    <w:rsid w:val="00DE7F97"/>
    <w:rsid w:val="00DF05F3"/>
    <w:rsid w:val="00DF1132"/>
    <w:rsid w:val="00DF146F"/>
    <w:rsid w:val="00DF19FC"/>
    <w:rsid w:val="00DF1FE6"/>
    <w:rsid w:val="00DF2903"/>
    <w:rsid w:val="00DF2B26"/>
    <w:rsid w:val="00DF2DD3"/>
    <w:rsid w:val="00DF395E"/>
    <w:rsid w:val="00DF3AB3"/>
    <w:rsid w:val="00DF3E6D"/>
    <w:rsid w:val="00DF461F"/>
    <w:rsid w:val="00DF4F92"/>
    <w:rsid w:val="00DF5138"/>
    <w:rsid w:val="00DF516B"/>
    <w:rsid w:val="00DF542E"/>
    <w:rsid w:val="00DF5ACF"/>
    <w:rsid w:val="00DF73E1"/>
    <w:rsid w:val="00DF7598"/>
    <w:rsid w:val="00DF7A4C"/>
    <w:rsid w:val="00DF7E06"/>
    <w:rsid w:val="00E00207"/>
    <w:rsid w:val="00E01367"/>
    <w:rsid w:val="00E014A0"/>
    <w:rsid w:val="00E018AF"/>
    <w:rsid w:val="00E01991"/>
    <w:rsid w:val="00E027A5"/>
    <w:rsid w:val="00E045B9"/>
    <w:rsid w:val="00E04756"/>
    <w:rsid w:val="00E04AA5"/>
    <w:rsid w:val="00E05123"/>
    <w:rsid w:val="00E0517D"/>
    <w:rsid w:val="00E052C1"/>
    <w:rsid w:val="00E05809"/>
    <w:rsid w:val="00E05879"/>
    <w:rsid w:val="00E06529"/>
    <w:rsid w:val="00E06787"/>
    <w:rsid w:val="00E069B0"/>
    <w:rsid w:val="00E06C0C"/>
    <w:rsid w:val="00E071A5"/>
    <w:rsid w:val="00E0734A"/>
    <w:rsid w:val="00E074F5"/>
    <w:rsid w:val="00E076C2"/>
    <w:rsid w:val="00E1031A"/>
    <w:rsid w:val="00E10FB3"/>
    <w:rsid w:val="00E116C3"/>
    <w:rsid w:val="00E116EC"/>
    <w:rsid w:val="00E11CB6"/>
    <w:rsid w:val="00E12E1E"/>
    <w:rsid w:val="00E135CB"/>
    <w:rsid w:val="00E136F8"/>
    <w:rsid w:val="00E137FC"/>
    <w:rsid w:val="00E1394C"/>
    <w:rsid w:val="00E1462D"/>
    <w:rsid w:val="00E146A8"/>
    <w:rsid w:val="00E14F3D"/>
    <w:rsid w:val="00E152D0"/>
    <w:rsid w:val="00E152E6"/>
    <w:rsid w:val="00E153A1"/>
    <w:rsid w:val="00E15BD2"/>
    <w:rsid w:val="00E15D48"/>
    <w:rsid w:val="00E16386"/>
    <w:rsid w:val="00E169D2"/>
    <w:rsid w:val="00E16C89"/>
    <w:rsid w:val="00E17704"/>
    <w:rsid w:val="00E2132C"/>
    <w:rsid w:val="00E2164D"/>
    <w:rsid w:val="00E21F4C"/>
    <w:rsid w:val="00E2249B"/>
    <w:rsid w:val="00E22955"/>
    <w:rsid w:val="00E233CF"/>
    <w:rsid w:val="00E23994"/>
    <w:rsid w:val="00E240E0"/>
    <w:rsid w:val="00E2428F"/>
    <w:rsid w:val="00E24552"/>
    <w:rsid w:val="00E24FD4"/>
    <w:rsid w:val="00E25260"/>
    <w:rsid w:val="00E2558F"/>
    <w:rsid w:val="00E26230"/>
    <w:rsid w:val="00E262AA"/>
    <w:rsid w:val="00E26374"/>
    <w:rsid w:val="00E26CBB"/>
    <w:rsid w:val="00E2703C"/>
    <w:rsid w:val="00E3019E"/>
    <w:rsid w:val="00E30860"/>
    <w:rsid w:val="00E3099C"/>
    <w:rsid w:val="00E30DC1"/>
    <w:rsid w:val="00E30F71"/>
    <w:rsid w:val="00E31699"/>
    <w:rsid w:val="00E31BA2"/>
    <w:rsid w:val="00E32041"/>
    <w:rsid w:val="00E324A9"/>
    <w:rsid w:val="00E32723"/>
    <w:rsid w:val="00E331F5"/>
    <w:rsid w:val="00E332EC"/>
    <w:rsid w:val="00E33830"/>
    <w:rsid w:val="00E33F04"/>
    <w:rsid w:val="00E3400B"/>
    <w:rsid w:val="00E3426F"/>
    <w:rsid w:val="00E34930"/>
    <w:rsid w:val="00E34A52"/>
    <w:rsid w:val="00E34E48"/>
    <w:rsid w:val="00E35061"/>
    <w:rsid w:val="00E354EE"/>
    <w:rsid w:val="00E3574D"/>
    <w:rsid w:val="00E363D6"/>
    <w:rsid w:val="00E36885"/>
    <w:rsid w:val="00E36F3D"/>
    <w:rsid w:val="00E37F58"/>
    <w:rsid w:val="00E404B3"/>
    <w:rsid w:val="00E4066E"/>
    <w:rsid w:val="00E41460"/>
    <w:rsid w:val="00E436BE"/>
    <w:rsid w:val="00E4427E"/>
    <w:rsid w:val="00E443DA"/>
    <w:rsid w:val="00E443FA"/>
    <w:rsid w:val="00E44546"/>
    <w:rsid w:val="00E445DD"/>
    <w:rsid w:val="00E44737"/>
    <w:rsid w:val="00E44E6D"/>
    <w:rsid w:val="00E45581"/>
    <w:rsid w:val="00E45D9D"/>
    <w:rsid w:val="00E4636A"/>
    <w:rsid w:val="00E464F7"/>
    <w:rsid w:val="00E46EC5"/>
    <w:rsid w:val="00E478CC"/>
    <w:rsid w:val="00E50E5F"/>
    <w:rsid w:val="00E51738"/>
    <w:rsid w:val="00E520B5"/>
    <w:rsid w:val="00E5275F"/>
    <w:rsid w:val="00E52773"/>
    <w:rsid w:val="00E52C52"/>
    <w:rsid w:val="00E52D4C"/>
    <w:rsid w:val="00E53AD4"/>
    <w:rsid w:val="00E53AE3"/>
    <w:rsid w:val="00E53AF9"/>
    <w:rsid w:val="00E541B1"/>
    <w:rsid w:val="00E5516F"/>
    <w:rsid w:val="00E55323"/>
    <w:rsid w:val="00E558BD"/>
    <w:rsid w:val="00E569C2"/>
    <w:rsid w:val="00E579C7"/>
    <w:rsid w:val="00E6006F"/>
    <w:rsid w:val="00E6038B"/>
    <w:rsid w:val="00E60981"/>
    <w:rsid w:val="00E60BA8"/>
    <w:rsid w:val="00E60FCC"/>
    <w:rsid w:val="00E61EE7"/>
    <w:rsid w:val="00E62273"/>
    <w:rsid w:val="00E62E1A"/>
    <w:rsid w:val="00E6367C"/>
    <w:rsid w:val="00E6387B"/>
    <w:rsid w:val="00E6399F"/>
    <w:rsid w:val="00E64A8A"/>
    <w:rsid w:val="00E64BC3"/>
    <w:rsid w:val="00E64E77"/>
    <w:rsid w:val="00E6543F"/>
    <w:rsid w:val="00E667DF"/>
    <w:rsid w:val="00E67109"/>
    <w:rsid w:val="00E67994"/>
    <w:rsid w:val="00E70153"/>
    <w:rsid w:val="00E7025D"/>
    <w:rsid w:val="00E70A21"/>
    <w:rsid w:val="00E7126D"/>
    <w:rsid w:val="00E712EA"/>
    <w:rsid w:val="00E71316"/>
    <w:rsid w:val="00E717B7"/>
    <w:rsid w:val="00E71FC8"/>
    <w:rsid w:val="00E72615"/>
    <w:rsid w:val="00E72B20"/>
    <w:rsid w:val="00E73190"/>
    <w:rsid w:val="00E735CD"/>
    <w:rsid w:val="00E738F8"/>
    <w:rsid w:val="00E73A97"/>
    <w:rsid w:val="00E749DA"/>
    <w:rsid w:val="00E74DA6"/>
    <w:rsid w:val="00E753C6"/>
    <w:rsid w:val="00E75736"/>
    <w:rsid w:val="00E761BE"/>
    <w:rsid w:val="00E7655E"/>
    <w:rsid w:val="00E778C6"/>
    <w:rsid w:val="00E77AEC"/>
    <w:rsid w:val="00E77B55"/>
    <w:rsid w:val="00E806E7"/>
    <w:rsid w:val="00E80A6B"/>
    <w:rsid w:val="00E80C34"/>
    <w:rsid w:val="00E80C3C"/>
    <w:rsid w:val="00E80CCB"/>
    <w:rsid w:val="00E815D1"/>
    <w:rsid w:val="00E818B4"/>
    <w:rsid w:val="00E81A3E"/>
    <w:rsid w:val="00E81EDF"/>
    <w:rsid w:val="00E823C6"/>
    <w:rsid w:val="00E82A42"/>
    <w:rsid w:val="00E82FD3"/>
    <w:rsid w:val="00E83111"/>
    <w:rsid w:val="00E831D0"/>
    <w:rsid w:val="00E8357A"/>
    <w:rsid w:val="00E83A82"/>
    <w:rsid w:val="00E83CFC"/>
    <w:rsid w:val="00E845AF"/>
    <w:rsid w:val="00E849FA"/>
    <w:rsid w:val="00E84D0E"/>
    <w:rsid w:val="00E850EC"/>
    <w:rsid w:val="00E85640"/>
    <w:rsid w:val="00E85671"/>
    <w:rsid w:val="00E8587D"/>
    <w:rsid w:val="00E85D18"/>
    <w:rsid w:val="00E85D37"/>
    <w:rsid w:val="00E86168"/>
    <w:rsid w:val="00E86374"/>
    <w:rsid w:val="00E86BF6"/>
    <w:rsid w:val="00E86F7D"/>
    <w:rsid w:val="00E877BA"/>
    <w:rsid w:val="00E8784E"/>
    <w:rsid w:val="00E87F8F"/>
    <w:rsid w:val="00E905B0"/>
    <w:rsid w:val="00E906D3"/>
    <w:rsid w:val="00E907F9"/>
    <w:rsid w:val="00E90C0B"/>
    <w:rsid w:val="00E91047"/>
    <w:rsid w:val="00E915A0"/>
    <w:rsid w:val="00E924E1"/>
    <w:rsid w:val="00E9310F"/>
    <w:rsid w:val="00E932F5"/>
    <w:rsid w:val="00E93FAD"/>
    <w:rsid w:val="00E94CD7"/>
    <w:rsid w:val="00E9583E"/>
    <w:rsid w:val="00E95C63"/>
    <w:rsid w:val="00E95CFE"/>
    <w:rsid w:val="00E95F99"/>
    <w:rsid w:val="00E96351"/>
    <w:rsid w:val="00E964DE"/>
    <w:rsid w:val="00E96B95"/>
    <w:rsid w:val="00E96C06"/>
    <w:rsid w:val="00E971B1"/>
    <w:rsid w:val="00E971B8"/>
    <w:rsid w:val="00E97381"/>
    <w:rsid w:val="00E97BC8"/>
    <w:rsid w:val="00E97FE3"/>
    <w:rsid w:val="00EA01FA"/>
    <w:rsid w:val="00EA0380"/>
    <w:rsid w:val="00EA0A89"/>
    <w:rsid w:val="00EA0EA2"/>
    <w:rsid w:val="00EA0F55"/>
    <w:rsid w:val="00EA10B0"/>
    <w:rsid w:val="00EA1675"/>
    <w:rsid w:val="00EA169C"/>
    <w:rsid w:val="00EA1C23"/>
    <w:rsid w:val="00EA21D2"/>
    <w:rsid w:val="00EA222B"/>
    <w:rsid w:val="00EA28BA"/>
    <w:rsid w:val="00EA2965"/>
    <w:rsid w:val="00EA30DD"/>
    <w:rsid w:val="00EA32F4"/>
    <w:rsid w:val="00EA3431"/>
    <w:rsid w:val="00EA3454"/>
    <w:rsid w:val="00EA345D"/>
    <w:rsid w:val="00EA35CB"/>
    <w:rsid w:val="00EA416D"/>
    <w:rsid w:val="00EA5280"/>
    <w:rsid w:val="00EA56C6"/>
    <w:rsid w:val="00EA58E2"/>
    <w:rsid w:val="00EA6CBB"/>
    <w:rsid w:val="00EA73EE"/>
    <w:rsid w:val="00EA751B"/>
    <w:rsid w:val="00EA7B20"/>
    <w:rsid w:val="00EB050D"/>
    <w:rsid w:val="00EB05E1"/>
    <w:rsid w:val="00EB1026"/>
    <w:rsid w:val="00EB15C2"/>
    <w:rsid w:val="00EB18F5"/>
    <w:rsid w:val="00EB23D8"/>
    <w:rsid w:val="00EB30E1"/>
    <w:rsid w:val="00EB345B"/>
    <w:rsid w:val="00EB474A"/>
    <w:rsid w:val="00EB4EAE"/>
    <w:rsid w:val="00EB50D5"/>
    <w:rsid w:val="00EB5E83"/>
    <w:rsid w:val="00EB5F64"/>
    <w:rsid w:val="00EB5F79"/>
    <w:rsid w:val="00EB5FD0"/>
    <w:rsid w:val="00EB66A7"/>
    <w:rsid w:val="00EB7AEA"/>
    <w:rsid w:val="00EC0003"/>
    <w:rsid w:val="00EC0339"/>
    <w:rsid w:val="00EC1F1C"/>
    <w:rsid w:val="00EC2005"/>
    <w:rsid w:val="00EC26B7"/>
    <w:rsid w:val="00EC28DA"/>
    <w:rsid w:val="00EC2AE3"/>
    <w:rsid w:val="00EC2DF2"/>
    <w:rsid w:val="00EC3994"/>
    <w:rsid w:val="00EC40D9"/>
    <w:rsid w:val="00EC4238"/>
    <w:rsid w:val="00EC4564"/>
    <w:rsid w:val="00EC4795"/>
    <w:rsid w:val="00EC4CCF"/>
    <w:rsid w:val="00EC4DC0"/>
    <w:rsid w:val="00EC4E33"/>
    <w:rsid w:val="00EC5640"/>
    <w:rsid w:val="00EC6120"/>
    <w:rsid w:val="00EC6241"/>
    <w:rsid w:val="00EC634A"/>
    <w:rsid w:val="00EC7092"/>
    <w:rsid w:val="00EC7D72"/>
    <w:rsid w:val="00ED00C5"/>
    <w:rsid w:val="00ED05AD"/>
    <w:rsid w:val="00ED0F94"/>
    <w:rsid w:val="00ED0FB0"/>
    <w:rsid w:val="00ED14C3"/>
    <w:rsid w:val="00ED1A15"/>
    <w:rsid w:val="00ED1BBE"/>
    <w:rsid w:val="00ED1C84"/>
    <w:rsid w:val="00ED21C2"/>
    <w:rsid w:val="00ED224E"/>
    <w:rsid w:val="00ED24F0"/>
    <w:rsid w:val="00ED250E"/>
    <w:rsid w:val="00ED2D9C"/>
    <w:rsid w:val="00ED373D"/>
    <w:rsid w:val="00ED3EE6"/>
    <w:rsid w:val="00ED47C0"/>
    <w:rsid w:val="00ED4A6B"/>
    <w:rsid w:val="00ED5242"/>
    <w:rsid w:val="00ED5B73"/>
    <w:rsid w:val="00ED5FE7"/>
    <w:rsid w:val="00ED603F"/>
    <w:rsid w:val="00ED6045"/>
    <w:rsid w:val="00ED6255"/>
    <w:rsid w:val="00ED75B1"/>
    <w:rsid w:val="00ED75FF"/>
    <w:rsid w:val="00ED78CA"/>
    <w:rsid w:val="00ED7A25"/>
    <w:rsid w:val="00ED7BBB"/>
    <w:rsid w:val="00ED7D52"/>
    <w:rsid w:val="00ED7EFC"/>
    <w:rsid w:val="00EE0259"/>
    <w:rsid w:val="00EE02EB"/>
    <w:rsid w:val="00EE13B0"/>
    <w:rsid w:val="00EE1ADE"/>
    <w:rsid w:val="00EE1FCC"/>
    <w:rsid w:val="00EE280E"/>
    <w:rsid w:val="00EE33BD"/>
    <w:rsid w:val="00EE4534"/>
    <w:rsid w:val="00EE4703"/>
    <w:rsid w:val="00EE47EA"/>
    <w:rsid w:val="00EE4ED0"/>
    <w:rsid w:val="00EE4FF2"/>
    <w:rsid w:val="00EE5153"/>
    <w:rsid w:val="00EE5595"/>
    <w:rsid w:val="00EE5BAA"/>
    <w:rsid w:val="00EE635C"/>
    <w:rsid w:val="00EE6D9E"/>
    <w:rsid w:val="00EE6E95"/>
    <w:rsid w:val="00EE714E"/>
    <w:rsid w:val="00EE7408"/>
    <w:rsid w:val="00EE755E"/>
    <w:rsid w:val="00EE76A9"/>
    <w:rsid w:val="00EE79BC"/>
    <w:rsid w:val="00EE7E6C"/>
    <w:rsid w:val="00EF07A6"/>
    <w:rsid w:val="00EF09FB"/>
    <w:rsid w:val="00EF0A63"/>
    <w:rsid w:val="00EF113B"/>
    <w:rsid w:val="00EF1E1C"/>
    <w:rsid w:val="00EF2285"/>
    <w:rsid w:val="00EF24AE"/>
    <w:rsid w:val="00EF27DA"/>
    <w:rsid w:val="00EF285A"/>
    <w:rsid w:val="00EF32A0"/>
    <w:rsid w:val="00EF335B"/>
    <w:rsid w:val="00EF3722"/>
    <w:rsid w:val="00EF426F"/>
    <w:rsid w:val="00EF543B"/>
    <w:rsid w:val="00EF5A90"/>
    <w:rsid w:val="00EF5B5C"/>
    <w:rsid w:val="00EF5C8F"/>
    <w:rsid w:val="00EF62B4"/>
    <w:rsid w:val="00EF67EC"/>
    <w:rsid w:val="00EF69F6"/>
    <w:rsid w:val="00EF6C0F"/>
    <w:rsid w:val="00EF6F65"/>
    <w:rsid w:val="00EF75E9"/>
    <w:rsid w:val="00EF76EB"/>
    <w:rsid w:val="00EF7D92"/>
    <w:rsid w:val="00F0045A"/>
    <w:rsid w:val="00F00B52"/>
    <w:rsid w:val="00F00E28"/>
    <w:rsid w:val="00F011AE"/>
    <w:rsid w:val="00F0179A"/>
    <w:rsid w:val="00F020BA"/>
    <w:rsid w:val="00F0252E"/>
    <w:rsid w:val="00F033DB"/>
    <w:rsid w:val="00F035E8"/>
    <w:rsid w:val="00F036F7"/>
    <w:rsid w:val="00F03737"/>
    <w:rsid w:val="00F03883"/>
    <w:rsid w:val="00F03E3B"/>
    <w:rsid w:val="00F040B1"/>
    <w:rsid w:val="00F040C4"/>
    <w:rsid w:val="00F0415B"/>
    <w:rsid w:val="00F041F6"/>
    <w:rsid w:val="00F04378"/>
    <w:rsid w:val="00F05168"/>
    <w:rsid w:val="00F05715"/>
    <w:rsid w:val="00F05E1C"/>
    <w:rsid w:val="00F065A1"/>
    <w:rsid w:val="00F07485"/>
    <w:rsid w:val="00F075F3"/>
    <w:rsid w:val="00F07AE7"/>
    <w:rsid w:val="00F1004C"/>
    <w:rsid w:val="00F10392"/>
    <w:rsid w:val="00F111F0"/>
    <w:rsid w:val="00F11433"/>
    <w:rsid w:val="00F11921"/>
    <w:rsid w:val="00F12325"/>
    <w:rsid w:val="00F12A92"/>
    <w:rsid w:val="00F13F6C"/>
    <w:rsid w:val="00F1495D"/>
    <w:rsid w:val="00F1518C"/>
    <w:rsid w:val="00F15A24"/>
    <w:rsid w:val="00F15B84"/>
    <w:rsid w:val="00F160CD"/>
    <w:rsid w:val="00F160E7"/>
    <w:rsid w:val="00F16327"/>
    <w:rsid w:val="00F163DE"/>
    <w:rsid w:val="00F164F4"/>
    <w:rsid w:val="00F16771"/>
    <w:rsid w:val="00F17CC9"/>
    <w:rsid w:val="00F2041E"/>
    <w:rsid w:val="00F20430"/>
    <w:rsid w:val="00F211F6"/>
    <w:rsid w:val="00F2173B"/>
    <w:rsid w:val="00F21DE3"/>
    <w:rsid w:val="00F2263C"/>
    <w:rsid w:val="00F22DEC"/>
    <w:rsid w:val="00F22EC9"/>
    <w:rsid w:val="00F23459"/>
    <w:rsid w:val="00F235CB"/>
    <w:rsid w:val="00F235E7"/>
    <w:rsid w:val="00F236D5"/>
    <w:rsid w:val="00F24417"/>
    <w:rsid w:val="00F25E68"/>
    <w:rsid w:val="00F260C5"/>
    <w:rsid w:val="00F26C4D"/>
    <w:rsid w:val="00F27017"/>
    <w:rsid w:val="00F27207"/>
    <w:rsid w:val="00F27DBD"/>
    <w:rsid w:val="00F302B7"/>
    <w:rsid w:val="00F3032C"/>
    <w:rsid w:val="00F304D6"/>
    <w:rsid w:val="00F309CD"/>
    <w:rsid w:val="00F310EA"/>
    <w:rsid w:val="00F31817"/>
    <w:rsid w:val="00F318FE"/>
    <w:rsid w:val="00F31EA8"/>
    <w:rsid w:val="00F32B20"/>
    <w:rsid w:val="00F32D91"/>
    <w:rsid w:val="00F33946"/>
    <w:rsid w:val="00F33A38"/>
    <w:rsid w:val="00F33E66"/>
    <w:rsid w:val="00F3436C"/>
    <w:rsid w:val="00F34473"/>
    <w:rsid w:val="00F355B9"/>
    <w:rsid w:val="00F3597D"/>
    <w:rsid w:val="00F35B16"/>
    <w:rsid w:val="00F36131"/>
    <w:rsid w:val="00F3637E"/>
    <w:rsid w:val="00F36991"/>
    <w:rsid w:val="00F36D43"/>
    <w:rsid w:val="00F36F7F"/>
    <w:rsid w:val="00F37E80"/>
    <w:rsid w:val="00F409C2"/>
    <w:rsid w:val="00F40A09"/>
    <w:rsid w:val="00F40D4F"/>
    <w:rsid w:val="00F41182"/>
    <w:rsid w:val="00F41683"/>
    <w:rsid w:val="00F41D7B"/>
    <w:rsid w:val="00F41E80"/>
    <w:rsid w:val="00F4271C"/>
    <w:rsid w:val="00F42A66"/>
    <w:rsid w:val="00F43004"/>
    <w:rsid w:val="00F43545"/>
    <w:rsid w:val="00F43D31"/>
    <w:rsid w:val="00F444A5"/>
    <w:rsid w:val="00F44A00"/>
    <w:rsid w:val="00F44B87"/>
    <w:rsid w:val="00F44CD0"/>
    <w:rsid w:val="00F453E1"/>
    <w:rsid w:val="00F463C6"/>
    <w:rsid w:val="00F466E1"/>
    <w:rsid w:val="00F469FC"/>
    <w:rsid w:val="00F46AC7"/>
    <w:rsid w:val="00F46EBD"/>
    <w:rsid w:val="00F4761D"/>
    <w:rsid w:val="00F47A5F"/>
    <w:rsid w:val="00F47ECF"/>
    <w:rsid w:val="00F50720"/>
    <w:rsid w:val="00F50E50"/>
    <w:rsid w:val="00F5100F"/>
    <w:rsid w:val="00F5146F"/>
    <w:rsid w:val="00F51E42"/>
    <w:rsid w:val="00F52385"/>
    <w:rsid w:val="00F53DAF"/>
    <w:rsid w:val="00F54566"/>
    <w:rsid w:val="00F54A31"/>
    <w:rsid w:val="00F557FE"/>
    <w:rsid w:val="00F56347"/>
    <w:rsid w:val="00F5723F"/>
    <w:rsid w:val="00F57CB3"/>
    <w:rsid w:val="00F602FB"/>
    <w:rsid w:val="00F60D64"/>
    <w:rsid w:val="00F60EF8"/>
    <w:rsid w:val="00F616B8"/>
    <w:rsid w:val="00F617D8"/>
    <w:rsid w:val="00F619F0"/>
    <w:rsid w:val="00F61B5B"/>
    <w:rsid w:val="00F61B6E"/>
    <w:rsid w:val="00F62440"/>
    <w:rsid w:val="00F630F1"/>
    <w:rsid w:val="00F63383"/>
    <w:rsid w:val="00F63443"/>
    <w:rsid w:val="00F63C3F"/>
    <w:rsid w:val="00F63CA9"/>
    <w:rsid w:val="00F63F2E"/>
    <w:rsid w:val="00F64263"/>
    <w:rsid w:val="00F645DC"/>
    <w:rsid w:val="00F64D2A"/>
    <w:rsid w:val="00F64F7B"/>
    <w:rsid w:val="00F65ED2"/>
    <w:rsid w:val="00F663F5"/>
    <w:rsid w:val="00F6706C"/>
    <w:rsid w:val="00F6711C"/>
    <w:rsid w:val="00F671F9"/>
    <w:rsid w:val="00F67B7A"/>
    <w:rsid w:val="00F7002C"/>
    <w:rsid w:val="00F7060E"/>
    <w:rsid w:val="00F7094C"/>
    <w:rsid w:val="00F70A2B"/>
    <w:rsid w:val="00F70C96"/>
    <w:rsid w:val="00F70E26"/>
    <w:rsid w:val="00F72184"/>
    <w:rsid w:val="00F722BE"/>
    <w:rsid w:val="00F725F7"/>
    <w:rsid w:val="00F731AC"/>
    <w:rsid w:val="00F738C2"/>
    <w:rsid w:val="00F73905"/>
    <w:rsid w:val="00F73BBB"/>
    <w:rsid w:val="00F74037"/>
    <w:rsid w:val="00F740FD"/>
    <w:rsid w:val="00F741C9"/>
    <w:rsid w:val="00F7462A"/>
    <w:rsid w:val="00F7497A"/>
    <w:rsid w:val="00F74B47"/>
    <w:rsid w:val="00F75494"/>
    <w:rsid w:val="00F7564D"/>
    <w:rsid w:val="00F76454"/>
    <w:rsid w:val="00F76B2F"/>
    <w:rsid w:val="00F770DE"/>
    <w:rsid w:val="00F7714D"/>
    <w:rsid w:val="00F7731F"/>
    <w:rsid w:val="00F7775E"/>
    <w:rsid w:val="00F7797D"/>
    <w:rsid w:val="00F80055"/>
    <w:rsid w:val="00F808D1"/>
    <w:rsid w:val="00F809F5"/>
    <w:rsid w:val="00F80DCD"/>
    <w:rsid w:val="00F80DFC"/>
    <w:rsid w:val="00F81309"/>
    <w:rsid w:val="00F818FA"/>
    <w:rsid w:val="00F819F3"/>
    <w:rsid w:val="00F81C74"/>
    <w:rsid w:val="00F81D2A"/>
    <w:rsid w:val="00F8202D"/>
    <w:rsid w:val="00F827A2"/>
    <w:rsid w:val="00F82C5C"/>
    <w:rsid w:val="00F82D98"/>
    <w:rsid w:val="00F82F9D"/>
    <w:rsid w:val="00F84400"/>
    <w:rsid w:val="00F84A83"/>
    <w:rsid w:val="00F84D21"/>
    <w:rsid w:val="00F84D9A"/>
    <w:rsid w:val="00F84DD7"/>
    <w:rsid w:val="00F84ED1"/>
    <w:rsid w:val="00F856EF"/>
    <w:rsid w:val="00F864D6"/>
    <w:rsid w:val="00F8653C"/>
    <w:rsid w:val="00F866CE"/>
    <w:rsid w:val="00F86B98"/>
    <w:rsid w:val="00F86FC1"/>
    <w:rsid w:val="00F87146"/>
    <w:rsid w:val="00F87161"/>
    <w:rsid w:val="00F87753"/>
    <w:rsid w:val="00F907F0"/>
    <w:rsid w:val="00F90C9F"/>
    <w:rsid w:val="00F90EEB"/>
    <w:rsid w:val="00F9189E"/>
    <w:rsid w:val="00F91ED6"/>
    <w:rsid w:val="00F920DB"/>
    <w:rsid w:val="00F922DE"/>
    <w:rsid w:val="00F926D2"/>
    <w:rsid w:val="00F92CF4"/>
    <w:rsid w:val="00F930CD"/>
    <w:rsid w:val="00F9318C"/>
    <w:rsid w:val="00F9352C"/>
    <w:rsid w:val="00F936B2"/>
    <w:rsid w:val="00F93795"/>
    <w:rsid w:val="00F93839"/>
    <w:rsid w:val="00F938DC"/>
    <w:rsid w:val="00F93C53"/>
    <w:rsid w:val="00F93D62"/>
    <w:rsid w:val="00F9456A"/>
    <w:rsid w:val="00F95788"/>
    <w:rsid w:val="00F962C3"/>
    <w:rsid w:val="00F965ED"/>
    <w:rsid w:val="00F96D07"/>
    <w:rsid w:val="00F96FD1"/>
    <w:rsid w:val="00F972F3"/>
    <w:rsid w:val="00F9773A"/>
    <w:rsid w:val="00F97A98"/>
    <w:rsid w:val="00FA0981"/>
    <w:rsid w:val="00FA0A84"/>
    <w:rsid w:val="00FA0B4A"/>
    <w:rsid w:val="00FA0F40"/>
    <w:rsid w:val="00FA1CA0"/>
    <w:rsid w:val="00FA1E32"/>
    <w:rsid w:val="00FA2335"/>
    <w:rsid w:val="00FA239A"/>
    <w:rsid w:val="00FA23E6"/>
    <w:rsid w:val="00FA2AB4"/>
    <w:rsid w:val="00FA2C14"/>
    <w:rsid w:val="00FA378F"/>
    <w:rsid w:val="00FA3887"/>
    <w:rsid w:val="00FA3D11"/>
    <w:rsid w:val="00FA40E6"/>
    <w:rsid w:val="00FA4F52"/>
    <w:rsid w:val="00FA50A6"/>
    <w:rsid w:val="00FA616B"/>
    <w:rsid w:val="00FA67AD"/>
    <w:rsid w:val="00FA6A5B"/>
    <w:rsid w:val="00FA6B22"/>
    <w:rsid w:val="00FA739C"/>
    <w:rsid w:val="00FA774D"/>
    <w:rsid w:val="00FB046F"/>
    <w:rsid w:val="00FB09B0"/>
    <w:rsid w:val="00FB0F16"/>
    <w:rsid w:val="00FB1002"/>
    <w:rsid w:val="00FB1583"/>
    <w:rsid w:val="00FB1708"/>
    <w:rsid w:val="00FB1C8E"/>
    <w:rsid w:val="00FB1C9D"/>
    <w:rsid w:val="00FB1CD9"/>
    <w:rsid w:val="00FB2434"/>
    <w:rsid w:val="00FB2884"/>
    <w:rsid w:val="00FB292B"/>
    <w:rsid w:val="00FB31D1"/>
    <w:rsid w:val="00FB335A"/>
    <w:rsid w:val="00FB3AD1"/>
    <w:rsid w:val="00FB3B35"/>
    <w:rsid w:val="00FB3B68"/>
    <w:rsid w:val="00FB3C2B"/>
    <w:rsid w:val="00FB4216"/>
    <w:rsid w:val="00FB42A6"/>
    <w:rsid w:val="00FB44BD"/>
    <w:rsid w:val="00FB49BF"/>
    <w:rsid w:val="00FB4C77"/>
    <w:rsid w:val="00FB4DB3"/>
    <w:rsid w:val="00FB5C0A"/>
    <w:rsid w:val="00FB5F4B"/>
    <w:rsid w:val="00FB5FFB"/>
    <w:rsid w:val="00FB647D"/>
    <w:rsid w:val="00FB6523"/>
    <w:rsid w:val="00FB6A6F"/>
    <w:rsid w:val="00FB6E69"/>
    <w:rsid w:val="00FB71A1"/>
    <w:rsid w:val="00FC0303"/>
    <w:rsid w:val="00FC0587"/>
    <w:rsid w:val="00FC06CD"/>
    <w:rsid w:val="00FC1461"/>
    <w:rsid w:val="00FC17F7"/>
    <w:rsid w:val="00FC2B39"/>
    <w:rsid w:val="00FC3431"/>
    <w:rsid w:val="00FC3698"/>
    <w:rsid w:val="00FC4591"/>
    <w:rsid w:val="00FC5E60"/>
    <w:rsid w:val="00FC5FDD"/>
    <w:rsid w:val="00FC7818"/>
    <w:rsid w:val="00FC79C3"/>
    <w:rsid w:val="00FC7B55"/>
    <w:rsid w:val="00FC7F1E"/>
    <w:rsid w:val="00FD0085"/>
    <w:rsid w:val="00FD0377"/>
    <w:rsid w:val="00FD08B7"/>
    <w:rsid w:val="00FD13FE"/>
    <w:rsid w:val="00FD19A0"/>
    <w:rsid w:val="00FD1EE3"/>
    <w:rsid w:val="00FD208C"/>
    <w:rsid w:val="00FD3254"/>
    <w:rsid w:val="00FD3334"/>
    <w:rsid w:val="00FD3B22"/>
    <w:rsid w:val="00FD3F84"/>
    <w:rsid w:val="00FD4391"/>
    <w:rsid w:val="00FD4BB1"/>
    <w:rsid w:val="00FD4C3B"/>
    <w:rsid w:val="00FD4F60"/>
    <w:rsid w:val="00FD5025"/>
    <w:rsid w:val="00FD56B6"/>
    <w:rsid w:val="00FD5952"/>
    <w:rsid w:val="00FD5A7E"/>
    <w:rsid w:val="00FD5E47"/>
    <w:rsid w:val="00FD5E6D"/>
    <w:rsid w:val="00FD611C"/>
    <w:rsid w:val="00FD62F1"/>
    <w:rsid w:val="00FD64A0"/>
    <w:rsid w:val="00FD6E06"/>
    <w:rsid w:val="00FD726B"/>
    <w:rsid w:val="00FD7277"/>
    <w:rsid w:val="00FD7536"/>
    <w:rsid w:val="00FD7998"/>
    <w:rsid w:val="00FD7F77"/>
    <w:rsid w:val="00FE03D6"/>
    <w:rsid w:val="00FE03DD"/>
    <w:rsid w:val="00FE0A41"/>
    <w:rsid w:val="00FE0CAF"/>
    <w:rsid w:val="00FE1464"/>
    <w:rsid w:val="00FE1F93"/>
    <w:rsid w:val="00FE20E3"/>
    <w:rsid w:val="00FE2905"/>
    <w:rsid w:val="00FE2E83"/>
    <w:rsid w:val="00FE3D08"/>
    <w:rsid w:val="00FE3F7C"/>
    <w:rsid w:val="00FE4EF5"/>
    <w:rsid w:val="00FE51B0"/>
    <w:rsid w:val="00FE533B"/>
    <w:rsid w:val="00FE54D6"/>
    <w:rsid w:val="00FE577D"/>
    <w:rsid w:val="00FE63A4"/>
    <w:rsid w:val="00FE6B16"/>
    <w:rsid w:val="00FE7037"/>
    <w:rsid w:val="00FE740A"/>
    <w:rsid w:val="00FE757F"/>
    <w:rsid w:val="00FE7DBF"/>
    <w:rsid w:val="00FF037B"/>
    <w:rsid w:val="00FF0867"/>
    <w:rsid w:val="00FF09FA"/>
    <w:rsid w:val="00FF15A8"/>
    <w:rsid w:val="00FF1D82"/>
    <w:rsid w:val="00FF284C"/>
    <w:rsid w:val="00FF29B2"/>
    <w:rsid w:val="00FF2AF7"/>
    <w:rsid w:val="00FF34BF"/>
    <w:rsid w:val="00FF35C5"/>
    <w:rsid w:val="00FF39A0"/>
    <w:rsid w:val="00FF39B4"/>
    <w:rsid w:val="00FF3A1E"/>
    <w:rsid w:val="00FF3F40"/>
    <w:rsid w:val="00FF4148"/>
    <w:rsid w:val="00FF4E1B"/>
    <w:rsid w:val="00FF5005"/>
    <w:rsid w:val="00FF57D9"/>
    <w:rsid w:val="00FF5DD1"/>
    <w:rsid w:val="00FF611D"/>
    <w:rsid w:val="00FF67A6"/>
    <w:rsid w:val="00FF76E0"/>
  </w:rsids>
  <m:mathPr>
    <m:mathFont m:val="Cambria Math"/>
    <m:brkBin m:val="before"/>
    <m:brkBinSub m:val="--"/>
    <m:smallFrac m:val="0"/>
    <m:dispDef/>
    <m:lMargin m:val="72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6385E"/>
  <w15:chartTrackingRefBased/>
  <w15:docId w15:val="{D2582380-5D50-443F-95EE-98151CA0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84E"/>
    <w:pPr>
      <w:spacing w:after="113" w:line="240" w:lineRule="atLeast"/>
    </w:pPr>
    <w:rPr>
      <w:rFonts w:ascii="Arial Narrow" w:hAnsi="Arial Narrow"/>
      <w:lang w:val="en-AU"/>
    </w:rPr>
  </w:style>
  <w:style w:type="paragraph" w:styleId="Heading1">
    <w:name w:val="heading 1"/>
    <w:basedOn w:val="Normal"/>
    <w:next w:val="BodyText"/>
    <w:link w:val="Heading1Char"/>
    <w:uiPriority w:val="9"/>
    <w:qFormat/>
    <w:rsid w:val="00D4697B"/>
    <w:pPr>
      <w:keepNext/>
      <w:keepLines/>
      <w:numPr>
        <w:numId w:val="21"/>
      </w:numPr>
      <w:spacing w:after="0" w:line="240" w:lineRule="auto"/>
      <w:outlineLvl w:val="0"/>
    </w:pPr>
    <w:rPr>
      <w:rFonts w:eastAsiaTheme="majorEastAsia" w:cstheme="majorBidi"/>
      <w:bCs/>
      <w:caps/>
      <w:color w:val="FFFEFF"/>
      <w:spacing w:val="110"/>
      <w:sz w:val="28"/>
      <w:szCs w:val="28"/>
    </w:rPr>
  </w:style>
  <w:style w:type="paragraph" w:styleId="Heading2">
    <w:name w:val="heading 2"/>
    <w:basedOn w:val="Normal"/>
    <w:next w:val="BodyText"/>
    <w:link w:val="Heading2Char"/>
    <w:uiPriority w:val="9"/>
    <w:qFormat/>
    <w:rsid w:val="00A93E8B"/>
    <w:pPr>
      <w:keepNext/>
      <w:keepLines/>
      <w:numPr>
        <w:ilvl w:val="1"/>
        <w:numId w:val="21"/>
      </w:numPr>
      <w:pBdr>
        <w:bottom w:val="single" w:sz="4" w:space="1" w:color="auto"/>
        <w:between w:val="single" w:sz="4" w:space="1" w:color="auto"/>
      </w:pBdr>
      <w:spacing w:before="240" w:after="216" w:line="280" w:lineRule="atLeast"/>
      <w:ind w:right="6"/>
      <w:outlineLvl w:val="1"/>
    </w:pPr>
    <w:rPr>
      <w:rFonts w:eastAsiaTheme="majorEastAsia" w:cstheme="majorBidi"/>
      <w:b/>
      <w:bCs/>
      <w:color w:val="000001"/>
      <w:sz w:val="28"/>
      <w:szCs w:val="26"/>
    </w:rPr>
  </w:style>
  <w:style w:type="paragraph" w:styleId="Heading3">
    <w:name w:val="heading 3"/>
    <w:basedOn w:val="Normal"/>
    <w:next w:val="BodyText"/>
    <w:link w:val="Heading3Char"/>
    <w:uiPriority w:val="9"/>
    <w:qFormat/>
    <w:rsid w:val="00A93E8B"/>
    <w:pPr>
      <w:keepNext/>
      <w:keepLines/>
      <w:numPr>
        <w:ilvl w:val="2"/>
        <w:numId w:val="21"/>
      </w:numPr>
      <w:pBdr>
        <w:bottom w:val="single" w:sz="4" w:space="1" w:color="auto"/>
      </w:pBdr>
      <w:spacing w:before="240" w:after="48"/>
      <w:ind w:left="720" w:hanging="720"/>
      <w:outlineLvl w:val="2"/>
    </w:pPr>
    <w:rPr>
      <w:rFonts w:eastAsiaTheme="majorEastAsia" w:cstheme="majorBidi"/>
      <w:b/>
      <w:color w:val="000001"/>
      <w:szCs w:val="24"/>
    </w:rPr>
  </w:style>
  <w:style w:type="paragraph" w:styleId="Heading4">
    <w:name w:val="heading 4"/>
    <w:basedOn w:val="Normal"/>
    <w:next w:val="BodyText"/>
    <w:link w:val="Heading4Char"/>
    <w:uiPriority w:val="9"/>
    <w:qFormat/>
    <w:rsid w:val="00F87161"/>
    <w:pPr>
      <w:keepNext/>
      <w:keepLines/>
      <w:numPr>
        <w:ilvl w:val="3"/>
        <w:numId w:val="21"/>
      </w:numPr>
      <w:spacing w:before="240" w:after="64"/>
      <w:outlineLvl w:val="3"/>
    </w:pPr>
    <w:rPr>
      <w:rFonts w:eastAsiaTheme="majorEastAsia" w:cstheme="majorBidi"/>
      <w:b/>
      <w:iCs/>
      <w:color w:val="000100"/>
      <w:spacing w:val="-1"/>
    </w:rPr>
  </w:style>
  <w:style w:type="paragraph" w:styleId="Heading5">
    <w:name w:val="heading 5"/>
    <w:basedOn w:val="Normal"/>
    <w:next w:val="BodyText"/>
    <w:link w:val="Heading5Char"/>
    <w:uiPriority w:val="9"/>
    <w:qFormat/>
    <w:rsid w:val="00F87161"/>
    <w:pPr>
      <w:keepNext/>
      <w:keepLines/>
      <w:numPr>
        <w:ilvl w:val="4"/>
        <w:numId w:val="21"/>
      </w:numPr>
      <w:spacing w:before="240" w:after="89"/>
      <w:outlineLvl w:val="4"/>
    </w:pPr>
    <w:rPr>
      <w:b/>
      <w:i/>
      <w:spacing w:val="3"/>
    </w:rPr>
  </w:style>
  <w:style w:type="paragraph" w:styleId="Heading6">
    <w:name w:val="heading 6"/>
    <w:basedOn w:val="Normal"/>
    <w:next w:val="BodyText"/>
    <w:link w:val="Heading6Char"/>
    <w:uiPriority w:val="9"/>
    <w:rsid w:val="00F87161"/>
    <w:pPr>
      <w:keepNext/>
      <w:keepLines/>
      <w:numPr>
        <w:ilvl w:val="5"/>
        <w:numId w:val="21"/>
      </w:numPr>
      <w:pBdr>
        <w:between w:val="single" w:sz="4" w:space="1" w:color="auto"/>
      </w:pBdr>
      <w:spacing w:before="240" w:after="89"/>
      <w:outlineLvl w:val="5"/>
    </w:pPr>
    <w:rPr>
      <w:rFonts w:eastAsiaTheme="majorEastAsia" w:cstheme="majorBidi"/>
      <w:b/>
      <w:i/>
      <w:color w:val="808080" w:themeColor="background1" w:themeShade="80"/>
      <w:spacing w:val="3"/>
    </w:rPr>
  </w:style>
  <w:style w:type="paragraph" w:styleId="Heading7">
    <w:name w:val="heading 7"/>
    <w:basedOn w:val="Normal"/>
    <w:link w:val="Heading7Char"/>
    <w:uiPriority w:val="9"/>
    <w:rsid w:val="001E32CC"/>
    <w:pPr>
      <w:keepNext/>
      <w:keepLines/>
      <w:numPr>
        <w:numId w:val="22"/>
      </w:numPr>
      <w:spacing w:after="0" w:line="240" w:lineRule="auto"/>
      <w:outlineLvl w:val="6"/>
    </w:pPr>
    <w:rPr>
      <w:rFonts w:eastAsiaTheme="majorEastAsia" w:cstheme="majorBidi"/>
      <w:iCs/>
      <w:caps/>
      <w:color w:val="FFFEFF"/>
      <w:spacing w:val="110"/>
      <w:sz w:val="28"/>
    </w:rPr>
  </w:style>
  <w:style w:type="paragraph" w:styleId="Heading8">
    <w:name w:val="heading 8"/>
    <w:basedOn w:val="Normal"/>
    <w:next w:val="BodyText"/>
    <w:link w:val="Heading8Char"/>
    <w:uiPriority w:val="9"/>
    <w:rsid w:val="00A93E8B"/>
    <w:pPr>
      <w:keepNext/>
      <w:keepLines/>
      <w:numPr>
        <w:ilvl w:val="1"/>
        <w:numId w:val="22"/>
      </w:numPr>
      <w:pBdr>
        <w:bottom w:val="single" w:sz="4" w:space="1" w:color="000100"/>
      </w:pBdr>
      <w:spacing w:before="240" w:after="216" w:line="280" w:lineRule="atLeast"/>
      <w:outlineLvl w:val="7"/>
    </w:pPr>
    <w:rPr>
      <w:rFonts w:eastAsiaTheme="majorEastAsia" w:cstheme="majorBidi"/>
      <w:b/>
      <w:color w:val="272727" w:themeColor="text1" w:themeTint="D8"/>
      <w:sz w:val="28"/>
      <w:szCs w:val="21"/>
    </w:rPr>
  </w:style>
  <w:style w:type="paragraph" w:styleId="Heading9">
    <w:name w:val="heading 9"/>
    <w:basedOn w:val="Normal"/>
    <w:next w:val="BodyText"/>
    <w:link w:val="Heading9Char"/>
    <w:uiPriority w:val="9"/>
    <w:rsid w:val="00A93E8B"/>
    <w:pPr>
      <w:keepNext/>
      <w:keepLines/>
      <w:numPr>
        <w:ilvl w:val="2"/>
        <w:numId w:val="22"/>
      </w:numPr>
      <w:pBdr>
        <w:bottom w:val="single" w:sz="4" w:space="1" w:color="auto"/>
      </w:pBdr>
      <w:spacing w:before="240" w:after="48"/>
      <w:ind w:left="720" w:hanging="720"/>
      <w:outlineLvl w:val="8"/>
    </w:pPr>
    <w:rPr>
      <w:rFonts w:eastAsiaTheme="majorEastAsia" w:cstheme="majorBidi"/>
      <w:b/>
      <w:iCs/>
      <w:color w:val="272727" w:themeColor="text1" w:themeTint="D8"/>
      <w:spacing w:val="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7B"/>
    <w:rPr>
      <w:rFonts w:ascii="Arial Narrow" w:eastAsiaTheme="majorEastAsia" w:hAnsi="Arial Narrow" w:cstheme="majorBidi"/>
      <w:bCs/>
      <w:caps/>
      <w:color w:val="FFFEFF"/>
      <w:spacing w:val="110"/>
      <w:sz w:val="28"/>
      <w:szCs w:val="28"/>
      <w:lang w:val="en-AU"/>
    </w:rPr>
  </w:style>
  <w:style w:type="character" w:customStyle="1" w:styleId="Heading2Char">
    <w:name w:val="Heading 2 Char"/>
    <w:basedOn w:val="DefaultParagraphFont"/>
    <w:link w:val="Heading2"/>
    <w:uiPriority w:val="9"/>
    <w:rsid w:val="00A93E8B"/>
    <w:rPr>
      <w:rFonts w:ascii="Arial Narrow" w:eastAsiaTheme="majorEastAsia" w:hAnsi="Arial Narrow" w:cstheme="majorBidi"/>
      <w:b/>
      <w:bCs/>
      <w:color w:val="000001"/>
      <w:sz w:val="28"/>
      <w:szCs w:val="26"/>
      <w:lang w:val="en-AU"/>
    </w:rPr>
  </w:style>
  <w:style w:type="paragraph" w:styleId="Header">
    <w:name w:val="header"/>
    <w:basedOn w:val="Normal"/>
    <w:link w:val="HeaderChar"/>
    <w:uiPriority w:val="99"/>
    <w:rsid w:val="00DB373A"/>
    <w:pPr>
      <w:tabs>
        <w:tab w:val="center" w:pos="4680"/>
        <w:tab w:val="right" w:pos="9360"/>
      </w:tabs>
      <w:spacing w:after="0" w:line="240" w:lineRule="auto"/>
    </w:pPr>
    <w:rPr>
      <w:color w:val="000004"/>
      <w:sz w:val="16"/>
    </w:rPr>
  </w:style>
  <w:style w:type="character" w:customStyle="1" w:styleId="HeaderChar">
    <w:name w:val="Header Char"/>
    <w:basedOn w:val="DefaultParagraphFont"/>
    <w:link w:val="Header"/>
    <w:uiPriority w:val="99"/>
    <w:rsid w:val="00DB373A"/>
    <w:rPr>
      <w:rFonts w:ascii="HelveticaNeueLT Std Lt Cn" w:hAnsi="HelveticaNeueLT Std Lt Cn"/>
      <w:color w:val="000004"/>
      <w:sz w:val="16"/>
    </w:rPr>
  </w:style>
  <w:style w:type="paragraph" w:styleId="Footer">
    <w:name w:val="footer"/>
    <w:basedOn w:val="Normal"/>
    <w:link w:val="FooterChar"/>
    <w:uiPriority w:val="99"/>
    <w:rsid w:val="002C3B4B"/>
    <w:pPr>
      <w:tabs>
        <w:tab w:val="right" w:pos="9360"/>
      </w:tabs>
      <w:spacing w:after="0" w:line="240" w:lineRule="auto"/>
    </w:pPr>
    <w:rPr>
      <w:rFonts w:ascii="Arial" w:hAnsi="Arial"/>
      <w:caps/>
      <w:spacing w:val="6"/>
      <w:sz w:val="13"/>
    </w:rPr>
  </w:style>
  <w:style w:type="character" w:customStyle="1" w:styleId="FooterChar">
    <w:name w:val="Footer Char"/>
    <w:basedOn w:val="DefaultParagraphFont"/>
    <w:link w:val="Footer"/>
    <w:uiPriority w:val="99"/>
    <w:rsid w:val="002C3B4B"/>
    <w:rPr>
      <w:rFonts w:ascii="Arial" w:hAnsi="Arial"/>
      <w:caps/>
      <w:spacing w:val="6"/>
      <w:sz w:val="13"/>
    </w:rPr>
  </w:style>
  <w:style w:type="paragraph" w:customStyle="1" w:styleId="spacer">
    <w:name w:val="spacer"/>
    <w:basedOn w:val="Normal"/>
    <w:rsid w:val="001C0769"/>
    <w:pPr>
      <w:keepNext/>
      <w:keepLines/>
      <w:spacing w:after="0" w:line="240" w:lineRule="auto"/>
    </w:pPr>
    <w:rPr>
      <w:rFonts w:cs="Arial"/>
      <w:sz w:val="4"/>
    </w:rPr>
  </w:style>
  <w:style w:type="paragraph" w:styleId="ListBullet">
    <w:name w:val="List Bullet"/>
    <w:basedOn w:val="Normal"/>
    <w:uiPriority w:val="99"/>
    <w:rsid w:val="000659A4"/>
    <w:pPr>
      <w:numPr>
        <w:numId w:val="43"/>
      </w:numPr>
      <w:spacing w:before="60" w:after="60"/>
    </w:pPr>
  </w:style>
  <w:style w:type="paragraph" w:styleId="ListBullet2">
    <w:name w:val="List Bullet 2"/>
    <w:basedOn w:val="Normal"/>
    <w:uiPriority w:val="99"/>
    <w:rsid w:val="000659A4"/>
    <w:pPr>
      <w:numPr>
        <w:ilvl w:val="1"/>
        <w:numId w:val="43"/>
      </w:numPr>
      <w:spacing w:after="60"/>
      <w:contextualSpacing/>
    </w:pPr>
  </w:style>
  <w:style w:type="paragraph" w:customStyle="1" w:styleId="Header-CompanyName">
    <w:name w:val="Header-Company Name"/>
    <w:basedOn w:val="Header"/>
    <w:qFormat/>
    <w:rsid w:val="00F81309"/>
    <w:pPr>
      <w:jc w:val="right"/>
    </w:pPr>
    <w:rPr>
      <w:rFonts w:ascii="Arial" w:hAnsi="Arial"/>
      <w:spacing w:val="22"/>
      <w:sz w:val="14"/>
    </w:rPr>
  </w:style>
  <w:style w:type="paragraph" w:customStyle="1" w:styleId="FooterText">
    <w:name w:val="Footer (Text)"/>
    <w:basedOn w:val="Footer"/>
    <w:qFormat/>
    <w:rsid w:val="00DB373A"/>
    <w:pPr>
      <w:jc w:val="right"/>
    </w:pPr>
  </w:style>
  <w:style w:type="paragraph" w:customStyle="1" w:styleId="pageNumber">
    <w:name w:val="pageNumber"/>
    <w:basedOn w:val="Normal"/>
    <w:qFormat/>
    <w:rsid w:val="002C3B4B"/>
    <w:pPr>
      <w:spacing w:after="116" w:line="240" w:lineRule="auto"/>
      <w:jc w:val="center"/>
    </w:pPr>
    <w:rPr>
      <w:rFonts w:ascii="Arial" w:hAnsi="Arial"/>
      <w:color w:val="978F8B"/>
      <w:sz w:val="25"/>
    </w:rPr>
  </w:style>
  <w:style w:type="table" w:styleId="TableGrid">
    <w:name w:val="Table Grid"/>
    <w:basedOn w:val="TableNormal"/>
    <w:uiPriority w:val="39"/>
    <w:rsid w:val="000F2200"/>
    <w:pPr>
      <w:spacing w:after="0" w:line="240" w:lineRule="auto"/>
    </w:pPr>
    <w:rPr>
      <w:rFonts w:ascii="HelveticaNeueLT Std Lt Cn" w:hAnsi="HelveticaNeueLT Std Lt C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Cp-Banner">
    <w:name w:val="Cp - Banner"/>
    <w:basedOn w:val="Normal"/>
    <w:rsid w:val="00DB373A"/>
    <w:pPr>
      <w:pageBreakBefore/>
      <w:spacing w:after="0" w:line="240" w:lineRule="auto"/>
    </w:pPr>
    <w:rPr>
      <w:sz w:val="4"/>
    </w:rPr>
  </w:style>
  <w:style w:type="paragraph" w:customStyle="1" w:styleId="CpBoldSubTitle">
    <w:name w:val="Cp Bold SubTitle"/>
    <w:basedOn w:val="Normal"/>
    <w:rsid w:val="00F72184"/>
    <w:pPr>
      <w:spacing w:before="48" w:after="0" w:line="200" w:lineRule="exact"/>
      <w:ind w:left="159"/>
    </w:pPr>
    <w:rPr>
      <w:rFonts w:ascii="Arial Bold" w:hAnsi="Arial Bold"/>
      <w:b/>
      <w:caps/>
      <w:color w:val="000100"/>
    </w:rPr>
  </w:style>
  <w:style w:type="paragraph" w:customStyle="1" w:styleId="CpClientName">
    <w:name w:val="Cp Client Name"/>
    <w:basedOn w:val="Normal"/>
    <w:rsid w:val="00656EAA"/>
    <w:pPr>
      <w:spacing w:after="0" w:line="240" w:lineRule="auto"/>
      <w:ind w:left="-11"/>
    </w:pPr>
    <w:rPr>
      <w:rFonts w:ascii="Arial Bold" w:hAnsi="Arial Bold"/>
      <w:b/>
      <w:caps/>
      <w:color w:val="000100"/>
      <w:sz w:val="19"/>
    </w:rPr>
  </w:style>
  <w:style w:type="paragraph" w:customStyle="1" w:styleId="CpContactDetails">
    <w:name w:val="Cp Contact Details"/>
    <w:basedOn w:val="Normal"/>
    <w:rsid w:val="00957C82"/>
    <w:pPr>
      <w:spacing w:after="112" w:line="200" w:lineRule="atLeast"/>
    </w:pPr>
    <w:rPr>
      <w:rFonts w:ascii="Arial" w:hAnsi="Arial"/>
      <w:caps/>
      <w:color w:val="000100"/>
      <w:sz w:val="13"/>
    </w:rPr>
  </w:style>
  <w:style w:type="paragraph" w:customStyle="1" w:styleId="CpDisclaimer">
    <w:name w:val="Cp Disclaimer"/>
    <w:basedOn w:val="CpContactDetails"/>
    <w:rsid w:val="00957C82"/>
    <w:rPr>
      <w:color w:val="978F8B"/>
    </w:rPr>
  </w:style>
  <w:style w:type="paragraph" w:customStyle="1" w:styleId="CpHeaderConsulting">
    <w:name w:val="Cp Header (Consulting)"/>
    <w:basedOn w:val="Normal"/>
    <w:qFormat/>
    <w:rsid w:val="0040181E"/>
    <w:pPr>
      <w:spacing w:after="0" w:line="240" w:lineRule="auto"/>
    </w:pPr>
    <w:rPr>
      <w:rFonts w:ascii="Arial" w:hAnsi="Arial"/>
      <w:caps/>
      <w:spacing w:val="96"/>
      <w:sz w:val="24"/>
    </w:rPr>
  </w:style>
  <w:style w:type="paragraph" w:customStyle="1" w:styleId="CpHeaderAcilAllen">
    <w:name w:val="Cp Header (Acil Allen)"/>
    <w:basedOn w:val="CpHeaderConsulting"/>
    <w:rsid w:val="0040181E"/>
    <w:rPr>
      <w:spacing w:val="100"/>
    </w:rPr>
  </w:style>
  <w:style w:type="paragraph" w:customStyle="1" w:styleId="CpReportDate">
    <w:name w:val="Cp Report Date"/>
    <w:basedOn w:val="Normal"/>
    <w:qFormat/>
    <w:rsid w:val="002E5139"/>
    <w:pPr>
      <w:spacing w:after="0" w:line="260" w:lineRule="exact"/>
    </w:pPr>
    <w:rPr>
      <w:rFonts w:ascii="Arial" w:hAnsi="Arial"/>
      <w:caps/>
      <w:color w:val="000100"/>
      <w:spacing w:val="-4"/>
      <w:sz w:val="19"/>
    </w:rPr>
  </w:style>
  <w:style w:type="paragraph" w:customStyle="1" w:styleId="CpReportTo">
    <w:name w:val="Cp Report To"/>
    <w:basedOn w:val="Normal"/>
    <w:qFormat/>
    <w:rsid w:val="004149E0"/>
    <w:pPr>
      <w:spacing w:after="0" w:line="260" w:lineRule="exact"/>
    </w:pPr>
    <w:rPr>
      <w:rFonts w:ascii="Arial" w:hAnsi="Arial"/>
      <w:caps/>
      <w:color w:val="000100"/>
      <w:sz w:val="19"/>
    </w:rPr>
  </w:style>
  <w:style w:type="paragraph" w:customStyle="1" w:styleId="CpSubTitle">
    <w:name w:val="Cp SubTitle"/>
    <w:basedOn w:val="Normal"/>
    <w:qFormat/>
    <w:rsid w:val="00F72184"/>
    <w:pPr>
      <w:spacing w:after="0" w:line="380" w:lineRule="exact"/>
      <w:ind w:left="159"/>
    </w:pPr>
    <w:rPr>
      <w:rFonts w:ascii="Arial" w:hAnsi="Arial"/>
      <w:caps/>
      <w:color w:val="978F8B"/>
      <w:spacing w:val="22"/>
      <w:sz w:val="38"/>
    </w:rPr>
  </w:style>
  <w:style w:type="paragraph" w:customStyle="1" w:styleId="CpTitle">
    <w:name w:val="Cp Title"/>
    <w:basedOn w:val="Normal"/>
    <w:qFormat/>
    <w:rsid w:val="00EF5A90"/>
    <w:pPr>
      <w:spacing w:after="0" w:line="800" w:lineRule="exact"/>
    </w:pPr>
    <w:rPr>
      <w:rFonts w:ascii="Bodoni MT" w:hAnsi="Bodoni MT"/>
      <w:caps/>
      <w:color w:val="000100"/>
      <w:spacing w:val="-60"/>
      <w:sz w:val="92"/>
    </w:rPr>
  </w:style>
  <w:style w:type="paragraph" w:styleId="BodyText">
    <w:name w:val="Body Text"/>
    <w:basedOn w:val="Normal"/>
    <w:link w:val="BodyTextChar"/>
    <w:uiPriority w:val="99"/>
    <w:rsid w:val="0054071A"/>
    <w:pPr>
      <w:spacing w:before="113" w:after="60"/>
    </w:pPr>
  </w:style>
  <w:style w:type="character" w:customStyle="1" w:styleId="BodyTextChar">
    <w:name w:val="Body Text Char"/>
    <w:basedOn w:val="DefaultParagraphFont"/>
    <w:link w:val="BodyText"/>
    <w:uiPriority w:val="99"/>
    <w:rsid w:val="0054071A"/>
    <w:rPr>
      <w:rFonts w:ascii="Arial Narrow" w:hAnsi="Arial Narrow"/>
      <w:lang w:val="en-AU"/>
    </w:rPr>
  </w:style>
  <w:style w:type="character" w:customStyle="1" w:styleId="Heading3Char">
    <w:name w:val="Heading 3 Char"/>
    <w:basedOn w:val="DefaultParagraphFont"/>
    <w:link w:val="Heading3"/>
    <w:uiPriority w:val="9"/>
    <w:rsid w:val="00A93E8B"/>
    <w:rPr>
      <w:rFonts w:ascii="Arial Narrow" w:eastAsiaTheme="majorEastAsia" w:hAnsi="Arial Narrow" w:cstheme="majorBidi"/>
      <w:b/>
      <w:color w:val="000001"/>
      <w:szCs w:val="24"/>
      <w:lang w:val="en-AU"/>
    </w:rPr>
  </w:style>
  <w:style w:type="character" w:customStyle="1" w:styleId="Heading4Char">
    <w:name w:val="Heading 4 Char"/>
    <w:basedOn w:val="DefaultParagraphFont"/>
    <w:link w:val="Heading4"/>
    <w:uiPriority w:val="9"/>
    <w:rsid w:val="00F87161"/>
    <w:rPr>
      <w:rFonts w:ascii="Arial Narrow" w:eastAsiaTheme="majorEastAsia" w:hAnsi="Arial Narrow" w:cstheme="majorBidi"/>
      <w:b/>
      <w:iCs/>
      <w:color w:val="000100"/>
      <w:spacing w:val="-1"/>
      <w:lang w:val="en-AU"/>
    </w:rPr>
  </w:style>
  <w:style w:type="character" w:customStyle="1" w:styleId="Heading5Char">
    <w:name w:val="Heading 5 Char"/>
    <w:basedOn w:val="DefaultParagraphFont"/>
    <w:link w:val="Heading5"/>
    <w:uiPriority w:val="9"/>
    <w:rsid w:val="00F87161"/>
    <w:rPr>
      <w:rFonts w:ascii="Arial Narrow" w:hAnsi="Arial Narrow"/>
      <w:b/>
      <w:i/>
      <w:spacing w:val="3"/>
      <w:lang w:val="en-AU"/>
    </w:rPr>
  </w:style>
  <w:style w:type="character" w:customStyle="1" w:styleId="Heading6Char">
    <w:name w:val="Heading 6 Char"/>
    <w:basedOn w:val="DefaultParagraphFont"/>
    <w:link w:val="Heading6"/>
    <w:uiPriority w:val="9"/>
    <w:rsid w:val="00F87161"/>
    <w:rPr>
      <w:rFonts w:ascii="Arial Narrow" w:eastAsiaTheme="majorEastAsia" w:hAnsi="Arial Narrow" w:cstheme="majorBidi"/>
      <w:b/>
      <w:i/>
      <w:color w:val="808080" w:themeColor="background1" w:themeShade="80"/>
      <w:spacing w:val="3"/>
      <w:lang w:val="en-AU"/>
    </w:rPr>
  </w:style>
  <w:style w:type="character" w:customStyle="1" w:styleId="Heading7Char">
    <w:name w:val="Heading 7 Char"/>
    <w:basedOn w:val="DefaultParagraphFont"/>
    <w:link w:val="Heading7"/>
    <w:uiPriority w:val="9"/>
    <w:rsid w:val="001E32CC"/>
    <w:rPr>
      <w:rFonts w:ascii="Arial Narrow" w:eastAsiaTheme="majorEastAsia" w:hAnsi="Arial Narrow" w:cstheme="majorBidi"/>
      <w:iCs/>
      <w:caps/>
      <w:color w:val="FFFEFF"/>
      <w:spacing w:val="110"/>
      <w:sz w:val="28"/>
      <w:lang w:val="en-AU"/>
    </w:rPr>
  </w:style>
  <w:style w:type="character" w:customStyle="1" w:styleId="Heading8Char">
    <w:name w:val="Heading 8 Char"/>
    <w:basedOn w:val="DefaultParagraphFont"/>
    <w:link w:val="Heading8"/>
    <w:uiPriority w:val="9"/>
    <w:rsid w:val="00A93E8B"/>
    <w:rPr>
      <w:rFonts w:ascii="Arial Narrow" w:eastAsiaTheme="majorEastAsia" w:hAnsi="Arial Narrow" w:cstheme="majorBidi"/>
      <w:b/>
      <w:color w:val="272727" w:themeColor="text1" w:themeTint="D8"/>
      <w:sz w:val="28"/>
      <w:szCs w:val="21"/>
      <w:lang w:val="en-AU"/>
    </w:rPr>
  </w:style>
  <w:style w:type="character" w:customStyle="1" w:styleId="Heading9Char">
    <w:name w:val="Heading 9 Char"/>
    <w:basedOn w:val="DefaultParagraphFont"/>
    <w:link w:val="Heading9"/>
    <w:uiPriority w:val="9"/>
    <w:rsid w:val="00A93E8B"/>
    <w:rPr>
      <w:rFonts w:ascii="Arial Narrow" w:eastAsiaTheme="majorEastAsia" w:hAnsi="Arial Narrow" w:cstheme="majorBidi"/>
      <w:b/>
      <w:iCs/>
      <w:color w:val="272727" w:themeColor="text1" w:themeTint="D8"/>
      <w:spacing w:val="3"/>
      <w:szCs w:val="21"/>
      <w:lang w:val="en-AU"/>
    </w:rPr>
  </w:style>
  <w:style w:type="paragraph" w:styleId="TOC1">
    <w:name w:val="toc 1"/>
    <w:basedOn w:val="Normal"/>
    <w:next w:val="Normal"/>
    <w:uiPriority w:val="39"/>
    <w:rsid w:val="00B80AE2"/>
    <w:pPr>
      <w:numPr>
        <w:numId w:val="29"/>
      </w:numPr>
      <w:pBdr>
        <w:bottom w:val="single" w:sz="4" w:space="1" w:color="auto"/>
        <w:between w:val="single" w:sz="4" w:space="1" w:color="auto"/>
      </w:pBdr>
      <w:tabs>
        <w:tab w:val="right" w:pos="5670"/>
      </w:tabs>
      <w:spacing w:before="240" w:after="0" w:line="240" w:lineRule="exact"/>
    </w:pPr>
    <w:rPr>
      <w:rFonts w:ascii="Bodoni MT" w:hAnsi="Bodoni MT"/>
      <w:caps/>
      <w:noProof/>
      <w:sz w:val="30"/>
    </w:rPr>
  </w:style>
  <w:style w:type="paragraph" w:styleId="TOC2">
    <w:name w:val="toc 2"/>
    <w:basedOn w:val="Normal"/>
    <w:next w:val="Normal"/>
    <w:uiPriority w:val="39"/>
    <w:rsid w:val="00B80AE2"/>
    <w:pPr>
      <w:keepNext/>
      <w:numPr>
        <w:ilvl w:val="1"/>
        <w:numId w:val="29"/>
      </w:numPr>
      <w:pBdr>
        <w:bottom w:val="single" w:sz="4" w:space="1" w:color="auto"/>
        <w:between w:val="single" w:sz="4" w:space="1" w:color="auto"/>
      </w:pBdr>
      <w:tabs>
        <w:tab w:val="right" w:pos="5670"/>
      </w:tabs>
      <w:spacing w:before="232" w:after="0" w:line="240" w:lineRule="exact"/>
    </w:pPr>
    <w:rPr>
      <w:rFonts w:ascii="Bodoni MT" w:hAnsi="Bodoni MT"/>
      <w:caps/>
      <w:noProof/>
      <w:color w:val="000100"/>
      <w:sz w:val="30"/>
    </w:rPr>
  </w:style>
  <w:style w:type="paragraph" w:styleId="TOC3">
    <w:name w:val="toc 3"/>
    <w:basedOn w:val="Normal"/>
    <w:next w:val="Normal"/>
    <w:uiPriority w:val="39"/>
    <w:rsid w:val="00B80AE2"/>
    <w:pPr>
      <w:keepNext/>
      <w:numPr>
        <w:ilvl w:val="2"/>
        <w:numId w:val="29"/>
      </w:numPr>
      <w:pBdr>
        <w:bottom w:val="single" w:sz="4" w:space="1" w:color="auto"/>
        <w:between w:val="single" w:sz="4" w:space="1" w:color="auto"/>
      </w:pBdr>
      <w:tabs>
        <w:tab w:val="left" w:pos="454"/>
        <w:tab w:val="right" w:pos="5670"/>
      </w:tabs>
      <w:spacing w:after="0" w:line="540" w:lineRule="exact"/>
    </w:pPr>
    <w:rPr>
      <w:rFonts w:ascii="Bodoni MT" w:hAnsi="Bodoni MT"/>
      <w:noProof/>
      <w:color w:val="000100"/>
      <w:position w:val="-6"/>
      <w:sz w:val="59"/>
    </w:rPr>
  </w:style>
  <w:style w:type="paragraph" w:styleId="TOC4">
    <w:name w:val="toc 4"/>
    <w:basedOn w:val="Normal"/>
    <w:next w:val="Normal"/>
    <w:uiPriority w:val="39"/>
    <w:rsid w:val="00B80AE2"/>
    <w:pPr>
      <w:numPr>
        <w:ilvl w:val="3"/>
        <w:numId w:val="29"/>
      </w:numPr>
      <w:tabs>
        <w:tab w:val="clear" w:pos="454"/>
        <w:tab w:val="right" w:pos="5670"/>
      </w:tabs>
      <w:spacing w:before="84" w:after="0"/>
      <w:ind w:right="283"/>
      <w:contextualSpacing/>
    </w:pPr>
    <w:rPr>
      <w:i/>
      <w:noProof/>
      <w:color w:val="9D57A6"/>
      <w:sz w:val="21"/>
    </w:rPr>
  </w:style>
  <w:style w:type="paragraph" w:styleId="TOC5">
    <w:name w:val="toc 5"/>
    <w:basedOn w:val="Normal"/>
    <w:next w:val="Normal"/>
    <w:uiPriority w:val="39"/>
    <w:rsid w:val="00B263E8"/>
    <w:pPr>
      <w:tabs>
        <w:tab w:val="right" w:pos="5670"/>
      </w:tabs>
      <w:spacing w:after="32"/>
      <w:ind w:left="454" w:right="283" w:hanging="454"/>
    </w:pPr>
    <w:rPr>
      <w:noProof/>
      <w:color w:val="000100"/>
      <w:spacing w:val="-4"/>
      <w:sz w:val="21"/>
    </w:rPr>
  </w:style>
  <w:style w:type="paragraph" w:styleId="TOC6">
    <w:name w:val="toc 6"/>
    <w:basedOn w:val="Normal"/>
    <w:next w:val="Normal"/>
    <w:uiPriority w:val="39"/>
    <w:rsid w:val="00B80AE2"/>
    <w:pPr>
      <w:numPr>
        <w:ilvl w:val="5"/>
        <w:numId w:val="29"/>
      </w:numPr>
      <w:pBdr>
        <w:bottom w:val="single" w:sz="4" w:space="1" w:color="auto"/>
        <w:between w:val="single" w:sz="4" w:space="1" w:color="auto"/>
      </w:pBdr>
      <w:tabs>
        <w:tab w:val="clear" w:pos="336"/>
        <w:tab w:val="right" w:pos="5670"/>
      </w:tabs>
      <w:spacing w:before="240" w:after="0" w:line="240" w:lineRule="exact"/>
    </w:pPr>
    <w:rPr>
      <w:rFonts w:ascii="Bodoni MT" w:hAnsi="Bodoni MT"/>
      <w:caps/>
      <w:noProof/>
      <w:sz w:val="30"/>
    </w:rPr>
  </w:style>
  <w:style w:type="paragraph" w:styleId="TOC7">
    <w:name w:val="toc 7"/>
    <w:basedOn w:val="Normal"/>
    <w:next w:val="Normal"/>
    <w:uiPriority w:val="39"/>
    <w:rsid w:val="00252874"/>
    <w:pPr>
      <w:keepNext/>
      <w:numPr>
        <w:ilvl w:val="6"/>
        <w:numId w:val="29"/>
      </w:numPr>
      <w:pBdr>
        <w:bottom w:val="single" w:sz="4" w:space="1" w:color="auto"/>
        <w:between w:val="single" w:sz="4" w:space="1" w:color="auto"/>
      </w:pBdr>
      <w:spacing w:before="240" w:after="0" w:line="240" w:lineRule="exact"/>
      <w:contextualSpacing/>
    </w:pPr>
    <w:rPr>
      <w:rFonts w:ascii="Bodoni MT" w:hAnsi="Bodoni MT"/>
      <w:caps/>
      <w:sz w:val="30"/>
    </w:rPr>
  </w:style>
  <w:style w:type="paragraph" w:styleId="TOC8">
    <w:name w:val="toc 8"/>
    <w:basedOn w:val="Normal"/>
    <w:next w:val="Normal"/>
    <w:uiPriority w:val="39"/>
    <w:semiHidden/>
    <w:rsid w:val="006256DE"/>
    <w:pPr>
      <w:spacing w:after="100"/>
      <w:ind w:left="1400"/>
    </w:pPr>
  </w:style>
  <w:style w:type="paragraph" w:styleId="TOC9">
    <w:name w:val="toc 9"/>
    <w:basedOn w:val="Normal"/>
    <w:next w:val="Normal"/>
    <w:uiPriority w:val="39"/>
    <w:rsid w:val="00E16C89"/>
    <w:pPr>
      <w:spacing w:after="100"/>
      <w:ind w:left="454" w:hanging="454"/>
    </w:pPr>
    <w:rPr>
      <w:spacing w:val="-4"/>
      <w:sz w:val="19"/>
    </w:rPr>
  </w:style>
  <w:style w:type="paragraph" w:customStyle="1" w:styleId="TOCGeneral">
    <w:name w:val="TOC General"/>
    <w:basedOn w:val="Normal"/>
    <w:qFormat/>
    <w:rsid w:val="00495F9A"/>
    <w:pPr>
      <w:spacing w:after="0" w:line="240" w:lineRule="auto"/>
    </w:pPr>
    <w:rPr>
      <w:vanish/>
      <w:sz w:val="12"/>
    </w:rPr>
  </w:style>
  <w:style w:type="paragraph" w:styleId="TOCHeading">
    <w:name w:val="TOC Heading"/>
    <w:basedOn w:val="Normal"/>
    <w:next w:val="Normal"/>
    <w:uiPriority w:val="39"/>
    <w:qFormat/>
    <w:rsid w:val="005B2F25"/>
    <w:pPr>
      <w:spacing w:after="204" w:line="620" w:lineRule="exact"/>
      <w:ind w:left="454"/>
    </w:pPr>
    <w:rPr>
      <w:rFonts w:ascii="Arial" w:hAnsi="Arial"/>
      <w:bCs/>
      <w:caps/>
      <w:color w:val="978F8B"/>
      <w:spacing w:val="320"/>
      <w:sz w:val="48"/>
      <w:szCs w:val="32"/>
    </w:rPr>
  </w:style>
  <w:style w:type="numbering" w:customStyle="1" w:styleId="aaTOCList">
    <w:name w:val="aa TOC List"/>
    <w:uiPriority w:val="99"/>
    <w:rsid w:val="00B80AE2"/>
    <w:pPr>
      <w:numPr>
        <w:numId w:val="1"/>
      </w:numPr>
    </w:pPr>
  </w:style>
  <w:style w:type="paragraph" w:customStyle="1" w:styleId="BoxText">
    <w:name w:val="Box Text"/>
    <w:basedOn w:val="Normal"/>
    <w:qFormat/>
    <w:rsid w:val="005F68B2"/>
    <w:pPr>
      <w:keepNext/>
      <w:spacing w:before="60" w:after="60"/>
      <w:ind w:left="448"/>
    </w:pPr>
    <w:rPr>
      <w:sz w:val="20"/>
    </w:rPr>
  </w:style>
  <w:style w:type="paragraph" w:customStyle="1" w:styleId="BoxTextBoldItalic">
    <w:name w:val="Box Text (Bold Italic)"/>
    <w:basedOn w:val="Normal"/>
    <w:qFormat/>
    <w:rsid w:val="008B4DEF"/>
    <w:pPr>
      <w:spacing w:after="61"/>
      <w:ind w:left="446"/>
    </w:pPr>
    <w:rPr>
      <w:b/>
      <w:i/>
      <w:sz w:val="20"/>
    </w:rPr>
  </w:style>
  <w:style w:type="paragraph" w:styleId="Caption">
    <w:name w:val="caption"/>
    <w:basedOn w:val="Normal"/>
    <w:next w:val="Normal-nospace"/>
    <w:uiPriority w:val="35"/>
    <w:qFormat/>
    <w:rsid w:val="00FE2905"/>
    <w:pPr>
      <w:keepNext/>
      <w:keepLines/>
      <w:spacing w:after="0" w:line="240" w:lineRule="auto"/>
      <w:ind w:left="1308" w:hanging="1308"/>
    </w:pPr>
    <w:rPr>
      <w:iCs/>
      <w:caps/>
      <w:color w:val="000100"/>
      <w:sz w:val="20"/>
      <w:szCs w:val="18"/>
    </w:rPr>
  </w:style>
  <w:style w:type="character" w:customStyle="1" w:styleId="CaptionLabel">
    <w:name w:val="Caption Label"/>
    <w:basedOn w:val="DefaultParagraphFont"/>
    <w:uiPriority w:val="1"/>
    <w:qFormat/>
    <w:rsid w:val="00875559"/>
    <w:rPr>
      <w:b/>
    </w:rPr>
  </w:style>
  <w:style w:type="paragraph" w:customStyle="1" w:styleId="Source">
    <w:name w:val="Source"/>
    <w:basedOn w:val="Normal"/>
    <w:link w:val="SourceChar"/>
    <w:qFormat/>
    <w:rsid w:val="00806152"/>
    <w:pPr>
      <w:keepNext/>
      <w:spacing w:before="52" w:after="0" w:line="240" w:lineRule="auto"/>
    </w:pPr>
    <w:rPr>
      <w:i/>
      <w:caps/>
      <w:spacing w:val="-3"/>
      <w:sz w:val="14"/>
    </w:rPr>
  </w:style>
  <w:style w:type="paragraph" w:customStyle="1" w:styleId="BoxListBullet">
    <w:name w:val="Box List Bullet"/>
    <w:basedOn w:val="Normal"/>
    <w:qFormat/>
    <w:rsid w:val="005F68B2"/>
    <w:pPr>
      <w:keepNext/>
      <w:numPr>
        <w:numId w:val="23"/>
      </w:numPr>
      <w:spacing w:before="60" w:after="60"/>
      <w:contextualSpacing/>
    </w:pPr>
    <w:rPr>
      <w:sz w:val="20"/>
    </w:rPr>
  </w:style>
  <w:style w:type="paragraph" w:customStyle="1" w:styleId="Table-Source">
    <w:name w:val="Table - Source"/>
    <w:basedOn w:val="Normal"/>
    <w:qFormat/>
    <w:rsid w:val="006024D2"/>
    <w:pPr>
      <w:spacing w:before="52" w:after="0" w:line="240" w:lineRule="auto"/>
    </w:pPr>
    <w:rPr>
      <w:rFonts w:ascii="Helvetica Neue" w:hAnsi="Helvetica Neue"/>
      <w:caps/>
      <w:spacing w:val="-3"/>
      <w:sz w:val="16"/>
    </w:rPr>
  </w:style>
  <w:style w:type="numbering" w:styleId="111111">
    <w:name w:val="Outline List 2"/>
    <w:basedOn w:val="NoList"/>
    <w:uiPriority w:val="99"/>
    <w:semiHidden/>
    <w:unhideWhenUsed/>
    <w:rsid w:val="000E5CC4"/>
    <w:pPr>
      <w:numPr>
        <w:numId w:val="2"/>
      </w:numPr>
    </w:pPr>
  </w:style>
  <w:style w:type="numbering" w:styleId="1ai">
    <w:name w:val="Outline List 1"/>
    <w:aliases w:val="List for Box List Number"/>
    <w:basedOn w:val="NoList"/>
    <w:uiPriority w:val="99"/>
    <w:semiHidden/>
    <w:unhideWhenUsed/>
    <w:rsid w:val="00E240E0"/>
    <w:pPr>
      <w:numPr>
        <w:numId w:val="3"/>
      </w:numPr>
    </w:pPr>
  </w:style>
  <w:style w:type="paragraph" w:styleId="BalloonText">
    <w:name w:val="Balloon Text"/>
    <w:basedOn w:val="Normal"/>
    <w:link w:val="BalloonTextChar"/>
    <w:uiPriority w:val="99"/>
    <w:semiHidden/>
    <w:unhideWhenUsed/>
    <w:rsid w:val="000E5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CC4"/>
    <w:rPr>
      <w:rFonts w:ascii="Segoe UI" w:hAnsi="Segoe UI" w:cs="Segoe UI"/>
      <w:sz w:val="18"/>
      <w:szCs w:val="18"/>
    </w:rPr>
  </w:style>
  <w:style w:type="paragraph" w:styleId="Bibliography">
    <w:name w:val="Bibliography"/>
    <w:basedOn w:val="Normal"/>
    <w:next w:val="Normal"/>
    <w:uiPriority w:val="37"/>
    <w:semiHidden/>
    <w:unhideWhenUsed/>
    <w:rsid w:val="000E5CC4"/>
  </w:style>
  <w:style w:type="paragraph" w:styleId="BlockText">
    <w:name w:val="Block Text"/>
    <w:basedOn w:val="Normal"/>
    <w:uiPriority w:val="99"/>
    <w:semiHidden/>
    <w:unhideWhenUsed/>
    <w:rsid w:val="000E5CC4"/>
    <w:pPr>
      <w:pBdr>
        <w:top w:val="single" w:sz="2" w:space="10" w:color="9757A6" w:themeColor="accent1"/>
        <w:left w:val="single" w:sz="2" w:space="10" w:color="9757A6" w:themeColor="accent1"/>
        <w:bottom w:val="single" w:sz="2" w:space="10" w:color="9757A6" w:themeColor="accent1"/>
        <w:right w:val="single" w:sz="2" w:space="10" w:color="9757A6" w:themeColor="accent1"/>
      </w:pBdr>
      <w:ind w:left="1152" w:right="1152"/>
    </w:pPr>
    <w:rPr>
      <w:rFonts w:asciiTheme="minorHAnsi" w:eastAsiaTheme="minorEastAsia" w:hAnsiTheme="minorHAnsi"/>
      <w:i/>
      <w:iCs/>
      <w:color w:val="9757A6" w:themeColor="accent1"/>
    </w:rPr>
  </w:style>
  <w:style w:type="paragraph" w:styleId="BodyText2">
    <w:name w:val="Body Text 2"/>
    <w:basedOn w:val="Normal"/>
    <w:link w:val="BodyText2Char"/>
    <w:uiPriority w:val="99"/>
    <w:semiHidden/>
    <w:unhideWhenUsed/>
    <w:rsid w:val="000E5CC4"/>
    <w:pPr>
      <w:spacing w:after="120" w:line="480" w:lineRule="auto"/>
    </w:pPr>
  </w:style>
  <w:style w:type="character" w:customStyle="1" w:styleId="BodyText2Char">
    <w:name w:val="Body Text 2 Char"/>
    <w:basedOn w:val="DefaultParagraphFont"/>
    <w:link w:val="BodyText2"/>
    <w:uiPriority w:val="99"/>
    <w:semiHidden/>
    <w:rsid w:val="000E5CC4"/>
    <w:rPr>
      <w:rFonts w:ascii="HelveticaNeueLT Std Lt Cn" w:hAnsi="HelveticaNeueLT Std Lt Cn"/>
      <w:sz w:val="20"/>
    </w:rPr>
  </w:style>
  <w:style w:type="paragraph" w:styleId="BodyText3">
    <w:name w:val="Body Text 3"/>
    <w:basedOn w:val="Normal"/>
    <w:link w:val="BodyText3Char"/>
    <w:uiPriority w:val="99"/>
    <w:semiHidden/>
    <w:unhideWhenUsed/>
    <w:rsid w:val="000E5CC4"/>
    <w:pPr>
      <w:spacing w:after="120"/>
    </w:pPr>
    <w:rPr>
      <w:sz w:val="16"/>
      <w:szCs w:val="16"/>
    </w:rPr>
  </w:style>
  <w:style w:type="character" w:customStyle="1" w:styleId="BodyText3Char">
    <w:name w:val="Body Text 3 Char"/>
    <w:basedOn w:val="DefaultParagraphFont"/>
    <w:link w:val="BodyText3"/>
    <w:uiPriority w:val="99"/>
    <w:semiHidden/>
    <w:rsid w:val="000E5CC4"/>
    <w:rPr>
      <w:rFonts w:ascii="HelveticaNeueLT Std Lt Cn" w:hAnsi="HelveticaNeueLT Std Lt Cn"/>
      <w:sz w:val="16"/>
      <w:szCs w:val="16"/>
    </w:rPr>
  </w:style>
  <w:style w:type="paragraph" w:styleId="BodyTextFirstIndent">
    <w:name w:val="Body Text First Indent"/>
    <w:basedOn w:val="BodyText"/>
    <w:link w:val="BodyTextFirstIndentChar"/>
    <w:uiPriority w:val="99"/>
    <w:semiHidden/>
    <w:rsid w:val="000E5CC4"/>
    <w:pPr>
      <w:ind w:firstLine="360"/>
    </w:pPr>
  </w:style>
  <w:style w:type="character" w:customStyle="1" w:styleId="BodyTextFirstIndentChar">
    <w:name w:val="Body Text First Indent Char"/>
    <w:basedOn w:val="BodyTextChar"/>
    <w:link w:val="BodyTextFirstIndent"/>
    <w:uiPriority w:val="99"/>
    <w:semiHidden/>
    <w:rsid w:val="000E5CC4"/>
    <w:rPr>
      <w:rFonts w:ascii="HelveticaNeueLT Std Lt Cn" w:hAnsi="HelveticaNeueLT Std Lt Cn"/>
      <w:sz w:val="20"/>
      <w:lang w:val="en-AU"/>
    </w:rPr>
  </w:style>
  <w:style w:type="paragraph" w:styleId="BodyTextIndent">
    <w:name w:val="Body Text Indent"/>
    <w:basedOn w:val="Normal"/>
    <w:link w:val="BodyTextIndentChar"/>
    <w:uiPriority w:val="99"/>
    <w:semiHidden/>
    <w:unhideWhenUsed/>
    <w:rsid w:val="000E5CC4"/>
    <w:pPr>
      <w:spacing w:after="120"/>
      <w:ind w:left="283"/>
    </w:pPr>
  </w:style>
  <w:style w:type="character" w:customStyle="1" w:styleId="BodyTextIndentChar">
    <w:name w:val="Body Text Indent Char"/>
    <w:basedOn w:val="DefaultParagraphFont"/>
    <w:link w:val="BodyTextIndent"/>
    <w:uiPriority w:val="99"/>
    <w:semiHidden/>
    <w:rsid w:val="000E5CC4"/>
    <w:rPr>
      <w:rFonts w:ascii="HelveticaNeueLT Std Lt Cn" w:hAnsi="HelveticaNeueLT Std Lt Cn"/>
      <w:sz w:val="20"/>
    </w:rPr>
  </w:style>
  <w:style w:type="paragraph" w:styleId="BodyTextFirstIndent2">
    <w:name w:val="Body Text First Indent 2"/>
    <w:basedOn w:val="BodyTextIndent"/>
    <w:link w:val="BodyTextFirstIndent2Char"/>
    <w:uiPriority w:val="99"/>
    <w:semiHidden/>
    <w:unhideWhenUsed/>
    <w:rsid w:val="000E5CC4"/>
    <w:pPr>
      <w:spacing w:after="113"/>
      <w:ind w:left="360" w:firstLine="360"/>
    </w:pPr>
  </w:style>
  <w:style w:type="character" w:customStyle="1" w:styleId="BodyTextFirstIndent2Char">
    <w:name w:val="Body Text First Indent 2 Char"/>
    <w:basedOn w:val="BodyTextIndentChar"/>
    <w:link w:val="BodyTextFirstIndent2"/>
    <w:uiPriority w:val="99"/>
    <w:semiHidden/>
    <w:rsid w:val="000E5CC4"/>
    <w:rPr>
      <w:rFonts w:ascii="HelveticaNeueLT Std Lt Cn" w:hAnsi="HelveticaNeueLT Std Lt Cn"/>
      <w:sz w:val="20"/>
    </w:rPr>
  </w:style>
  <w:style w:type="paragraph" w:styleId="BodyTextIndent2">
    <w:name w:val="Body Text Indent 2"/>
    <w:basedOn w:val="Normal"/>
    <w:link w:val="BodyTextIndent2Char"/>
    <w:uiPriority w:val="99"/>
    <w:semiHidden/>
    <w:unhideWhenUsed/>
    <w:rsid w:val="000E5CC4"/>
    <w:pPr>
      <w:spacing w:after="120" w:line="480" w:lineRule="auto"/>
      <w:ind w:left="283"/>
    </w:pPr>
  </w:style>
  <w:style w:type="character" w:customStyle="1" w:styleId="BodyTextIndent2Char">
    <w:name w:val="Body Text Indent 2 Char"/>
    <w:basedOn w:val="DefaultParagraphFont"/>
    <w:link w:val="BodyTextIndent2"/>
    <w:uiPriority w:val="99"/>
    <w:semiHidden/>
    <w:rsid w:val="000E5CC4"/>
    <w:rPr>
      <w:rFonts w:ascii="HelveticaNeueLT Std Lt Cn" w:hAnsi="HelveticaNeueLT Std Lt Cn"/>
      <w:sz w:val="20"/>
    </w:rPr>
  </w:style>
  <w:style w:type="paragraph" w:styleId="BodyTextIndent3">
    <w:name w:val="Body Text Indent 3"/>
    <w:basedOn w:val="Normal"/>
    <w:link w:val="BodyTextIndent3Char"/>
    <w:uiPriority w:val="99"/>
    <w:semiHidden/>
    <w:unhideWhenUsed/>
    <w:rsid w:val="000E5CC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CC4"/>
    <w:rPr>
      <w:rFonts w:ascii="HelveticaNeueLT Std Lt Cn" w:hAnsi="HelveticaNeueLT Std Lt Cn"/>
      <w:sz w:val="16"/>
      <w:szCs w:val="16"/>
    </w:rPr>
  </w:style>
  <w:style w:type="character" w:styleId="BookTitle">
    <w:name w:val="Book Title"/>
    <w:basedOn w:val="DefaultParagraphFont"/>
    <w:uiPriority w:val="33"/>
    <w:qFormat/>
    <w:rsid w:val="000E5CC4"/>
    <w:rPr>
      <w:b/>
      <w:bCs/>
      <w:i/>
      <w:iCs/>
      <w:spacing w:val="5"/>
    </w:rPr>
  </w:style>
  <w:style w:type="paragraph" w:styleId="Closing">
    <w:name w:val="Closing"/>
    <w:basedOn w:val="Normal"/>
    <w:link w:val="ClosingChar"/>
    <w:uiPriority w:val="99"/>
    <w:semiHidden/>
    <w:unhideWhenUsed/>
    <w:rsid w:val="000E5CC4"/>
    <w:pPr>
      <w:spacing w:after="0" w:line="240" w:lineRule="auto"/>
      <w:ind w:left="4252"/>
    </w:pPr>
  </w:style>
  <w:style w:type="character" w:customStyle="1" w:styleId="ClosingChar">
    <w:name w:val="Closing Char"/>
    <w:basedOn w:val="DefaultParagraphFont"/>
    <w:link w:val="Closing"/>
    <w:uiPriority w:val="99"/>
    <w:semiHidden/>
    <w:rsid w:val="000E5CC4"/>
    <w:rPr>
      <w:rFonts w:ascii="HelveticaNeueLT Std Lt Cn" w:hAnsi="HelveticaNeueLT Std Lt Cn"/>
      <w:sz w:val="20"/>
    </w:rPr>
  </w:style>
  <w:style w:type="table" w:styleId="ColorfulGrid">
    <w:name w:val="Colorful Grid"/>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DDED" w:themeFill="accent1" w:themeFillTint="33"/>
    </w:tcPr>
    <w:tblStylePr w:type="firstRow">
      <w:rPr>
        <w:b/>
        <w:bCs/>
      </w:rPr>
      <w:tblPr/>
      <w:tcPr>
        <w:shd w:val="clear" w:color="auto" w:fill="D5BBDB" w:themeFill="accent1" w:themeFillTint="66"/>
      </w:tcPr>
    </w:tblStylePr>
    <w:tblStylePr w:type="lastRow">
      <w:rPr>
        <w:b/>
        <w:bCs/>
        <w:color w:val="000000" w:themeColor="text1"/>
      </w:rPr>
      <w:tblPr/>
      <w:tcPr>
        <w:shd w:val="clear" w:color="auto" w:fill="D5BBDB" w:themeFill="accent1" w:themeFillTint="66"/>
      </w:tcPr>
    </w:tblStylePr>
    <w:tblStylePr w:type="firstCol">
      <w:rPr>
        <w:color w:val="FFFFFF" w:themeColor="background1"/>
      </w:rPr>
      <w:tblPr/>
      <w:tcPr>
        <w:shd w:val="clear" w:color="auto" w:fill="70417C" w:themeFill="accent1" w:themeFillShade="BF"/>
      </w:tcPr>
    </w:tblStylePr>
    <w:tblStylePr w:type="lastCol">
      <w:rPr>
        <w:color w:val="FFFFFF" w:themeColor="background1"/>
      </w:rPr>
      <w:tblPr/>
      <w:tcPr>
        <w:shd w:val="clear" w:color="auto" w:fill="70417C" w:themeFill="accent1" w:themeFillShade="BF"/>
      </w:tc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ColorfulGrid-Accent2">
    <w:name w:val="Colorful Grid Accent 2"/>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D7" w:themeFill="accent2" w:themeFillTint="33"/>
    </w:tcPr>
    <w:tblStylePr w:type="firstRow">
      <w:rPr>
        <w:b/>
        <w:bCs/>
      </w:rPr>
      <w:tblPr/>
      <w:tcPr>
        <w:shd w:val="clear" w:color="auto" w:fill="FFDEB0" w:themeFill="accent2" w:themeFillTint="66"/>
      </w:tcPr>
    </w:tblStylePr>
    <w:tblStylePr w:type="lastRow">
      <w:rPr>
        <w:b/>
        <w:bCs/>
        <w:color w:val="000000" w:themeColor="text1"/>
      </w:rPr>
      <w:tblPr/>
      <w:tcPr>
        <w:shd w:val="clear" w:color="auto" w:fill="FFDEB0" w:themeFill="accent2" w:themeFillTint="66"/>
      </w:tcPr>
    </w:tblStylePr>
    <w:tblStylePr w:type="firstCol">
      <w:rPr>
        <w:color w:val="FFFFFF" w:themeColor="background1"/>
      </w:rPr>
      <w:tblPr/>
      <w:tcPr>
        <w:shd w:val="clear" w:color="auto" w:fill="EB8900" w:themeFill="accent2" w:themeFillShade="BF"/>
      </w:tcPr>
    </w:tblStylePr>
    <w:tblStylePr w:type="lastCol">
      <w:rPr>
        <w:color w:val="FFFFFF" w:themeColor="background1"/>
      </w:rPr>
      <w:tblPr/>
      <w:tcPr>
        <w:shd w:val="clear" w:color="auto" w:fill="EB8900" w:themeFill="accent2" w:themeFillShade="BF"/>
      </w:tc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ColorfulGrid-Accent3">
    <w:name w:val="Colorful Grid Accent 3"/>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7F2" w:themeFill="accent4" w:themeFillTint="33"/>
    </w:tcPr>
    <w:tblStylePr w:type="firstRow">
      <w:rPr>
        <w:b/>
        <w:bCs/>
      </w:rPr>
      <w:tblPr/>
      <w:tcPr>
        <w:shd w:val="clear" w:color="auto" w:fill="E1CFE6" w:themeFill="accent4" w:themeFillTint="66"/>
      </w:tcPr>
    </w:tblStylePr>
    <w:tblStylePr w:type="lastRow">
      <w:rPr>
        <w:b/>
        <w:bCs/>
        <w:color w:val="000000" w:themeColor="text1"/>
      </w:rPr>
      <w:tblPr/>
      <w:tcPr>
        <w:shd w:val="clear" w:color="auto" w:fill="E1CFE6" w:themeFill="accent4" w:themeFillTint="66"/>
      </w:tcPr>
    </w:tblStylePr>
    <w:tblStylePr w:type="firstCol">
      <w:rPr>
        <w:color w:val="FFFFFF" w:themeColor="background1"/>
      </w:rPr>
      <w:tblPr/>
      <w:tcPr>
        <w:shd w:val="clear" w:color="auto" w:fill="9255A1" w:themeFill="accent4" w:themeFillShade="BF"/>
      </w:tcPr>
    </w:tblStylePr>
    <w:tblStylePr w:type="lastCol">
      <w:rPr>
        <w:color w:val="FFFFFF" w:themeColor="background1"/>
      </w:rPr>
      <w:tblPr/>
      <w:tcPr>
        <w:shd w:val="clear" w:color="auto" w:fill="9255A1" w:themeFill="accent4" w:themeFillShade="BF"/>
      </w:tc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ColorfulGrid-Accent5">
    <w:name w:val="Colorful Grid Accent 5"/>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7" w:themeFill="accent5" w:themeFillTint="33"/>
    </w:tcPr>
    <w:tblStylePr w:type="firstRow">
      <w:rPr>
        <w:b/>
        <w:bCs/>
      </w:rPr>
      <w:tblPr/>
      <w:tcPr>
        <w:shd w:val="clear" w:color="auto" w:fill="FFD190" w:themeFill="accent5" w:themeFillTint="66"/>
      </w:tcPr>
    </w:tblStylePr>
    <w:tblStylePr w:type="lastRow">
      <w:rPr>
        <w:b/>
        <w:bCs/>
        <w:color w:val="000000" w:themeColor="text1"/>
      </w:rPr>
      <w:tblPr/>
      <w:tcPr>
        <w:shd w:val="clear" w:color="auto" w:fill="FFD190" w:themeFill="accent5" w:themeFillTint="66"/>
      </w:tcPr>
    </w:tblStylePr>
    <w:tblStylePr w:type="firstCol">
      <w:rPr>
        <w:color w:val="FFFFFF" w:themeColor="background1"/>
      </w:rPr>
      <w:tblPr/>
      <w:tcPr>
        <w:shd w:val="clear" w:color="auto" w:fill="AF6700" w:themeFill="accent5" w:themeFillShade="BF"/>
      </w:tcPr>
    </w:tblStylePr>
    <w:tblStylePr w:type="lastCol">
      <w:rPr>
        <w:color w:val="FFFFFF" w:themeColor="background1"/>
      </w:rPr>
      <w:tblPr/>
      <w:tcPr>
        <w:shd w:val="clear" w:color="auto" w:fill="AF6700" w:themeFill="accent5" w:themeFillShade="BF"/>
      </w:tc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ColorfulGrid-Accent6">
    <w:name w:val="Colorful Grid Accent 6"/>
    <w:basedOn w:val="TableNormal"/>
    <w:uiPriority w:val="73"/>
    <w:semiHidden/>
    <w:unhideWhenUsed/>
    <w:rsid w:val="000E5C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ColorfulList">
    <w:name w:val="Colorful List"/>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4EEF6" w:themeFill="accent1"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5E9" w:themeFill="accent1" w:themeFillTint="3F"/>
      </w:tcPr>
    </w:tblStylePr>
    <w:tblStylePr w:type="band1Horz">
      <w:tblPr/>
      <w:tcPr>
        <w:shd w:val="clear" w:color="auto" w:fill="EADDED" w:themeFill="accent1" w:themeFillTint="33"/>
      </w:tcPr>
    </w:tblStylePr>
  </w:style>
  <w:style w:type="table" w:styleId="ColorfulList-Accent2">
    <w:name w:val="Colorful List Accent 2"/>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6EB" w:themeFill="accent2" w:themeFillTint="19"/>
    </w:tcPr>
    <w:tblStylePr w:type="firstRow">
      <w:rPr>
        <w:b/>
        <w:bCs/>
        <w:color w:val="FFFFFF" w:themeColor="background1"/>
      </w:rPr>
      <w:tblPr/>
      <w:tcPr>
        <w:tcBorders>
          <w:bottom w:val="single" w:sz="12" w:space="0" w:color="FFFFFF" w:themeColor="background1"/>
        </w:tcBorders>
        <w:shd w:val="clear" w:color="auto" w:fill="FB9200" w:themeFill="accent2" w:themeFillShade="CC"/>
      </w:tcPr>
    </w:tblStylePr>
    <w:tblStylePr w:type="lastRow">
      <w:rPr>
        <w:b/>
        <w:bCs/>
        <w:color w:val="FB9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E" w:themeFill="accent2" w:themeFillTint="3F"/>
      </w:tcPr>
    </w:tblStylePr>
    <w:tblStylePr w:type="band1Horz">
      <w:tblPr/>
      <w:tcPr>
        <w:shd w:val="clear" w:color="auto" w:fill="FFEED7" w:themeFill="accent2" w:themeFillTint="33"/>
      </w:tcPr>
    </w:tblStylePr>
  </w:style>
  <w:style w:type="table" w:styleId="ColorfulList-Accent3">
    <w:name w:val="Colorful List Accent 3"/>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9B5DAA" w:themeFill="accent4" w:themeFillShade="CC"/>
      </w:tcPr>
    </w:tblStylePr>
    <w:tblStylePr w:type="lastRow">
      <w:rPr>
        <w:b/>
        <w:bCs/>
        <w:color w:val="9B5D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7F3F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1EF" w:themeFill="accent4" w:themeFillTint="3F"/>
      </w:tcPr>
    </w:tblStylePr>
    <w:tblStylePr w:type="band1Horz">
      <w:tblPr/>
      <w:tcPr>
        <w:shd w:val="clear" w:color="auto" w:fill="F0E7F2" w:themeFill="accent4" w:themeFillTint="33"/>
      </w:tcPr>
    </w:tblStylePr>
  </w:style>
  <w:style w:type="table" w:styleId="ColorfulList-Accent5">
    <w:name w:val="Colorful List Accent 5"/>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FF3E3"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3BA" w:themeFill="accent5" w:themeFillTint="3F"/>
      </w:tcPr>
    </w:tblStylePr>
    <w:tblStylePr w:type="band1Horz">
      <w:tblPr/>
      <w:tcPr>
        <w:shd w:val="clear" w:color="auto" w:fill="FFE8C7" w:themeFill="accent5" w:themeFillTint="33"/>
      </w:tcPr>
    </w:tblStylePr>
  </w:style>
  <w:style w:type="table" w:styleId="ColorfulList-Accent6">
    <w:name w:val="Colorful List Accent 6"/>
    <w:basedOn w:val="TableNormal"/>
    <w:uiPriority w:val="72"/>
    <w:semiHidden/>
    <w:unhideWhenUsed/>
    <w:rsid w:val="000E5CC4"/>
    <w:pPr>
      <w:spacing w:after="0"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BB6E00" w:themeFill="accent5" w:themeFillShade="CC"/>
      </w:tcPr>
    </w:tblStylePr>
    <w:tblStylePr w:type="lastRow">
      <w:rPr>
        <w:b/>
        <w:bCs/>
        <w:color w:val="BB6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ColorfulShading">
    <w:name w:val="Colorful Shading"/>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9757A6" w:themeColor="accent1"/>
        <w:bottom w:val="single" w:sz="4" w:space="0" w:color="9757A6" w:themeColor="accent1"/>
        <w:right w:val="single" w:sz="4" w:space="0" w:color="9757A6" w:themeColor="accent1"/>
        <w:insideH w:val="single" w:sz="4" w:space="0" w:color="FFFFFF" w:themeColor="background1"/>
        <w:insideV w:val="single" w:sz="4" w:space="0" w:color="FFFFFF" w:themeColor="background1"/>
      </w:tblBorders>
    </w:tblPr>
    <w:tcPr>
      <w:shd w:val="clear" w:color="auto" w:fill="F4EEF6" w:themeFill="accent1"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3463" w:themeFill="accent1" w:themeFillShade="99"/>
      </w:tcPr>
    </w:tblStylePr>
    <w:tblStylePr w:type="firstCol">
      <w:rPr>
        <w:color w:val="FFFFFF" w:themeColor="background1"/>
      </w:rPr>
      <w:tblPr/>
      <w:tcPr>
        <w:tcBorders>
          <w:top w:val="nil"/>
          <w:left w:val="nil"/>
          <w:bottom w:val="nil"/>
          <w:right w:val="nil"/>
          <w:insideH w:val="single" w:sz="4" w:space="0" w:color="5A3463" w:themeColor="accent1" w:themeShade="99"/>
          <w:insideV w:val="nil"/>
        </w:tcBorders>
        <w:shd w:val="clear" w:color="auto" w:fill="5A34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3463" w:themeFill="accent1" w:themeFillShade="99"/>
      </w:tcPr>
    </w:tblStylePr>
    <w:tblStylePr w:type="band1Vert">
      <w:tblPr/>
      <w:tcPr>
        <w:shd w:val="clear" w:color="auto" w:fill="D5BBDB" w:themeFill="accent1" w:themeFillTint="66"/>
      </w:tcPr>
    </w:tblStylePr>
    <w:tblStylePr w:type="band1Horz">
      <w:tblPr/>
      <w:tcPr>
        <w:shd w:val="clear" w:color="auto" w:fill="CBAB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FFAE3B" w:themeColor="accent2"/>
        <w:left w:val="single" w:sz="4" w:space="0" w:color="FFAE3B" w:themeColor="accent2"/>
        <w:bottom w:val="single" w:sz="4" w:space="0" w:color="FFAE3B" w:themeColor="accent2"/>
        <w:right w:val="single" w:sz="4" w:space="0" w:color="FFAE3B" w:themeColor="accent2"/>
        <w:insideH w:val="single" w:sz="4" w:space="0" w:color="FFFFFF" w:themeColor="background1"/>
        <w:insideV w:val="single" w:sz="4" w:space="0" w:color="FFFFFF" w:themeColor="background1"/>
      </w:tblBorders>
    </w:tblPr>
    <w:tcPr>
      <w:shd w:val="clear" w:color="auto" w:fill="FFF6EB" w:themeFill="accent2" w:themeFillTint="19"/>
    </w:tcPr>
    <w:tblStylePr w:type="firstRow">
      <w:rPr>
        <w:b/>
        <w:bCs/>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E00" w:themeFill="accent2" w:themeFillShade="99"/>
      </w:tcPr>
    </w:tblStylePr>
    <w:tblStylePr w:type="firstCol">
      <w:rPr>
        <w:color w:val="FFFFFF" w:themeColor="background1"/>
      </w:rPr>
      <w:tblPr/>
      <w:tcPr>
        <w:tcBorders>
          <w:top w:val="nil"/>
          <w:left w:val="nil"/>
          <w:bottom w:val="nil"/>
          <w:right w:val="nil"/>
          <w:insideH w:val="single" w:sz="4" w:space="0" w:color="BC6E00" w:themeColor="accent2" w:themeShade="99"/>
          <w:insideV w:val="nil"/>
        </w:tcBorders>
        <w:shd w:val="clear" w:color="auto" w:fill="BC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C6E00" w:themeFill="accent2" w:themeFillShade="99"/>
      </w:tcPr>
    </w:tblStylePr>
    <w:tblStylePr w:type="band1Vert">
      <w:tblPr/>
      <w:tcPr>
        <w:shd w:val="clear" w:color="auto" w:fill="FFDEB0" w:themeFill="accent2" w:themeFillTint="66"/>
      </w:tcPr>
    </w:tblStylePr>
    <w:tblStylePr w:type="band1Horz">
      <w:tblPr/>
      <w:tcPr>
        <w:shd w:val="clear" w:color="auto" w:fill="FF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689C1"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A5A5A5" w:themeColor="accent3"/>
        <w:left w:val="single" w:sz="4" w:space="0" w:color="B689C1" w:themeColor="accent4"/>
        <w:bottom w:val="single" w:sz="4" w:space="0" w:color="B689C1" w:themeColor="accent4"/>
        <w:right w:val="single" w:sz="4" w:space="0" w:color="B689C1" w:themeColor="accent4"/>
        <w:insideH w:val="single" w:sz="4" w:space="0" w:color="FFFFFF" w:themeColor="background1"/>
        <w:insideV w:val="single" w:sz="4" w:space="0" w:color="FFFFFF" w:themeColor="background1"/>
      </w:tblBorders>
    </w:tblPr>
    <w:tcPr>
      <w:shd w:val="clear" w:color="auto" w:fill="F7F3F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4481" w:themeFill="accent4" w:themeFillShade="99"/>
      </w:tcPr>
    </w:tblStylePr>
    <w:tblStylePr w:type="firstCol">
      <w:rPr>
        <w:color w:val="FFFFFF" w:themeColor="background1"/>
      </w:rPr>
      <w:tblPr/>
      <w:tcPr>
        <w:tcBorders>
          <w:top w:val="nil"/>
          <w:left w:val="nil"/>
          <w:bottom w:val="nil"/>
          <w:right w:val="nil"/>
          <w:insideH w:val="single" w:sz="4" w:space="0" w:color="754481" w:themeColor="accent4" w:themeShade="99"/>
          <w:insideV w:val="nil"/>
        </w:tcBorders>
        <w:shd w:val="clear" w:color="auto" w:fill="7544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54481" w:themeFill="accent4" w:themeFillShade="99"/>
      </w:tcPr>
    </w:tblStylePr>
    <w:tblStylePr w:type="band1Vert">
      <w:tblPr/>
      <w:tcPr>
        <w:shd w:val="clear" w:color="auto" w:fill="E1CFE6" w:themeFill="accent4" w:themeFillTint="66"/>
      </w:tcPr>
    </w:tblStylePr>
    <w:tblStylePr w:type="band1Horz">
      <w:tblPr/>
      <w:tcPr>
        <w:shd w:val="clear" w:color="auto" w:fill="DAC4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BFBFBF" w:themeColor="accent6"/>
        <w:left w:val="single" w:sz="4" w:space="0" w:color="EA8B00" w:themeColor="accent5"/>
        <w:bottom w:val="single" w:sz="4" w:space="0" w:color="EA8B00" w:themeColor="accent5"/>
        <w:right w:val="single" w:sz="4" w:space="0" w:color="EA8B00" w:themeColor="accent5"/>
        <w:insideH w:val="single" w:sz="4" w:space="0" w:color="FFFFFF" w:themeColor="background1"/>
        <w:insideV w:val="single" w:sz="4" w:space="0" w:color="FFFFFF" w:themeColor="background1"/>
      </w:tblBorders>
    </w:tblPr>
    <w:tcPr>
      <w:shd w:val="clear" w:color="auto" w:fill="FFF3E3"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5300" w:themeFill="accent5" w:themeFillShade="99"/>
      </w:tcPr>
    </w:tblStylePr>
    <w:tblStylePr w:type="firstCol">
      <w:rPr>
        <w:color w:val="FFFFFF" w:themeColor="background1"/>
      </w:rPr>
      <w:tblPr/>
      <w:tcPr>
        <w:tcBorders>
          <w:top w:val="nil"/>
          <w:left w:val="nil"/>
          <w:bottom w:val="nil"/>
          <w:right w:val="nil"/>
          <w:insideH w:val="single" w:sz="4" w:space="0" w:color="8C5300" w:themeColor="accent5" w:themeShade="99"/>
          <w:insideV w:val="nil"/>
        </w:tcBorders>
        <w:shd w:val="clear" w:color="auto" w:fill="8C5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C5300" w:themeFill="accent5" w:themeFillShade="99"/>
      </w:tcPr>
    </w:tblStylePr>
    <w:tblStylePr w:type="band1Vert">
      <w:tblPr/>
      <w:tcPr>
        <w:shd w:val="clear" w:color="auto" w:fill="FFD190" w:themeFill="accent5" w:themeFillTint="66"/>
      </w:tcPr>
    </w:tblStylePr>
    <w:tblStylePr w:type="band1Horz">
      <w:tblPr/>
      <w:tcPr>
        <w:shd w:val="clear" w:color="auto" w:fill="FFC67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E5CC4"/>
    <w:pPr>
      <w:spacing w:after="0" w:line="240" w:lineRule="auto"/>
    </w:pPr>
    <w:rPr>
      <w:color w:val="000000" w:themeColor="text1"/>
    </w:rPr>
    <w:tblPr>
      <w:tblStyleRowBandSize w:val="1"/>
      <w:tblStyleColBandSize w:val="1"/>
      <w:tblBorders>
        <w:top w:val="single" w:sz="24" w:space="0" w:color="EA8B00"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E5CC4"/>
    <w:rPr>
      <w:sz w:val="16"/>
      <w:szCs w:val="16"/>
    </w:rPr>
  </w:style>
  <w:style w:type="paragraph" w:styleId="CommentText">
    <w:name w:val="annotation text"/>
    <w:basedOn w:val="Normal"/>
    <w:link w:val="CommentTextChar"/>
    <w:uiPriority w:val="99"/>
    <w:unhideWhenUsed/>
    <w:rsid w:val="000E5CC4"/>
    <w:pPr>
      <w:spacing w:line="240" w:lineRule="auto"/>
    </w:pPr>
    <w:rPr>
      <w:szCs w:val="20"/>
    </w:rPr>
  </w:style>
  <w:style w:type="character" w:customStyle="1" w:styleId="CommentTextChar">
    <w:name w:val="Comment Text Char"/>
    <w:basedOn w:val="DefaultParagraphFont"/>
    <w:link w:val="CommentText"/>
    <w:uiPriority w:val="99"/>
    <w:rsid w:val="000E5CC4"/>
    <w:rPr>
      <w:rFonts w:ascii="HelveticaNeueLT Std Lt Cn" w:hAnsi="HelveticaNeueLT Std Lt Cn"/>
      <w:sz w:val="20"/>
      <w:szCs w:val="20"/>
    </w:rPr>
  </w:style>
  <w:style w:type="paragraph" w:styleId="CommentSubject">
    <w:name w:val="annotation subject"/>
    <w:basedOn w:val="CommentText"/>
    <w:next w:val="CommentText"/>
    <w:link w:val="CommentSubjectChar"/>
    <w:uiPriority w:val="99"/>
    <w:semiHidden/>
    <w:unhideWhenUsed/>
    <w:rsid w:val="000E5CC4"/>
    <w:rPr>
      <w:b/>
      <w:bCs/>
    </w:rPr>
  </w:style>
  <w:style w:type="character" w:customStyle="1" w:styleId="CommentSubjectChar">
    <w:name w:val="Comment Subject Char"/>
    <w:basedOn w:val="CommentTextChar"/>
    <w:link w:val="CommentSubject"/>
    <w:uiPriority w:val="99"/>
    <w:semiHidden/>
    <w:rsid w:val="000E5CC4"/>
    <w:rPr>
      <w:rFonts w:ascii="HelveticaNeueLT Std Lt Cn" w:hAnsi="HelveticaNeueLT Std Lt Cn"/>
      <w:b/>
      <w:bCs/>
      <w:sz w:val="20"/>
      <w:szCs w:val="20"/>
    </w:rPr>
  </w:style>
  <w:style w:type="table" w:styleId="DarkList">
    <w:name w:val="Dark List"/>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9757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2B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41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417C" w:themeFill="accent1" w:themeFillShade="BF"/>
      </w:tcPr>
    </w:tblStylePr>
    <w:tblStylePr w:type="band1Vert">
      <w:tblPr/>
      <w:tcPr>
        <w:tcBorders>
          <w:top w:val="nil"/>
          <w:left w:val="nil"/>
          <w:bottom w:val="nil"/>
          <w:right w:val="nil"/>
          <w:insideH w:val="nil"/>
          <w:insideV w:val="nil"/>
        </w:tcBorders>
        <w:shd w:val="clear" w:color="auto" w:fill="70417C" w:themeFill="accent1" w:themeFillShade="BF"/>
      </w:tcPr>
    </w:tblStylePr>
    <w:tblStylePr w:type="band1Horz">
      <w:tblPr/>
      <w:tcPr>
        <w:tcBorders>
          <w:top w:val="nil"/>
          <w:left w:val="nil"/>
          <w:bottom w:val="nil"/>
          <w:right w:val="nil"/>
          <w:insideH w:val="nil"/>
          <w:insideV w:val="nil"/>
        </w:tcBorders>
        <w:shd w:val="clear" w:color="auto" w:fill="70417C" w:themeFill="accent1" w:themeFillShade="BF"/>
      </w:tcPr>
    </w:tblStylePr>
  </w:style>
  <w:style w:type="table" w:styleId="DarkList-Accent2">
    <w:name w:val="Dark List Accent 2"/>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FFAE3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B8900" w:themeFill="accent2" w:themeFillShade="BF"/>
      </w:tcPr>
    </w:tblStylePr>
    <w:tblStylePr w:type="band1Vert">
      <w:tblPr/>
      <w:tcPr>
        <w:tcBorders>
          <w:top w:val="nil"/>
          <w:left w:val="nil"/>
          <w:bottom w:val="nil"/>
          <w:right w:val="nil"/>
          <w:insideH w:val="nil"/>
          <w:insideV w:val="nil"/>
        </w:tcBorders>
        <w:shd w:val="clear" w:color="auto" w:fill="EB8900" w:themeFill="accent2" w:themeFillShade="BF"/>
      </w:tcPr>
    </w:tblStylePr>
    <w:tblStylePr w:type="band1Horz">
      <w:tblPr/>
      <w:tcPr>
        <w:tcBorders>
          <w:top w:val="nil"/>
          <w:left w:val="nil"/>
          <w:bottom w:val="nil"/>
          <w:right w:val="nil"/>
          <w:insideH w:val="nil"/>
          <w:insideV w:val="nil"/>
        </w:tcBorders>
        <w:shd w:val="clear" w:color="auto" w:fill="EB8900" w:themeFill="accent2" w:themeFillShade="BF"/>
      </w:tcPr>
    </w:tblStylePr>
  </w:style>
  <w:style w:type="table" w:styleId="DarkList-Accent3">
    <w:name w:val="Dark List Accent 3"/>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689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386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255A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255A1" w:themeFill="accent4" w:themeFillShade="BF"/>
      </w:tcPr>
    </w:tblStylePr>
    <w:tblStylePr w:type="band1Vert">
      <w:tblPr/>
      <w:tcPr>
        <w:tcBorders>
          <w:top w:val="nil"/>
          <w:left w:val="nil"/>
          <w:bottom w:val="nil"/>
          <w:right w:val="nil"/>
          <w:insideH w:val="nil"/>
          <w:insideV w:val="nil"/>
        </w:tcBorders>
        <w:shd w:val="clear" w:color="auto" w:fill="9255A1" w:themeFill="accent4" w:themeFillShade="BF"/>
      </w:tcPr>
    </w:tblStylePr>
    <w:tblStylePr w:type="band1Horz">
      <w:tblPr/>
      <w:tcPr>
        <w:tcBorders>
          <w:top w:val="nil"/>
          <w:left w:val="nil"/>
          <w:bottom w:val="nil"/>
          <w:right w:val="nil"/>
          <w:insideH w:val="nil"/>
          <w:insideV w:val="nil"/>
        </w:tcBorders>
        <w:shd w:val="clear" w:color="auto" w:fill="9255A1" w:themeFill="accent4" w:themeFillShade="BF"/>
      </w:tcPr>
    </w:tblStylePr>
  </w:style>
  <w:style w:type="table" w:styleId="DarkList-Accent5">
    <w:name w:val="Dark List Accent 5"/>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EA8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F6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F6700" w:themeFill="accent5" w:themeFillShade="BF"/>
      </w:tcPr>
    </w:tblStylePr>
    <w:tblStylePr w:type="band1Vert">
      <w:tblPr/>
      <w:tcPr>
        <w:tcBorders>
          <w:top w:val="nil"/>
          <w:left w:val="nil"/>
          <w:bottom w:val="nil"/>
          <w:right w:val="nil"/>
          <w:insideH w:val="nil"/>
          <w:insideV w:val="nil"/>
        </w:tcBorders>
        <w:shd w:val="clear" w:color="auto" w:fill="AF6700" w:themeFill="accent5" w:themeFillShade="BF"/>
      </w:tcPr>
    </w:tblStylePr>
    <w:tblStylePr w:type="band1Horz">
      <w:tblPr/>
      <w:tcPr>
        <w:tcBorders>
          <w:top w:val="nil"/>
          <w:left w:val="nil"/>
          <w:bottom w:val="nil"/>
          <w:right w:val="nil"/>
          <w:insideH w:val="nil"/>
          <w:insideV w:val="nil"/>
        </w:tcBorders>
        <w:shd w:val="clear" w:color="auto" w:fill="AF6700" w:themeFill="accent5" w:themeFillShade="BF"/>
      </w:tcPr>
    </w:tblStylePr>
  </w:style>
  <w:style w:type="table" w:styleId="DarkList-Accent6">
    <w:name w:val="Dark List Accent 6"/>
    <w:basedOn w:val="TableNormal"/>
    <w:uiPriority w:val="70"/>
    <w:semiHidden/>
    <w:unhideWhenUsed/>
    <w:rsid w:val="000E5CC4"/>
    <w:pPr>
      <w:spacing w:after="0"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e">
    <w:name w:val="Date"/>
    <w:basedOn w:val="Normal"/>
    <w:next w:val="Normal"/>
    <w:link w:val="DateChar"/>
    <w:uiPriority w:val="99"/>
    <w:semiHidden/>
    <w:rsid w:val="000E5CC4"/>
  </w:style>
  <w:style w:type="character" w:customStyle="1" w:styleId="DateChar">
    <w:name w:val="Date Char"/>
    <w:basedOn w:val="DefaultParagraphFont"/>
    <w:link w:val="Date"/>
    <w:uiPriority w:val="99"/>
    <w:semiHidden/>
    <w:rsid w:val="000E5CC4"/>
    <w:rPr>
      <w:rFonts w:ascii="HelveticaNeueLT Std Lt Cn" w:hAnsi="HelveticaNeueLT Std Lt Cn"/>
      <w:sz w:val="20"/>
    </w:rPr>
  </w:style>
  <w:style w:type="paragraph" w:styleId="DocumentMap">
    <w:name w:val="Document Map"/>
    <w:basedOn w:val="Normal"/>
    <w:link w:val="DocumentMapChar"/>
    <w:uiPriority w:val="99"/>
    <w:semiHidden/>
    <w:unhideWhenUsed/>
    <w:rsid w:val="000E5CC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5CC4"/>
    <w:rPr>
      <w:rFonts w:ascii="Segoe UI" w:hAnsi="Segoe UI" w:cs="Segoe UI"/>
      <w:sz w:val="16"/>
      <w:szCs w:val="16"/>
    </w:rPr>
  </w:style>
  <w:style w:type="paragraph" w:styleId="E-mailSignature">
    <w:name w:val="E-mail Signature"/>
    <w:basedOn w:val="Normal"/>
    <w:link w:val="E-mailSignatureChar"/>
    <w:uiPriority w:val="99"/>
    <w:semiHidden/>
    <w:unhideWhenUsed/>
    <w:rsid w:val="000E5CC4"/>
    <w:pPr>
      <w:spacing w:after="0" w:line="240" w:lineRule="auto"/>
    </w:pPr>
  </w:style>
  <w:style w:type="character" w:customStyle="1" w:styleId="E-mailSignatureChar">
    <w:name w:val="E-mail Signature Char"/>
    <w:basedOn w:val="DefaultParagraphFont"/>
    <w:link w:val="E-mailSignature"/>
    <w:uiPriority w:val="99"/>
    <w:semiHidden/>
    <w:rsid w:val="000E5CC4"/>
    <w:rPr>
      <w:rFonts w:ascii="HelveticaNeueLT Std Lt Cn" w:hAnsi="HelveticaNeueLT Std Lt Cn"/>
      <w:sz w:val="20"/>
    </w:rPr>
  </w:style>
  <w:style w:type="character" w:styleId="Emphasis">
    <w:name w:val="Emphasis"/>
    <w:basedOn w:val="DefaultParagraphFont"/>
    <w:uiPriority w:val="20"/>
    <w:qFormat/>
    <w:rsid w:val="000E5CC4"/>
    <w:rPr>
      <w:i/>
      <w:iCs/>
    </w:rPr>
  </w:style>
  <w:style w:type="character" w:styleId="EndnoteReference">
    <w:name w:val="endnote reference"/>
    <w:basedOn w:val="DefaultParagraphFont"/>
    <w:uiPriority w:val="99"/>
    <w:semiHidden/>
    <w:unhideWhenUsed/>
    <w:rsid w:val="000E5CC4"/>
    <w:rPr>
      <w:vertAlign w:val="superscript"/>
    </w:rPr>
  </w:style>
  <w:style w:type="paragraph" w:styleId="EndnoteText">
    <w:name w:val="endnote text"/>
    <w:basedOn w:val="Normal"/>
    <w:link w:val="EndnoteTextChar"/>
    <w:uiPriority w:val="99"/>
    <w:semiHidden/>
    <w:unhideWhenUsed/>
    <w:rsid w:val="000E5CC4"/>
    <w:pPr>
      <w:spacing w:after="0" w:line="240" w:lineRule="auto"/>
    </w:pPr>
    <w:rPr>
      <w:szCs w:val="20"/>
    </w:rPr>
  </w:style>
  <w:style w:type="character" w:customStyle="1" w:styleId="EndnoteTextChar">
    <w:name w:val="Endnote Text Char"/>
    <w:basedOn w:val="DefaultParagraphFont"/>
    <w:link w:val="EndnoteText"/>
    <w:uiPriority w:val="99"/>
    <w:semiHidden/>
    <w:rsid w:val="000E5CC4"/>
    <w:rPr>
      <w:rFonts w:ascii="HelveticaNeueLT Std Lt Cn" w:hAnsi="HelveticaNeueLT Std Lt Cn"/>
      <w:sz w:val="20"/>
      <w:szCs w:val="20"/>
    </w:rPr>
  </w:style>
  <w:style w:type="paragraph" w:styleId="EnvelopeAddress">
    <w:name w:val="envelope address"/>
    <w:basedOn w:val="Normal"/>
    <w:uiPriority w:val="99"/>
    <w:semiHidden/>
    <w:unhideWhenUsed/>
    <w:rsid w:val="000E5CC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5CC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E5CC4"/>
    <w:rPr>
      <w:color w:val="D490C5" w:themeColor="followedHyperlink"/>
      <w:u w:val="single"/>
    </w:rPr>
  </w:style>
  <w:style w:type="character" w:styleId="FootnoteReference">
    <w:name w:val="footnote reference"/>
    <w:basedOn w:val="DefaultParagraphFont"/>
    <w:uiPriority w:val="99"/>
    <w:rsid w:val="000E5CC4"/>
    <w:rPr>
      <w:vertAlign w:val="superscript"/>
    </w:rPr>
  </w:style>
  <w:style w:type="paragraph" w:styleId="FootnoteText">
    <w:name w:val="footnote text"/>
    <w:aliases w:val="Footnote Text Char Char"/>
    <w:basedOn w:val="Normal"/>
    <w:link w:val="FootnoteTextChar"/>
    <w:uiPriority w:val="99"/>
    <w:rsid w:val="001F3497"/>
    <w:pPr>
      <w:spacing w:after="0" w:line="240" w:lineRule="auto"/>
    </w:pPr>
    <w:rPr>
      <w:sz w:val="16"/>
      <w:szCs w:val="20"/>
    </w:rPr>
  </w:style>
  <w:style w:type="character" w:customStyle="1" w:styleId="FootnoteTextChar">
    <w:name w:val="Footnote Text Char"/>
    <w:aliases w:val="Footnote Text Char Char Char"/>
    <w:basedOn w:val="DefaultParagraphFont"/>
    <w:link w:val="FootnoteText"/>
    <w:uiPriority w:val="99"/>
    <w:rsid w:val="001F3497"/>
    <w:rPr>
      <w:rFonts w:ascii="HelveticaNeueLT Std Lt Cn" w:hAnsi="HelveticaNeueLT Std Lt Cn"/>
      <w:sz w:val="16"/>
      <w:szCs w:val="20"/>
    </w:rPr>
  </w:style>
  <w:style w:type="table" w:styleId="GridTable1Light">
    <w:name w:val="Grid Table 1 Light"/>
    <w:basedOn w:val="TableNormal"/>
    <w:uiPriority w:val="46"/>
    <w:rsid w:val="000E5C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E5CC4"/>
    <w:pPr>
      <w:spacing w:after="0" w:line="240" w:lineRule="auto"/>
    </w:pPr>
    <w:tblPr>
      <w:tblStyleRowBandSize w:val="1"/>
      <w:tblStyleColBandSize w:val="1"/>
      <w:tblBorders>
        <w:top w:val="single" w:sz="4" w:space="0" w:color="D5BBDB" w:themeColor="accent1" w:themeTint="66"/>
        <w:left w:val="single" w:sz="4" w:space="0" w:color="D5BBDB" w:themeColor="accent1" w:themeTint="66"/>
        <w:bottom w:val="single" w:sz="4" w:space="0" w:color="D5BBDB" w:themeColor="accent1" w:themeTint="66"/>
        <w:right w:val="single" w:sz="4" w:space="0" w:color="D5BBDB" w:themeColor="accent1" w:themeTint="66"/>
        <w:insideH w:val="single" w:sz="4" w:space="0" w:color="D5BBDB" w:themeColor="accent1" w:themeTint="66"/>
        <w:insideV w:val="single" w:sz="4" w:space="0" w:color="D5BBDB" w:themeColor="accent1" w:themeTint="66"/>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2" w:space="0" w:color="C09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E5CC4"/>
    <w:pPr>
      <w:spacing w:after="0" w:line="240" w:lineRule="auto"/>
    </w:pPr>
    <w:tblPr>
      <w:tblStyleRowBandSize w:val="1"/>
      <w:tblStyleColBandSize w:val="1"/>
      <w:tblBorders>
        <w:top w:val="single" w:sz="4" w:space="0" w:color="FFDEB0" w:themeColor="accent2" w:themeTint="66"/>
        <w:left w:val="single" w:sz="4" w:space="0" w:color="FFDEB0" w:themeColor="accent2" w:themeTint="66"/>
        <w:bottom w:val="single" w:sz="4" w:space="0" w:color="FFDEB0" w:themeColor="accent2" w:themeTint="66"/>
        <w:right w:val="single" w:sz="4" w:space="0" w:color="FFDEB0" w:themeColor="accent2" w:themeTint="66"/>
        <w:insideH w:val="single" w:sz="4" w:space="0" w:color="FFDEB0" w:themeColor="accent2" w:themeTint="66"/>
        <w:insideV w:val="single" w:sz="4" w:space="0" w:color="FFDEB0" w:themeColor="accent2" w:themeTint="66"/>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2" w:space="0" w:color="FFCE8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E5CC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5CC4"/>
    <w:pPr>
      <w:spacing w:after="0" w:line="240" w:lineRule="auto"/>
    </w:pPr>
    <w:tblPr>
      <w:tblStyleRowBandSize w:val="1"/>
      <w:tblStyleColBandSize w:val="1"/>
      <w:tblBorders>
        <w:top w:val="single" w:sz="4" w:space="0" w:color="E1CFE6" w:themeColor="accent4" w:themeTint="66"/>
        <w:left w:val="single" w:sz="4" w:space="0" w:color="E1CFE6" w:themeColor="accent4" w:themeTint="66"/>
        <w:bottom w:val="single" w:sz="4" w:space="0" w:color="E1CFE6" w:themeColor="accent4" w:themeTint="66"/>
        <w:right w:val="single" w:sz="4" w:space="0" w:color="E1CFE6" w:themeColor="accent4" w:themeTint="66"/>
        <w:insideH w:val="single" w:sz="4" w:space="0" w:color="E1CFE6" w:themeColor="accent4" w:themeTint="66"/>
        <w:insideV w:val="single" w:sz="4" w:space="0" w:color="E1CFE6" w:themeColor="accent4" w:themeTint="66"/>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2" w:space="0" w:color="D3B8D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5CC4"/>
    <w:pPr>
      <w:spacing w:after="0" w:line="240" w:lineRule="auto"/>
    </w:pPr>
    <w:tblPr>
      <w:tblStyleRowBandSize w:val="1"/>
      <w:tblStyleColBandSize w:val="1"/>
      <w:tblBorders>
        <w:top w:val="single" w:sz="4" w:space="0" w:color="FFD190" w:themeColor="accent5" w:themeTint="66"/>
        <w:left w:val="single" w:sz="4" w:space="0" w:color="FFD190" w:themeColor="accent5" w:themeTint="66"/>
        <w:bottom w:val="single" w:sz="4" w:space="0" w:color="FFD190" w:themeColor="accent5" w:themeTint="66"/>
        <w:right w:val="single" w:sz="4" w:space="0" w:color="FFD190" w:themeColor="accent5" w:themeTint="66"/>
        <w:insideH w:val="single" w:sz="4" w:space="0" w:color="FFD190" w:themeColor="accent5" w:themeTint="66"/>
        <w:insideV w:val="single" w:sz="4" w:space="0" w:color="FFD190" w:themeColor="accent5" w:themeTint="66"/>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2" w:space="0" w:color="FFBB5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E5CC4"/>
    <w:pPr>
      <w:spacing w:after="0" w:line="240" w:lineRule="auto"/>
    </w:p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2" w:space="0" w:color="D8D8D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E5C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E5CC4"/>
    <w:pPr>
      <w:spacing w:after="0" w:line="240" w:lineRule="auto"/>
    </w:pPr>
    <w:tblPr>
      <w:tblStyleRowBandSize w:val="1"/>
      <w:tblStyleColBandSize w:val="1"/>
      <w:tblBorders>
        <w:top w:val="single" w:sz="2" w:space="0" w:color="C099CA" w:themeColor="accent1" w:themeTint="99"/>
        <w:bottom w:val="single" w:sz="2" w:space="0" w:color="C099CA" w:themeColor="accent1" w:themeTint="99"/>
        <w:insideH w:val="single" w:sz="2" w:space="0" w:color="C099CA" w:themeColor="accent1" w:themeTint="99"/>
        <w:insideV w:val="single" w:sz="2" w:space="0" w:color="C099CA" w:themeColor="accent1" w:themeTint="99"/>
      </w:tblBorders>
    </w:tblPr>
    <w:tblStylePr w:type="firstRow">
      <w:rPr>
        <w:b/>
        <w:bCs/>
      </w:rPr>
      <w:tblPr/>
      <w:tcPr>
        <w:tcBorders>
          <w:top w:val="nil"/>
          <w:bottom w:val="single" w:sz="12" w:space="0" w:color="C099CA" w:themeColor="accent1" w:themeTint="99"/>
          <w:insideH w:val="nil"/>
          <w:insideV w:val="nil"/>
        </w:tcBorders>
        <w:shd w:val="clear" w:color="auto" w:fill="FFFFFF" w:themeFill="background1"/>
      </w:tcPr>
    </w:tblStylePr>
    <w:tblStylePr w:type="lastRow">
      <w:rPr>
        <w:b/>
        <w:bCs/>
      </w:rPr>
      <w:tblPr/>
      <w:tcPr>
        <w:tcBorders>
          <w:top w:val="double" w:sz="2" w:space="0" w:color="C09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2-Accent2">
    <w:name w:val="Grid Table 2 Accent 2"/>
    <w:basedOn w:val="TableNormal"/>
    <w:uiPriority w:val="47"/>
    <w:rsid w:val="000E5CC4"/>
    <w:pPr>
      <w:spacing w:after="0" w:line="240" w:lineRule="auto"/>
    </w:pPr>
    <w:tblPr>
      <w:tblStyleRowBandSize w:val="1"/>
      <w:tblStyleColBandSize w:val="1"/>
      <w:tblBorders>
        <w:top w:val="single" w:sz="2" w:space="0" w:color="FFCE89" w:themeColor="accent2" w:themeTint="99"/>
        <w:bottom w:val="single" w:sz="2" w:space="0" w:color="FFCE89" w:themeColor="accent2" w:themeTint="99"/>
        <w:insideH w:val="single" w:sz="2" w:space="0" w:color="FFCE89" w:themeColor="accent2" w:themeTint="99"/>
        <w:insideV w:val="single" w:sz="2" w:space="0" w:color="FFCE89" w:themeColor="accent2" w:themeTint="99"/>
      </w:tblBorders>
    </w:tblPr>
    <w:tblStylePr w:type="firstRow">
      <w:rPr>
        <w:b/>
        <w:bCs/>
      </w:rPr>
      <w:tblPr/>
      <w:tcPr>
        <w:tcBorders>
          <w:top w:val="nil"/>
          <w:bottom w:val="single" w:sz="12" w:space="0" w:color="FFCE89" w:themeColor="accent2" w:themeTint="99"/>
          <w:insideH w:val="nil"/>
          <w:insideV w:val="nil"/>
        </w:tcBorders>
        <w:shd w:val="clear" w:color="auto" w:fill="FFFFFF" w:themeFill="background1"/>
      </w:tcPr>
    </w:tblStylePr>
    <w:tblStylePr w:type="lastRow">
      <w:rPr>
        <w:b/>
        <w:bCs/>
      </w:rPr>
      <w:tblPr/>
      <w:tcPr>
        <w:tcBorders>
          <w:top w:val="double" w:sz="2" w:space="0" w:color="FFCE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2-Accent3">
    <w:name w:val="Grid Table 2 Accent 3"/>
    <w:basedOn w:val="TableNormal"/>
    <w:uiPriority w:val="47"/>
    <w:rsid w:val="000E5CC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E5CC4"/>
    <w:pPr>
      <w:spacing w:after="0" w:line="240" w:lineRule="auto"/>
    </w:pPr>
    <w:tblPr>
      <w:tblStyleRowBandSize w:val="1"/>
      <w:tblStyleColBandSize w:val="1"/>
      <w:tblBorders>
        <w:top w:val="single" w:sz="2" w:space="0" w:color="D3B8D9" w:themeColor="accent4" w:themeTint="99"/>
        <w:bottom w:val="single" w:sz="2" w:space="0" w:color="D3B8D9" w:themeColor="accent4" w:themeTint="99"/>
        <w:insideH w:val="single" w:sz="2" w:space="0" w:color="D3B8D9" w:themeColor="accent4" w:themeTint="99"/>
        <w:insideV w:val="single" w:sz="2" w:space="0" w:color="D3B8D9" w:themeColor="accent4" w:themeTint="99"/>
      </w:tblBorders>
    </w:tblPr>
    <w:tblStylePr w:type="firstRow">
      <w:rPr>
        <w:b/>
        <w:bCs/>
      </w:rPr>
      <w:tblPr/>
      <w:tcPr>
        <w:tcBorders>
          <w:top w:val="nil"/>
          <w:bottom w:val="single" w:sz="12" w:space="0" w:color="D3B8D9" w:themeColor="accent4" w:themeTint="99"/>
          <w:insideH w:val="nil"/>
          <w:insideV w:val="nil"/>
        </w:tcBorders>
        <w:shd w:val="clear" w:color="auto" w:fill="FFFFFF" w:themeFill="background1"/>
      </w:tcPr>
    </w:tblStylePr>
    <w:tblStylePr w:type="lastRow">
      <w:rPr>
        <w:b/>
        <w:bCs/>
      </w:rPr>
      <w:tblPr/>
      <w:tcPr>
        <w:tcBorders>
          <w:top w:val="double" w:sz="2" w:space="0" w:color="D3B8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2-Accent5">
    <w:name w:val="Grid Table 2 Accent 5"/>
    <w:basedOn w:val="TableNormal"/>
    <w:uiPriority w:val="47"/>
    <w:rsid w:val="000E5CC4"/>
    <w:pPr>
      <w:spacing w:after="0" w:line="240" w:lineRule="auto"/>
    </w:pPr>
    <w:tblPr>
      <w:tblStyleRowBandSize w:val="1"/>
      <w:tblStyleColBandSize w:val="1"/>
      <w:tblBorders>
        <w:top w:val="single" w:sz="2" w:space="0" w:color="FFBB59" w:themeColor="accent5" w:themeTint="99"/>
        <w:bottom w:val="single" w:sz="2" w:space="0" w:color="FFBB59" w:themeColor="accent5" w:themeTint="99"/>
        <w:insideH w:val="single" w:sz="2" w:space="0" w:color="FFBB59" w:themeColor="accent5" w:themeTint="99"/>
        <w:insideV w:val="single" w:sz="2" w:space="0" w:color="FFBB59" w:themeColor="accent5" w:themeTint="99"/>
      </w:tblBorders>
    </w:tblPr>
    <w:tblStylePr w:type="firstRow">
      <w:rPr>
        <w:b/>
        <w:bCs/>
      </w:rPr>
      <w:tblPr/>
      <w:tcPr>
        <w:tcBorders>
          <w:top w:val="nil"/>
          <w:bottom w:val="single" w:sz="12" w:space="0" w:color="FFBB59" w:themeColor="accent5" w:themeTint="99"/>
          <w:insideH w:val="nil"/>
          <w:insideV w:val="nil"/>
        </w:tcBorders>
        <w:shd w:val="clear" w:color="auto" w:fill="FFFFFF" w:themeFill="background1"/>
      </w:tcPr>
    </w:tblStylePr>
    <w:tblStylePr w:type="lastRow">
      <w:rPr>
        <w:b/>
        <w:bCs/>
      </w:rPr>
      <w:tblPr/>
      <w:tcPr>
        <w:tcBorders>
          <w:top w:val="double" w:sz="2" w:space="0" w:color="FFBB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2-Accent6">
    <w:name w:val="Grid Table 2 Accent 6"/>
    <w:basedOn w:val="TableNormal"/>
    <w:uiPriority w:val="47"/>
    <w:rsid w:val="000E5CC4"/>
    <w:pPr>
      <w:spacing w:after="0" w:line="240" w:lineRule="auto"/>
    </w:pPr>
    <w:tblPr>
      <w:tblStyleRowBandSize w:val="1"/>
      <w:tblStyleColBandSize w:val="1"/>
      <w:tblBorders>
        <w:top w:val="single" w:sz="2" w:space="0" w:color="D8D8D8" w:themeColor="accent6" w:themeTint="99"/>
        <w:bottom w:val="single" w:sz="2" w:space="0" w:color="D8D8D8" w:themeColor="accent6" w:themeTint="99"/>
        <w:insideH w:val="single" w:sz="2" w:space="0" w:color="D8D8D8" w:themeColor="accent6" w:themeTint="99"/>
        <w:insideV w:val="single" w:sz="2" w:space="0" w:color="D8D8D8" w:themeColor="accent6" w:themeTint="99"/>
      </w:tblBorders>
    </w:tblPr>
    <w:tblStylePr w:type="firstRow">
      <w:rPr>
        <w:b/>
        <w:bCs/>
      </w:rPr>
      <w:tblPr/>
      <w:tcPr>
        <w:tcBorders>
          <w:top w:val="nil"/>
          <w:bottom w:val="single" w:sz="12" w:space="0" w:color="D8D8D8" w:themeColor="accent6" w:themeTint="99"/>
          <w:insideH w:val="nil"/>
          <w:insideV w:val="nil"/>
        </w:tcBorders>
        <w:shd w:val="clear" w:color="auto" w:fill="FFFFFF" w:themeFill="background1"/>
      </w:tcPr>
    </w:tblStylePr>
    <w:tblStylePr w:type="lastRow">
      <w:rPr>
        <w:b/>
        <w:bCs/>
      </w:rPr>
      <w:tblPr/>
      <w:tcPr>
        <w:tcBorders>
          <w:top w:val="double" w:sz="2" w:space="0" w:color="D8D8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3">
    <w:name w:val="Grid Table 3"/>
    <w:basedOn w:val="TableNormal"/>
    <w:uiPriority w:val="48"/>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3-Accent2">
    <w:name w:val="Grid Table 3 Accent 2"/>
    <w:basedOn w:val="TableNormal"/>
    <w:uiPriority w:val="48"/>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3-Accent3">
    <w:name w:val="Grid Table 3 Accent 3"/>
    <w:basedOn w:val="TableNormal"/>
    <w:uiPriority w:val="48"/>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3-Accent5">
    <w:name w:val="Grid Table 3 Accent 5"/>
    <w:basedOn w:val="TableNormal"/>
    <w:uiPriority w:val="48"/>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3-Accent6">
    <w:name w:val="Grid Table 3 Accent 6"/>
    <w:basedOn w:val="TableNormal"/>
    <w:uiPriority w:val="48"/>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table" w:styleId="GridTable4">
    <w:name w:val="Grid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insideV w:val="nil"/>
        </w:tcBorders>
        <w:shd w:val="clear" w:color="auto" w:fill="9757A6" w:themeFill="accent1"/>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4-Accent2">
    <w:name w:val="Grid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insideV w:val="nil"/>
        </w:tcBorders>
        <w:shd w:val="clear" w:color="auto" w:fill="FFAE3B" w:themeFill="accent2"/>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4-Accent3">
    <w:name w:val="Grid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insideV w:val="nil"/>
        </w:tcBorders>
        <w:shd w:val="clear" w:color="auto" w:fill="B689C1" w:themeFill="accent4"/>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4-Accent5">
    <w:name w:val="Grid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insideV w:val="nil"/>
        </w:tcBorders>
        <w:shd w:val="clear" w:color="auto" w:fill="EA8B00" w:themeFill="accent5"/>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4-Accent6">
    <w:name w:val="Grid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insideV w:val="nil"/>
        </w:tcBorders>
        <w:shd w:val="clear" w:color="auto" w:fill="BFBFBF" w:themeFill="accent6"/>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5Dark">
    <w:name w:val="Grid Table 5 Dark"/>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57A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57A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57A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57A6" w:themeFill="accent1"/>
      </w:tcPr>
    </w:tblStylePr>
    <w:tblStylePr w:type="band1Vert">
      <w:tblPr/>
      <w:tcPr>
        <w:shd w:val="clear" w:color="auto" w:fill="D5BBDB" w:themeFill="accent1" w:themeFillTint="66"/>
      </w:tcPr>
    </w:tblStylePr>
    <w:tblStylePr w:type="band1Horz">
      <w:tblPr/>
      <w:tcPr>
        <w:shd w:val="clear" w:color="auto" w:fill="D5BBDB" w:themeFill="accent1" w:themeFillTint="66"/>
      </w:tcPr>
    </w:tblStylePr>
  </w:style>
  <w:style w:type="table" w:styleId="GridTable5Dark-Accent2">
    <w:name w:val="Grid Table 5 Dark Accent 2"/>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3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3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3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3B" w:themeFill="accent2"/>
      </w:tcPr>
    </w:tblStylePr>
    <w:tblStylePr w:type="band1Vert">
      <w:tblPr/>
      <w:tcPr>
        <w:shd w:val="clear" w:color="auto" w:fill="FFDEB0" w:themeFill="accent2" w:themeFillTint="66"/>
      </w:tcPr>
    </w:tblStylePr>
    <w:tblStylePr w:type="band1Horz">
      <w:tblPr/>
      <w:tcPr>
        <w:shd w:val="clear" w:color="auto" w:fill="FFDEB0" w:themeFill="accent2" w:themeFillTint="66"/>
      </w:tcPr>
    </w:tblStylePr>
  </w:style>
  <w:style w:type="table" w:styleId="GridTable5Dark-Accent3">
    <w:name w:val="Grid Table 5 Dark Accent 3"/>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7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89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89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89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89C1" w:themeFill="accent4"/>
      </w:tcPr>
    </w:tblStylePr>
    <w:tblStylePr w:type="band1Vert">
      <w:tblPr/>
      <w:tcPr>
        <w:shd w:val="clear" w:color="auto" w:fill="E1CFE6" w:themeFill="accent4" w:themeFillTint="66"/>
      </w:tcPr>
    </w:tblStylePr>
    <w:tblStylePr w:type="band1Horz">
      <w:tblPr/>
      <w:tcPr>
        <w:shd w:val="clear" w:color="auto" w:fill="E1CFE6" w:themeFill="accent4" w:themeFillTint="66"/>
      </w:tcPr>
    </w:tblStylePr>
  </w:style>
  <w:style w:type="table" w:styleId="GridTable5Dark-Accent5">
    <w:name w:val="Grid Table 5 Dark Accent 5"/>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8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8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8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8B00" w:themeFill="accent5"/>
      </w:tcPr>
    </w:tblStylePr>
    <w:tblStylePr w:type="band1Vert">
      <w:tblPr/>
      <w:tcPr>
        <w:shd w:val="clear" w:color="auto" w:fill="FFD190" w:themeFill="accent5" w:themeFillTint="66"/>
      </w:tcPr>
    </w:tblStylePr>
    <w:tblStylePr w:type="band1Horz">
      <w:tblPr/>
      <w:tcPr>
        <w:shd w:val="clear" w:color="auto" w:fill="FFD190" w:themeFill="accent5" w:themeFillTint="66"/>
      </w:tcPr>
    </w:tblStylePr>
  </w:style>
  <w:style w:type="table" w:styleId="GridTable5Dark-Accent6">
    <w:name w:val="Grid Table 5 Dark Accent 6"/>
    <w:basedOn w:val="TableNormal"/>
    <w:uiPriority w:val="50"/>
    <w:rsid w:val="000E5C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GridTable6Colorful">
    <w:name w:val="Grid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bottom w:val="single" w:sz="12" w:space="0" w:color="C099CA" w:themeColor="accent1" w:themeTint="99"/>
        </w:tcBorders>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GridTable6Colorful-Accent2">
    <w:name w:val="Grid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bottom w:val="single" w:sz="12" w:space="0" w:color="FFCE89" w:themeColor="accent2" w:themeTint="99"/>
        </w:tcBorders>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GridTable6Colorful-Accent3">
    <w:name w:val="Grid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bottom w:val="single" w:sz="12" w:space="0" w:color="D3B8D9" w:themeColor="accent4" w:themeTint="99"/>
        </w:tcBorders>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GridTable6Colorful-Accent5">
    <w:name w:val="Grid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bottom w:val="single" w:sz="12" w:space="0" w:color="FFBB59" w:themeColor="accent5" w:themeTint="99"/>
        </w:tcBorders>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GridTable6Colorful-Accent6">
    <w:name w:val="Grid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GridTable7Colorful">
    <w:name w:val="Grid Table 7 Colorful"/>
    <w:basedOn w:val="TableNormal"/>
    <w:uiPriority w:val="52"/>
    <w:rsid w:val="000E5C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E5CC4"/>
    <w:pPr>
      <w:spacing w:after="0" w:line="240" w:lineRule="auto"/>
    </w:pPr>
    <w:rPr>
      <w:color w:val="70417C" w:themeColor="accent1" w:themeShade="BF"/>
    </w:r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insideV w:val="single" w:sz="4" w:space="0" w:color="C09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bottom w:val="single" w:sz="4" w:space="0" w:color="C099CA" w:themeColor="accent1" w:themeTint="99"/>
        </w:tcBorders>
      </w:tcPr>
    </w:tblStylePr>
    <w:tblStylePr w:type="nwCell">
      <w:tblPr/>
      <w:tcPr>
        <w:tcBorders>
          <w:bottom w:val="single" w:sz="4" w:space="0" w:color="C099CA" w:themeColor="accent1" w:themeTint="99"/>
        </w:tcBorders>
      </w:tcPr>
    </w:tblStylePr>
    <w:tblStylePr w:type="seCell">
      <w:tblPr/>
      <w:tcPr>
        <w:tcBorders>
          <w:top w:val="single" w:sz="4" w:space="0" w:color="C099CA" w:themeColor="accent1" w:themeTint="99"/>
        </w:tcBorders>
      </w:tcPr>
    </w:tblStylePr>
    <w:tblStylePr w:type="swCell">
      <w:tblPr/>
      <w:tcPr>
        <w:tcBorders>
          <w:top w:val="single" w:sz="4" w:space="0" w:color="C099CA" w:themeColor="accent1" w:themeTint="99"/>
        </w:tcBorders>
      </w:tcPr>
    </w:tblStylePr>
  </w:style>
  <w:style w:type="table" w:styleId="GridTable7Colorful-Accent2">
    <w:name w:val="Grid Table 7 Colorful Accent 2"/>
    <w:basedOn w:val="TableNormal"/>
    <w:uiPriority w:val="52"/>
    <w:rsid w:val="000E5CC4"/>
    <w:pPr>
      <w:spacing w:after="0" w:line="240" w:lineRule="auto"/>
    </w:pPr>
    <w:rPr>
      <w:color w:val="EB8900" w:themeColor="accent2" w:themeShade="BF"/>
    </w:r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insideV w:val="single" w:sz="4" w:space="0" w:color="FFCE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bottom w:val="single" w:sz="4" w:space="0" w:color="FFCE89" w:themeColor="accent2" w:themeTint="99"/>
        </w:tcBorders>
      </w:tcPr>
    </w:tblStylePr>
    <w:tblStylePr w:type="nwCell">
      <w:tblPr/>
      <w:tcPr>
        <w:tcBorders>
          <w:bottom w:val="single" w:sz="4" w:space="0" w:color="FFCE89" w:themeColor="accent2" w:themeTint="99"/>
        </w:tcBorders>
      </w:tcPr>
    </w:tblStylePr>
    <w:tblStylePr w:type="seCell">
      <w:tblPr/>
      <w:tcPr>
        <w:tcBorders>
          <w:top w:val="single" w:sz="4" w:space="0" w:color="FFCE89" w:themeColor="accent2" w:themeTint="99"/>
        </w:tcBorders>
      </w:tcPr>
    </w:tblStylePr>
    <w:tblStylePr w:type="swCell">
      <w:tblPr/>
      <w:tcPr>
        <w:tcBorders>
          <w:top w:val="single" w:sz="4" w:space="0" w:color="FFCE89" w:themeColor="accent2" w:themeTint="99"/>
        </w:tcBorders>
      </w:tcPr>
    </w:tblStylePr>
  </w:style>
  <w:style w:type="table" w:styleId="GridTable7Colorful-Accent3">
    <w:name w:val="Grid Table 7 Colorful Accent 3"/>
    <w:basedOn w:val="TableNormal"/>
    <w:uiPriority w:val="52"/>
    <w:rsid w:val="000E5C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E5CC4"/>
    <w:pPr>
      <w:spacing w:after="0" w:line="240" w:lineRule="auto"/>
    </w:pPr>
    <w:rPr>
      <w:color w:val="9255A1" w:themeColor="accent4" w:themeShade="BF"/>
    </w:r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insideV w:val="single" w:sz="4" w:space="0" w:color="D3B8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bottom w:val="single" w:sz="4" w:space="0" w:color="D3B8D9" w:themeColor="accent4" w:themeTint="99"/>
        </w:tcBorders>
      </w:tcPr>
    </w:tblStylePr>
    <w:tblStylePr w:type="nwCell">
      <w:tblPr/>
      <w:tcPr>
        <w:tcBorders>
          <w:bottom w:val="single" w:sz="4" w:space="0" w:color="D3B8D9" w:themeColor="accent4" w:themeTint="99"/>
        </w:tcBorders>
      </w:tcPr>
    </w:tblStylePr>
    <w:tblStylePr w:type="seCell">
      <w:tblPr/>
      <w:tcPr>
        <w:tcBorders>
          <w:top w:val="single" w:sz="4" w:space="0" w:color="D3B8D9" w:themeColor="accent4" w:themeTint="99"/>
        </w:tcBorders>
      </w:tcPr>
    </w:tblStylePr>
    <w:tblStylePr w:type="swCell">
      <w:tblPr/>
      <w:tcPr>
        <w:tcBorders>
          <w:top w:val="single" w:sz="4" w:space="0" w:color="D3B8D9" w:themeColor="accent4" w:themeTint="99"/>
        </w:tcBorders>
      </w:tcPr>
    </w:tblStylePr>
  </w:style>
  <w:style w:type="table" w:styleId="GridTable7Colorful-Accent5">
    <w:name w:val="Grid Table 7 Colorful Accent 5"/>
    <w:basedOn w:val="TableNormal"/>
    <w:uiPriority w:val="52"/>
    <w:rsid w:val="000E5CC4"/>
    <w:pPr>
      <w:spacing w:after="0" w:line="240" w:lineRule="auto"/>
    </w:pPr>
    <w:rPr>
      <w:color w:val="AF6700" w:themeColor="accent5" w:themeShade="BF"/>
    </w:r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insideV w:val="single" w:sz="4" w:space="0" w:color="FFBB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bottom w:val="single" w:sz="4" w:space="0" w:color="FFBB59" w:themeColor="accent5" w:themeTint="99"/>
        </w:tcBorders>
      </w:tcPr>
    </w:tblStylePr>
    <w:tblStylePr w:type="nwCell">
      <w:tblPr/>
      <w:tcPr>
        <w:tcBorders>
          <w:bottom w:val="single" w:sz="4" w:space="0" w:color="FFBB59" w:themeColor="accent5" w:themeTint="99"/>
        </w:tcBorders>
      </w:tcPr>
    </w:tblStylePr>
    <w:tblStylePr w:type="seCell">
      <w:tblPr/>
      <w:tcPr>
        <w:tcBorders>
          <w:top w:val="single" w:sz="4" w:space="0" w:color="FFBB59" w:themeColor="accent5" w:themeTint="99"/>
        </w:tcBorders>
      </w:tcPr>
    </w:tblStylePr>
    <w:tblStylePr w:type="swCell">
      <w:tblPr/>
      <w:tcPr>
        <w:tcBorders>
          <w:top w:val="single" w:sz="4" w:space="0" w:color="FFBB59" w:themeColor="accent5" w:themeTint="99"/>
        </w:tcBorders>
      </w:tcPr>
    </w:tblStylePr>
  </w:style>
  <w:style w:type="table" w:styleId="GridTable7Colorful-Accent6">
    <w:name w:val="Grid Table 7 Colorful Accent 6"/>
    <w:basedOn w:val="TableNormal"/>
    <w:uiPriority w:val="52"/>
    <w:rsid w:val="000E5CC4"/>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character" w:styleId="HTMLAcronym">
    <w:name w:val="HTML Acronym"/>
    <w:basedOn w:val="DefaultParagraphFont"/>
    <w:uiPriority w:val="99"/>
    <w:semiHidden/>
    <w:unhideWhenUsed/>
    <w:rsid w:val="000E5CC4"/>
  </w:style>
  <w:style w:type="paragraph" w:styleId="HTMLAddress">
    <w:name w:val="HTML Address"/>
    <w:basedOn w:val="Normal"/>
    <w:link w:val="HTMLAddressChar"/>
    <w:uiPriority w:val="99"/>
    <w:semiHidden/>
    <w:unhideWhenUsed/>
    <w:rsid w:val="000E5CC4"/>
    <w:pPr>
      <w:spacing w:after="0" w:line="240" w:lineRule="auto"/>
    </w:pPr>
    <w:rPr>
      <w:i/>
      <w:iCs/>
    </w:rPr>
  </w:style>
  <w:style w:type="character" w:customStyle="1" w:styleId="HTMLAddressChar">
    <w:name w:val="HTML Address Char"/>
    <w:basedOn w:val="DefaultParagraphFont"/>
    <w:link w:val="HTMLAddress"/>
    <w:uiPriority w:val="99"/>
    <w:semiHidden/>
    <w:rsid w:val="000E5CC4"/>
    <w:rPr>
      <w:rFonts w:ascii="HelveticaNeueLT Std Lt Cn" w:hAnsi="HelveticaNeueLT Std Lt Cn"/>
      <w:i/>
      <w:iCs/>
      <w:sz w:val="20"/>
    </w:rPr>
  </w:style>
  <w:style w:type="character" w:styleId="HTMLCite">
    <w:name w:val="HTML Cite"/>
    <w:basedOn w:val="DefaultParagraphFont"/>
    <w:uiPriority w:val="99"/>
    <w:semiHidden/>
    <w:unhideWhenUsed/>
    <w:rsid w:val="000E5CC4"/>
    <w:rPr>
      <w:i/>
      <w:iCs/>
    </w:rPr>
  </w:style>
  <w:style w:type="character" w:styleId="HTMLCode">
    <w:name w:val="HTML Code"/>
    <w:basedOn w:val="DefaultParagraphFont"/>
    <w:uiPriority w:val="99"/>
    <w:semiHidden/>
    <w:unhideWhenUsed/>
    <w:rsid w:val="000E5CC4"/>
    <w:rPr>
      <w:rFonts w:ascii="Consolas" w:hAnsi="Consolas"/>
      <w:sz w:val="20"/>
      <w:szCs w:val="20"/>
    </w:rPr>
  </w:style>
  <w:style w:type="character" w:styleId="HTMLDefinition">
    <w:name w:val="HTML Definition"/>
    <w:basedOn w:val="DefaultParagraphFont"/>
    <w:uiPriority w:val="99"/>
    <w:semiHidden/>
    <w:unhideWhenUsed/>
    <w:rsid w:val="000E5CC4"/>
    <w:rPr>
      <w:i/>
      <w:iCs/>
    </w:rPr>
  </w:style>
  <w:style w:type="character" w:styleId="HTMLKeyboard">
    <w:name w:val="HTML Keyboard"/>
    <w:basedOn w:val="DefaultParagraphFont"/>
    <w:uiPriority w:val="99"/>
    <w:semiHidden/>
    <w:unhideWhenUsed/>
    <w:rsid w:val="000E5CC4"/>
    <w:rPr>
      <w:rFonts w:ascii="Consolas" w:hAnsi="Consolas"/>
      <w:sz w:val="20"/>
      <w:szCs w:val="20"/>
    </w:rPr>
  </w:style>
  <w:style w:type="paragraph" w:styleId="HTMLPreformatted">
    <w:name w:val="HTML Preformatted"/>
    <w:basedOn w:val="Normal"/>
    <w:link w:val="HTMLPreformattedChar"/>
    <w:uiPriority w:val="99"/>
    <w:semiHidden/>
    <w:unhideWhenUsed/>
    <w:rsid w:val="000E5CC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E5CC4"/>
    <w:rPr>
      <w:rFonts w:ascii="Consolas" w:hAnsi="Consolas"/>
      <w:sz w:val="20"/>
      <w:szCs w:val="20"/>
    </w:rPr>
  </w:style>
  <w:style w:type="character" w:styleId="HTMLSample">
    <w:name w:val="HTML Sample"/>
    <w:basedOn w:val="DefaultParagraphFont"/>
    <w:uiPriority w:val="99"/>
    <w:semiHidden/>
    <w:unhideWhenUsed/>
    <w:rsid w:val="000E5CC4"/>
    <w:rPr>
      <w:rFonts w:ascii="Consolas" w:hAnsi="Consolas"/>
      <w:sz w:val="24"/>
      <w:szCs w:val="24"/>
    </w:rPr>
  </w:style>
  <w:style w:type="character" w:styleId="HTMLTypewriter">
    <w:name w:val="HTML Typewriter"/>
    <w:basedOn w:val="DefaultParagraphFont"/>
    <w:uiPriority w:val="99"/>
    <w:semiHidden/>
    <w:unhideWhenUsed/>
    <w:rsid w:val="000E5CC4"/>
    <w:rPr>
      <w:rFonts w:ascii="Consolas" w:hAnsi="Consolas"/>
      <w:sz w:val="20"/>
      <w:szCs w:val="20"/>
    </w:rPr>
  </w:style>
  <w:style w:type="character" w:styleId="HTMLVariable">
    <w:name w:val="HTML Variable"/>
    <w:basedOn w:val="DefaultParagraphFont"/>
    <w:uiPriority w:val="99"/>
    <w:semiHidden/>
    <w:unhideWhenUsed/>
    <w:rsid w:val="000E5CC4"/>
    <w:rPr>
      <w:i/>
      <w:iCs/>
    </w:rPr>
  </w:style>
  <w:style w:type="character" w:styleId="Hyperlink">
    <w:name w:val="Hyperlink"/>
    <w:basedOn w:val="DefaultParagraphFont"/>
    <w:uiPriority w:val="99"/>
    <w:unhideWhenUsed/>
    <w:rsid w:val="00754EFE"/>
    <w:rPr>
      <w:color w:val="3333FF"/>
      <w:u w:val="single"/>
    </w:rPr>
  </w:style>
  <w:style w:type="paragraph" w:styleId="Index1">
    <w:name w:val="index 1"/>
    <w:basedOn w:val="Normal"/>
    <w:next w:val="Normal"/>
    <w:autoRedefine/>
    <w:uiPriority w:val="99"/>
    <w:semiHidden/>
    <w:unhideWhenUsed/>
    <w:rsid w:val="000E5CC4"/>
    <w:pPr>
      <w:spacing w:after="0" w:line="240" w:lineRule="auto"/>
      <w:ind w:left="200" w:hanging="200"/>
    </w:pPr>
  </w:style>
  <w:style w:type="paragraph" w:styleId="Index2">
    <w:name w:val="index 2"/>
    <w:basedOn w:val="Normal"/>
    <w:next w:val="Normal"/>
    <w:autoRedefine/>
    <w:uiPriority w:val="99"/>
    <w:semiHidden/>
    <w:unhideWhenUsed/>
    <w:rsid w:val="000E5CC4"/>
    <w:pPr>
      <w:spacing w:after="0" w:line="240" w:lineRule="auto"/>
      <w:ind w:left="400" w:hanging="200"/>
    </w:pPr>
  </w:style>
  <w:style w:type="paragraph" w:styleId="Index3">
    <w:name w:val="index 3"/>
    <w:basedOn w:val="Normal"/>
    <w:next w:val="Normal"/>
    <w:autoRedefine/>
    <w:uiPriority w:val="99"/>
    <w:semiHidden/>
    <w:unhideWhenUsed/>
    <w:rsid w:val="000E5CC4"/>
    <w:pPr>
      <w:spacing w:after="0" w:line="240" w:lineRule="auto"/>
      <w:ind w:left="600" w:hanging="200"/>
    </w:pPr>
  </w:style>
  <w:style w:type="paragraph" w:styleId="Index4">
    <w:name w:val="index 4"/>
    <w:basedOn w:val="Normal"/>
    <w:next w:val="Normal"/>
    <w:autoRedefine/>
    <w:uiPriority w:val="99"/>
    <w:semiHidden/>
    <w:unhideWhenUsed/>
    <w:rsid w:val="000E5CC4"/>
    <w:pPr>
      <w:spacing w:after="0" w:line="240" w:lineRule="auto"/>
      <w:ind w:left="800" w:hanging="200"/>
    </w:pPr>
  </w:style>
  <w:style w:type="paragraph" w:styleId="Index5">
    <w:name w:val="index 5"/>
    <w:basedOn w:val="Normal"/>
    <w:next w:val="Normal"/>
    <w:autoRedefine/>
    <w:uiPriority w:val="99"/>
    <w:semiHidden/>
    <w:unhideWhenUsed/>
    <w:rsid w:val="000E5CC4"/>
    <w:pPr>
      <w:spacing w:after="0" w:line="240" w:lineRule="auto"/>
      <w:ind w:left="1000" w:hanging="200"/>
    </w:pPr>
  </w:style>
  <w:style w:type="paragraph" w:styleId="Index6">
    <w:name w:val="index 6"/>
    <w:basedOn w:val="Normal"/>
    <w:next w:val="Normal"/>
    <w:autoRedefine/>
    <w:uiPriority w:val="99"/>
    <w:semiHidden/>
    <w:unhideWhenUsed/>
    <w:rsid w:val="000E5CC4"/>
    <w:pPr>
      <w:spacing w:after="0" w:line="240" w:lineRule="auto"/>
      <w:ind w:left="1200" w:hanging="200"/>
    </w:pPr>
  </w:style>
  <w:style w:type="paragraph" w:styleId="Index7">
    <w:name w:val="index 7"/>
    <w:basedOn w:val="Normal"/>
    <w:next w:val="Normal"/>
    <w:autoRedefine/>
    <w:uiPriority w:val="99"/>
    <w:semiHidden/>
    <w:unhideWhenUsed/>
    <w:rsid w:val="000E5CC4"/>
    <w:pPr>
      <w:spacing w:after="0" w:line="240" w:lineRule="auto"/>
      <w:ind w:left="1400" w:hanging="200"/>
    </w:pPr>
  </w:style>
  <w:style w:type="paragraph" w:styleId="Index8">
    <w:name w:val="index 8"/>
    <w:basedOn w:val="Normal"/>
    <w:next w:val="Normal"/>
    <w:autoRedefine/>
    <w:uiPriority w:val="99"/>
    <w:semiHidden/>
    <w:unhideWhenUsed/>
    <w:rsid w:val="000E5CC4"/>
    <w:pPr>
      <w:spacing w:after="0" w:line="240" w:lineRule="auto"/>
      <w:ind w:left="1600" w:hanging="200"/>
    </w:pPr>
  </w:style>
  <w:style w:type="paragraph" w:styleId="Index9">
    <w:name w:val="index 9"/>
    <w:basedOn w:val="Normal"/>
    <w:next w:val="Normal"/>
    <w:autoRedefine/>
    <w:uiPriority w:val="99"/>
    <w:semiHidden/>
    <w:unhideWhenUsed/>
    <w:rsid w:val="000E5CC4"/>
    <w:pPr>
      <w:spacing w:after="0" w:line="240" w:lineRule="auto"/>
      <w:ind w:left="1800" w:hanging="200"/>
    </w:pPr>
  </w:style>
  <w:style w:type="paragraph" w:styleId="IndexHeading">
    <w:name w:val="index heading"/>
    <w:basedOn w:val="Normal"/>
    <w:next w:val="Index1"/>
    <w:uiPriority w:val="99"/>
    <w:semiHidden/>
    <w:unhideWhenUsed/>
    <w:rsid w:val="000E5CC4"/>
    <w:rPr>
      <w:rFonts w:asciiTheme="majorHAnsi" w:eastAsiaTheme="majorEastAsia" w:hAnsiTheme="majorHAnsi" w:cstheme="majorBidi"/>
      <w:b/>
      <w:bCs/>
    </w:rPr>
  </w:style>
  <w:style w:type="character" w:styleId="IntenseEmphasis">
    <w:name w:val="Intense Emphasis"/>
    <w:basedOn w:val="DefaultParagraphFont"/>
    <w:uiPriority w:val="21"/>
    <w:qFormat/>
    <w:rsid w:val="000E5CC4"/>
    <w:rPr>
      <w:i/>
      <w:iCs/>
      <w:color w:val="9757A6" w:themeColor="accent1"/>
    </w:rPr>
  </w:style>
  <w:style w:type="paragraph" w:styleId="IntenseQuote">
    <w:name w:val="Intense Quote"/>
    <w:basedOn w:val="Normal"/>
    <w:next w:val="Normal"/>
    <w:link w:val="IntenseQuoteChar"/>
    <w:uiPriority w:val="30"/>
    <w:qFormat/>
    <w:rsid w:val="000E5CC4"/>
    <w:pPr>
      <w:pBdr>
        <w:top w:val="single" w:sz="4" w:space="10" w:color="9757A6" w:themeColor="accent1"/>
        <w:bottom w:val="single" w:sz="4" w:space="10" w:color="9757A6" w:themeColor="accent1"/>
      </w:pBdr>
      <w:spacing w:before="360" w:after="360"/>
      <w:ind w:left="864" w:right="864"/>
      <w:jc w:val="center"/>
    </w:pPr>
    <w:rPr>
      <w:i/>
      <w:iCs/>
      <w:color w:val="9757A6" w:themeColor="accent1"/>
    </w:rPr>
  </w:style>
  <w:style w:type="character" w:customStyle="1" w:styleId="IntenseQuoteChar">
    <w:name w:val="Intense Quote Char"/>
    <w:basedOn w:val="DefaultParagraphFont"/>
    <w:link w:val="IntenseQuote"/>
    <w:uiPriority w:val="30"/>
    <w:rsid w:val="000E5CC4"/>
    <w:rPr>
      <w:rFonts w:ascii="HelveticaNeueLT Std Lt Cn" w:hAnsi="HelveticaNeueLT Std Lt Cn"/>
      <w:i/>
      <w:iCs/>
      <w:color w:val="9757A6" w:themeColor="accent1"/>
      <w:sz w:val="20"/>
    </w:rPr>
  </w:style>
  <w:style w:type="character" w:styleId="IntenseReference">
    <w:name w:val="Intense Reference"/>
    <w:basedOn w:val="DefaultParagraphFont"/>
    <w:uiPriority w:val="32"/>
    <w:qFormat/>
    <w:rsid w:val="000E5CC4"/>
    <w:rPr>
      <w:b/>
      <w:bCs/>
      <w:smallCaps/>
      <w:color w:val="9757A6" w:themeColor="accent1"/>
      <w:spacing w:val="5"/>
    </w:rPr>
  </w:style>
  <w:style w:type="table" w:styleId="LightGrid">
    <w:name w:val="Light Grid"/>
    <w:basedOn w:val="TableNormal"/>
    <w:uiPriority w:val="62"/>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18" w:space="0" w:color="9757A6" w:themeColor="accent1"/>
          <w:right w:val="single" w:sz="8" w:space="0" w:color="9757A6" w:themeColor="accent1"/>
          <w:insideH w:val="nil"/>
          <w:insideV w:val="single" w:sz="8" w:space="0" w:color="9757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insideH w:val="nil"/>
          <w:insideV w:val="single" w:sz="8" w:space="0" w:color="9757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shd w:val="clear" w:color="auto" w:fill="E5D5E9" w:themeFill="accent1" w:themeFillTint="3F"/>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shd w:val="clear" w:color="auto" w:fill="E5D5E9" w:themeFill="accent1" w:themeFillTint="3F"/>
      </w:tcPr>
    </w:tblStylePr>
    <w:tblStylePr w:type="band2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insideV w:val="single" w:sz="8" w:space="0" w:color="9757A6" w:themeColor="accent1"/>
        </w:tcBorders>
      </w:tcPr>
    </w:tblStylePr>
  </w:style>
  <w:style w:type="table" w:styleId="LightGrid-Accent2">
    <w:name w:val="Light Grid Accent 2"/>
    <w:basedOn w:val="TableNormal"/>
    <w:uiPriority w:val="62"/>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18" w:space="0" w:color="FFAE3B" w:themeColor="accent2"/>
          <w:right w:val="single" w:sz="8" w:space="0" w:color="FFAE3B" w:themeColor="accent2"/>
          <w:insideH w:val="nil"/>
          <w:insideV w:val="single" w:sz="8" w:space="0" w:color="FFAE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insideH w:val="nil"/>
          <w:insideV w:val="single" w:sz="8" w:space="0" w:color="FFAE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shd w:val="clear" w:color="auto" w:fill="FFEACE" w:themeFill="accent2" w:themeFillTint="3F"/>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shd w:val="clear" w:color="auto" w:fill="FFEACE" w:themeFill="accent2" w:themeFillTint="3F"/>
      </w:tcPr>
    </w:tblStylePr>
    <w:tblStylePr w:type="band2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insideV w:val="single" w:sz="8" w:space="0" w:color="FFAE3B" w:themeColor="accent2"/>
        </w:tcBorders>
      </w:tcPr>
    </w:tblStylePr>
  </w:style>
  <w:style w:type="table" w:styleId="LightGrid-Accent3">
    <w:name w:val="Light Grid Accent 3"/>
    <w:basedOn w:val="TableNormal"/>
    <w:uiPriority w:val="62"/>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18" w:space="0" w:color="B689C1" w:themeColor="accent4"/>
          <w:right w:val="single" w:sz="8" w:space="0" w:color="B689C1" w:themeColor="accent4"/>
          <w:insideH w:val="nil"/>
          <w:insideV w:val="single" w:sz="8" w:space="0" w:color="B689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insideH w:val="nil"/>
          <w:insideV w:val="single" w:sz="8" w:space="0" w:color="B689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shd w:val="clear" w:color="auto" w:fill="ECE1EF" w:themeFill="accent4" w:themeFillTint="3F"/>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shd w:val="clear" w:color="auto" w:fill="ECE1EF" w:themeFill="accent4" w:themeFillTint="3F"/>
      </w:tcPr>
    </w:tblStylePr>
    <w:tblStylePr w:type="band2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insideV w:val="single" w:sz="8" w:space="0" w:color="B689C1" w:themeColor="accent4"/>
        </w:tcBorders>
      </w:tcPr>
    </w:tblStylePr>
  </w:style>
  <w:style w:type="table" w:styleId="LightGrid-Accent5">
    <w:name w:val="Light Grid Accent 5"/>
    <w:basedOn w:val="TableNormal"/>
    <w:uiPriority w:val="62"/>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18" w:space="0" w:color="EA8B00" w:themeColor="accent5"/>
          <w:right w:val="single" w:sz="8" w:space="0" w:color="EA8B00" w:themeColor="accent5"/>
          <w:insideH w:val="nil"/>
          <w:insideV w:val="single" w:sz="8" w:space="0" w:color="EA8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insideH w:val="nil"/>
          <w:insideV w:val="single" w:sz="8" w:space="0" w:color="EA8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shd w:val="clear" w:color="auto" w:fill="FFE3BA" w:themeFill="accent5" w:themeFillTint="3F"/>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shd w:val="clear" w:color="auto" w:fill="FFE3BA" w:themeFill="accent5" w:themeFillTint="3F"/>
      </w:tcPr>
    </w:tblStylePr>
    <w:tblStylePr w:type="band2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insideV w:val="single" w:sz="8" w:space="0" w:color="EA8B00" w:themeColor="accent5"/>
        </w:tcBorders>
      </w:tcPr>
    </w:tblStylePr>
  </w:style>
  <w:style w:type="table" w:styleId="LightGrid-Accent6">
    <w:name w:val="Light Grid Accent 6"/>
    <w:basedOn w:val="TableNormal"/>
    <w:uiPriority w:val="62"/>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ghtList">
    <w:name w:val="Light List"/>
    <w:basedOn w:val="TableNormal"/>
    <w:uiPriority w:val="61"/>
    <w:semiHidden/>
    <w:unhideWhenUsed/>
    <w:rsid w:val="000E5C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E5CC4"/>
    <w:pPr>
      <w:spacing w:after="0" w:line="240" w:lineRule="auto"/>
    </w:p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pPr>
        <w:spacing w:before="0" w:after="0" w:line="240" w:lineRule="auto"/>
      </w:pPr>
      <w:rPr>
        <w:b/>
        <w:bCs/>
        <w:color w:val="FFFFFF" w:themeColor="background1"/>
      </w:rPr>
      <w:tblPr/>
      <w:tcPr>
        <w:shd w:val="clear" w:color="auto" w:fill="9757A6" w:themeFill="accent1"/>
      </w:tcPr>
    </w:tblStylePr>
    <w:tblStylePr w:type="lastRow">
      <w:pPr>
        <w:spacing w:before="0" w:after="0" w:line="240" w:lineRule="auto"/>
      </w:pPr>
      <w:rPr>
        <w:b/>
        <w:bCs/>
      </w:rPr>
      <w:tblPr/>
      <w:tcPr>
        <w:tcBorders>
          <w:top w:val="double" w:sz="6" w:space="0" w:color="9757A6" w:themeColor="accent1"/>
          <w:left w:val="single" w:sz="8" w:space="0" w:color="9757A6" w:themeColor="accent1"/>
          <w:bottom w:val="single" w:sz="8" w:space="0" w:color="9757A6" w:themeColor="accent1"/>
          <w:right w:val="single" w:sz="8" w:space="0" w:color="9757A6" w:themeColor="accent1"/>
        </w:tcBorders>
      </w:tcPr>
    </w:tblStylePr>
    <w:tblStylePr w:type="firstCol">
      <w:rPr>
        <w:b/>
        <w:bCs/>
      </w:rPr>
    </w:tblStylePr>
    <w:tblStylePr w:type="lastCol">
      <w:rPr>
        <w:b/>
        <w:bCs/>
      </w:rPr>
    </w:tblStylePr>
    <w:tblStylePr w:type="band1Vert">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tblStylePr w:type="band1Horz">
      <w:tblPr/>
      <w:tcPr>
        <w:tcBorders>
          <w:top w:val="single" w:sz="8" w:space="0" w:color="9757A6" w:themeColor="accent1"/>
          <w:left w:val="single" w:sz="8" w:space="0" w:color="9757A6" w:themeColor="accent1"/>
          <w:bottom w:val="single" w:sz="8" w:space="0" w:color="9757A6" w:themeColor="accent1"/>
          <w:right w:val="single" w:sz="8" w:space="0" w:color="9757A6" w:themeColor="accent1"/>
        </w:tcBorders>
      </w:tcPr>
    </w:tblStylePr>
  </w:style>
  <w:style w:type="table" w:styleId="LightList-Accent2">
    <w:name w:val="Light List Accent 2"/>
    <w:basedOn w:val="TableNormal"/>
    <w:uiPriority w:val="61"/>
    <w:semiHidden/>
    <w:unhideWhenUsed/>
    <w:rsid w:val="000E5CC4"/>
    <w:pPr>
      <w:spacing w:after="0" w:line="240" w:lineRule="auto"/>
    </w:p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pPr>
        <w:spacing w:before="0" w:after="0" w:line="240" w:lineRule="auto"/>
      </w:pPr>
      <w:rPr>
        <w:b/>
        <w:bCs/>
        <w:color w:val="FFFFFF" w:themeColor="background1"/>
      </w:rPr>
      <w:tblPr/>
      <w:tcPr>
        <w:shd w:val="clear" w:color="auto" w:fill="FFAE3B" w:themeFill="accent2"/>
      </w:tcPr>
    </w:tblStylePr>
    <w:tblStylePr w:type="lastRow">
      <w:pPr>
        <w:spacing w:before="0" w:after="0" w:line="240" w:lineRule="auto"/>
      </w:pPr>
      <w:rPr>
        <w:b/>
        <w:bCs/>
      </w:rPr>
      <w:tblPr/>
      <w:tcPr>
        <w:tcBorders>
          <w:top w:val="double" w:sz="6" w:space="0" w:color="FFAE3B" w:themeColor="accent2"/>
          <w:left w:val="single" w:sz="8" w:space="0" w:color="FFAE3B" w:themeColor="accent2"/>
          <w:bottom w:val="single" w:sz="8" w:space="0" w:color="FFAE3B" w:themeColor="accent2"/>
          <w:right w:val="single" w:sz="8" w:space="0" w:color="FFAE3B" w:themeColor="accent2"/>
        </w:tcBorders>
      </w:tcPr>
    </w:tblStylePr>
    <w:tblStylePr w:type="firstCol">
      <w:rPr>
        <w:b/>
        <w:bCs/>
      </w:rPr>
    </w:tblStylePr>
    <w:tblStylePr w:type="lastCol">
      <w:rPr>
        <w:b/>
        <w:bCs/>
      </w:rPr>
    </w:tblStylePr>
    <w:tblStylePr w:type="band1Vert">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tblStylePr w:type="band1Horz">
      <w:tblPr/>
      <w:tcPr>
        <w:tcBorders>
          <w:top w:val="single" w:sz="8" w:space="0" w:color="FFAE3B" w:themeColor="accent2"/>
          <w:left w:val="single" w:sz="8" w:space="0" w:color="FFAE3B" w:themeColor="accent2"/>
          <w:bottom w:val="single" w:sz="8" w:space="0" w:color="FFAE3B" w:themeColor="accent2"/>
          <w:right w:val="single" w:sz="8" w:space="0" w:color="FFAE3B" w:themeColor="accent2"/>
        </w:tcBorders>
      </w:tcPr>
    </w:tblStylePr>
  </w:style>
  <w:style w:type="table" w:styleId="LightList-Accent3">
    <w:name w:val="Light List Accent 3"/>
    <w:basedOn w:val="TableNormal"/>
    <w:uiPriority w:val="61"/>
    <w:semiHidden/>
    <w:unhideWhenUsed/>
    <w:rsid w:val="000E5CC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E5CC4"/>
    <w:pPr>
      <w:spacing w:after="0" w:line="240" w:lineRule="auto"/>
    </w:p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pPr>
        <w:spacing w:before="0" w:after="0" w:line="240" w:lineRule="auto"/>
      </w:pPr>
      <w:rPr>
        <w:b/>
        <w:bCs/>
        <w:color w:val="FFFFFF" w:themeColor="background1"/>
      </w:rPr>
      <w:tblPr/>
      <w:tcPr>
        <w:shd w:val="clear" w:color="auto" w:fill="B689C1" w:themeFill="accent4"/>
      </w:tcPr>
    </w:tblStylePr>
    <w:tblStylePr w:type="lastRow">
      <w:pPr>
        <w:spacing w:before="0" w:after="0" w:line="240" w:lineRule="auto"/>
      </w:pPr>
      <w:rPr>
        <w:b/>
        <w:bCs/>
      </w:rPr>
      <w:tblPr/>
      <w:tcPr>
        <w:tcBorders>
          <w:top w:val="double" w:sz="6" w:space="0" w:color="B689C1" w:themeColor="accent4"/>
          <w:left w:val="single" w:sz="8" w:space="0" w:color="B689C1" w:themeColor="accent4"/>
          <w:bottom w:val="single" w:sz="8" w:space="0" w:color="B689C1" w:themeColor="accent4"/>
          <w:right w:val="single" w:sz="8" w:space="0" w:color="B689C1" w:themeColor="accent4"/>
        </w:tcBorders>
      </w:tcPr>
    </w:tblStylePr>
    <w:tblStylePr w:type="firstCol">
      <w:rPr>
        <w:b/>
        <w:bCs/>
      </w:rPr>
    </w:tblStylePr>
    <w:tblStylePr w:type="lastCol">
      <w:rPr>
        <w:b/>
        <w:bCs/>
      </w:rPr>
    </w:tblStylePr>
    <w:tblStylePr w:type="band1Vert">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tblStylePr w:type="band1Horz">
      <w:tblPr/>
      <w:tcPr>
        <w:tcBorders>
          <w:top w:val="single" w:sz="8" w:space="0" w:color="B689C1" w:themeColor="accent4"/>
          <w:left w:val="single" w:sz="8" w:space="0" w:color="B689C1" w:themeColor="accent4"/>
          <w:bottom w:val="single" w:sz="8" w:space="0" w:color="B689C1" w:themeColor="accent4"/>
          <w:right w:val="single" w:sz="8" w:space="0" w:color="B689C1" w:themeColor="accent4"/>
        </w:tcBorders>
      </w:tcPr>
    </w:tblStylePr>
  </w:style>
  <w:style w:type="table" w:styleId="LightList-Accent5">
    <w:name w:val="Light List Accent 5"/>
    <w:basedOn w:val="TableNormal"/>
    <w:uiPriority w:val="61"/>
    <w:semiHidden/>
    <w:unhideWhenUsed/>
    <w:rsid w:val="000E5CC4"/>
    <w:pPr>
      <w:spacing w:after="0" w:line="240" w:lineRule="auto"/>
    </w:p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pPr>
        <w:spacing w:before="0" w:after="0" w:line="240" w:lineRule="auto"/>
      </w:pPr>
      <w:rPr>
        <w:b/>
        <w:bCs/>
        <w:color w:val="FFFFFF" w:themeColor="background1"/>
      </w:rPr>
      <w:tblPr/>
      <w:tcPr>
        <w:shd w:val="clear" w:color="auto" w:fill="EA8B00" w:themeFill="accent5"/>
      </w:tcPr>
    </w:tblStylePr>
    <w:tblStylePr w:type="lastRow">
      <w:pPr>
        <w:spacing w:before="0" w:after="0" w:line="240" w:lineRule="auto"/>
      </w:pPr>
      <w:rPr>
        <w:b/>
        <w:bCs/>
      </w:rPr>
      <w:tblPr/>
      <w:tcPr>
        <w:tcBorders>
          <w:top w:val="double" w:sz="6" w:space="0" w:color="EA8B00" w:themeColor="accent5"/>
          <w:left w:val="single" w:sz="8" w:space="0" w:color="EA8B00" w:themeColor="accent5"/>
          <w:bottom w:val="single" w:sz="8" w:space="0" w:color="EA8B00" w:themeColor="accent5"/>
          <w:right w:val="single" w:sz="8" w:space="0" w:color="EA8B00" w:themeColor="accent5"/>
        </w:tcBorders>
      </w:tcPr>
    </w:tblStylePr>
    <w:tblStylePr w:type="firstCol">
      <w:rPr>
        <w:b/>
        <w:bCs/>
      </w:rPr>
    </w:tblStylePr>
    <w:tblStylePr w:type="lastCol">
      <w:rPr>
        <w:b/>
        <w:bCs/>
      </w:rPr>
    </w:tblStylePr>
    <w:tblStylePr w:type="band1Vert">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tblStylePr w:type="band1Horz">
      <w:tblPr/>
      <w:tcPr>
        <w:tcBorders>
          <w:top w:val="single" w:sz="8" w:space="0" w:color="EA8B00" w:themeColor="accent5"/>
          <w:left w:val="single" w:sz="8" w:space="0" w:color="EA8B00" w:themeColor="accent5"/>
          <w:bottom w:val="single" w:sz="8" w:space="0" w:color="EA8B00" w:themeColor="accent5"/>
          <w:right w:val="single" w:sz="8" w:space="0" w:color="EA8B00" w:themeColor="accent5"/>
        </w:tcBorders>
      </w:tcPr>
    </w:tblStylePr>
  </w:style>
  <w:style w:type="table" w:styleId="LightList-Accent6">
    <w:name w:val="Light List Accent 6"/>
    <w:basedOn w:val="TableNormal"/>
    <w:uiPriority w:val="61"/>
    <w:semiHidden/>
    <w:unhideWhenUsed/>
    <w:rsid w:val="000E5CC4"/>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ghtShading">
    <w:name w:val="Light Shading"/>
    <w:basedOn w:val="TableNormal"/>
    <w:uiPriority w:val="60"/>
    <w:semiHidden/>
    <w:unhideWhenUsed/>
    <w:rsid w:val="000E5C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E5CC4"/>
    <w:pPr>
      <w:spacing w:after="0" w:line="240" w:lineRule="auto"/>
    </w:pPr>
    <w:rPr>
      <w:color w:val="70417C" w:themeColor="accent1" w:themeShade="BF"/>
    </w:rPr>
    <w:tblPr>
      <w:tblStyleRowBandSize w:val="1"/>
      <w:tblStyleColBandSize w:val="1"/>
      <w:tblBorders>
        <w:top w:val="single" w:sz="8" w:space="0" w:color="9757A6" w:themeColor="accent1"/>
        <w:bottom w:val="single" w:sz="8" w:space="0" w:color="9757A6" w:themeColor="accent1"/>
      </w:tblBorders>
    </w:tblPr>
    <w:tblStylePr w:type="fir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lastRow">
      <w:pPr>
        <w:spacing w:before="0" w:after="0" w:line="240" w:lineRule="auto"/>
      </w:pPr>
      <w:rPr>
        <w:b/>
        <w:bCs/>
      </w:rPr>
      <w:tblPr/>
      <w:tcPr>
        <w:tcBorders>
          <w:top w:val="single" w:sz="8" w:space="0" w:color="9757A6" w:themeColor="accent1"/>
          <w:left w:val="nil"/>
          <w:bottom w:val="single" w:sz="8" w:space="0" w:color="9757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left w:val="nil"/>
          <w:right w:val="nil"/>
          <w:insideH w:val="nil"/>
          <w:insideV w:val="nil"/>
        </w:tcBorders>
        <w:shd w:val="clear" w:color="auto" w:fill="E5D5E9" w:themeFill="accent1" w:themeFillTint="3F"/>
      </w:tcPr>
    </w:tblStylePr>
  </w:style>
  <w:style w:type="table" w:styleId="LightShading-Accent2">
    <w:name w:val="Light Shading Accent 2"/>
    <w:basedOn w:val="TableNormal"/>
    <w:uiPriority w:val="60"/>
    <w:semiHidden/>
    <w:unhideWhenUsed/>
    <w:rsid w:val="000E5CC4"/>
    <w:pPr>
      <w:spacing w:after="0" w:line="240" w:lineRule="auto"/>
    </w:pPr>
    <w:rPr>
      <w:color w:val="EB8900" w:themeColor="accent2" w:themeShade="BF"/>
    </w:rPr>
    <w:tblPr>
      <w:tblStyleRowBandSize w:val="1"/>
      <w:tblStyleColBandSize w:val="1"/>
      <w:tblBorders>
        <w:top w:val="single" w:sz="8" w:space="0" w:color="FFAE3B" w:themeColor="accent2"/>
        <w:bottom w:val="single" w:sz="8" w:space="0" w:color="FFAE3B" w:themeColor="accent2"/>
      </w:tblBorders>
    </w:tblPr>
    <w:tblStylePr w:type="fir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lastRow">
      <w:pPr>
        <w:spacing w:before="0" w:after="0" w:line="240" w:lineRule="auto"/>
      </w:pPr>
      <w:rPr>
        <w:b/>
        <w:bCs/>
      </w:rPr>
      <w:tblPr/>
      <w:tcPr>
        <w:tcBorders>
          <w:top w:val="single" w:sz="8" w:space="0" w:color="FFAE3B" w:themeColor="accent2"/>
          <w:left w:val="nil"/>
          <w:bottom w:val="single" w:sz="8" w:space="0" w:color="FFAE3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left w:val="nil"/>
          <w:right w:val="nil"/>
          <w:insideH w:val="nil"/>
          <w:insideV w:val="nil"/>
        </w:tcBorders>
        <w:shd w:val="clear" w:color="auto" w:fill="FFEACE" w:themeFill="accent2" w:themeFillTint="3F"/>
      </w:tcPr>
    </w:tblStylePr>
  </w:style>
  <w:style w:type="table" w:styleId="LightShading-Accent3">
    <w:name w:val="Light Shading Accent 3"/>
    <w:basedOn w:val="TableNormal"/>
    <w:uiPriority w:val="60"/>
    <w:semiHidden/>
    <w:unhideWhenUsed/>
    <w:rsid w:val="000E5CC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E5CC4"/>
    <w:pPr>
      <w:spacing w:after="0" w:line="240" w:lineRule="auto"/>
    </w:pPr>
    <w:rPr>
      <w:color w:val="9255A1" w:themeColor="accent4" w:themeShade="BF"/>
    </w:rPr>
    <w:tblPr>
      <w:tblStyleRowBandSize w:val="1"/>
      <w:tblStyleColBandSize w:val="1"/>
      <w:tblBorders>
        <w:top w:val="single" w:sz="8" w:space="0" w:color="B689C1" w:themeColor="accent4"/>
        <w:bottom w:val="single" w:sz="8" w:space="0" w:color="B689C1" w:themeColor="accent4"/>
      </w:tblBorders>
    </w:tblPr>
    <w:tblStylePr w:type="fir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lastRow">
      <w:pPr>
        <w:spacing w:before="0" w:after="0" w:line="240" w:lineRule="auto"/>
      </w:pPr>
      <w:rPr>
        <w:b/>
        <w:bCs/>
      </w:rPr>
      <w:tblPr/>
      <w:tcPr>
        <w:tcBorders>
          <w:top w:val="single" w:sz="8" w:space="0" w:color="B689C1" w:themeColor="accent4"/>
          <w:left w:val="nil"/>
          <w:bottom w:val="single" w:sz="8" w:space="0" w:color="B689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left w:val="nil"/>
          <w:right w:val="nil"/>
          <w:insideH w:val="nil"/>
          <w:insideV w:val="nil"/>
        </w:tcBorders>
        <w:shd w:val="clear" w:color="auto" w:fill="ECE1EF" w:themeFill="accent4" w:themeFillTint="3F"/>
      </w:tcPr>
    </w:tblStylePr>
  </w:style>
  <w:style w:type="table" w:styleId="LightShading-Accent5">
    <w:name w:val="Light Shading Accent 5"/>
    <w:basedOn w:val="TableNormal"/>
    <w:uiPriority w:val="60"/>
    <w:semiHidden/>
    <w:unhideWhenUsed/>
    <w:rsid w:val="000E5CC4"/>
    <w:pPr>
      <w:spacing w:after="0" w:line="240" w:lineRule="auto"/>
    </w:pPr>
    <w:rPr>
      <w:color w:val="AF6700" w:themeColor="accent5" w:themeShade="BF"/>
    </w:rPr>
    <w:tblPr>
      <w:tblStyleRowBandSize w:val="1"/>
      <w:tblStyleColBandSize w:val="1"/>
      <w:tblBorders>
        <w:top w:val="single" w:sz="8" w:space="0" w:color="EA8B00" w:themeColor="accent5"/>
        <w:bottom w:val="single" w:sz="8" w:space="0" w:color="EA8B00" w:themeColor="accent5"/>
      </w:tblBorders>
    </w:tblPr>
    <w:tblStylePr w:type="fir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lastRow">
      <w:pPr>
        <w:spacing w:before="0" w:after="0" w:line="240" w:lineRule="auto"/>
      </w:pPr>
      <w:rPr>
        <w:b/>
        <w:bCs/>
      </w:rPr>
      <w:tblPr/>
      <w:tcPr>
        <w:tcBorders>
          <w:top w:val="single" w:sz="8" w:space="0" w:color="EA8B00" w:themeColor="accent5"/>
          <w:left w:val="nil"/>
          <w:bottom w:val="single" w:sz="8" w:space="0" w:color="EA8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left w:val="nil"/>
          <w:right w:val="nil"/>
          <w:insideH w:val="nil"/>
          <w:insideV w:val="nil"/>
        </w:tcBorders>
        <w:shd w:val="clear" w:color="auto" w:fill="FFE3BA" w:themeFill="accent5" w:themeFillTint="3F"/>
      </w:tcPr>
    </w:tblStylePr>
  </w:style>
  <w:style w:type="table" w:styleId="LightShading-Accent6">
    <w:name w:val="Light Shading Accent 6"/>
    <w:basedOn w:val="TableNormal"/>
    <w:uiPriority w:val="60"/>
    <w:semiHidden/>
    <w:unhideWhenUsed/>
    <w:rsid w:val="000E5CC4"/>
    <w:pPr>
      <w:spacing w:after="0" w:line="240" w:lineRule="auto"/>
    </w:pPr>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character" w:styleId="LineNumber">
    <w:name w:val="line number"/>
    <w:basedOn w:val="DefaultParagraphFont"/>
    <w:uiPriority w:val="99"/>
    <w:semiHidden/>
    <w:unhideWhenUsed/>
    <w:rsid w:val="000E5CC4"/>
  </w:style>
  <w:style w:type="paragraph" w:styleId="List">
    <w:name w:val="List"/>
    <w:basedOn w:val="Normal"/>
    <w:uiPriority w:val="99"/>
    <w:semiHidden/>
    <w:unhideWhenUsed/>
    <w:rsid w:val="000E5CC4"/>
    <w:pPr>
      <w:ind w:left="283" w:hanging="283"/>
      <w:contextualSpacing/>
    </w:pPr>
  </w:style>
  <w:style w:type="paragraph" w:styleId="List2">
    <w:name w:val="List 2"/>
    <w:basedOn w:val="Normal"/>
    <w:uiPriority w:val="99"/>
    <w:semiHidden/>
    <w:unhideWhenUsed/>
    <w:rsid w:val="000E5CC4"/>
    <w:pPr>
      <w:ind w:left="566" w:hanging="283"/>
      <w:contextualSpacing/>
    </w:pPr>
  </w:style>
  <w:style w:type="paragraph" w:styleId="List3">
    <w:name w:val="List 3"/>
    <w:basedOn w:val="Normal"/>
    <w:uiPriority w:val="99"/>
    <w:semiHidden/>
    <w:unhideWhenUsed/>
    <w:rsid w:val="000E5CC4"/>
    <w:pPr>
      <w:ind w:left="849" w:hanging="283"/>
      <w:contextualSpacing/>
    </w:pPr>
  </w:style>
  <w:style w:type="paragraph" w:styleId="List4">
    <w:name w:val="List 4"/>
    <w:basedOn w:val="Normal"/>
    <w:uiPriority w:val="99"/>
    <w:semiHidden/>
    <w:rsid w:val="000E5CC4"/>
    <w:pPr>
      <w:ind w:left="1132" w:hanging="283"/>
      <w:contextualSpacing/>
    </w:pPr>
  </w:style>
  <w:style w:type="paragraph" w:styleId="List5">
    <w:name w:val="List 5"/>
    <w:basedOn w:val="Normal"/>
    <w:uiPriority w:val="99"/>
    <w:semiHidden/>
    <w:rsid w:val="000E5CC4"/>
    <w:pPr>
      <w:ind w:left="1415" w:hanging="283"/>
      <w:contextualSpacing/>
    </w:pPr>
  </w:style>
  <w:style w:type="paragraph" w:styleId="ListBullet3">
    <w:name w:val="List Bullet 3"/>
    <w:basedOn w:val="Normal"/>
    <w:uiPriority w:val="99"/>
    <w:unhideWhenUsed/>
    <w:rsid w:val="000659A4"/>
    <w:pPr>
      <w:numPr>
        <w:ilvl w:val="2"/>
        <w:numId w:val="43"/>
      </w:numPr>
      <w:spacing w:after="60"/>
      <w:contextualSpacing/>
    </w:pPr>
  </w:style>
  <w:style w:type="paragraph" w:styleId="ListBullet4">
    <w:name w:val="List Bullet 4"/>
    <w:basedOn w:val="Normal"/>
    <w:uiPriority w:val="99"/>
    <w:semiHidden/>
    <w:unhideWhenUsed/>
    <w:rsid w:val="000E5CC4"/>
    <w:pPr>
      <w:numPr>
        <w:numId w:val="4"/>
      </w:numPr>
      <w:contextualSpacing/>
    </w:pPr>
  </w:style>
  <w:style w:type="paragraph" w:styleId="ListBullet5">
    <w:name w:val="List Bullet 5"/>
    <w:basedOn w:val="Normal"/>
    <w:uiPriority w:val="99"/>
    <w:semiHidden/>
    <w:unhideWhenUsed/>
    <w:rsid w:val="000E5CC4"/>
    <w:pPr>
      <w:numPr>
        <w:numId w:val="5"/>
      </w:numPr>
      <w:contextualSpacing/>
    </w:pPr>
  </w:style>
  <w:style w:type="paragraph" w:styleId="ListContinue">
    <w:name w:val="List Continue"/>
    <w:basedOn w:val="Normal"/>
    <w:uiPriority w:val="99"/>
    <w:semiHidden/>
    <w:unhideWhenUsed/>
    <w:rsid w:val="000E5CC4"/>
    <w:pPr>
      <w:spacing w:after="120"/>
      <w:ind w:left="283"/>
      <w:contextualSpacing/>
    </w:pPr>
  </w:style>
  <w:style w:type="paragraph" w:styleId="ListContinue2">
    <w:name w:val="List Continue 2"/>
    <w:basedOn w:val="Normal"/>
    <w:uiPriority w:val="99"/>
    <w:semiHidden/>
    <w:unhideWhenUsed/>
    <w:rsid w:val="000E5CC4"/>
    <w:pPr>
      <w:spacing w:after="120"/>
      <w:ind w:left="566"/>
      <w:contextualSpacing/>
    </w:pPr>
  </w:style>
  <w:style w:type="paragraph" w:styleId="ListContinue3">
    <w:name w:val="List Continue 3"/>
    <w:basedOn w:val="Normal"/>
    <w:uiPriority w:val="99"/>
    <w:semiHidden/>
    <w:unhideWhenUsed/>
    <w:rsid w:val="000E5CC4"/>
    <w:pPr>
      <w:spacing w:after="120"/>
      <w:ind w:left="849"/>
      <w:contextualSpacing/>
    </w:pPr>
  </w:style>
  <w:style w:type="paragraph" w:styleId="ListContinue4">
    <w:name w:val="List Continue 4"/>
    <w:basedOn w:val="Normal"/>
    <w:uiPriority w:val="99"/>
    <w:semiHidden/>
    <w:unhideWhenUsed/>
    <w:rsid w:val="000E5CC4"/>
    <w:pPr>
      <w:spacing w:after="120"/>
      <w:ind w:left="1132"/>
      <w:contextualSpacing/>
    </w:pPr>
  </w:style>
  <w:style w:type="paragraph" w:styleId="ListContinue5">
    <w:name w:val="List Continue 5"/>
    <w:basedOn w:val="Normal"/>
    <w:uiPriority w:val="99"/>
    <w:semiHidden/>
    <w:unhideWhenUsed/>
    <w:rsid w:val="000E5CC4"/>
    <w:pPr>
      <w:spacing w:after="120"/>
      <w:ind w:left="1415"/>
      <w:contextualSpacing/>
    </w:pPr>
  </w:style>
  <w:style w:type="paragraph" w:styleId="ListNumber">
    <w:name w:val="List Number"/>
    <w:basedOn w:val="Normal"/>
    <w:uiPriority w:val="99"/>
    <w:rsid w:val="009005D5"/>
    <w:pPr>
      <w:numPr>
        <w:numId w:val="30"/>
      </w:numPr>
      <w:spacing w:before="60" w:after="60"/>
    </w:pPr>
  </w:style>
  <w:style w:type="paragraph" w:styleId="ListNumber2">
    <w:name w:val="List Number 2"/>
    <w:basedOn w:val="Normal"/>
    <w:uiPriority w:val="99"/>
    <w:rsid w:val="009005D5"/>
    <w:pPr>
      <w:numPr>
        <w:ilvl w:val="1"/>
        <w:numId w:val="30"/>
      </w:numPr>
      <w:spacing w:after="60"/>
    </w:pPr>
  </w:style>
  <w:style w:type="paragraph" w:styleId="ListNumber3">
    <w:name w:val="List Number 3"/>
    <w:basedOn w:val="Normal"/>
    <w:uiPriority w:val="99"/>
    <w:rsid w:val="009005D5"/>
    <w:pPr>
      <w:numPr>
        <w:ilvl w:val="2"/>
        <w:numId w:val="30"/>
      </w:numPr>
      <w:spacing w:after="60"/>
      <w:contextualSpacing/>
    </w:pPr>
  </w:style>
  <w:style w:type="paragraph" w:styleId="ListNumber4">
    <w:name w:val="List Number 4"/>
    <w:basedOn w:val="Normal"/>
    <w:uiPriority w:val="99"/>
    <w:semiHidden/>
    <w:unhideWhenUsed/>
    <w:rsid w:val="000E5CC4"/>
    <w:pPr>
      <w:numPr>
        <w:numId w:val="6"/>
      </w:numPr>
      <w:contextualSpacing/>
    </w:pPr>
  </w:style>
  <w:style w:type="paragraph" w:styleId="ListNumber5">
    <w:name w:val="List Number 5"/>
    <w:basedOn w:val="Normal"/>
    <w:uiPriority w:val="99"/>
    <w:semiHidden/>
    <w:unhideWhenUsed/>
    <w:rsid w:val="000E5CC4"/>
    <w:pPr>
      <w:numPr>
        <w:numId w:val="7"/>
      </w:numPr>
      <w:contextualSpacing/>
    </w:pPr>
  </w:style>
  <w:style w:type="paragraph" w:styleId="ListParagraph">
    <w:name w:val="List Paragraph"/>
    <w:basedOn w:val="Normal"/>
    <w:uiPriority w:val="34"/>
    <w:qFormat/>
    <w:rsid w:val="000E5CC4"/>
    <w:pPr>
      <w:ind w:left="720"/>
      <w:contextualSpacing/>
    </w:pPr>
  </w:style>
  <w:style w:type="table" w:styleId="ListTable1Light">
    <w:name w:val="List Table 1 Light"/>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099CA" w:themeColor="accent1" w:themeTint="99"/>
        </w:tcBorders>
      </w:tcPr>
    </w:tblStylePr>
    <w:tblStylePr w:type="lastRow">
      <w:rPr>
        <w:b/>
        <w:bCs/>
      </w:rPr>
      <w:tblPr/>
      <w:tcPr>
        <w:tcBorders>
          <w:top w:val="sing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1Light-Accent2">
    <w:name w:val="List Table 1 Light Accent 2"/>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CE89" w:themeColor="accent2" w:themeTint="99"/>
        </w:tcBorders>
      </w:tcPr>
    </w:tblStylePr>
    <w:tblStylePr w:type="lastRow">
      <w:rPr>
        <w:b/>
        <w:bCs/>
      </w:rPr>
      <w:tblPr/>
      <w:tcPr>
        <w:tcBorders>
          <w:top w:val="sing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1Light-Accent3">
    <w:name w:val="List Table 1 Light Accent 3"/>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3B8D9" w:themeColor="accent4" w:themeTint="99"/>
        </w:tcBorders>
      </w:tcPr>
    </w:tblStylePr>
    <w:tblStylePr w:type="lastRow">
      <w:rPr>
        <w:b/>
        <w:bCs/>
      </w:rPr>
      <w:tblPr/>
      <w:tcPr>
        <w:tcBorders>
          <w:top w:val="sing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1Light-Accent5">
    <w:name w:val="List Table 1 Light Accent 5"/>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FFBB59" w:themeColor="accent5" w:themeTint="99"/>
        </w:tcBorders>
      </w:tcPr>
    </w:tblStylePr>
    <w:tblStylePr w:type="lastRow">
      <w:rPr>
        <w:b/>
        <w:bCs/>
      </w:rPr>
      <w:tblPr/>
      <w:tcPr>
        <w:tcBorders>
          <w:top w:val="sing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1Light-Accent6">
    <w:name w:val="List Table 1 Light Accent 6"/>
    <w:basedOn w:val="TableNormal"/>
    <w:uiPriority w:val="46"/>
    <w:rsid w:val="000E5CC4"/>
    <w:pPr>
      <w:spacing w:after="0" w:line="240" w:lineRule="auto"/>
    </w:pPr>
    <w:tblPr>
      <w:tblStyleRowBandSize w:val="1"/>
      <w:tblStyleColBandSize w:val="1"/>
    </w:tblPr>
    <w:tblStylePr w:type="firstRow">
      <w:rPr>
        <w:b/>
        <w:bCs/>
      </w:rPr>
      <w:tblPr/>
      <w:tcPr>
        <w:tcBorders>
          <w:bottom w:val="single" w:sz="4" w:space="0" w:color="D8D8D8" w:themeColor="accent6" w:themeTint="99"/>
        </w:tcBorders>
      </w:tcPr>
    </w:tblStylePr>
    <w:tblStylePr w:type="lastRow">
      <w:rPr>
        <w:b/>
        <w:bCs/>
      </w:rPr>
      <w:tblPr/>
      <w:tcPr>
        <w:tcBorders>
          <w:top w:val="sing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2">
    <w:name w:val="List Table 2"/>
    <w:basedOn w:val="TableNormal"/>
    <w:uiPriority w:val="47"/>
    <w:rsid w:val="000E5C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E5CC4"/>
    <w:pPr>
      <w:spacing w:after="0" w:line="240" w:lineRule="auto"/>
    </w:pPr>
    <w:tblPr>
      <w:tblStyleRowBandSize w:val="1"/>
      <w:tblStyleColBandSize w:val="1"/>
      <w:tblBorders>
        <w:top w:val="single" w:sz="4" w:space="0" w:color="C099CA" w:themeColor="accent1" w:themeTint="99"/>
        <w:bottom w:val="single" w:sz="4" w:space="0" w:color="C099CA" w:themeColor="accent1" w:themeTint="99"/>
        <w:insideH w:val="single" w:sz="4" w:space="0" w:color="C09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2-Accent2">
    <w:name w:val="List Table 2 Accent 2"/>
    <w:basedOn w:val="TableNormal"/>
    <w:uiPriority w:val="47"/>
    <w:rsid w:val="000E5CC4"/>
    <w:pPr>
      <w:spacing w:after="0" w:line="240" w:lineRule="auto"/>
    </w:pPr>
    <w:tblPr>
      <w:tblStyleRowBandSize w:val="1"/>
      <w:tblStyleColBandSize w:val="1"/>
      <w:tblBorders>
        <w:top w:val="single" w:sz="4" w:space="0" w:color="FFCE89" w:themeColor="accent2" w:themeTint="99"/>
        <w:bottom w:val="single" w:sz="4" w:space="0" w:color="FFCE89" w:themeColor="accent2" w:themeTint="99"/>
        <w:insideH w:val="single" w:sz="4" w:space="0" w:color="FFCE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2-Accent3">
    <w:name w:val="List Table 2 Accent 3"/>
    <w:basedOn w:val="TableNormal"/>
    <w:uiPriority w:val="47"/>
    <w:rsid w:val="000E5CC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E5CC4"/>
    <w:pPr>
      <w:spacing w:after="0" w:line="240" w:lineRule="auto"/>
    </w:pPr>
    <w:tblPr>
      <w:tblStyleRowBandSize w:val="1"/>
      <w:tblStyleColBandSize w:val="1"/>
      <w:tblBorders>
        <w:top w:val="single" w:sz="4" w:space="0" w:color="D3B8D9" w:themeColor="accent4" w:themeTint="99"/>
        <w:bottom w:val="single" w:sz="4" w:space="0" w:color="D3B8D9" w:themeColor="accent4" w:themeTint="99"/>
        <w:insideH w:val="single" w:sz="4" w:space="0" w:color="D3B8D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2-Accent5">
    <w:name w:val="List Table 2 Accent 5"/>
    <w:basedOn w:val="TableNormal"/>
    <w:uiPriority w:val="47"/>
    <w:rsid w:val="000E5CC4"/>
    <w:pPr>
      <w:spacing w:after="0" w:line="240" w:lineRule="auto"/>
    </w:pPr>
    <w:tblPr>
      <w:tblStyleRowBandSize w:val="1"/>
      <w:tblStyleColBandSize w:val="1"/>
      <w:tblBorders>
        <w:top w:val="single" w:sz="4" w:space="0" w:color="FFBB59" w:themeColor="accent5" w:themeTint="99"/>
        <w:bottom w:val="single" w:sz="4" w:space="0" w:color="FFBB59" w:themeColor="accent5" w:themeTint="99"/>
        <w:insideH w:val="single" w:sz="4" w:space="0" w:color="FFBB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2-Accent6">
    <w:name w:val="List Table 2 Accent 6"/>
    <w:basedOn w:val="TableNormal"/>
    <w:uiPriority w:val="47"/>
    <w:rsid w:val="000E5CC4"/>
    <w:pPr>
      <w:spacing w:after="0" w:line="240" w:lineRule="auto"/>
    </w:pPr>
    <w:tblPr>
      <w:tblStyleRowBandSize w:val="1"/>
      <w:tblStyleColBandSize w:val="1"/>
      <w:tblBorders>
        <w:top w:val="single" w:sz="4" w:space="0" w:color="D8D8D8" w:themeColor="accent6" w:themeTint="99"/>
        <w:bottom w:val="single" w:sz="4" w:space="0" w:color="D8D8D8" w:themeColor="accent6" w:themeTint="99"/>
        <w:insideH w:val="single" w:sz="4" w:space="0" w:color="D8D8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3">
    <w:name w:val="List Table 3"/>
    <w:basedOn w:val="TableNormal"/>
    <w:uiPriority w:val="48"/>
    <w:rsid w:val="000E5C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E5CC4"/>
    <w:pPr>
      <w:spacing w:after="0" w:line="240" w:lineRule="auto"/>
    </w:pPr>
    <w:tblPr>
      <w:tblStyleRowBandSize w:val="1"/>
      <w:tblStyleColBandSize w:val="1"/>
      <w:tblBorders>
        <w:top w:val="single" w:sz="4" w:space="0" w:color="9757A6" w:themeColor="accent1"/>
        <w:left w:val="single" w:sz="4" w:space="0" w:color="9757A6" w:themeColor="accent1"/>
        <w:bottom w:val="single" w:sz="4" w:space="0" w:color="9757A6" w:themeColor="accent1"/>
        <w:right w:val="single" w:sz="4" w:space="0" w:color="9757A6" w:themeColor="accent1"/>
      </w:tblBorders>
    </w:tblPr>
    <w:tblStylePr w:type="firstRow">
      <w:rPr>
        <w:b/>
        <w:bCs/>
        <w:color w:val="FFFFFF" w:themeColor="background1"/>
      </w:rPr>
      <w:tblPr/>
      <w:tcPr>
        <w:shd w:val="clear" w:color="auto" w:fill="9757A6" w:themeFill="accent1"/>
      </w:tcPr>
    </w:tblStylePr>
    <w:tblStylePr w:type="lastRow">
      <w:rPr>
        <w:b/>
        <w:bCs/>
      </w:rPr>
      <w:tblPr/>
      <w:tcPr>
        <w:tcBorders>
          <w:top w:val="double" w:sz="4" w:space="0" w:color="9757A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57A6" w:themeColor="accent1"/>
          <w:right w:val="single" w:sz="4" w:space="0" w:color="9757A6" w:themeColor="accent1"/>
        </w:tcBorders>
      </w:tcPr>
    </w:tblStylePr>
    <w:tblStylePr w:type="band1Horz">
      <w:tblPr/>
      <w:tcPr>
        <w:tcBorders>
          <w:top w:val="single" w:sz="4" w:space="0" w:color="9757A6" w:themeColor="accent1"/>
          <w:bottom w:val="single" w:sz="4" w:space="0" w:color="9757A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57A6" w:themeColor="accent1"/>
          <w:left w:val="nil"/>
        </w:tcBorders>
      </w:tcPr>
    </w:tblStylePr>
    <w:tblStylePr w:type="swCell">
      <w:tblPr/>
      <w:tcPr>
        <w:tcBorders>
          <w:top w:val="double" w:sz="4" w:space="0" w:color="9757A6" w:themeColor="accent1"/>
          <w:right w:val="nil"/>
        </w:tcBorders>
      </w:tcPr>
    </w:tblStylePr>
  </w:style>
  <w:style w:type="table" w:styleId="ListTable3-Accent2">
    <w:name w:val="List Table 3 Accent 2"/>
    <w:basedOn w:val="TableNormal"/>
    <w:uiPriority w:val="48"/>
    <w:rsid w:val="000E5CC4"/>
    <w:pPr>
      <w:spacing w:after="0" w:line="240" w:lineRule="auto"/>
    </w:pPr>
    <w:tblPr>
      <w:tblStyleRowBandSize w:val="1"/>
      <w:tblStyleColBandSize w:val="1"/>
      <w:tblBorders>
        <w:top w:val="single" w:sz="4" w:space="0" w:color="FFAE3B" w:themeColor="accent2"/>
        <w:left w:val="single" w:sz="4" w:space="0" w:color="FFAE3B" w:themeColor="accent2"/>
        <w:bottom w:val="single" w:sz="4" w:space="0" w:color="FFAE3B" w:themeColor="accent2"/>
        <w:right w:val="single" w:sz="4" w:space="0" w:color="FFAE3B" w:themeColor="accent2"/>
      </w:tblBorders>
    </w:tblPr>
    <w:tblStylePr w:type="firstRow">
      <w:rPr>
        <w:b/>
        <w:bCs/>
        <w:color w:val="FFFFFF" w:themeColor="background1"/>
      </w:rPr>
      <w:tblPr/>
      <w:tcPr>
        <w:shd w:val="clear" w:color="auto" w:fill="FFAE3B" w:themeFill="accent2"/>
      </w:tcPr>
    </w:tblStylePr>
    <w:tblStylePr w:type="lastRow">
      <w:rPr>
        <w:b/>
        <w:bCs/>
      </w:rPr>
      <w:tblPr/>
      <w:tcPr>
        <w:tcBorders>
          <w:top w:val="double" w:sz="4" w:space="0" w:color="FFAE3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3B" w:themeColor="accent2"/>
          <w:right w:val="single" w:sz="4" w:space="0" w:color="FFAE3B" w:themeColor="accent2"/>
        </w:tcBorders>
      </w:tcPr>
    </w:tblStylePr>
    <w:tblStylePr w:type="band1Horz">
      <w:tblPr/>
      <w:tcPr>
        <w:tcBorders>
          <w:top w:val="single" w:sz="4" w:space="0" w:color="FFAE3B" w:themeColor="accent2"/>
          <w:bottom w:val="single" w:sz="4" w:space="0" w:color="FFAE3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3B" w:themeColor="accent2"/>
          <w:left w:val="nil"/>
        </w:tcBorders>
      </w:tcPr>
    </w:tblStylePr>
    <w:tblStylePr w:type="swCell">
      <w:tblPr/>
      <w:tcPr>
        <w:tcBorders>
          <w:top w:val="double" w:sz="4" w:space="0" w:color="FFAE3B" w:themeColor="accent2"/>
          <w:right w:val="nil"/>
        </w:tcBorders>
      </w:tcPr>
    </w:tblStylePr>
  </w:style>
  <w:style w:type="table" w:styleId="ListTable3-Accent3">
    <w:name w:val="List Table 3 Accent 3"/>
    <w:basedOn w:val="TableNormal"/>
    <w:uiPriority w:val="48"/>
    <w:rsid w:val="000E5CC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E5CC4"/>
    <w:pPr>
      <w:spacing w:after="0" w:line="240" w:lineRule="auto"/>
    </w:pPr>
    <w:tblPr>
      <w:tblStyleRowBandSize w:val="1"/>
      <w:tblStyleColBandSize w:val="1"/>
      <w:tblBorders>
        <w:top w:val="single" w:sz="4" w:space="0" w:color="B689C1" w:themeColor="accent4"/>
        <w:left w:val="single" w:sz="4" w:space="0" w:color="B689C1" w:themeColor="accent4"/>
        <w:bottom w:val="single" w:sz="4" w:space="0" w:color="B689C1" w:themeColor="accent4"/>
        <w:right w:val="single" w:sz="4" w:space="0" w:color="B689C1" w:themeColor="accent4"/>
      </w:tblBorders>
    </w:tblPr>
    <w:tblStylePr w:type="firstRow">
      <w:rPr>
        <w:b/>
        <w:bCs/>
        <w:color w:val="FFFFFF" w:themeColor="background1"/>
      </w:rPr>
      <w:tblPr/>
      <w:tcPr>
        <w:shd w:val="clear" w:color="auto" w:fill="B689C1" w:themeFill="accent4"/>
      </w:tcPr>
    </w:tblStylePr>
    <w:tblStylePr w:type="lastRow">
      <w:rPr>
        <w:b/>
        <w:bCs/>
      </w:rPr>
      <w:tblPr/>
      <w:tcPr>
        <w:tcBorders>
          <w:top w:val="double" w:sz="4" w:space="0" w:color="B689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89C1" w:themeColor="accent4"/>
          <w:right w:val="single" w:sz="4" w:space="0" w:color="B689C1" w:themeColor="accent4"/>
        </w:tcBorders>
      </w:tcPr>
    </w:tblStylePr>
    <w:tblStylePr w:type="band1Horz">
      <w:tblPr/>
      <w:tcPr>
        <w:tcBorders>
          <w:top w:val="single" w:sz="4" w:space="0" w:color="B689C1" w:themeColor="accent4"/>
          <w:bottom w:val="single" w:sz="4" w:space="0" w:color="B689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89C1" w:themeColor="accent4"/>
          <w:left w:val="nil"/>
        </w:tcBorders>
      </w:tcPr>
    </w:tblStylePr>
    <w:tblStylePr w:type="swCell">
      <w:tblPr/>
      <w:tcPr>
        <w:tcBorders>
          <w:top w:val="double" w:sz="4" w:space="0" w:color="B689C1" w:themeColor="accent4"/>
          <w:right w:val="nil"/>
        </w:tcBorders>
      </w:tcPr>
    </w:tblStylePr>
  </w:style>
  <w:style w:type="table" w:styleId="ListTable3-Accent5">
    <w:name w:val="List Table 3 Accent 5"/>
    <w:basedOn w:val="TableNormal"/>
    <w:uiPriority w:val="48"/>
    <w:rsid w:val="000E5CC4"/>
    <w:pPr>
      <w:spacing w:after="0" w:line="240" w:lineRule="auto"/>
    </w:pPr>
    <w:tblPr>
      <w:tblStyleRowBandSize w:val="1"/>
      <w:tblStyleColBandSize w:val="1"/>
      <w:tblBorders>
        <w:top w:val="single" w:sz="4" w:space="0" w:color="EA8B00" w:themeColor="accent5"/>
        <w:left w:val="single" w:sz="4" w:space="0" w:color="EA8B00" w:themeColor="accent5"/>
        <w:bottom w:val="single" w:sz="4" w:space="0" w:color="EA8B00" w:themeColor="accent5"/>
        <w:right w:val="single" w:sz="4" w:space="0" w:color="EA8B00" w:themeColor="accent5"/>
      </w:tblBorders>
    </w:tblPr>
    <w:tblStylePr w:type="firstRow">
      <w:rPr>
        <w:b/>
        <w:bCs/>
        <w:color w:val="FFFFFF" w:themeColor="background1"/>
      </w:rPr>
      <w:tblPr/>
      <w:tcPr>
        <w:shd w:val="clear" w:color="auto" w:fill="EA8B00" w:themeFill="accent5"/>
      </w:tcPr>
    </w:tblStylePr>
    <w:tblStylePr w:type="lastRow">
      <w:rPr>
        <w:b/>
        <w:bCs/>
      </w:rPr>
      <w:tblPr/>
      <w:tcPr>
        <w:tcBorders>
          <w:top w:val="double" w:sz="4" w:space="0" w:color="EA8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8B00" w:themeColor="accent5"/>
          <w:right w:val="single" w:sz="4" w:space="0" w:color="EA8B00" w:themeColor="accent5"/>
        </w:tcBorders>
      </w:tcPr>
    </w:tblStylePr>
    <w:tblStylePr w:type="band1Horz">
      <w:tblPr/>
      <w:tcPr>
        <w:tcBorders>
          <w:top w:val="single" w:sz="4" w:space="0" w:color="EA8B00" w:themeColor="accent5"/>
          <w:bottom w:val="single" w:sz="4" w:space="0" w:color="EA8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8B00" w:themeColor="accent5"/>
          <w:left w:val="nil"/>
        </w:tcBorders>
      </w:tcPr>
    </w:tblStylePr>
    <w:tblStylePr w:type="swCell">
      <w:tblPr/>
      <w:tcPr>
        <w:tcBorders>
          <w:top w:val="double" w:sz="4" w:space="0" w:color="EA8B00" w:themeColor="accent5"/>
          <w:right w:val="nil"/>
        </w:tcBorders>
      </w:tcPr>
    </w:tblStylePr>
  </w:style>
  <w:style w:type="table" w:styleId="ListTable3-Accent6">
    <w:name w:val="List Table 3 Accent 6"/>
    <w:basedOn w:val="TableNormal"/>
    <w:uiPriority w:val="48"/>
    <w:rsid w:val="000E5CC4"/>
    <w:pPr>
      <w:spacing w:after="0" w:line="240" w:lineRule="auto"/>
    </w:pPr>
    <w:tblPr>
      <w:tblStyleRowBandSize w:val="1"/>
      <w:tblStyleColBandSize w:val="1"/>
      <w:tblBorders>
        <w:top w:val="single" w:sz="4" w:space="0" w:color="BFBFBF" w:themeColor="accent6"/>
        <w:left w:val="single" w:sz="4" w:space="0" w:color="BFBFBF" w:themeColor="accent6"/>
        <w:bottom w:val="single" w:sz="4" w:space="0" w:color="BFBFBF" w:themeColor="accent6"/>
        <w:right w:val="single" w:sz="4" w:space="0" w:color="BFBFBF" w:themeColor="accent6"/>
      </w:tblBorders>
    </w:tblPr>
    <w:tblStylePr w:type="firstRow">
      <w:rPr>
        <w:b/>
        <w:bCs/>
        <w:color w:val="FFFFFF" w:themeColor="background1"/>
      </w:rPr>
      <w:tblPr/>
      <w:tcPr>
        <w:shd w:val="clear" w:color="auto" w:fill="BFBFBF" w:themeFill="accent6"/>
      </w:tcPr>
    </w:tblStylePr>
    <w:tblStylePr w:type="lastRow">
      <w:rPr>
        <w:b/>
        <w:bCs/>
      </w:rPr>
      <w:tblPr/>
      <w:tcPr>
        <w:tcBorders>
          <w:top w:val="double" w:sz="4" w:space="0" w:color="BFBFB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6"/>
          <w:right w:val="single" w:sz="4" w:space="0" w:color="BFBFBF" w:themeColor="accent6"/>
        </w:tcBorders>
      </w:tcPr>
    </w:tblStylePr>
    <w:tblStylePr w:type="band1Horz">
      <w:tblPr/>
      <w:tcPr>
        <w:tcBorders>
          <w:top w:val="single" w:sz="4" w:space="0" w:color="BFBFBF" w:themeColor="accent6"/>
          <w:bottom w:val="single" w:sz="4" w:space="0" w:color="BFBFB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6"/>
          <w:left w:val="nil"/>
        </w:tcBorders>
      </w:tcPr>
    </w:tblStylePr>
    <w:tblStylePr w:type="swCell">
      <w:tblPr/>
      <w:tcPr>
        <w:tcBorders>
          <w:top w:val="double" w:sz="4" w:space="0" w:color="BFBFBF" w:themeColor="accent6"/>
          <w:right w:val="nil"/>
        </w:tcBorders>
      </w:tcPr>
    </w:tblStylePr>
  </w:style>
  <w:style w:type="table" w:styleId="ListTable4">
    <w:name w:val="List Table 4"/>
    <w:basedOn w:val="TableNormal"/>
    <w:uiPriority w:val="49"/>
    <w:rsid w:val="000E5C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E5CC4"/>
    <w:pPr>
      <w:spacing w:after="0" w:line="240" w:lineRule="auto"/>
    </w:pPr>
    <w:tblPr>
      <w:tblStyleRowBandSize w:val="1"/>
      <w:tblStyleColBandSize w:val="1"/>
      <w:tblBorders>
        <w:top w:val="single" w:sz="4" w:space="0" w:color="C099CA" w:themeColor="accent1" w:themeTint="99"/>
        <w:left w:val="single" w:sz="4" w:space="0" w:color="C099CA" w:themeColor="accent1" w:themeTint="99"/>
        <w:bottom w:val="single" w:sz="4" w:space="0" w:color="C099CA" w:themeColor="accent1" w:themeTint="99"/>
        <w:right w:val="single" w:sz="4" w:space="0" w:color="C099CA" w:themeColor="accent1" w:themeTint="99"/>
        <w:insideH w:val="single" w:sz="4" w:space="0" w:color="C099CA" w:themeColor="accent1" w:themeTint="99"/>
      </w:tblBorders>
    </w:tblPr>
    <w:tblStylePr w:type="firstRow">
      <w:rPr>
        <w:b/>
        <w:bCs/>
        <w:color w:val="FFFFFF" w:themeColor="background1"/>
      </w:rPr>
      <w:tblPr/>
      <w:tcPr>
        <w:tcBorders>
          <w:top w:val="single" w:sz="4" w:space="0" w:color="9757A6" w:themeColor="accent1"/>
          <w:left w:val="single" w:sz="4" w:space="0" w:color="9757A6" w:themeColor="accent1"/>
          <w:bottom w:val="single" w:sz="4" w:space="0" w:color="9757A6" w:themeColor="accent1"/>
          <w:right w:val="single" w:sz="4" w:space="0" w:color="9757A6" w:themeColor="accent1"/>
          <w:insideH w:val="nil"/>
        </w:tcBorders>
        <w:shd w:val="clear" w:color="auto" w:fill="9757A6" w:themeFill="accent1"/>
      </w:tcPr>
    </w:tblStylePr>
    <w:tblStylePr w:type="lastRow">
      <w:rPr>
        <w:b/>
        <w:bCs/>
      </w:rPr>
      <w:tblPr/>
      <w:tcPr>
        <w:tcBorders>
          <w:top w:val="double" w:sz="4" w:space="0" w:color="C099CA" w:themeColor="accent1" w:themeTint="99"/>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4-Accent2">
    <w:name w:val="List Table 4 Accent 2"/>
    <w:basedOn w:val="TableNormal"/>
    <w:uiPriority w:val="49"/>
    <w:rsid w:val="000E5CC4"/>
    <w:pPr>
      <w:spacing w:after="0" w:line="240" w:lineRule="auto"/>
    </w:pPr>
    <w:tblPr>
      <w:tblStyleRowBandSize w:val="1"/>
      <w:tblStyleColBandSize w:val="1"/>
      <w:tblBorders>
        <w:top w:val="single" w:sz="4" w:space="0" w:color="FFCE89" w:themeColor="accent2" w:themeTint="99"/>
        <w:left w:val="single" w:sz="4" w:space="0" w:color="FFCE89" w:themeColor="accent2" w:themeTint="99"/>
        <w:bottom w:val="single" w:sz="4" w:space="0" w:color="FFCE89" w:themeColor="accent2" w:themeTint="99"/>
        <w:right w:val="single" w:sz="4" w:space="0" w:color="FFCE89" w:themeColor="accent2" w:themeTint="99"/>
        <w:insideH w:val="single" w:sz="4" w:space="0" w:color="FFCE89" w:themeColor="accent2" w:themeTint="99"/>
      </w:tblBorders>
    </w:tblPr>
    <w:tblStylePr w:type="firstRow">
      <w:rPr>
        <w:b/>
        <w:bCs/>
        <w:color w:val="FFFFFF" w:themeColor="background1"/>
      </w:rPr>
      <w:tblPr/>
      <w:tcPr>
        <w:tcBorders>
          <w:top w:val="single" w:sz="4" w:space="0" w:color="FFAE3B" w:themeColor="accent2"/>
          <w:left w:val="single" w:sz="4" w:space="0" w:color="FFAE3B" w:themeColor="accent2"/>
          <w:bottom w:val="single" w:sz="4" w:space="0" w:color="FFAE3B" w:themeColor="accent2"/>
          <w:right w:val="single" w:sz="4" w:space="0" w:color="FFAE3B" w:themeColor="accent2"/>
          <w:insideH w:val="nil"/>
        </w:tcBorders>
        <w:shd w:val="clear" w:color="auto" w:fill="FFAE3B" w:themeFill="accent2"/>
      </w:tcPr>
    </w:tblStylePr>
    <w:tblStylePr w:type="lastRow">
      <w:rPr>
        <w:b/>
        <w:bCs/>
      </w:rPr>
      <w:tblPr/>
      <w:tcPr>
        <w:tcBorders>
          <w:top w:val="double" w:sz="4" w:space="0" w:color="FFCE89" w:themeColor="accent2" w:themeTint="99"/>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4-Accent3">
    <w:name w:val="List Table 4 Accent 3"/>
    <w:basedOn w:val="TableNormal"/>
    <w:uiPriority w:val="49"/>
    <w:rsid w:val="000E5CC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E5CC4"/>
    <w:pPr>
      <w:spacing w:after="0" w:line="240" w:lineRule="auto"/>
    </w:pPr>
    <w:tblPr>
      <w:tblStyleRowBandSize w:val="1"/>
      <w:tblStyleColBandSize w:val="1"/>
      <w:tblBorders>
        <w:top w:val="single" w:sz="4" w:space="0" w:color="D3B8D9" w:themeColor="accent4" w:themeTint="99"/>
        <w:left w:val="single" w:sz="4" w:space="0" w:color="D3B8D9" w:themeColor="accent4" w:themeTint="99"/>
        <w:bottom w:val="single" w:sz="4" w:space="0" w:color="D3B8D9" w:themeColor="accent4" w:themeTint="99"/>
        <w:right w:val="single" w:sz="4" w:space="0" w:color="D3B8D9" w:themeColor="accent4" w:themeTint="99"/>
        <w:insideH w:val="single" w:sz="4" w:space="0" w:color="D3B8D9" w:themeColor="accent4" w:themeTint="99"/>
      </w:tblBorders>
    </w:tblPr>
    <w:tblStylePr w:type="firstRow">
      <w:rPr>
        <w:b/>
        <w:bCs/>
        <w:color w:val="FFFFFF" w:themeColor="background1"/>
      </w:rPr>
      <w:tblPr/>
      <w:tcPr>
        <w:tcBorders>
          <w:top w:val="single" w:sz="4" w:space="0" w:color="B689C1" w:themeColor="accent4"/>
          <w:left w:val="single" w:sz="4" w:space="0" w:color="B689C1" w:themeColor="accent4"/>
          <w:bottom w:val="single" w:sz="4" w:space="0" w:color="B689C1" w:themeColor="accent4"/>
          <w:right w:val="single" w:sz="4" w:space="0" w:color="B689C1" w:themeColor="accent4"/>
          <w:insideH w:val="nil"/>
        </w:tcBorders>
        <w:shd w:val="clear" w:color="auto" w:fill="B689C1" w:themeFill="accent4"/>
      </w:tcPr>
    </w:tblStylePr>
    <w:tblStylePr w:type="lastRow">
      <w:rPr>
        <w:b/>
        <w:bCs/>
      </w:rPr>
      <w:tblPr/>
      <w:tcPr>
        <w:tcBorders>
          <w:top w:val="double" w:sz="4" w:space="0" w:color="D3B8D9" w:themeColor="accent4" w:themeTint="99"/>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4-Accent5">
    <w:name w:val="List Table 4 Accent 5"/>
    <w:basedOn w:val="TableNormal"/>
    <w:uiPriority w:val="49"/>
    <w:rsid w:val="000E5CC4"/>
    <w:pPr>
      <w:spacing w:after="0" w:line="240" w:lineRule="auto"/>
    </w:pPr>
    <w:tblPr>
      <w:tblStyleRowBandSize w:val="1"/>
      <w:tblStyleColBandSize w:val="1"/>
      <w:tblBorders>
        <w:top w:val="single" w:sz="4" w:space="0" w:color="FFBB59" w:themeColor="accent5" w:themeTint="99"/>
        <w:left w:val="single" w:sz="4" w:space="0" w:color="FFBB59" w:themeColor="accent5" w:themeTint="99"/>
        <w:bottom w:val="single" w:sz="4" w:space="0" w:color="FFBB59" w:themeColor="accent5" w:themeTint="99"/>
        <w:right w:val="single" w:sz="4" w:space="0" w:color="FFBB59" w:themeColor="accent5" w:themeTint="99"/>
        <w:insideH w:val="single" w:sz="4" w:space="0" w:color="FFBB59" w:themeColor="accent5" w:themeTint="99"/>
      </w:tblBorders>
    </w:tblPr>
    <w:tblStylePr w:type="firstRow">
      <w:rPr>
        <w:b/>
        <w:bCs/>
        <w:color w:val="FFFFFF" w:themeColor="background1"/>
      </w:rPr>
      <w:tblPr/>
      <w:tcPr>
        <w:tcBorders>
          <w:top w:val="single" w:sz="4" w:space="0" w:color="EA8B00" w:themeColor="accent5"/>
          <w:left w:val="single" w:sz="4" w:space="0" w:color="EA8B00" w:themeColor="accent5"/>
          <w:bottom w:val="single" w:sz="4" w:space="0" w:color="EA8B00" w:themeColor="accent5"/>
          <w:right w:val="single" w:sz="4" w:space="0" w:color="EA8B00" w:themeColor="accent5"/>
          <w:insideH w:val="nil"/>
        </w:tcBorders>
        <w:shd w:val="clear" w:color="auto" w:fill="EA8B00" w:themeFill="accent5"/>
      </w:tcPr>
    </w:tblStylePr>
    <w:tblStylePr w:type="lastRow">
      <w:rPr>
        <w:b/>
        <w:bCs/>
      </w:rPr>
      <w:tblPr/>
      <w:tcPr>
        <w:tcBorders>
          <w:top w:val="double" w:sz="4" w:space="0" w:color="FFBB59" w:themeColor="accent5" w:themeTint="99"/>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4-Accent6">
    <w:name w:val="List Table 4 Accent 6"/>
    <w:basedOn w:val="TableNormal"/>
    <w:uiPriority w:val="49"/>
    <w:rsid w:val="000E5CC4"/>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tcBorders>
        <w:shd w:val="clear" w:color="auto" w:fill="BFBFBF" w:themeFill="accent6"/>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5Dark">
    <w:name w:val="List Table 5 Dark"/>
    <w:basedOn w:val="TableNormal"/>
    <w:uiPriority w:val="50"/>
    <w:rsid w:val="000E5C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E5CC4"/>
    <w:pPr>
      <w:spacing w:after="0" w:line="240" w:lineRule="auto"/>
    </w:pPr>
    <w:rPr>
      <w:color w:val="FFFFFF" w:themeColor="background1"/>
    </w:rPr>
    <w:tblPr>
      <w:tblStyleRowBandSize w:val="1"/>
      <w:tblStyleColBandSize w:val="1"/>
      <w:tblBorders>
        <w:top w:val="single" w:sz="24" w:space="0" w:color="9757A6" w:themeColor="accent1"/>
        <w:left w:val="single" w:sz="24" w:space="0" w:color="9757A6" w:themeColor="accent1"/>
        <w:bottom w:val="single" w:sz="24" w:space="0" w:color="9757A6" w:themeColor="accent1"/>
        <w:right w:val="single" w:sz="24" w:space="0" w:color="9757A6" w:themeColor="accent1"/>
      </w:tblBorders>
    </w:tblPr>
    <w:tcPr>
      <w:shd w:val="clear" w:color="auto" w:fill="9757A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E5CC4"/>
    <w:pPr>
      <w:spacing w:after="0" w:line="240" w:lineRule="auto"/>
    </w:pPr>
    <w:rPr>
      <w:color w:val="FFFFFF" w:themeColor="background1"/>
    </w:rPr>
    <w:tblPr>
      <w:tblStyleRowBandSize w:val="1"/>
      <w:tblStyleColBandSize w:val="1"/>
      <w:tblBorders>
        <w:top w:val="single" w:sz="24" w:space="0" w:color="FFAE3B" w:themeColor="accent2"/>
        <w:left w:val="single" w:sz="24" w:space="0" w:color="FFAE3B" w:themeColor="accent2"/>
        <w:bottom w:val="single" w:sz="24" w:space="0" w:color="FFAE3B" w:themeColor="accent2"/>
        <w:right w:val="single" w:sz="24" w:space="0" w:color="FFAE3B" w:themeColor="accent2"/>
      </w:tblBorders>
    </w:tblPr>
    <w:tcPr>
      <w:shd w:val="clear" w:color="auto" w:fill="FFAE3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E5CC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E5CC4"/>
    <w:pPr>
      <w:spacing w:after="0" w:line="240" w:lineRule="auto"/>
    </w:pPr>
    <w:rPr>
      <w:color w:val="FFFFFF" w:themeColor="background1"/>
    </w:rPr>
    <w:tblPr>
      <w:tblStyleRowBandSize w:val="1"/>
      <w:tblStyleColBandSize w:val="1"/>
      <w:tblBorders>
        <w:top w:val="single" w:sz="24" w:space="0" w:color="B689C1" w:themeColor="accent4"/>
        <w:left w:val="single" w:sz="24" w:space="0" w:color="B689C1" w:themeColor="accent4"/>
        <w:bottom w:val="single" w:sz="24" w:space="0" w:color="B689C1" w:themeColor="accent4"/>
        <w:right w:val="single" w:sz="24" w:space="0" w:color="B689C1" w:themeColor="accent4"/>
      </w:tblBorders>
    </w:tblPr>
    <w:tcPr>
      <w:shd w:val="clear" w:color="auto" w:fill="B689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E5CC4"/>
    <w:pPr>
      <w:spacing w:after="0" w:line="240" w:lineRule="auto"/>
    </w:pPr>
    <w:rPr>
      <w:color w:val="FFFFFF" w:themeColor="background1"/>
    </w:rPr>
    <w:tblPr>
      <w:tblStyleRowBandSize w:val="1"/>
      <w:tblStyleColBandSize w:val="1"/>
      <w:tblBorders>
        <w:top w:val="single" w:sz="24" w:space="0" w:color="EA8B00" w:themeColor="accent5"/>
        <w:left w:val="single" w:sz="24" w:space="0" w:color="EA8B00" w:themeColor="accent5"/>
        <w:bottom w:val="single" w:sz="24" w:space="0" w:color="EA8B00" w:themeColor="accent5"/>
        <w:right w:val="single" w:sz="24" w:space="0" w:color="EA8B00" w:themeColor="accent5"/>
      </w:tblBorders>
    </w:tblPr>
    <w:tcPr>
      <w:shd w:val="clear" w:color="auto" w:fill="EA8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E5CC4"/>
    <w:pPr>
      <w:spacing w:after="0" w:line="240" w:lineRule="auto"/>
    </w:pPr>
    <w:rPr>
      <w:color w:val="FFFFFF" w:themeColor="background1"/>
    </w:rPr>
    <w:tblPr>
      <w:tblStyleRowBandSize w:val="1"/>
      <w:tblStyleColBandSize w:val="1"/>
      <w:tblBorders>
        <w:top w:val="single" w:sz="24" w:space="0" w:color="BFBFBF" w:themeColor="accent6"/>
        <w:left w:val="single" w:sz="24" w:space="0" w:color="BFBFBF" w:themeColor="accent6"/>
        <w:bottom w:val="single" w:sz="24" w:space="0" w:color="BFBFBF" w:themeColor="accent6"/>
        <w:right w:val="single" w:sz="24" w:space="0" w:color="BFBFBF" w:themeColor="accent6"/>
      </w:tblBorders>
    </w:tblPr>
    <w:tcPr>
      <w:shd w:val="clear" w:color="auto" w:fill="BFBFB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E5C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E5CC4"/>
    <w:pPr>
      <w:spacing w:after="0" w:line="240" w:lineRule="auto"/>
    </w:pPr>
    <w:rPr>
      <w:color w:val="70417C" w:themeColor="accent1" w:themeShade="BF"/>
    </w:rPr>
    <w:tblPr>
      <w:tblStyleRowBandSize w:val="1"/>
      <w:tblStyleColBandSize w:val="1"/>
      <w:tblBorders>
        <w:top w:val="single" w:sz="4" w:space="0" w:color="9757A6" w:themeColor="accent1"/>
        <w:bottom w:val="single" w:sz="4" w:space="0" w:color="9757A6" w:themeColor="accent1"/>
      </w:tblBorders>
    </w:tblPr>
    <w:tblStylePr w:type="firstRow">
      <w:rPr>
        <w:b/>
        <w:bCs/>
      </w:rPr>
      <w:tblPr/>
      <w:tcPr>
        <w:tcBorders>
          <w:bottom w:val="single" w:sz="4" w:space="0" w:color="9757A6" w:themeColor="accent1"/>
        </w:tcBorders>
      </w:tcPr>
    </w:tblStylePr>
    <w:tblStylePr w:type="lastRow">
      <w:rPr>
        <w:b/>
        <w:bCs/>
      </w:rPr>
      <w:tblPr/>
      <w:tcPr>
        <w:tcBorders>
          <w:top w:val="double" w:sz="4" w:space="0" w:color="9757A6" w:themeColor="accent1"/>
        </w:tcBorders>
      </w:tcPr>
    </w:tblStylePr>
    <w:tblStylePr w:type="firstCol">
      <w:rPr>
        <w:b/>
        <w:bCs/>
      </w:rPr>
    </w:tblStylePr>
    <w:tblStylePr w:type="lastCol">
      <w:rPr>
        <w:b/>
        <w:bCs/>
      </w:rPr>
    </w:tblStylePr>
    <w:tblStylePr w:type="band1Vert">
      <w:tblPr/>
      <w:tcPr>
        <w:shd w:val="clear" w:color="auto" w:fill="EADDED" w:themeFill="accent1" w:themeFillTint="33"/>
      </w:tcPr>
    </w:tblStylePr>
    <w:tblStylePr w:type="band1Horz">
      <w:tblPr/>
      <w:tcPr>
        <w:shd w:val="clear" w:color="auto" w:fill="EADDED" w:themeFill="accent1" w:themeFillTint="33"/>
      </w:tcPr>
    </w:tblStylePr>
  </w:style>
  <w:style w:type="table" w:styleId="ListTable6Colorful-Accent2">
    <w:name w:val="List Table 6 Colorful Accent 2"/>
    <w:basedOn w:val="TableNormal"/>
    <w:uiPriority w:val="51"/>
    <w:rsid w:val="000E5CC4"/>
    <w:pPr>
      <w:spacing w:after="0" w:line="240" w:lineRule="auto"/>
    </w:pPr>
    <w:rPr>
      <w:color w:val="EB8900" w:themeColor="accent2" w:themeShade="BF"/>
    </w:rPr>
    <w:tblPr>
      <w:tblStyleRowBandSize w:val="1"/>
      <w:tblStyleColBandSize w:val="1"/>
      <w:tblBorders>
        <w:top w:val="single" w:sz="4" w:space="0" w:color="FFAE3B" w:themeColor="accent2"/>
        <w:bottom w:val="single" w:sz="4" w:space="0" w:color="FFAE3B" w:themeColor="accent2"/>
      </w:tblBorders>
    </w:tblPr>
    <w:tblStylePr w:type="firstRow">
      <w:rPr>
        <w:b/>
        <w:bCs/>
      </w:rPr>
      <w:tblPr/>
      <w:tcPr>
        <w:tcBorders>
          <w:bottom w:val="single" w:sz="4" w:space="0" w:color="FFAE3B" w:themeColor="accent2"/>
        </w:tcBorders>
      </w:tcPr>
    </w:tblStylePr>
    <w:tblStylePr w:type="lastRow">
      <w:rPr>
        <w:b/>
        <w:bCs/>
      </w:rPr>
      <w:tblPr/>
      <w:tcPr>
        <w:tcBorders>
          <w:top w:val="double" w:sz="4" w:space="0" w:color="FFAE3B" w:themeColor="accent2"/>
        </w:tcBorders>
      </w:tcPr>
    </w:tblStylePr>
    <w:tblStylePr w:type="firstCol">
      <w:rPr>
        <w:b/>
        <w:bCs/>
      </w:rPr>
    </w:tblStylePr>
    <w:tblStylePr w:type="lastCol">
      <w:rPr>
        <w:b/>
        <w:bCs/>
      </w:rPr>
    </w:tblStylePr>
    <w:tblStylePr w:type="band1Vert">
      <w:tblPr/>
      <w:tcPr>
        <w:shd w:val="clear" w:color="auto" w:fill="FFEED7" w:themeFill="accent2" w:themeFillTint="33"/>
      </w:tcPr>
    </w:tblStylePr>
    <w:tblStylePr w:type="band1Horz">
      <w:tblPr/>
      <w:tcPr>
        <w:shd w:val="clear" w:color="auto" w:fill="FFEED7" w:themeFill="accent2" w:themeFillTint="33"/>
      </w:tcPr>
    </w:tblStylePr>
  </w:style>
  <w:style w:type="table" w:styleId="ListTable6Colorful-Accent3">
    <w:name w:val="List Table 6 Colorful Accent 3"/>
    <w:basedOn w:val="TableNormal"/>
    <w:uiPriority w:val="51"/>
    <w:rsid w:val="000E5CC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E5CC4"/>
    <w:pPr>
      <w:spacing w:after="0" w:line="240" w:lineRule="auto"/>
    </w:pPr>
    <w:rPr>
      <w:color w:val="9255A1" w:themeColor="accent4" w:themeShade="BF"/>
    </w:rPr>
    <w:tblPr>
      <w:tblStyleRowBandSize w:val="1"/>
      <w:tblStyleColBandSize w:val="1"/>
      <w:tblBorders>
        <w:top w:val="single" w:sz="4" w:space="0" w:color="B689C1" w:themeColor="accent4"/>
        <w:bottom w:val="single" w:sz="4" w:space="0" w:color="B689C1" w:themeColor="accent4"/>
      </w:tblBorders>
    </w:tblPr>
    <w:tblStylePr w:type="firstRow">
      <w:rPr>
        <w:b/>
        <w:bCs/>
      </w:rPr>
      <w:tblPr/>
      <w:tcPr>
        <w:tcBorders>
          <w:bottom w:val="single" w:sz="4" w:space="0" w:color="B689C1" w:themeColor="accent4"/>
        </w:tcBorders>
      </w:tcPr>
    </w:tblStylePr>
    <w:tblStylePr w:type="lastRow">
      <w:rPr>
        <w:b/>
        <w:bCs/>
      </w:rPr>
      <w:tblPr/>
      <w:tcPr>
        <w:tcBorders>
          <w:top w:val="double" w:sz="4" w:space="0" w:color="B689C1" w:themeColor="accent4"/>
        </w:tcBorders>
      </w:tcPr>
    </w:tblStylePr>
    <w:tblStylePr w:type="firstCol">
      <w:rPr>
        <w:b/>
        <w:bCs/>
      </w:rPr>
    </w:tblStylePr>
    <w:tblStylePr w:type="lastCol">
      <w:rPr>
        <w:b/>
        <w:bCs/>
      </w:rPr>
    </w:tblStylePr>
    <w:tblStylePr w:type="band1Vert">
      <w:tblPr/>
      <w:tcPr>
        <w:shd w:val="clear" w:color="auto" w:fill="F0E7F2" w:themeFill="accent4" w:themeFillTint="33"/>
      </w:tcPr>
    </w:tblStylePr>
    <w:tblStylePr w:type="band1Horz">
      <w:tblPr/>
      <w:tcPr>
        <w:shd w:val="clear" w:color="auto" w:fill="F0E7F2" w:themeFill="accent4" w:themeFillTint="33"/>
      </w:tcPr>
    </w:tblStylePr>
  </w:style>
  <w:style w:type="table" w:styleId="ListTable6Colorful-Accent5">
    <w:name w:val="List Table 6 Colorful Accent 5"/>
    <w:basedOn w:val="TableNormal"/>
    <w:uiPriority w:val="51"/>
    <w:rsid w:val="000E5CC4"/>
    <w:pPr>
      <w:spacing w:after="0" w:line="240" w:lineRule="auto"/>
    </w:pPr>
    <w:rPr>
      <w:color w:val="AF6700" w:themeColor="accent5" w:themeShade="BF"/>
    </w:rPr>
    <w:tblPr>
      <w:tblStyleRowBandSize w:val="1"/>
      <w:tblStyleColBandSize w:val="1"/>
      <w:tblBorders>
        <w:top w:val="single" w:sz="4" w:space="0" w:color="EA8B00" w:themeColor="accent5"/>
        <w:bottom w:val="single" w:sz="4" w:space="0" w:color="EA8B00" w:themeColor="accent5"/>
      </w:tblBorders>
    </w:tblPr>
    <w:tblStylePr w:type="firstRow">
      <w:rPr>
        <w:b/>
        <w:bCs/>
      </w:rPr>
      <w:tblPr/>
      <w:tcPr>
        <w:tcBorders>
          <w:bottom w:val="single" w:sz="4" w:space="0" w:color="EA8B00" w:themeColor="accent5"/>
        </w:tcBorders>
      </w:tcPr>
    </w:tblStylePr>
    <w:tblStylePr w:type="lastRow">
      <w:rPr>
        <w:b/>
        <w:bCs/>
      </w:rPr>
      <w:tblPr/>
      <w:tcPr>
        <w:tcBorders>
          <w:top w:val="double" w:sz="4" w:space="0" w:color="EA8B00" w:themeColor="accent5"/>
        </w:tcBorders>
      </w:tcPr>
    </w:tblStylePr>
    <w:tblStylePr w:type="firstCol">
      <w:rPr>
        <w:b/>
        <w:bCs/>
      </w:rPr>
    </w:tblStylePr>
    <w:tblStylePr w:type="lastCol">
      <w:rPr>
        <w:b/>
        <w:bCs/>
      </w:rPr>
    </w:tblStylePr>
    <w:tblStylePr w:type="band1Vert">
      <w:tblPr/>
      <w:tcPr>
        <w:shd w:val="clear" w:color="auto" w:fill="FFE8C7" w:themeFill="accent5" w:themeFillTint="33"/>
      </w:tcPr>
    </w:tblStylePr>
    <w:tblStylePr w:type="band1Horz">
      <w:tblPr/>
      <w:tcPr>
        <w:shd w:val="clear" w:color="auto" w:fill="FFE8C7" w:themeFill="accent5" w:themeFillTint="33"/>
      </w:tcPr>
    </w:tblStylePr>
  </w:style>
  <w:style w:type="table" w:styleId="ListTable6Colorful-Accent6">
    <w:name w:val="List Table 6 Colorful Accent 6"/>
    <w:basedOn w:val="TableNormal"/>
    <w:uiPriority w:val="51"/>
    <w:rsid w:val="000E5CC4"/>
    <w:pPr>
      <w:spacing w:after="0" w:line="240" w:lineRule="auto"/>
    </w:pPr>
    <w:rPr>
      <w:color w:val="8F8F8F" w:themeColor="accent6" w:themeShade="BF"/>
    </w:rPr>
    <w:tblPr>
      <w:tblStyleRowBandSize w:val="1"/>
      <w:tblStyleColBandSize w:val="1"/>
      <w:tblBorders>
        <w:top w:val="single" w:sz="4" w:space="0" w:color="BFBFBF" w:themeColor="accent6"/>
        <w:bottom w:val="single" w:sz="4" w:space="0" w:color="BFBFBF" w:themeColor="accent6"/>
      </w:tblBorders>
    </w:tblPr>
    <w:tblStylePr w:type="firstRow">
      <w:rPr>
        <w:b/>
        <w:bCs/>
      </w:rPr>
      <w:tblPr/>
      <w:tcPr>
        <w:tcBorders>
          <w:bottom w:val="single" w:sz="4" w:space="0" w:color="BFBFBF" w:themeColor="accent6"/>
        </w:tcBorders>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stTable7Colorful">
    <w:name w:val="List Table 7 Colorful"/>
    <w:basedOn w:val="TableNormal"/>
    <w:uiPriority w:val="52"/>
    <w:rsid w:val="000E5C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E5CC4"/>
    <w:pPr>
      <w:spacing w:after="0" w:line="240" w:lineRule="auto"/>
    </w:pPr>
    <w:rPr>
      <w:color w:val="70417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57A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57A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57A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57A6" w:themeColor="accent1"/>
        </w:tcBorders>
        <w:shd w:val="clear" w:color="auto" w:fill="FFFFFF" w:themeFill="background1"/>
      </w:tcPr>
    </w:tblStylePr>
    <w:tblStylePr w:type="band1Vert">
      <w:tblPr/>
      <w:tcPr>
        <w:shd w:val="clear" w:color="auto" w:fill="EADDED" w:themeFill="accent1" w:themeFillTint="33"/>
      </w:tcPr>
    </w:tblStylePr>
    <w:tblStylePr w:type="band1Horz">
      <w:tblPr/>
      <w:tcPr>
        <w:shd w:val="clear" w:color="auto" w:fill="EAD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E5CC4"/>
    <w:pPr>
      <w:spacing w:after="0" w:line="240" w:lineRule="auto"/>
    </w:pPr>
    <w:rPr>
      <w:color w:val="EB89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3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3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3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3B" w:themeColor="accent2"/>
        </w:tcBorders>
        <w:shd w:val="clear" w:color="auto" w:fill="FFFFFF" w:themeFill="background1"/>
      </w:tcPr>
    </w:tblStylePr>
    <w:tblStylePr w:type="band1Vert">
      <w:tblPr/>
      <w:tcPr>
        <w:shd w:val="clear" w:color="auto" w:fill="FFEED7" w:themeFill="accent2" w:themeFillTint="33"/>
      </w:tcPr>
    </w:tblStylePr>
    <w:tblStylePr w:type="band1Horz">
      <w:tblPr/>
      <w:tcPr>
        <w:shd w:val="clear" w:color="auto" w:fill="FF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E5CC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E5CC4"/>
    <w:pPr>
      <w:spacing w:after="0" w:line="240" w:lineRule="auto"/>
    </w:pPr>
    <w:rPr>
      <w:color w:val="9255A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89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89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89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89C1" w:themeColor="accent4"/>
        </w:tcBorders>
        <w:shd w:val="clear" w:color="auto" w:fill="FFFFFF" w:themeFill="background1"/>
      </w:tcPr>
    </w:tblStylePr>
    <w:tblStylePr w:type="band1Vert">
      <w:tblPr/>
      <w:tcPr>
        <w:shd w:val="clear" w:color="auto" w:fill="F0E7F2" w:themeFill="accent4" w:themeFillTint="33"/>
      </w:tcPr>
    </w:tblStylePr>
    <w:tblStylePr w:type="band1Horz">
      <w:tblPr/>
      <w:tcPr>
        <w:shd w:val="clear" w:color="auto" w:fill="F0E7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E5CC4"/>
    <w:pPr>
      <w:spacing w:after="0" w:line="240" w:lineRule="auto"/>
    </w:pPr>
    <w:rPr>
      <w:color w:val="AF67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8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8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8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8B00" w:themeColor="accent5"/>
        </w:tcBorders>
        <w:shd w:val="clear" w:color="auto" w:fill="FFFFFF" w:themeFill="background1"/>
      </w:tcPr>
    </w:tblStylePr>
    <w:tblStylePr w:type="band1Vert">
      <w:tblPr/>
      <w:tcPr>
        <w:shd w:val="clear" w:color="auto" w:fill="FFE8C7" w:themeFill="accent5" w:themeFillTint="33"/>
      </w:tcPr>
    </w:tblStylePr>
    <w:tblStylePr w:type="band1Horz">
      <w:tblPr/>
      <w:tcPr>
        <w:shd w:val="clear" w:color="auto" w:fill="FFE8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E5CC4"/>
    <w:pPr>
      <w:spacing w:after="0" w:line="240" w:lineRule="auto"/>
    </w:pPr>
    <w:rPr>
      <w:color w:val="8F8F8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F"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E5CC4"/>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0E5CC4"/>
    <w:rPr>
      <w:rFonts w:ascii="Consolas" w:hAnsi="Consolas"/>
      <w:sz w:val="20"/>
      <w:szCs w:val="20"/>
    </w:rPr>
  </w:style>
  <w:style w:type="table" w:styleId="MediumGrid1">
    <w:name w:val="Medium Grid 1"/>
    <w:basedOn w:val="TableNormal"/>
    <w:uiPriority w:val="67"/>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insideV w:val="single" w:sz="8" w:space="0" w:color="B180BC" w:themeColor="accent1" w:themeTint="BF"/>
      </w:tblBorders>
    </w:tblPr>
    <w:tcPr>
      <w:shd w:val="clear" w:color="auto" w:fill="E5D5E9" w:themeFill="accent1" w:themeFillTint="3F"/>
    </w:tcPr>
    <w:tblStylePr w:type="firstRow">
      <w:rPr>
        <w:b/>
        <w:bCs/>
      </w:rPr>
    </w:tblStylePr>
    <w:tblStylePr w:type="lastRow">
      <w:rPr>
        <w:b/>
        <w:bCs/>
      </w:rPr>
      <w:tblPr/>
      <w:tcPr>
        <w:tcBorders>
          <w:top w:val="single" w:sz="18" w:space="0" w:color="B180BC" w:themeColor="accent1" w:themeTint="BF"/>
        </w:tcBorders>
      </w:tcPr>
    </w:tblStylePr>
    <w:tblStylePr w:type="firstCol">
      <w:rPr>
        <w:b/>
        <w:bCs/>
      </w:rPr>
    </w:tblStylePr>
    <w:tblStylePr w:type="lastCol">
      <w:rPr>
        <w:b/>
        <w:bCs/>
      </w:rPr>
    </w:tblStylePr>
    <w:tblStylePr w:type="band1Vert">
      <w:tblPr/>
      <w:tcPr>
        <w:shd w:val="clear" w:color="auto" w:fill="CBABD3" w:themeFill="accent1" w:themeFillTint="7F"/>
      </w:tcPr>
    </w:tblStylePr>
    <w:tblStylePr w:type="band1Horz">
      <w:tblPr/>
      <w:tcPr>
        <w:shd w:val="clear" w:color="auto" w:fill="CBABD3" w:themeFill="accent1" w:themeFillTint="7F"/>
      </w:tcPr>
    </w:tblStylePr>
  </w:style>
  <w:style w:type="table" w:styleId="MediumGrid1-Accent2">
    <w:name w:val="Medium Grid 1 Accent 2"/>
    <w:basedOn w:val="TableNormal"/>
    <w:uiPriority w:val="67"/>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insideV w:val="single" w:sz="8" w:space="0" w:color="FFC16C" w:themeColor="accent2" w:themeTint="BF"/>
      </w:tblBorders>
    </w:tblPr>
    <w:tcPr>
      <w:shd w:val="clear" w:color="auto" w:fill="FFEACE" w:themeFill="accent2" w:themeFillTint="3F"/>
    </w:tcPr>
    <w:tblStylePr w:type="firstRow">
      <w:rPr>
        <w:b/>
        <w:bCs/>
      </w:rPr>
    </w:tblStylePr>
    <w:tblStylePr w:type="lastRow">
      <w:rPr>
        <w:b/>
        <w:bCs/>
      </w:rPr>
      <w:tblPr/>
      <w:tcPr>
        <w:tcBorders>
          <w:top w:val="single" w:sz="18" w:space="0" w:color="FFC16C" w:themeColor="accent2" w:themeTint="BF"/>
        </w:tcBorders>
      </w:tcPr>
    </w:tblStylePr>
    <w:tblStylePr w:type="firstCol">
      <w:rPr>
        <w:b/>
        <w:bCs/>
      </w:rPr>
    </w:tblStylePr>
    <w:tblStylePr w:type="lastCol">
      <w:rPr>
        <w:b/>
        <w:bCs/>
      </w:rPr>
    </w:tblStylePr>
    <w:tblStylePr w:type="band1Vert">
      <w:tblPr/>
      <w:tcPr>
        <w:shd w:val="clear" w:color="auto" w:fill="FFD69D" w:themeFill="accent2" w:themeFillTint="7F"/>
      </w:tcPr>
    </w:tblStylePr>
    <w:tblStylePr w:type="band1Horz">
      <w:tblPr/>
      <w:tcPr>
        <w:shd w:val="clear" w:color="auto" w:fill="FFD69D" w:themeFill="accent2" w:themeFillTint="7F"/>
      </w:tcPr>
    </w:tblStylePr>
  </w:style>
  <w:style w:type="table" w:styleId="MediumGrid1-Accent3">
    <w:name w:val="Medium Grid 1 Accent 3"/>
    <w:basedOn w:val="TableNormal"/>
    <w:uiPriority w:val="67"/>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insideV w:val="single" w:sz="8" w:space="0" w:color="C8A6D0" w:themeColor="accent4" w:themeTint="BF"/>
      </w:tblBorders>
    </w:tblPr>
    <w:tcPr>
      <w:shd w:val="clear" w:color="auto" w:fill="ECE1EF" w:themeFill="accent4" w:themeFillTint="3F"/>
    </w:tcPr>
    <w:tblStylePr w:type="firstRow">
      <w:rPr>
        <w:b/>
        <w:bCs/>
      </w:rPr>
    </w:tblStylePr>
    <w:tblStylePr w:type="lastRow">
      <w:rPr>
        <w:b/>
        <w:bCs/>
      </w:rPr>
      <w:tblPr/>
      <w:tcPr>
        <w:tcBorders>
          <w:top w:val="single" w:sz="18" w:space="0" w:color="C8A6D0" w:themeColor="accent4" w:themeTint="BF"/>
        </w:tcBorders>
      </w:tcPr>
    </w:tblStylePr>
    <w:tblStylePr w:type="firstCol">
      <w:rPr>
        <w:b/>
        <w:bCs/>
      </w:rPr>
    </w:tblStylePr>
    <w:tblStylePr w:type="lastCol">
      <w:rPr>
        <w:b/>
        <w:bCs/>
      </w:rPr>
    </w:tblStylePr>
    <w:tblStylePr w:type="band1Vert">
      <w:tblPr/>
      <w:tcPr>
        <w:shd w:val="clear" w:color="auto" w:fill="DAC4E0" w:themeFill="accent4" w:themeFillTint="7F"/>
      </w:tcPr>
    </w:tblStylePr>
    <w:tblStylePr w:type="band1Horz">
      <w:tblPr/>
      <w:tcPr>
        <w:shd w:val="clear" w:color="auto" w:fill="DAC4E0" w:themeFill="accent4" w:themeFillTint="7F"/>
      </w:tcPr>
    </w:tblStylePr>
  </w:style>
  <w:style w:type="table" w:styleId="MediumGrid1-Accent5">
    <w:name w:val="Medium Grid 1 Accent 5"/>
    <w:basedOn w:val="TableNormal"/>
    <w:uiPriority w:val="67"/>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insideV w:val="single" w:sz="8" w:space="0" w:color="FFAA30" w:themeColor="accent5" w:themeTint="BF"/>
      </w:tblBorders>
    </w:tblPr>
    <w:tcPr>
      <w:shd w:val="clear" w:color="auto" w:fill="FFE3BA" w:themeFill="accent5" w:themeFillTint="3F"/>
    </w:tcPr>
    <w:tblStylePr w:type="firstRow">
      <w:rPr>
        <w:b/>
        <w:bCs/>
      </w:rPr>
    </w:tblStylePr>
    <w:tblStylePr w:type="lastRow">
      <w:rPr>
        <w:b/>
        <w:bCs/>
      </w:rPr>
      <w:tblPr/>
      <w:tcPr>
        <w:tcBorders>
          <w:top w:val="single" w:sz="18" w:space="0" w:color="FFAA30" w:themeColor="accent5" w:themeTint="BF"/>
        </w:tcBorders>
      </w:tcPr>
    </w:tblStylePr>
    <w:tblStylePr w:type="firstCol">
      <w:rPr>
        <w:b/>
        <w:bCs/>
      </w:rPr>
    </w:tblStylePr>
    <w:tblStylePr w:type="lastCol">
      <w:rPr>
        <w:b/>
        <w:bCs/>
      </w:rPr>
    </w:tblStylePr>
    <w:tblStylePr w:type="band1Vert">
      <w:tblPr/>
      <w:tcPr>
        <w:shd w:val="clear" w:color="auto" w:fill="FFC675" w:themeFill="accent5" w:themeFillTint="7F"/>
      </w:tcPr>
    </w:tblStylePr>
    <w:tblStylePr w:type="band1Horz">
      <w:tblPr/>
      <w:tcPr>
        <w:shd w:val="clear" w:color="auto" w:fill="FFC675" w:themeFill="accent5" w:themeFillTint="7F"/>
      </w:tcPr>
    </w:tblStylePr>
  </w:style>
  <w:style w:type="table" w:styleId="MediumGrid1-Accent6">
    <w:name w:val="Medium Grid 1 Accent 6"/>
    <w:basedOn w:val="TableNormal"/>
    <w:uiPriority w:val="67"/>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MediumGrid2">
    <w:name w:val="Medium Grid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insideH w:val="single" w:sz="8" w:space="0" w:color="9757A6" w:themeColor="accent1"/>
        <w:insideV w:val="single" w:sz="8" w:space="0" w:color="9757A6" w:themeColor="accent1"/>
      </w:tblBorders>
    </w:tblPr>
    <w:tcPr>
      <w:shd w:val="clear" w:color="auto" w:fill="E5D5E9" w:themeFill="accent1" w:themeFillTint="3F"/>
    </w:tcPr>
    <w:tblStylePr w:type="firstRow">
      <w:rPr>
        <w:b/>
        <w:bCs/>
        <w:color w:val="000000" w:themeColor="text1"/>
      </w:rPr>
      <w:tblPr/>
      <w:tcPr>
        <w:shd w:val="clear" w:color="auto" w:fill="F4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ED" w:themeFill="accent1" w:themeFillTint="33"/>
      </w:tcPr>
    </w:tblStylePr>
    <w:tblStylePr w:type="band1Vert">
      <w:tblPr/>
      <w:tcPr>
        <w:shd w:val="clear" w:color="auto" w:fill="CBABD3" w:themeFill="accent1" w:themeFillTint="7F"/>
      </w:tcPr>
    </w:tblStylePr>
    <w:tblStylePr w:type="band1Horz">
      <w:tblPr/>
      <w:tcPr>
        <w:tcBorders>
          <w:insideH w:val="single" w:sz="6" w:space="0" w:color="9757A6" w:themeColor="accent1"/>
          <w:insideV w:val="single" w:sz="6" w:space="0" w:color="9757A6" w:themeColor="accent1"/>
        </w:tcBorders>
        <w:shd w:val="clear" w:color="auto" w:fill="CBAB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insideH w:val="single" w:sz="8" w:space="0" w:color="FFAE3B" w:themeColor="accent2"/>
        <w:insideV w:val="single" w:sz="8" w:space="0" w:color="FFAE3B" w:themeColor="accent2"/>
      </w:tblBorders>
    </w:tblPr>
    <w:tcPr>
      <w:shd w:val="clear" w:color="auto" w:fill="FFEACE" w:themeFill="accent2" w:themeFillTint="3F"/>
    </w:tcPr>
    <w:tblStylePr w:type="firstRow">
      <w:rPr>
        <w:b/>
        <w:bCs/>
        <w:color w:val="000000" w:themeColor="text1"/>
      </w:rPr>
      <w:tblPr/>
      <w:tcPr>
        <w:shd w:val="clear" w:color="auto" w:fill="FFF6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D7" w:themeFill="accent2" w:themeFillTint="33"/>
      </w:tcPr>
    </w:tblStylePr>
    <w:tblStylePr w:type="band1Vert">
      <w:tblPr/>
      <w:tcPr>
        <w:shd w:val="clear" w:color="auto" w:fill="FFD69D" w:themeFill="accent2" w:themeFillTint="7F"/>
      </w:tcPr>
    </w:tblStylePr>
    <w:tblStylePr w:type="band1Horz">
      <w:tblPr/>
      <w:tcPr>
        <w:tcBorders>
          <w:insideH w:val="single" w:sz="6" w:space="0" w:color="FFAE3B" w:themeColor="accent2"/>
          <w:insideV w:val="single" w:sz="6" w:space="0" w:color="FFAE3B" w:themeColor="accent2"/>
        </w:tcBorders>
        <w:shd w:val="clear" w:color="auto" w:fill="FF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insideH w:val="single" w:sz="8" w:space="0" w:color="B689C1" w:themeColor="accent4"/>
        <w:insideV w:val="single" w:sz="8" w:space="0" w:color="B689C1" w:themeColor="accent4"/>
      </w:tblBorders>
    </w:tblPr>
    <w:tcPr>
      <w:shd w:val="clear" w:color="auto" w:fill="ECE1EF" w:themeFill="accent4" w:themeFillTint="3F"/>
    </w:tcPr>
    <w:tblStylePr w:type="firstRow">
      <w:rPr>
        <w:b/>
        <w:bCs/>
        <w:color w:val="000000" w:themeColor="text1"/>
      </w:rPr>
      <w:tblPr/>
      <w:tcPr>
        <w:shd w:val="clear" w:color="auto" w:fill="F7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7F2" w:themeFill="accent4" w:themeFillTint="33"/>
      </w:tcPr>
    </w:tblStylePr>
    <w:tblStylePr w:type="band1Vert">
      <w:tblPr/>
      <w:tcPr>
        <w:shd w:val="clear" w:color="auto" w:fill="DAC4E0" w:themeFill="accent4" w:themeFillTint="7F"/>
      </w:tcPr>
    </w:tblStylePr>
    <w:tblStylePr w:type="band1Horz">
      <w:tblPr/>
      <w:tcPr>
        <w:tcBorders>
          <w:insideH w:val="single" w:sz="6" w:space="0" w:color="B689C1" w:themeColor="accent4"/>
          <w:insideV w:val="single" w:sz="6" w:space="0" w:color="B689C1" w:themeColor="accent4"/>
        </w:tcBorders>
        <w:shd w:val="clear" w:color="auto" w:fill="DAC4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insideH w:val="single" w:sz="8" w:space="0" w:color="EA8B00" w:themeColor="accent5"/>
        <w:insideV w:val="single" w:sz="8" w:space="0" w:color="EA8B00" w:themeColor="accent5"/>
      </w:tblBorders>
    </w:tblPr>
    <w:tcPr>
      <w:shd w:val="clear" w:color="auto" w:fill="FFE3BA" w:themeFill="accent5" w:themeFillTint="3F"/>
    </w:tcPr>
    <w:tblStylePr w:type="firstRow">
      <w:rPr>
        <w:b/>
        <w:bCs/>
        <w:color w:val="000000" w:themeColor="text1"/>
      </w:rPr>
      <w:tblPr/>
      <w:tcPr>
        <w:shd w:val="clear" w:color="auto" w:fill="FFF3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7" w:themeFill="accent5" w:themeFillTint="33"/>
      </w:tcPr>
    </w:tblStylePr>
    <w:tblStylePr w:type="band1Vert">
      <w:tblPr/>
      <w:tcPr>
        <w:shd w:val="clear" w:color="auto" w:fill="FFC675" w:themeFill="accent5" w:themeFillTint="7F"/>
      </w:tcPr>
    </w:tblStylePr>
    <w:tblStylePr w:type="band1Horz">
      <w:tblPr/>
      <w:tcPr>
        <w:tcBorders>
          <w:insideH w:val="single" w:sz="6" w:space="0" w:color="EA8B00" w:themeColor="accent5"/>
          <w:insideV w:val="single" w:sz="6" w:space="0" w:color="EA8B00" w:themeColor="accent5"/>
        </w:tcBorders>
        <w:shd w:val="clear" w:color="auto" w:fill="FFC67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5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57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57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57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B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BD3" w:themeFill="accent1" w:themeFillTint="7F"/>
      </w:tcPr>
    </w:tblStylePr>
  </w:style>
  <w:style w:type="table" w:styleId="MediumGrid3-Accent2">
    <w:name w:val="Medium Grid 3 Accent 2"/>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3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3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3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9D" w:themeFill="accent2" w:themeFillTint="7F"/>
      </w:tcPr>
    </w:tblStylePr>
  </w:style>
  <w:style w:type="table" w:styleId="MediumGrid3-Accent3">
    <w:name w:val="Medium Grid 3 Accent 3"/>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89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89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89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4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4E0" w:themeFill="accent4" w:themeFillTint="7F"/>
      </w:tcPr>
    </w:tblStylePr>
  </w:style>
  <w:style w:type="table" w:styleId="MediumGrid3-Accent5">
    <w:name w:val="Medium Grid 3 Accent 5"/>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3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8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8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8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5" w:themeFill="accent5" w:themeFillTint="7F"/>
      </w:tcPr>
    </w:tblStylePr>
  </w:style>
  <w:style w:type="table" w:styleId="MediumGrid3-Accent6">
    <w:name w:val="Medium Grid 3 Accent 6"/>
    <w:basedOn w:val="TableNormal"/>
    <w:uiPriority w:val="69"/>
    <w:semiHidden/>
    <w:unhideWhenUsed/>
    <w:rsid w:val="000E5C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MediumList1">
    <w:name w:val="Medium Lis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57A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9757A6" w:themeColor="accent1"/>
        <w:bottom w:val="single" w:sz="8" w:space="0" w:color="9757A6" w:themeColor="accent1"/>
      </w:tblBorders>
    </w:tblPr>
    <w:tblStylePr w:type="firstRow">
      <w:rPr>
        <w:rFonts w:asciiTheme="majorHAnsi" w:eastAsiaTheme="majorEastAsia" w:hAnsiTheme="majorHAnsi" w:cstheme="majorBidi"/>
      </w:rPr>
      <w:tblPr/>
      <w:tcPr>
        <w:tcBorders>
          <w:top w:val="nil"/>
          <w:bottom w:val="single" w:sz="8" w:space="0" w:color="9757A6" w:themeColor="accent1"/>
        </w:tcBorders>
      </w:tcPr>
    </w:tblStylePr>
    <w:tblStylePr w:type="lastRow">
      <w:rPr>
        <w:b/>
        <w:bCs/>
        <w:color w:val="9757A6" w:themeColor="text2"/>
      </w:rPr>
      <w:tblPr/>
      <w:tcPr>
        <w:tcBorders>
          <w:top w:val="single" w:sz="8" w:space="0" w:color="9757A6" w:themeColor="accent1"/>
          <w:bottom w:val="single" w:sz="8" w:space="0" w:color="9757A6" w:themeColor="accent1"/>
        </w:tcBorders>
      </w:tcPr>
    </w:tblStylePr>
    <w:tblStylePr w:type="firstCol">
      <w:rPr>
        <w:b/>
        <w:bCs/>
      </w:rPr>
    </w:tblStylePr>
    <w:tblStylePr w:type="lastCol">
      <w:rPr>
        <w:b/>
        <w:bCs/>
      </w:rPr>
      <w:tblPr/>
      <w:tcPr>
        <w:tcBorders>
          <w:top w:val="single" w:sz="8" w:space="0" w:color="9757A6" w:themeColor="accent1"/>
          <w:bottom w:val="single" w:sz="8" w:space="0" w:color="9757A6" w:themeColor="accent1"/>
        </w:tcBorders>
      </w:tcPr>
    </w:tblStylePr>
    <w:tblStylePr w:type="band1Vert">
      <w:tblPr/>
      <w:tcPr>
        <w:shd w:val="clear" w:color="auto" w:fill="E5D5E9" w:themeFill="accent1" w:themeFillTint="3F"/>
      </w:tcPr>
    </w:tblStylePr>
    <w:tblStylePr w:type="band1Horz">
      <w:tblPr/>
      <w:tcPr>
        <w:shd w:val="clear" w:color="auto" w:fill="E5D5E9" w:themeFill="accent1" w:themeFillTint="3F"/>
      </w:tcPr>
    </w:tblStylePr>
  </w:style>
  <w:style w:type="table" w:styleId="MediumList1-Accent2">
    <w:name w:val="Medium List 1 Accent 2"/>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FFAE3B" w:themeColor="accent2"/>
        <w:bottom w:val="single" w:sz="8" w:space="0" w:color="FFAE3B" w:themeColor="accent2"/>
      </w:tblBorders>
    </w:tblPr>
    <w:tblStylePr w:type="firstRow">
      <w:rPr>
        <w:rFonts w:asciiTheme="majorHAnsi" w:eastAsiaTheme="majorEastAsia" w:hAnsiTheme="majorHAnsi" w:cstheme="majorBidi"/>
      </w:rPr>
      <w:tblPr/>
      <w:tcPr>
        <w:tcBorders>
          <w:top w:val="nil"/>
          <w:bottom w:val="single" w:sz="8" w:space="0" w:color="FFAE3B" w:themeColor="accent2"/>
        </w:tcBorders>
      </w:tcPr>
    </w:tblStylePr>
    <w:tblStylePr w:type="lastRow">
      <w:rPr>
        <w:b/>
        <w:bCs/>
        <w:color w:val="9757A6" w:themeColor="text2"/>
      </w:rPr>
      <w:tblPr/>
      <w:tcPr>
        <w:tcBorders>
          <w:top w:val="single" w:sz="8" w:space="0" w:color="FFAE3B" w:themeColor="accent2"/>
          <w:bottom w:val="single" w:sz="8" w:space="0" w:color="FFAE3B" w:themeColor="accent2"/>
        </w:tcBorders>
      </w:tcPr>
    </w:tblStylePr>
    <w:tblStylePr w:type="firstCol">
      <w:rPr>
        <w:b/>
        <w:bCs/>
      </w:rPr>
    </w:tblStylePr>
    <w:tblStylePr w:type="lastCol">
      <w:rPr>
        <w:b/>
        <w:bCs/>
      </w:rPr>
      <w:tblPr/>
      <w:tcPr>
        <w:tcBorders>
          <w:top w:val="single" w:sz="8" w:space="0" w:color="FFAE3B" w:themeColor="accent2"/>
          <w:bottom w:val="single" w:sz="8" w:space="0" w:color="FFAE3B" w:themeColor="accent2"/>
        </w:tcBorders>
      </w:tcPr>
    </w:tblStylePr>
    <w:tblStylePr w:type="band1Vert">
      <w:tblPr/>
      <w:tcPr>
        <w:shd w:val="clear" w:color="auto" w:fill="FFEACE" w:themeFill="accent2" w:themeFillTint="3F"/>
      </w:tcPr>
    </w:tblStylePr>
    <w:tblStylePr w:type="band1Horz">
      <w:tblPr/>
      <w:tcPr>
        <w:shd w:val="clear" w:color="auto" w:fill="FFEACE" w:themeFill="accent2" w:themeFillTint="3F"/>
      </w:tcPr>
    </w:tblStylePr>
  </w:style>
  <w:style w:type="table" w:styleId="MediumList1-Accent3">
    <w:name w:val="Medium List 1 Accent 3"/>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9757A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689C1" w:themeColor="accent4"/>
        <w:bottom w:val="single" w:sz="8" w:space="0" w:color="B689C1" w:themeColor="accent4"/>
      </w:tblBorders>
    </w:tblPr>
    <w:tblStylePr w:type="firstRow">
      <w:rPr>
        <w:rFonts w:asciiTheme="majorHAnsi" w:eastAsiaTheme="majorEastAsia" w:hAnsiTheme="majorHAnsi" w:cstheme="majorBidi"/>
      </w:rPr>
      <w:tblPr/>
      <w:tcPr>
        <w:tcBorders>
          <w:top w:val="nil"/>
          <w:bottom w:val="single" w:sz="8" w:space="0" w:color="B689C1" w:themeColor="accent4"/>
        </w:tcBorders>
      </w:tcPr>
    </w:tblStylePr>
    <w:tblStylePr w:type="lastRow">
      <w:rPr>
        <w:b/>
        <w:bCs/>
        <w:color w:val="9757A6" w:themeColor="text2"/>
      </w:rPr>
      <w:tblPr/>
      <w:tcPr>
        <w:tcBorders>
          <w:top w:val="single" w:sz="8" w:space="0" w:color="B689C1" w:themeColor="accent4"/>
          <w:bottom w:val="single" w:sz="8" w:space="0" w:color="B689C1" w:themeColor="accent4"/>
        </w:tcBorders>
      </w:tcPr>
    </w:tblStylePr>
    <w:tblStylePr w:type="firstCol">
      <w:rPr>
        <w:b/>
        <w:bCs/>
      </w:rPr>
    </w:tblStylePr>
    <w:tblStylePr w:type="lastCol">
      <w:rPr>
        <w:b/>
        <w:bCs/>
      </w:rPr>
      <w:tblPr/>
      <w:tcPr>
        <w:tcBorders>
          <w:top w:val="single" w:sz="8" w:space="0" w:color="B689C1" w:themeColor="accent4"/>
          <w:bottom w:val="single" w:sz="8" w:space="0" w:color="B689C1" w:themeColor="accent4"/>
        </w:tcBorders>
      </w:tcPr>
    </w:tblStylePr>
    <w:tblStylePr w:type="band1Vert">
      <w:tblPr/>
      <w:tcPr>
        <w:shd w:val="clear" w:color="auto" w:fill="ECE1EF" w:themeFill="accent4" w:themeFillTint="3F"/>
      </w:tcPr>
    </w:tblStylePr>
    <w:tblStylePr w:type="band1Horz">
      <w:tblPr/>
      <w:tcPr>
        <w:shd w:val="clear" w:color="auto" w:fill="ECE1EF" w:themeFill="accent4" w:themeFillTint="3F"/>
      </w:tcPr>
    </w:tblStylePr>
  </w:style>
  <w:style w:type="table" w:styleId="MediumList1-Accent5">
    <w:name w:val="Medium List 1 Accent 5"/>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EA8B00" w:themeColor="accent5"/>
        <w:bottom w:val="single" w:sz="8" w:space="0" w:color="EA8B00" w:themeColor="accent5"/>
      </w:tblBorders>
    </w:tblPr>
    <w:tblStylePr w:type="firstRow">
      <w:rPr>
        <w:rFonts w:asciiTheme="majorHAnsi" w:eastAsiaTheme="majorEastAsia" w:hAnsiTheme="majorHAnsi" w:cstheme="majorBidi"/>
      </w:rPr>
      <w:tblPr/>
      <w:tcPr>
        <w:tcBorders>
          <w:top w:val="nil"/>
          <w:bottom w:val="single" w:sz="8" w:space="0" w:color="EA8B00" w:themeColor="accent5"/>
        </w:tcBorders>
      </w:tcPr>
    </w:tblStylePr>
    <w:tblStylePr w:type="lastRow">
      <w:rPr>
        <w:b/>
        <w:bCs/>
        <w:color w:val="9757A6" w:themeColor="text2"/>
      </w:rPr>
      <w:tblPr/>
      <w:tcPr>
        <w:tcBorders>
          <w:top w:val="single" w:sz="8" w:space="0" w:color="EA8B00" w:themeColor="accent5"/>
          <w:bottom w:val="single" w:sz="8" w:space="0" w:color="EA8B00" w:themeColor="accent5"/>
        </w:tcBorders>
      </w:tcPr>
    </w:tblStylePr>
    <w:tblStylePr w:type="firstCol">
      <w:rPr>
        <w:b/>
        <w:bCs/>
      </w:rPr>
    </w:tblStylePr>
    <w:tblStylePr w:type="lastCol">
      <w:rPr>
        <w:b/>
        <w:bCs/>
      </w:rPr>
      <w:tblPr/>
      <w:tcPr>
        <w:tcBorders>
          <w:top w:val="single" w:sz="8" w:space="0" w:color="EA8B00" w:themeColor="accent5"/>
          <w:bottom w:val="single" w:sz="8" w:space="0" w:color="EA8B00" w:themeColor="accent5"/>
        </w:tcBorders>
      </w:tcPr>
    </w:tblStylePr>
    <w:tblStylePr w:type="band1Vert">
      <w:tblPr/>
      <w:tcPr>
        <w:shd w:val="clear" w:color="auto" w:fill="FFE3BA" w:themeFill="accent5" w:themeFillTint="3F"/>
      </w:tcPr>
    </w:tblStylePr>
    <w:tblStylePr w:type="band1Horz">
      <w:tblPr/>
      <w:tcPr>
        <w:shd w:val="clear" w:color="auto" w:fill="FFE3BA" w:themeFill="accent5" w:themeFillTint="3F"/>
      </w:tcPr>
    </w:tblStylePr>
  </w:style>
  <w:style w:type="table" w:styleId="MediumList1-Accent6">
    <w:name w:val="Medium List 1 Accent 6"/>
    <w:basedOn w:val="TableNormal"/>
    <w:uiPriority w:val="65"/>
    <w:semiHidden/>
    <w:unhideWhenUsed/>
    <w:rsid w:val="000E5CC4"/>
    <w:pPr>
      <w:spacing w:after="0" w:line="240" w:lineRule="auto"/>
    </w:pPr>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9757A6"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MediumList2">
    <w:name w:val="Medium Lis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57A6" w:themeColor="accent1"/>
        <w:left w:val="single" w:sz="8" w:space="0" w:color="9757A6" w:themeColor="accent1"/>
        <w:bottom w:val="single" w:sz="8" w:space="0" w:color="9757A6" w:themeColor="accent1"/>
        <w:right w:val="single" w:sz="8" w:space="0" w:color="9757A6" w:themeColor="accent1"/>
      </w:tblBorders>
    </w:tblPr>
    <w:tblStylePr w:type="firstRow">
      <w:rPr>
        <w:sz w:val="24"/>
        <w:szCs w:val="24"/>
      </w:rPr>
      <w:tblPr/>
      <w:tcPr>
        <w:tcBorders>
          <w:top w:val="nil"/>
          <w:left w:val="nil"/>
          <w:bottom w:val="single" w:sz="24" w:space="0" w:color="9757A6" w:themeColor="accent1"/>
          <w:right w:val="nil"/>
          <w:insideH w:val="nil"/>
          <w:insideV w:val="nil"/>
        </w:tcBorders>
        <w:shd w:val="clear" w:color="auto" w:fill="FFFFFF" w:themeFill="background1"/>
      </w:tcPr>
    </w:tblStylePr>
    <w:tblStylePr w:type="lastRow">
      <w:tblPr/>
      <w:tcPr>
        <w:tcBorders>
          <w:top w:val="single" w:sz="8" w:space="0" w:color="9757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57A6" w:themeColor="accent1"/>
          <w:insideH w:val="nil"/>
          <w:insideV w:val="nil"/>
        </w:tcBorders>
        <w:shd w:val="clear" w:color="auto" w:fill="FFFFFF" w:themeFill="background1"/>
      </w:tcPr>
    </w:tblStylePr>
    <w:tblStylePr w:type="lastCol">
      <w:tblPr/>
      <w:tcPr>
        <w:tcBorders>
          <w:top w:val="nil"/>
          <w:left w:val="single" w:sz="8" w:space="0" w:color="9757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5E9" w:themeFill="accent1" w:themeFillTint="3F"/>
      </w:tcPr>
    </w:tblStylePr>
    <w:tblStylePr w:type="band1Horz">
      <w:tblPr/>
      <w:tcPr>
        <w:tcBorders>
          <w:top w:val="nil"/>
          <w:bottom w:val="nil"/>
          <w:insideH w:val="nil"/>
          <w:insideV w:val="nil"/>
        </w:tcBorders>
        <w:shd w:val="clear" w:color="auto" w:fill="E5D5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3B" w:themeColor="accent2"/>
        <w:left w:val="single" w:sz="8" w:space="0" w:color="FFAE3B" w:themeColor="accent2"/>
        <w:bottom w:val="single" w:sz="8" w:space="0" w:color="FFAE3B" w:themeColor="accent2"/>
        <w:right w:val="single" w:sz="8" w:space="0" w:color="FFAE3B" w:themeColor="accent2"/>
      </w:tblBorders>
    </w:tblPr>
    <w:tblStylePr w:type="firstRow">
      <w:rPr>
        <w:sz w:val="24"/>
        <w:szCs w:val="24"/>
      </w:rPr>
      <w:tblPr/>
      <w:tcPr>
        <w:tcBorders>
          <w:top w:val="nil"/>
          <w:left w:val="nil"/>
          <w:bottom w:val="single" w:sz="24" w:space="0" w:color="FFAE3B" w:themeColor="accent2"/>
          <w:right w:val="nil"/>
          <w:insideH w:val="nil"/>
          <w:insideV w:val="nil"/>
        </w:tcBorders>
        <w:shd w:val="clear" w:color="auto" w:fill="FFFFFF" w:themeFill="background1"/>
      </w:tcPr>
    </w:tblStylePr>
    <w:tblStylePr w:type="lastRow">
      <w:tblPr/>
      <w:tcPr>
        <w:tcBorders>
          <w:top w:val="single" w:sz="8" w:space="0" w:color="FFAE3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3B" w:themeColor="accent2"/>
          <w:insideH w:val="nil"/>
          <w:insideV w:val="nil"/>
        </w:tcBorders>
        <w:shd w:val="clear" w:color="auto" w:fill="FFFFFF" w:themeFill="background1"/>
      </w:tcPr>
    </w:tblStylePr>
    <w:tblStylePr w:type="lastCol">
      <w:tblPr/>
      <w:tcPr>
        <w:tcBorders>
          <w:top w:val="nil"/>
          <w:left w:val="single" w:sz="8" w:space="0" w:color="FFAE3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E" w:themeFill="accent2" w:themeFillTint="3F"/>
      </w:tcPr>
    </w:tblStylePr>
    <w:tblStylePr w:type="band1Horz">
      <w:tblPr/>
      <w:tcPr>
        <w:tcBorders>
          <w:top w:val="nil"/>
          <w:bottom w:val="nil"/>
          <w:insideH w:val="nil"/>
          <w:insideV w:val="nil"/>
        </w:tcBorders>
        <w:shd w:val="clear" w:color="auto" w:fill="FFEA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689C1" w:themeColor="accent4"/>
        <w:left w:val="single" w:sz="8" w:space="0" w:color="B689C1" w:themeColor="accent4"/>
        <w:bottom w:val="single" w:sz="8" w:space="0" w:color="B689C1" w:themeColor="accent4"/>
        <w:right w:val="single" w:sz="8" w:space="0" w:color="B689C1" w:themeColor="accent4"/>
      </w:tblBorders>
    </w:tblPr>
    <w:tblStylePr w:type="firstRow">
      <w:rPr>
        <w:sz w:val="24"/>
        <w:szCs w:val="24"/>
      </w:rPr>
      <w:tblPr/>
      <w:tcPr>
        <w:tcBorders>
          <w:top w:val="nil"/>
          <w:left w:val="nil"/>
          <w:bottom w:val="single" w:sz="24" w:space="0" w:color="B689C1" w:themeColor="accent4"/>
          <w:right w:val="nil"/>
          <w:insideH w:val="nil"/>
          <w:insideV w:val="nil"/>
        </w:tcBorders>
        <w:shd w:val="clear" w:color="auto" w:fill="FFFFFF" w:themeFill="background1"/>
      </w:tcPr>
    </w:tblStylePr>
    <w:tblStylePr w:type="lastRow">
      <w:tblPr/>
      <w:tcPr>
        <w:tcBorders>
          <w:top w:val="single" w:sz="8" w:space="0" w:color="B689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89C1" w:themeColor="accent4"/>
          <w:insideH w:val="nil"/>
          <w:insideV w:val="nil"/>
        </w:tcBorders>
        <w:shd w:val="clear" w:color="auto" w:fill="FFFFFF" w:themeFill="background1"/>
      </w:tcPr>
    </w:tblStylePr>
    <w:tblStylePr w:type="lastCol">
      <w:tblPr/>
      <w:tcPr>
        <w:tcBorders>
          <w:top w:val="nil"/>
          <w:left w:val="single" w:sz="8" w:space="0" w:color="B689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1EF" w:themeFill="accent4" w:themeFillTint="3F"/>
      </w:tcPr>
    </w:tblStylePr>
    <w:tblStylePr w:type="band1Horz">
      <w:tblPr/>
      <w:tcPr>
        <w:tcBorders>
          <w:top w:val="nil"/>
          <w:bottom w:val="nil"/>
          <w:insideH w:val="nil"/>
          <w:insideV w:val="nil"/>
        </w:tcBorders>
        <w:shd w:val="clear" w:color="auto" w:fill="ECE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8B00" w:themeColor="accent5"/>
        <w:left w:val="single" w:sz="8" w:space="0" w:color="EA8B00" w:themeColor="accent5"/>
        <w:bottom w:val="single" w:sz="8" w:space="0" w:color="EA8B00" w:themeColor="accent5"/>
        <w:right w:val="single" w:sz="8" w:space="0" w:color="EA8B00" w:themeColor="accent5"/>
      </w:tblBorders>
    </w:tblPr>
    <w:tblStylePr w:type="firstRow">
      <w:rPr>
        <w:sz w:val="24"/>
        <w:szCs w:val="24"/>
      </w:rPr>
      <w:tblPr/>
      <w:tcPr>
        <w:tcBorders>
          <w:top w:val="nil"/>
          <w:left w:val="nil"/>
          <w:bottom w:val="single" w:sz="24" w:space="0" w:color="EA8B00" w:themeColor="accent5"/>
          <w:right w:val="nil"/>
          <w:insideH w:val="nil"/>
          <w:insideV w:val="nil"/>
        </w:tcBorders>
        <w:shd w:val="clear" w:color="auto" w:fill="FFFFFF" w:themeFill="background1"/>
      </w:tcPr>
    </w:tblStylePr>
    <w:tblStylePr w:type="lastRow">
      <w:tblPr/>
      <w:tcPr>
        <w:tcBorders>
          <w:top w:val="single" w:sz="8" w:space="0" w:color="EA8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8B00" w:themeColor="accent5"/>
          <w:insideH w:val="nil"/>
          <w:insideV w:val="nil"/>
        </w:tcBorders>
        <w:shd w:val="clear" w:color="auto" w:fill="FFFFFF" w:themeFill="background1"/>
      </w:tcPr>
    </w:tblStylePr>
    <w:tblStylePr w:type="lastCol">
      <w:tblPr/>
      <w:tcPr>
        <w:tcBorders>
          <w:top w:val="nil"/>
          <w:left w:val="single" w:sz="8" w:space="0" w:color="EA8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3BA" w:themeFill="accent5" w:themeFillTint="3F"/>
      </w:tcPr>
    </w:tblStylePr>
    <w:tblStylePr w:type="band1Horz">
      <w:tblPr/>
      <w:tcPr>
        <w:tcBorders>
          <w:top w:val="nil"/>
          <w:bottom w:val="nil"/>
          <w:insideH w:val="nil"/>
          <w:insideV w:val="nil"/>
        </w:tcBorders>
        <w:shd w:val="clear" w:color="auto" w:fill="FFE3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E5C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E5C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E5CC4"/>
    <w:pPr>
      <w:spacing w:after="0" w:line="240" w:lineRule="auto"/>
    </w:pPr>
    <w:tblPr>
      <w:tblStyleRowBandSize w:val="1"/>
      <w:tblStyleColBandSize w:val="1"/>
      <w:tbl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single" w:sz="8" w:space="0" w:color="B180BC" w:themeColor="accent1" w:themeTint="BF"/>
      </w:tblBorders>
    </w:tblPr>
    <w:tblStylePr w:type="firstRow">
      <w:pPr>
        <w:spacing w:before="0" w:after="0" w:line="240" w:lineRule="auto"/>
      </w:pPr>
      <w:rPr>
        <w:b/>
        <w:bCs/>
        <w:color w:val="FFFFFF" w:themeColor="background1"/>
      </w:rPr>
      <w:tblPr/>
      <w:tcPr>
        <w:tcBorders>
          <w:top w:val="single" w:sz="8"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shd w:val="clear" w:color="auto" w:fill="9757A6" w:themeFill="accent1"/>
      </w:tcPr>
    </w:tblStylePr>
    <w:tblStylePr w:type="lastRow">
      <w:pPr>
        <w:spacing w:before="0" w:after="0" w:line="240" w:lineRule="auto"/>
      </w:pPr>
      <w:rPr>
        <w:b/>
        <w:bCs/>
      </w:rPr>
      <w:tblPr/>
      <w:tcPr>
        <w:tcBorders>
          <w:top w:val="double" w:sz="6" w:space="0" w:color="B180BC" w:themeColor="accent1" w:themeTint="BF"/>
          <w:left w:val="single" w:sz="8" w:space="0" w:color="B180BC" w:themeColor="accent1" w:themeTint="BF"/>
          <w:bottom w:val="single" w:sz="8" w:space="0" w:color="B180BC" w:themeColor="accent1" w:themeTint="BF"/>
          <w:right w:val="single" w:sz="8" w:space="0" w:color="B180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D5E9" w:themeFill="accent1" w:themeFillTint="3F"/>
      </w:tcPr>
    </w:tblStylePr>
    <w:tblStylePr w:type="band1Horz">
      <w:tblPr/>
      <w:tcPr>
        <w:tcBorders>
          <w:insideH w:val="nil"/>
          <w:insideV w:val="nil"/>
        </w:tcBorders>
        <w:shd w:val="clear" w:color="auto" w:fill="E5D5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E5CC4"/>
    <w:pPr>
      <w:spacing w:after="0" w:line="240" w:lineRule="auto"/>
    </w:pPr>
    <w:tblPr>
      <w:tblStyleRowBandSize w:val="1"/>
      <w:tblStyleColBandSize w:val="1"/>
      <w:tbl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single" w:sz="8" w:space="0" w:color="FFC16C" w:themeColor="accent2" w:themeTint="BF"/>
      </w:tblBorders>
    </w:tblPr>
    <w:tblStylePr w:type="firstRow">
      <w:pPr>
        <w:spacing w:before="0" w:after="0" w:line="240" w:lineRule="auto"/>
      </w:pPr>
      <w:rPr>
        <w:b/>
        <w:bCs/>
        <w:color w:val="FFFFFF" w:themeColor="background1"/>
      </w:rPr>
      <w:tblPr/>
      <w:tcPr>
        <w:tcBorders>
          <w:top w:val="single" w:sz="8"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shd w:val="clear" w:color="auto" w:fill="FFAE3B" w:themeFill="accent2"/>
      </w:tcPr>
    </w:tblStylePr>
    <w:tblStylePr w:type="lastRow">
      <w:pPr>
        <w:spacing w:before="0" w:after="0" w:line="240" w:lineRule="auto"/>
      </w:pPr>
      <w:rPr>
        <w:b/>
        <w:bCs/>
      </w:rPr>
      <w:tblPr/>
      <w:tcPr>
        <w:tcBorders>
          <w:top w:val="double" w:sz="6" w:space="0" w:color="FFC16C" w:themeColor="accent2" w:themeTint="BF"/>
          <w:left w:val="single" w:sz="8" w:space="0" w:color="FFC16C" w:themeColor="accent2" w:themeTint="BF"/>
          <w:bottom w:val="single" w:sz="8" w:space="0" w:color="FFC16C" w:themeColor="accent2" w:themeTint="BF"/>
          <w:right w:val="single" w:sz="8" w:space="0" w:color="FFC1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ACE" w:themeFill="accent2" w:themeFillTint="3F"/>
      </w:tcPr>
    </w:tblStylePr>
    <w:tblStylePr w:type="band1Horz">
      <w:tblPr/>
      <w:tcPr>
        <w:tcBorders>
          <w:insideH w:val="nil"/>
          <w:insideV w:val="nil"/>
        </w:tcBorders>
        <w:shd w:val="clear" w:color="auto" w:fill="FFEA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E5CC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E5CC4"/>
    <w:pPr>
      <w:spacing w:after="0" w:line="240" w:lineRule="auto"/>
    </w:pPr>
    <w:tblPr>
      <w:tblStyleRowBandSize w:val="1"/>
      <w:tblStyleColBandSize w:val="1"/>
      <w:tbl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single" w:sz="8" w:space="0" w:color="C8A6D0" w:themeColor="accent4" w:themeTint="BF"/>
      </w:tblBorders>
    </w:tblPr>
    <w:tblStylePr w:type="firstRow">
      <w:pPr>
        <w:spacing w:before="0" w:after="0" w:line="240" w:lineRule="auto"/>
      </w:pPr>
      <w:rPr>
        <w:b/>
        <w:bCs/>
        <w:color w:val="FFFFFF" w:themeColor="background1"/>
      </w:rPr>
      <w:tblPr/>
      <w:tcPr>
        <w:tcBorders>
          <w:top w:val="single" w:sz="8"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shd w:val="clear" w:color="auto" w:fill="B689C1" w:themeFill="accent4"/>
      </w:tcPr>
    </w:tblStylePr>
    <w:tblStylePr w:type="lastRow">
      <w:pPr>
        <w:spacing w:before="0" w:after="0" w:line="240" w:lineRule="auto"/>
      </w:pPr>
      <w:rPr>
        <w:b/>
        <w:bCs/>
      </w:rPr>
      <w:tblPr/>
      <w:tcPr>
        <w:tcBorders>
          <w:top w:val="double" w:sz="6" w:space="0" w:color="C8A6D0" w:themeColor="accent4" w:themeTint="BF"/>
          <w:left w:val="single" w:sz="8" w:space="0" w:color="C8A6D0" w:themeColor="accent4" w:themeTint="BF"/>
          <w:bottom w:val="single" w:sz="8" w:space="0" w:color="C8A6D0" w:themeColor="accent4" w:themeTint="BF"/>
          <w:right w:val="single" w:sz="8" w:space="0" w:color="C8A6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1EF" w:themeFill="accent4" w:themeFillTint="3F"/>
      </w:tcPr>
    </w:tblStylePr>
    <w:tblStylePr w:type="band1Horz">
      <w:tblPr/>
      <w:tcPr>
        <w:tcBorders>
          <w:insideH w:val="nil"/>
          <w:insideV w:val="nil"/>
        </w:tcBorders>
        <w:shd w:val="clear" w:color="auto" w:fill="ECE1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E5CC4"/>
    <w:pPr>
      <w:spacing w:after="0" w:line="240" w:lineRule="auto"/>
    </w:pPr>
    <w:tblPr>
      <w:tblStyleRowBandSize w:val="1"/>
      <w:tblStyleColBandSize w:val="1"/>
      <w:tbl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single" w:sz="8" w:space="0" w:color="FFAA30" w:themeColor="accent5" w:themeTint="BF"/>
      </w:tblBorders>
    </w:tblPr>
    <w:tblStylePr w:type="firstRow">
      <w:pPr>
        <w:spacing w:before="0" w:after="0" w:line="240" w:lineRule="auto"/>
      </w:pPr>
      <w:rPr>
        <w:b/>
        <w:bCs/>
        <w:color w:val="FFFFFF" w:themeColor="background1"/>
      </w:rPr>
      <w:tblPr/>
      <w:tcPr>
        <w:tcBorders>
          <w:top w:val="single" w:sz="8"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shd w:val="clear" w:color="auto" w:fill="EA8B00" w:themeFill="accent5"/>
      </w:tcPr>
    </w:tblStylePr>
    <w:tblStylePr w:type="lastRow">
      <w:pPr>
        <w:spacing w:before="0" w:after="0" w:line="240" w:lineRule="auto"/>
      </w:pPr>
      <w:rPr>
        <w:b/>
        <w:bCs/>
      </w:rPr>
      <w:tblPr/>
      <w:tcPr>
        <w:tcBorders>
          <w:top w:val="double" w:sz="6" w:space="0" w:color="FFAA30" w:themeColor="accent5" w:themeTint="BF"/>
          <w:left w:val="single" w:sz="8" w:space="0" w:color="FFAA30" w:themeColor="accent5" w:themeTint="BF"/>
          <w:bottom w:val="single" w:sz="8" w:space="0" w:color="FFAA30" w:themeColor="accent5" w:themeTint="BF"/>
          <w:right w:val="single" w:sz="8" w:space="0" w:color="FFAA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3BA" w:themeFill="accent5" w:themeFillTint="3F"/>
      </w:tcPr>
    </w:tblStylePr>
    <w:tblStylePr w:type="band1Horz">
      <w:tblPr/>
      <w:tcPr>
        <w:tcBorders>
          <w:insideH w:val="nil"/>
          <w:insideV w:val="nil"/>
        </w:tcBorders>
        <w:shd w:val="clear" w:color="auto" w:fill="FFE3B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E5CC4"/>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57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57A6" w:themeFill="accent1"/>
      </w:tcPr>
    </w:tblStylePr>
    <w:tblStylePr w:type="lastCol">
      <w:rPr>
        <w:b/>
        <w:bCs/>
        <w:color w:val="FFFFFF" w:themeColor="background1"/>
      </w:rPr>
      <w:tblPr/>
      <w:tcPr>
        <w:tcBorders>
          <w:left w:val="nil"/>
          <w:right w:val="nil"/>
          <w:insideH w:val="nil"/>
          <w:insideV w:val="nil"/>
        </w:tcBorders>
        <w:shd w:val="clear" w:color="auto" w:fill="9757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3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3B" w:themeFill="accent2"/>
      </w:tcPr>
    </w:tblStylePr>
    <w:tblStylePr w:type="lastCol">
      <w:rPr>
        <w:b/>
        <w:bCs/>
        <w:color w:val="FFFFFF" w:themeColor="background1"/>
      </w:rPr>
      <w:tblPr/>
      <w:tcPr>
        <w:tcBorders>
          <w:left w:val="nil"/>
          <w:right w:val="nil"/>
          <w:insideH w:val="nil"/>
          <w:insideV w:val="nil"/>
        </w:tcBorders>
        <w:shd w:val="clear" w:color="auto" w:fill="FFAE3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89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89C1" w:themeFill="accent4"/>
      </w:tcPr>
    </w:tblStylePr>
    <w:tblStylePr w:type="lastCol">
      <w:rPr>
        <w:b/>
        <w:bCs/>
        <w:color w:val="FFFFFF" w:themeColor="background1"/>
      </w:rPr>
      <w:tblPr/>
      <w:tcPr>
        <w:tcBorders>
          <w:left w:val="nil"/>
          <w:right w:val="nil"/>
          <w:insideH w:val="nil"/>
          <w:insideV w:val="nil"/>
        </w:tcBorders>
        <w:shd w:val="clear" w:color="auto" w:fill="B689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8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8B00" w:themeFill="accent5"/>
      </w:tcPr>
    </w:tblStylePr>
    <w:tblStylePr w:type="lastCol">
      <w:rPr>
        <w:b/>
        <w:bCs/>
        <w:color w:val="FFFFFF" w:themeColor="background1"/>
      </w:rPr>
      <w:tblPr/>
      <w:tcPr>
        <w:tcBorders>
          <w:left w:val="nil"/>
          <w:right w:val="nil"/>
          <w:insideH w:val="nil"/>
          <w:insideV w:val="nil"/>
        </w:tcBorders>
        <w:shd w:val="clear" w:color="auto" w:fill="EA8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E5C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E5C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5CC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0E5CC4"/>
    <w:pPr>
      <w:spacing w:after="0" w:line="240" w:lineRule="auto"/>
    </w:pPr>
    <w:rPr>
      <w:rFonts w:ascii="HelveticaNeueLT Std Lt Cn" w:hAnsi="HelveticaNeueLT Std Lt Cn"/>
      <w:sz w:val="20"/>
    </w:rPr>
  </w:style>
  <w:style w:type="paragraph" w:styleId="NormalWeb">
    <w:name w:val="Normal (Web)"/>
    <w:basedOn w:val="Normal"/>
    <w:uiPriority w:val="99"/>
    <w:semiHidden/>
    <w:unhideWhenUsed/>
    <w:rsid w:val="000E5CC4"/>
    <w:rPr>
      <w:rFonts w:ascii="Times New Roman" w:hAnsi="Times New Roman" w:cs="Times New Roman"/>
      <w:sz w:val="24"/>
      <w:szCs w:val="24"/>
    </w:rPr>
  </w:style>
  <w:style w:type="paragraph" w:styleId="NormalIndent">
    <w:name w:val="Normal Indent"/>
    <w:basedOn w:val="Normal"/>
    <w:uiPriority w:val="99"/>
    <w:semiHidden/>
    <w:unhideWhenUsed/>
    <w:rsid w:val="000E5CC4"/>
    <w:pPr>
      <w:ind w:left="720"/>
    </w:pPr>
  </w:style>
  <w:style w:type="paragraph" w:styleId="NoteHeading">
    <w:name w:val="Note Heading"/>
    <w:basedOn w:val="Normal"/>
    <w:next w:val="Normal"/>
    <w:link w:val="NoteHeadingChar"/>
    <w:uiPriority w:val="99"/>
    <w:semiHidden/>
    <w:unhideWhenUsed/>
    <w:rsid w:val="000E5CC4"/>
    <w:pPr>
      <w:spacing w:after="0" w:line="240" w:lineRule="auto"/>
    </w:pPr>
  </w:style>
  <w:style w:type="character" w:customStyle="1" w:styleId="NoteHeadingChar">
    <w:name w:val="Note Heading Char"/>
    <w:basedOn w:val="DefaultParagraphFont"/>
    <w:link w:val="NoteHeading"/>
    <w:uiPriority w:val="99"/>
    <w:semiHidden/>
    <w:rsid w:val="000E5CC4"/>
    <w:rPr>
      <w:rFonts w:ascii="HelveticaNeueLT Std Lt Cn" w:hAnsi="HelveticaNeueLT Std Lt Cn"/>
      <w:sz w:val="20"/>
    </w:rPr>
  </w:style>
  <w:style w:type="character" w:styleId="PageNumber0">
    <w:name w:val="page number"/>
    <w:basedOn w:val="DefaultParagraphFont"/>
    <w:uiPriority w:val="99"/>
    <w:semiHidden/>
    <w:unhideWhenUsed/>
    <w:rsid w:val="000E5CC4"/>
  </w:style>
  <w:style w:type="character" w:styleId="PlaceholderText">
    <w:name w:val="Placeholder Text"/>
    <w:basedOn w:val="DefaultParagraphFont"/>
    <w:uiPriority w:val="99"/>
    <w:semiHidden/>
    <w:rsid w:val="000E5CC4"/>
    <w:rPr>
      <w:color w:val="808080"/>
    </w:rPr>
  </w:style>
  <w:style w:type="table" w:styleId="PlainTable1">
    <w:name w:val="Plain Table 1"/>
    <w:basedOn w:val="TableNormal"/>
    <w:uiPriority w:val="41"/>
    <w:rsid w:val="000E5C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E5C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E5C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E5C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E5C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E5C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5CC4"/>
    <w:rPr>
      <w:rFonts w:ascii="Consolas" w:hAnsi="Consolas"/>
      <w:sz w:val="21"/>
      <w:szCs w:val="21"/>
    </w:rPr>
  </w:style>
  <w:style w:type="paragraph" w:styleId="Quote">
    <w:name w:val="Quote"/>
    <w:basedOn w:val="Normal"/>
    <w:next w:val="QuoteListBullet"/>
    <w:link w:val="QuoteChar"/>
    <w:uiPriority w:val="29"/>
    <w:qFormat/>
    <w:rsid w:val="00DA5DC2"/>
    <w:pPr>
      <w:spacing w:before="120" w:after="120"/>
      <w:ind w:right="601"/>
    </w:pPr>
    <w:rPr>
      <w:i/>
      <w:iCs/>
      <w:color w:val="404040" w:themeColor="text1" w:themeTint="BF"/>
      <w:sz w:val="20"/>
    </w:rPr>
  </w:style>
  <w:style w:type="character" w:customStyle="1" w:styleId="QuoteChar">
    <w:name w:val="Quote Char"/>
    <w:basedOn w:val="DefaultParagraphFont"/>
    <w:link w:val="Quote"/>
    <w:uiPriority w:val="29"/>
    <w:rsid w:val="00DA5DC2"/>
    <w:rPr>
      <w:rFonts w:ascii="Arial Narrow" w:hAnsi="Arial Narrow"/>
      <w:i/>
      <w:iCs/>
      <w:color w:val="404040" w:themeColor="text1" w:themeTint="BF"/>
      <w:sz w:val="20"/>
      <w:lang w:val="en-AU"/>
    </w:rPr>
  </w:style>
  <w:style w:type="paragraph" w:styleId="Salutation">
    <w:name w:val="Salutation"/>
    <w:basedOn w:val="Normal"/>
    <w:next w:val="Normal"/>
    <w:link w:val="SalutationChar"/>
    <w:uiPriority w:val="99"/>
    <w:semiHidden/>
    <w:rsid w:val="000E5CC4"/>
  </w:style>
  <w:style w:type="character" w:customStyle="1" w:styleId="SalutationChar">
    <w:name w:val="Salutation Char"/>
    <w:basedOn w:val="DefaultParagraphFont"/>
    <w:link w:val="Salutation"/>
    <w:uiPriority w:val="99"/>
    <w:semiHidden/>
    <w:rsid w:val="000E5CC4"/>
    <w:rPr>
      <w:rFonts w:ascii="HelveticaNeueLT Std Lt Cn" w:hAnsi="HelveticaNeueLT Std Lt Cn"/>
      <w:sz w:val="20"/>
    </w:rPr>
  </w:style>
  <w:style w:type="paragraph" w:styleId="Signature">
    <w:name w:val="Signature"/>
    <w:basedOn w:val="Normal"/>
    <w:link w:val="SignatureChar"/>
    <w:uiPriority w:val="99"/>
    <w:semiHidden/>
    <w:unhideWhenUsed/>
    <w:rsid w:val="000E5CC4"/>
    <w:pPr>
      <w:spacing w:after="0" w:line="240" w:lineRule="auto"/>
      <w:ind w:left="4252"/>
    </w:pPr>
  </w:style>
  <w:style w:type="character" w:customStyle="1" w:styleId="SignatureChar">
    <w:name w:val="Signature Char"/>
    <w:basedOn w:val="DefaultParagraphFont"/>
    <w:link w:val="Signature"/>
    <w:uiPriority w:val="99"/>
    <w:semiHidden/>
    <w:rsid w:val="000E5CC4"/>
    <w:rPr>
      <w:rFonts w:ascii="HelveticaNeueLT Std Lt Cn" w:hAnsi="HelveticaNeueLT Std Lt Cn"/>
      <w:sz w:val="20"/>
    </w:rPr>
  </w:style>
  <w:style w:type="character" w:styleId="Strong">
    <w:name w:val="Strong"/>
    <w:basedOn w:val="DefaultParagraphFont"/>
    <w:uiPriority w:val="22"/>
    <w:qFormat/>
    <w:rsid w:val="000E5CC4"/>
    <w:rPr>
      <w:b/>
      <w:bCs/>
    </w:rPr>
  </w:style>
  <w:style w:type="paragraph" w:styleId="Subtitle">
    <w:name w:val="Subtitle"/>
    <w:basedOn w:val="Normal"/>
    <w:next w:val="Normal"/>
    <w:link w:val="SubtitleChar"/>
    <w:uiPriority w:val="11"/>
    <w:semiHidden/>
    <w:qFormat/>
    <w:rsid w:val="000E5CC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0E5CC4"/>
    <w:rPr>
      <w:rFonts w:eastAsiaTheme="minorEastAsia"/>
      <w:color w:val="5A5A5A" w:themeColor="text1" w:themeTint="A5"/>
      <w:spacing w:val="15"/>
    </w:rPr>
  </w:style>
  <w:style w:type="character" w:styleId="SubtleEmphasis">
    <w:name w:val="Subtle Emphasis"/>
    <w:basedOn w:val="DefaultParagraphFont"/>
    <w:uiPriority w:val="19"/>
    <w:qFormat/>
    <w:rsid w:val="000E5CC4"/>
    <w:rPr>
      <w:i/>
      <w:iCs/>
      <w:color w:val="404040" w:themeColor="text1" w:themeTint="BF"/>
    </w:rPr>
  </w:style>
  <w:style w:type="character" w:styleId="SubtleReference">
    <w:name w:val="Subtle Reference"/>
    <w:basedOn w:val="DefaultParagraphFont"/>
    <w:uiPriority w:val="31"/>
    <w:qFormat/>
    <w:rsid w:val="000E5CC4"/>
    <w:rPr>
      <w:smallCaps/>
      <w:color w:val="5A5A5A" w:themeColor="text1" w:themeTint="A5"/>
    </w:rPr>
  </w:style>
  <w:style w:type="table" w:styleId="Table3Deffects1">
    <w:name w:val="Table 3D effects 1"/>
    <w:basedOn w:val="TableNormal"/>
    <w:uiPriority w:val="99"/>
    <w:semiHidden/>
    <w:unhideWhenUsed/>
    <w:rsid w:val="000E5CC4"/>
    <w:pPr>
      <w:spacing w:after="113"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CC4"/>
    <w:pPr>
      <w:spacing w:after="113"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CC4"/>
    <w:pPr>
      <w:spacing w:after="113"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CC4"/>
    <w:pPr>
      <w:spacing w:after="113"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CC4"/>
    <w:pPr>
      <w:spacing w:after="113"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CC4"/>
    <w:pPr>
      <w:spacing w:after="113"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CC4"/>
    <w:pPr>
      <w:spacing w:after="113"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CC4"/>
    <w:pPr>
      <w:spacing w:after="113"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CC4"/>
    <w:pPr>
      <w:spacing w:after="113"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CC4"/>
    <w:pPr>
      <w:spacing w:after="113"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CC4"/>
    <w:pPr>
      <w:spacing w:after="113"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CC4"/>
    <w:pPr>
      <w:spacing w:after="113"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CC4"/>
    <w:pPr>
      <w:spacing w:after="113"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CC4"/>
    <w:pPr>
      <w:spacing w:after="113"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CC4"/>
    <w:pPr>
      <w:spacing w:after="113"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CC4"/>
    <w:pPr>
      <w:spacing w:after="113"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CC4"/>
    <w:pPr>
      <w:spacing w:after="113"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CC4"/>
    <w:pPr>
      <w:spacing w:after="113"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CC4"/>
    <w:pPr>
      <w:spacing w:after="113"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CC4"/>
    <w:pPr>
      <w:spacing w:after="113"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CC4"/>
    <w:pPr>
      <w:spacing w:after="113"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E5C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E5CC4"/>
    <w:pPr>
      <w:spacing w:after="113"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CC4"/>
    <w:pPr>
      <w:spacing w:after="113"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CC4"/>
    <w:pPr>
      <w:spacing w:after="113"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CC4"/>
    <w:pPr>
      <w:spacing w:after="113"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CC4"/>
    <w:pPr>
      <w:spacing w:after="113"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CC4"/>
    <w:pPr>
      <w:spacing w:after="0"/>
      <w:ind w:left="200" w:hanging="200"/>
    </w:pPr>
  </w:style>
  <w:style w:type="paragraph" w:styleId="TableofFigures">
    <w:name w:val="table of figures"/>
    <w:basedOn w:val="Normal"/>
    <w:next w:val="Normal"/>
    <w:uiPriority w:val="99"/>
    <w:unhideWhenUsed/>
    <w:rsid w:val="00036FD8"/>
    <w:pPr>
      <w:keepLines/>
      <w:tabs>
        <w:tab w:val="left" w:pos="1560"/>
        <w:tab w:val="right" w:pos="5670"/>
      </w:tabs>
      <w:spacing w:after="24"/>
      <w:ind w:left="1560" w:right="283" w:hanging="1225"/>
    </w:pPr>
    <w:rPr>
      <w:caps/>
      <w:spacing w:val="-4"/>
      <w:sz w:val="18"/>
    </w:rPr>
  </w:style>
  <w:style w:type="table" w:styleId="TableProfessional">
    <w:name w:val="Table Professional"/>
    <w:basedOn w:val="TableNormal"/>
    <w:uiPriority w:val="99"/>
    <w:semiHidden/>
    <w:unhideWhenUsed/>
    <w:rsid w:val="000E5CC4"/>
    <w:pPr>
      <w:spacing w:after="113"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CC4"/>
    <w:pPr>
      <w:spacing w:after="113"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CC4"/>
    <w:pPr>
      <w:spacing w:after="113"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CC4"/>
    <w:pPr>
      <w:spacing w:after="113"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CC4"/>
    <w:pPr>
      <w:spacing w:after="113"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CC4"/>
    <w:pPr>
      <w:spacing w:after="113"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CC4"/>
    <w:pPr>
      <w:spacing w:after="113"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CC4"/>
    <w:pPr>
      <w:spacing w:after="113"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CC4"/>
    <w:pPr>
      <w:spacing w:after="113"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CC4"/>
    <w:pPr>
      <w:spacing w:after="113"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E5C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C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E5CC4"/>
    <w:pPr>
      <w:spacing w:before="120"/>
    </w:pPr>
    <w:rPr>
      <w:rFonts w:asciiTheme="majorHAnsi" w:eastAsiaTheme="majorEastAsia" w:hAnsiTheme="majorHAnsi" w:cstheme="majorBidi"/>
      <w:b/>
      <w:bCs/>
      <w:sz w:val="24"/>
      <w:szCs w:val="24"/>
    </w:rPr>
  </w:style>
  <w:style w:type="paragraph" w:customStyle="1" w:styleId="LetterName">
    <w:name w:val="LetterName"/>
    <w:basedOn w:val="LetterBodyCopy"/>
    <w:uiPriority w:val="99"/>
    <w:rsid w:val="00CA3916"/>
    <w:pPr>
      <w:spacing w:before="0" w:after="0"/>
    </w:pPr>
    <w:rPr>
      <w:rFonts w:eastAsia="Times New Roman" w:cs="Times New Roman"/>
      <w:szCs w:val="20"/>
    </w:rPr>
  </w:style>
  <w:style w:type="paragraph" w:customStyle="1" w:styleId="LetterAddress">
    <w:name w:val="LetterAddress"/>
    <w:basedOn w:val="LetterBodyCopy"/>
    <w:uiPriority w:val="99"/>
    <w:rsid w:val="00CA3916"/>
    <w:pPr>
      <w:spacing w:before="0" w:after="0"/>
      <w:jc w:val="both"/>
    </w:pPr>
  </w:style>
  <w:style w:type="paragraph" w:customStyle="1" w:styleId="LetterCityStatePostcode">
    <w:name w:val="LetterCityStatePostcode"/>
    <w:basedOn w:val="LetterBodyCopy"/>
    <w:uiPriority w:val="99"/>
    <w:rsid w:val="00CA3916"/>
    <w:pPr>
      <w:spacing w:before="0" w:after="0"/>
    </w:pPr>
  </w:style>
  <w:style w:type="paragraph" w:customStyle="1" w:styleId="LetterCompany">
    <w:name w:val="LetterCompany"/>
    <w:basedOn w:val="LetterBodyCopy"/>
    <w:uiPriority w:val="99"/>
    <w:rsid w:val="00CA3916"/>
    <w:pPr>
      <w:spacing w:before="0" w:after="0"/>
    </w:pPr>
  </w:style>
  <w:style w:type="paragraph" w:customStyle="1" w:styleId="LetterDate">
    <w:name w:val="LetterDate"/>
    <w:basedOn w:val="LetterBodyCopy"/>
    <w:uiPriority w:val="99"/>
    <w:rsid w:val="00CA3916"/>
    <w:pPr>
      <w:spacing w:before="600" w:after="0"/>
    </w:pPr>
  </w:style>
  <w:style w:type="paragraph" w:customStyle="1" w:styleId="LetterRef">
    <w:name w:val="LetterRef"/>
    <w:basedOn w:val="LetterBodyCopy"/>
    <w:rsid w:val="00CA3916"/>
    <w:pPr>
      <w:spacing w:before="40" w:after="600" w:line="280" w:lineRule="atLeast"/>
    </w:pPr>
  </w:style>
  <w:style w:type="paragraph" w:customStyle="1" w:styleId="LetterSubject">
    <w:name w:val="LetterSubject"/>
    <w:basedOn w:val="LetterBodyCopy"/>
    <w:next w:val="Normal"/>
    <w:uiPriority w:val="99"/>
    <w:rsid w:val="00CA3916"/>
    <w:pPr>
      <w:tabs>
        <w:tab w:val="left" w:pos="4395"/>
        <w:tab w:val="left" w:pos="6946"/>
      </w:tabs>
      <w:spacing w:before="400" w:after="200" w:line="260" w:lineRule="exact"/>
    </w:pPr>
    <w:rPr>
      <w:rFonts w:eastAsia="Times New Roman" w:cs="Times New Roman"/>
      <w:b/>
      <w:caps/>
      <w:sz w:val="24"/>
      <w:szCs w:val="20"/>
    </w:rPr>
  </w:style>
  <w:style w:type="paragraph" w:customStyle="1" w:styleId="LetterTitle">
    <w:name w:val="LetterTitle"/>
    <w:basedOn w:val="LetterBodyCopy"/>
    <w:uiPriority w:val="99"/>
    <w:rsid w:val="00CA3916"/>
    <w:pPr>
      <w:spacing w:before="0" w:after="0"/>
    </w:pPr>
  </w:style>
  <w:style w:type="paragraph" w:customStyle="1" w:styleId="LetterConfidentiality">
    <w:name w:val="Letter Confidentiality"/>
    <w:basedOn w:val="LetterBodyCopy"/>
    <w:next w:val="LetterDate"/>
    <w:rsid w:val="00CA3916"/>
    <w:rPr>
      <w:rFonts w:eastAsia="Times New Roman" w:cs="Times New Roman"/>
      <w:caps/>
      <w:szCs w:val="24"/>
    </w:rPr>
  </w:style>
  <w:style w:type="paragraph" w:customStyle="1" w:styleId="LetterBodyCopy">
    <w:name w:val="Letter Body Copy"/>
    <w:basedOn w:val="Normal"/>
    <w:qFormat/>
    <w:rsid w:val="00CA3916"/>
    <w:pPr>
      <w:spacing w:before="120" w:after="120" w:line="280" w:lineRule="exact"/>
    </w:pPr>
  </w:style>
  <w:style w:type="paragraph" w:customStyle="1" w:styleId="SignatureBlock">
    <w:name w:val="Signature Block"/>
    <w:basedOn w:val="LetterBodyCopy"/>
    <w:qFormat/>
    <w:rsid w:val="00A76663"/>
    <w:pPr>
      <w:spacing w:before="0" w:after="0" w:line="240" w:lineRule="auto"/>
    </w:pPr>
  </w:style>
  <w:style w:type="paragraph" w:customStyle="1" w:styleId="OfficeSide">
    <w:name w:val="OfficeSide"/>
    <w:basedOn w:val="Normal"/>
    <w:rsid w:val="00464C4E"/>
    <w:pPr>
      <w:spacing w:after="0" w:line="200" w:lineRule="exact"/>
    </w:pPr>
    <w:rPr>
      <w:rFonts w:eastAsia="Times New Roman" w:cs="Times New Roman"/>
      <w:caps/>
      <w:sz w:val="14"/>
      <w:szCs w:val="20"/>
    </w:rPr>
  </w:style>
  <w:style w:type="paragraph" w:customStyle="1" w:styleId="HeaderAddress">
    <w:name w:val="HeaderAddress"/>
    <w:basedOn w:val="Normal"/>
    <w:rsid w:val="00FA378F"/>
    <w:pPr>
      <w:spacing w:after="0" w:line="240" w:lineRule="auto"/>
    </w:pPr>
    <w:rPr>
      <w:rFonts w:asciiTheme="minorHAnsi" w:eastAsia="Times New Roman" w:hAnsiTheme="minorHAnsi" w:cs="Times New Roman"/>
      <w:sz w:val="11"/>
      <w:szCs w:val="20"/>
    </w:rPr>
  </w:style>
  <w:style w:type="paragraph" w:customStyle="1" w:styleId="spacer-Shapes">
    <w:name w:val="spacer-Shapes"/>
    <w:basedOn w:val="spacer"/>
    <w:semiHidden/>
    <w:qFormat/>
    <w:rsid w:val="00DB373A"/>
  </w:style>
  <w:style w:type="paragraph" w:customStyle="1" w:styleId="Normal-nospace">
    <w:name w:val="Normal - no space"/>
    <w:basedOn w:val="Normal"/>
    <w:qFormat/>
    <w:rsid w:val="00DB373A"/>
    <w:pPr>
      <w:spacing w:after="0"/>
    </w:pPr>
  </w:style>
  <w:style w:type="paragraph" w:customStyle="1" w:styleId="App-Heading1">
    <w:name w:val="App - Heading 1"/>
    <w:basedOn w:val="Normal"/>
    <w:qFormat/>
    <w:rsid w:val="00DB373A"/>
    <w:pPr>
      <w:numPr>
        <w:numId w:val="8"/>
      </w:numPr>
      <w:spacing w:after="0" w:line="3200" w:lineRule="exact"/>
      <w:jc w:val="right"/>
    </w:pPr>
    <w:rPr>
      <w:rFonts w:ascii="Didot LT Std Headline" w:hAnsi="Didot LT Std Headline"/>
      <w:color w:val="FFFEFF"/>
      <w:sz w:val="320"/>
    </w:rPr>
  </w:style>
  <w:style w:type="paragraph" w:customStyle="1" w:styleId="App-Heading2">
    <w:name w:val="App - Heading 2"/>
    <w:basedOn w:val="Normal"/>
    <w:qFormat/>
    <w:rsid w:val="00DB373A"/>
    <w:pPr>
      <w:numPr>
        <w:ilvl w:val="1"/>
        <w:numId w:val="8"/>
      </w:numPr>
      <w:pBdr>
        <w:bottom w:val="single" w:sz="4" w:space="1" w:color="000100"/>
      </w:pBdr>
      <w:spacing w:after="216" w:line="280" w:lineRule="atLeast"/>
      <w:ind w:left="-17"/>
    </w:pPr>
    <w:rPr>
      <w:rFonts w:ascii="HelveticaNeueLT Std Cn" w:hAnsi="HelveticaNeueLT Std Cn"/>
      <w:sz w:val="28"/>
    </w:rPr>
  </w:style>
  <w:style w:type="paragraph" w:customStyle="1" w:styleId="rgb-Grey">
    <w:name w:val="rgb-Grey"/>
    <w:basedOn w:val="Header-CompanyName"/>
    <w:semiHidden/>
    <w:qFormat/>
    <w:rsid w:val="00476B83"/>
    <w:pPr>
      <w:jc w:val="left"/>
    </w:pPr>
    <w:rPr>
      <w:rFonts w:ascii="Arial Narrow" w:hAnsi="Arial Narrow"/>
      <w:color w:val="BEB6AF"/>
      <w:spacing w:val="0"/>
      <w:sz w:val="16"/>
    </w:rPr>
  </w:style>
  <w:style w:type="paragraph" w:customStyle="1" w:styleId="rgb-Purple">
    <w:name w:val="rgb-Purple"/>
    <w:basedOn w:val="Normal"/>
    <w:semiHidden/>
    <w:qFormat/>
    <w:rsid w:val="00643C59"/>
    <w:pPr>
      <w:spacing w:after="0" w:line="240" w:lineRule="auto"/>
    </w:pPr>
    <w:rPr>
      <w:color w:val="9D57A6"/>
    </w:rPr>
  </w:style>
  <w:style w:type="paragraph" w:customStyle="1" w:styleId="Headersmall">
    <w:name w:val="Header (small)"/>
    <w:basedOn w:val="Header"/>
    <w:qFormat/>
    <w:rsid w:val="00714B7F"/>
    <w:rPr>
      <w:noProof/>
      <w:sz w:val="4"/>
    </w:rPr>
  </w:style>
  <w:style w:type="paragraph" w:customStyle="1" w:styleId="tagcoverPage">
    <w:name w:val="tag_coverPage"/>
    <w:basedOn w:val="Normal"/>
    <w:qFormat/>
    <w:rsid w:val="004C263E"/>
    <w:rPr>
      <w:rFonts w:cs="Arial"/>
      <w:caps/>
      <w:sz w:val="4"/>
    </w:rPr>
  </w:style>
  <w:style w:type="paragraph" w:customStyle="1" w:styleId="IntroductionES">
    <w:name w:val="Introduction (ES)"/>
    <w:basedOn w:val="rgb-Grey"/>
    <w:qFormat/>
    <w:rsid w:val="00633C81"/>
    <w:pPr>
      <w:spacing w:after="460" w:line="300" w:lineRule="atLeast"/>
      <w:ind w:left="-2160"/>
      <w:contextualSpacing/>
    </w:pPr>
    <w:rPr>
      <w:i/>
      <w:spacing w:val="4"/>
      <w:sz w:val="24"/>
    </w:rPr>
  </w:style>
  <w:style w:type="paragraph" w:customStyle="1" w:styleId="Part-HeadingBanner">
    <w:name w:val="Part - Heading (Banner)"/>
    <w:basedOn w:val="Normal"/>
    <w:next w:val="Part-SubHeadBanner"/>
    <w:qFormat/>
    <w:rsid w:val="00874DB4"/>
    <w:pPr>
      <w:spacing w:after="0" w:line="240" w:lineRule="auto"/>
      <w:ind w:left="248"/>
    </w:pPr>
    <w:rPr>
      <w:caps/>
      <w:color w:val="FFFEFF"/>
      <w:spacing w:val="110"/>
      <w:sz w:val="28"/>
    </w:rPr>
  </w:style>
  <w:style w:type="paragraph" w:customStyle="1" w:styleId="tagexecBanner">
    <w:name w:val="tag_execBanner"/>
    <w:basedOn w:val="Normal"/>
    <w:qFormat/>
    <w:rsid w:val="00C52187"/>
    <w:pPr>
      <w:pageBreakBefore/>
      <w:spacing w:after="0" w:line="240" w:lineRule="auto"/>
    </w:pPr>
    <w:rPr>
      <w:sz w:val="4"/>
    </w:rPr>
  </w:style>
  <w:style w:type="paragraph" w:customStyle="1" w:styleId="Exec-HeadingBanner">
    <w:name w:val="Exec - Heading (Banner)"/>
    <w:basedOn w:val="Normal"/>
    <w:next w:val="Exec-SubHeadBanner"/>
    <w:qFormat/>
    <w:rsid w:val="00D4697B"/>
    <w:pPr>
      <w:spacing w:after="0" w:line="240" w:lineRule="auto"/>
      <w:ind w:left="248"/>
    </w:pPr>
    <w:rPr>
      <w:caps/>
      <w:color w:val="FFFEFF"/>
      <w:spacing w:val="110"/>
      <w:sz w:val="28"/>
    </w:rPr>
  </w:style>
  <w:style w:type="paragraph" w:customStyle="1" w:styleId="Exec-SubHeadBanner">
    <w:name w:val="Exec - SubHead (Banner)"/>
    <w:basedOn w:val="Exec-HeadingBanner"/>
    <w:qFormat/>
    <w:rsid w:val="00341438"/>
    <w:pPr>
      <w:numPr>
        <w:numId w:val="20"/>
      </w:numPr>
      <w:ind w:left="248"/>
    </w:pPr>
    <w:rPr>
      <w:color w:val="FFAE3B"/>
    </w:rPr>
  </w:style>
  <w:style w:type="paragraph" w:customStyle="1" w:styleId="Exec-Context">
    <w:name w:val="Exec - Context"/>
    <w:basedOn w:val="Normal"/>
    <w:semiHidden/>
    <w:qFormat/>
    <w:rsid w:val="00C52187"/>
    <w:pPr>
      <w:spacing w:after="0" w:line="240" w:lineRule="auto"/>
    </w:pPr>
    <w:rPr>
      <w:color w:val="9D57A6"/>
      <w:sz w:val="4"/>
    </w:rPr>
  </w:style>
  <w:style w:type="paragraph" w:customStyle="1" w:styleId="tagchapterBanner">
    <w:name w:val="tag_chapterBanner"/>
    <w:basedOn w:val="Normal"/>
    <w:qFormat/>
    <w:rsid w:val="00D6645F"/>
    <w:pPr>
      <w:keepNext/>
      <w:pageBreakBefore/>
      <w:spacing w:after="0" w:line="240" w:lineRule="auto"/>
    </w:pPr>
    <w:rPr>
      <w:sz w:val="4"/>
    </w:rPr>
  </w:style>
  <w:style w:type="paragraph" w:customStyle="1" w:styleId="BoxTextHeading">
    <w:name w:val="Box Text Heading"/>
    <w:basedOn w:val="Normal"/>
    <w:qFormat/>
    <w:rsid w:val="008B4DEF"/>
    <w:pPr>
      <w:keepNext/>
      <w:spacing w:after="61"/>
      <w:ind w:left="442"/>
    </w:pPr>
    <w:rPr>
      <w:b/>
      <w:sz w:val="20"/>
    </w:rPr>
  </w:style>
  <w:style w:type="paragraph" w:customStyle="1" w:styleId="Tablecolumnheadings">
    <w:name w:val="Table column headings"/>
    <w:basedOn w:val="Normal"/>
    <w:uiPriority w:val="3"/>
    <w:qFormat/>
    <w:rsid w:val="00FB0F16"/>
    <w:pPr>
      <w:keepNext/>
      <w:spacing w:before="40" w:after="40"/>
      <w:ind w:right="120"/>
    </w:pPr>
    <w:rPr>
      <w:b/>
      <w:color w:val="FFFEFF"/>
      <w:sz w:val="20"/>
    </w:rPr>
  </w:style>
  <w:style w:type="paragraph" w:customStyle="1" w:styleId="Tabletext">
    <w:name w:val="Table text"/>
    <w:basedOn w:val="Normal"/>
    <w:qFormat/>
    <w:rsid w:val="00FB0F16"/>
    <w:pPr>
      <w:spacing w:before="60" w:after="0"/>
      <w:ind w:right="120"/>
    </w:pPr>
    <w:rPr>
      <w:color w:val="000100"/>
      <w:sz w:val="20"/>
    </w:rPr>
  </w:style>
  <w:style w:type="paragraph" w:customStyle="1" w:styleId="Tablesideheading1">
    <w:name w:val="Table side heading 1"/>
    <w:basedOn w:val="Tabletext"/>
    <w:next w:val="Tabletext"/>
    <w:qFormat/>
    <w:rsid w:val="00605727"/>
    <w:rPr>
      <w:b/>
      <w:spacing w:val="3"/>
    </w:rPr>
  </w:style>
  <w:style w:type="paragraph" w:customStyle="1" w:styleId="SideNoteItalicRight">
    <w:name w:val="SideNote (Italic Right)"/>
    <w:basedOn w:val="rgb-Purple"/>
    <w:qFormat/>
    <w:rsid w:val="00AE1E44"/>
    <w:pPr>
      <w:spacing w:before="64" w:line="240" w:lineRule="atLeast"/>
      <w:contextualSpacing/>
      <w:jc w:val="right"/>
    </w:pPr>
    <w:rPr>
      <w:i/>
    </w:rPr>
  </w:style>
  <w:style w:type="paragraph" w:customStyle="1" w:styleId="Part-Number">
    <w:name w:val="Part - Number"/>
    <w:basedOn w:val="Normal"/>
    <w:rsid w:val="00D57FA7"/>
    <w:pPr>
      <w:keepNext/>
      <w:spacing w:after="0" w:line="240" w:lineRule="auto"/>
      <w:jc w:val="right"/>
    </w:pPr>
    <w:rPr>
      <w:rFonts w:ascii="Bodoni MT" w:hAnsi="Bodoni MT"/>
      <w:color w:val="FFFEFF"/>
      <w:spacing w:val="-40"/>
      <w:sz w:val="56"/>
    </w:rPr>
  </w:style>
  <w:style w:type="paragraph" w:customStyle="1" w:styleId="tagpartBanner">
    <w:name w:val="tag_partBanner"/>
    <w:basedOn w:val="Normal"/>
    <w:qFormat/>
    <w:rsid w:val="00C52187"/>
    <w:pPr>
      <w:pageBreakBefore/>
      <w:spacing w:after="0" w:line="240" w:lineRule="auto"/>
    </w:pPr>
    <w:rPr>
      <w:sz w:val="4"/>
    </w:rPr>
  </w:style>
  <w:style w:type="paragraph" w:customStyle="1" w:styleId="Part-SubHeadBanner">
    <w:name w:val="Part - SubHead (Banner)"/>
    <w:basedOn w:val="Part-HeadingBanner"/>
    <w:qFormat/>
    <w:rsid w:val="00C52187"/>
    <w:rPr>
      <w:color w:val="FFAE3B"/>
    </w:rPr>
  </w:style>
  <w:style w:type="paragraph" w:customStyle="1" w:styleId="Chpt-HeadingBanner">
    <w:name w:val="Chpt - Heading (Banner)"/>
    <w:basedOn w:val="Normal"/>
    <w:qFormat/>
    <w:rsid w:val="00C52187"/>
    <w:pPr>
      <w:spacing w:after="0"/>
    </w:pPr>
    <w:rPr>
      <w:rFonts w:ascii="Novecento Book" w:hAnsi="Novecento Book"/>
      <w:color w:val="FFFEFF"/>
      <w:spacing w:val="110"/>
      <w:sz w:val="41"/>
    </w:rPr>
  </w:style>
  <w:style w:type="paragraph" w:customStyle="1" w:styleId="Partxx">
    <w:name w:val="Part xx"/>
    <w:basedOn w:val="Normal"/>
    <w:rsid w:val="00C52187"/>
    <w:pPr>
      <w:spacing w:after="0" w:line="240" w:lineRule="auto"/>
    </w:pPr>
    <w:rPr>
      <w:color w:val="9D57A6"/>
      <w:sz w:val="4"/>
    </w:rPr>
  </w:style>
  <w:style w:type="paragraph" w:customStyle="1" w:styleId="Chpt-Context">
    <w:name w:val="Chpt - Context"/>
    <w:basedOn w:val="rgb-Purple"/>
    <w:qFormat/>
    <w:rsid w:val="00B15C7C"/>
    <w:pPr>
      <w:keepNext/>
    </w:pPr>
    <w:rPr>
      <w:sz w:val="2"/>
    </w:rPr>
  </w:style>
  <w:style w:type="table" w:customStyle="1" w:styleId="TableGrid10">
    <w:name w:val="Table Grid1"/>
    <w:basedOn w:val="TableNormal"/>
    <w:next w:val="TableGrid"/>
    <w:uiPriority w:val="39"/>
    <w:rsid w:val="00C5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633C81"/>
    <w:pPr>
      <w:tabs>
        <w:tab w:val="center" w:pos="4680"/>
        <w:tab w:val="right" w:pos="9360"/>
      </w:tabs>
      <w:spacing w:after="460" w:line="300" w:lineRule="atLeast"/>
      <w:ind w:left="-2160"/>
      <w:contextualSpacing/>
    </w:pPr>
    <w:rPr>
      <w:i/>
      <w:color w:val="BEB6AF"/>
      <w:spacing w:val="4"/>
      <w:sz w:val="24"/>
    </w:rPr>
  </w:style>
  <w:style w:type="paragraph" w:customStyle="1" w:styleId="tagappendixPart">
    <w:name w:val="tag_appendixPart"/>
    <w:basedOn w:val="Normal"/>
    <w:qFormat/>
    <w:rsid w:val="007D4C1E"/>
    <w:pPr>
      <w:pageBreakBefore/>
      <w:spacing w:after="0" w:line="240" w:lineRule="auto"/>
    </w:pPr>
    <w:rPr>
      <w:sz w:val="4"/>
    </w:rPr>
  </w:style>
  <w:style w:type="paragraph" w:customStyle="1" w:styleId="App-DividerHeading">
    <w:name w:val="App - Divider (Heading)"/>
    <w:basedOn w:val="Normal"/>
    <w:next w:val="App-DividerSubHeading"/>
    <w:qFormat/>
    <w:rsid w:val="00B762F8"/>
    <w:pPr>
      <w:spacing w:after="0" w:line="240" w:lineRule="auto"/>
      <w:ind w:left="248"/>
    </w:pPr>
    <w:rPr>
      <w:caps/>
      <w:color w:val="FFFEFF"/>
      <w:spacing w:val="110"/>
      <w:sz w:val="28"/>
    </w:rPr>
  </w:style>
  <w:style w:type="paragraph" w:customStyle="1" w:styleId="App-DividerSubHeading">
    <w:name w:val="App - Divider (Sub Heading)"/>
    <w:basedOn w:val="App-DividerHeading"/>
    <w:qFormat/>
    <w:rsid w:val="0064666E"/>
    <w:rPr>
      <w:color w:val="FFAE3B"/>
    </w:rPr>
  </w:style>
  <w:style w:type="paragraph" w:customStyle="1" w:styleId="App-Context">
    <w:name w:val="App - Context"/>
    <w:basedOn w:val="rgb-Purple"/>
    <w:qFormat/>
    <w:rsid w:val="00A27CD4"/>
    <w:rPr>
      <w:sz w:val="4"/>
    </w:rPr>
  </w:style>
  <w:style w:type="paragraph" w:customStyle="1" w:styleId="App-BannerHeading">
    <w:name w:val="App - Banner (Heading)"/>
    <w:basedOn w:val="Normal"/>
    <w:qFormat/>
    <w:rsid w:val="007D4C1E"/>
    <w:pPr>
      <w:spacing w:after="0"/>
    </w:pPr>
    <w:rPr>
      <w:rFonts w:ascii="Novecento Book" w:hAnsi="Novecento Book"/>
      <w:color w:val="FFFEFF"/>
      <w:spacing w:val="110"/>
      <w:sz w:val="41"/>
    </w:rPr>
  </w:style>
  <w:style w:type="paragraph" w:customStyle="1" w:styleId="tagappendixChapter">
    <w:name w:val="tag_appendixChapter"/>
    <w:basedOn w:val="Normal"/>
    <w:qFormat/>
    <w:rsid w:val="007D4C1E"/>
    <w:pPr>
      <w:pageBreakBefore/>
      <w:spacing w:after="0" w:line="240" w:lineRule="auto"/>
    </w:pPr>
    <w:rPr>
      <w:sz w:val="4"/>
    </w:rPr>
  </w:style>
  <w:style w:type="paragraph" w:customStyle="1" w:styleId="App-Chpt-Banner">
    <w:name w:val="App - Chpt - Banner"/>
    <w:basedOn w:val="Normal"/>
    <w:qFormat/>
    <w:rsid w:val="00492C75"/>
    <w:pPr>
      <w:pageBreakBefore/>
      <w:spacing w:after="0" w:line="240" w:lineRule="auto"/>
    </w:pPr>
    <w:rPr>
      <w:sz w:val="4"/>
    </w:rPr>
  </w:style>
  <w:style w:type="paragraph" w:customStyle="1" w:styleId="AbbrevorGlossaryHeading">
    <w:name w:val="Abbrev or Glossary Heading"/>
    <w:basedOn w:val="Normal"/>
    <w:next w:val="BodyText"/>
    <w:rsid w:val="00777894"/>
    <w:pPr>
      <w:pageBreakBefore/>
      <w:pBdr>
        <w:top w:val="single" w:sz="48" w:space="30" w:color="9D57A6"/>
        <w:left w:val="single" w:sz="48" w:space="4" w:color="9D57A6"/>
        <w:bottom w:val="single" w:sz="48" w:space="5" w:color="9D57A6"/>
        <w:right w:val="single" w:sz="48" w:space="4" w:color="9D57A6"/>
      </w:pBdr>
      <w:shd w:val="clear" w:color="auto" w:fill="9D57A6"/>
      <w:spacing w:after="60" w:line="420" w:lineRule="exact"/>
      <w:outlineLvl w:val="0"/>
    </w:pPr>
    <w:rPr>
      <w:rFonts w:ascii="Novecento Book" w:eastAsia="Times New Roman" w:hAnsi="Novecento Book" w:cs="Times New Roman"/>
      <w:color w:val="FFFFFF" w:themeColor="background1"/>
      <w:kern w:val="28"/>
      <w:sz w:val="38"/>
      <w:szCs w:val="38"/>
      <w:lang w:eastAsia="en-AU"/>
    </w:rPr>
  </w:style>
  <w:style w:type="paragraph" w:customStyle="1" w:styleId="tagcontactsPage-Front">
    <w:name w:val="tag_contactsPage-Front"/>
    <w:basedOn w:val="CpContactDetails"/>
    <w:qFormat/>
    <w:rsid w:val="00ED603F"/>
  </w:style>
  <w:style w:type="paragraph" w:customStyle="1" w:styleId="tagcontactsPage-Back">
    <w:name w:val="tag_contactsPage-Back"/>
    <w:basedOn w:val="CpContactDetails"/>
    <w:qFormat/>
    <w:rsid w:val="006209A6"/>
  </w:style>
  <w:style w:type="paragraph" w:customStyle="1" w:styleId="LetterHeading1">
    <w:name w:val="Letter Heading 1"/>
    <w:next w:val="BodyText"/>
    <w:uiPriority w:val="7"/>
    <w:qFormat/>
    <w:rsid w:val="001A5FC3"/>
    <w:pPr>
      <w:keepNext/>
      <w:spacing w:before="120" w:after="120" w:line="280" w:lineRule="exact"/>
    </w:pPr>
    <w:rPr>
      <w:rFonts w:ascii="Arial Narrow" w:eastAsia="Times New Roman" w:hAnsi="Arial Narrow" w:cs="Times New Roman"/>
      <w:b/>
      <w:szCs w:val="36"/>
      <w:lang w:val="en-AU" w:eastAsia="en-AU"/>
    </w:rPr>
  </w:style>
  <w:style w:type="paragraph" w:customStyle="1" w:styleId="LetterHeading2">
    <w:name w:val="Letter Heading 2"/>
    <w:basedOn w:val="LetterHeading1"/>
    <w:next w:val="BodyText"/>
    <w:uiPriority w:val="7"/>
    <w:qFormat/>
    <w:rsid w:val="001A5FC3"/>
    <w:rPr>
      <w:i/>
      <w:szCs w:val="28"/>
    </w:rPr>
  </w:style>
  <w:style w:type="paragraph" w:customStyle="1" w:styleId="LetterHeading3">
    <w:name w:val="Letter Heading 3"/>
    <w:basedOn w:val="LetterHeading2"/>
    <w:next w:val="BodyText"/>
    <w:uiPriority w:val="7"/>
    <w:qFormat/>
    <w:rsid w:val="0042553A"/>
    <w:rPr>
      <w:b w:val="0"/>
      <w:szCs w:val="27"/>
    </w:rPr>
  </w:style>
  <w:style w:type="paragraph" w:customStyle="1" w:styleId="BoxListBullet2">
    <w:name w:val="Box List Bullet 2"/>
    <w:basedOn w:val="Normal"/>
    <w:qFormat/>
    <w:rsid w:val="005F68B2"/>
    <w:pPr>
      <w:keepNext/>
      <w:numPr>
        <w:ilvl w:val="1"/>
        <w:numId w:val="23"/>
      </w:numPr>
      <w:spacing w:after="0"/>
      <w:contextualSpacing/>
    </w:pPr>
    <w:rPr>
      <w:sz w:val="20"/>
    </w:rPr>
  </w:style>
  <w:style w:type="paragraph" w:customStyle="1" w:styleId="BoxListBullet3">
    <w:name w:val="Box List Bullet 3"/>
    <w:basedOn w:val="Normal"/>
    <w:qFormat/>
    <w:rsid w:val="005F68B2"/>
    <w:pPr>
      <w:keepNext/>
      <w:numPr>
        <w:ilvl w:val="2"/>
        <w:numId w:val="23"/>
      </w:numPr>
      <w:spacing w:after="60"/>
      <w:contextualSpacing/>
    </w:pPr>
    <w:rPr>
      <w:sz w:val="20"/>
    </w:rPr>
  </w:style>
  <w:style w:type="numbering" w:customStyle="1" w:styleId="aaReportListBullets">
    <w:name w:val="aa Report List Bullets"/>
    <w:uiPriority w:val="99"/>
    <w:rsid w:val="000659A4"/>
    <w:pPr>
      <w:numPr>
        <w:numId w:val="13"/>
      </w:numPr>
    </w:pPr>
  </w:style>
  <w:style w:type="paragraph" w:customStyle="1" w:styleId="BoxSideHeading1">
    <w:name w:val="Box Side Heading 1"/>
    <w:basedOn w:val="BoxText"/>
    <w:next w:val="BoxText"/>
    <w:qFormat/>
    <w:rsid w:val="00630F01"/>
    <w:pPr>
      <w:spacing w:before="0"/>
    </w:pPr>
    <w:rPr>
      <w:b/>
      <w:i/>
    </w:rPr>
  </w:style>
  <w:style w:type="paragraph" w:customStyle="1" w:styleId="BoxSideHeading2">
    <w:name w:val="Box Side Heading 2"/>
    <w:basedOn w:val="BoxText"/>
    <w:next w:val="BoxText"/>
    <w:qFormat/>
    <w:rsid w:val="00630F01"/>
    <w:pPr>
      <w:spacing w:before="0"/>
    </w:pPr>
    <w:rPr>
      <w:i/>
    </w:rPr>
  </w:style>
  <w:style w:type="paragraph" w:customStyle="1" w:styleId="BoxListNumber">
    <w:name w:val="Box List Number"/>
    <w:basedOn w:val="Normal"/>
    <w:qFormat/>
    <w:rsid w:val="005F68B2"/>
    <w:pPr>
      <w:keepNext/>
      <w:numPr>
        <w:numId w:val="33"/>
      </w:numPr>
      <w:spacing w:before="60" w:after="60"/>
      <w:contextualSpacing/>
    </w:pPr>
    <w:rPr>
      <w:sz w:val="20"/>
    </w:rPr>
  </w:style>
  <w:style w:type="paragraph" w:customStyle="1" w:styleId="BoxListNumber2">
    <w:name w:val="Box List Number 2"/>
    <w:basedOn w:val="BoxText"/>
    <w:qFormat/>
    <w:rsid w:val="008D2B4E"/>
    <w:pPr>
      <w:numPr>
        <w:ilvl w:val="1"/>
        <w:numId w:val="33"/>
      </w:numPr>
      <w:spacing w:after="0"/>
      <w:contextualSpacing/>
    </w:pPr>
  </w:style>
  <w:style w:type="paragraph" w:customStyle="1" w:styleId="BoxListNumber3">
    <w:name w:val="Box List Number 3"/>
    <w:basedOn w:val="BoxText"/>
    <w:qFormat/>
    <w:rsid w:val="000A05D0"/>
    <w:pPr>
      <w:numPr>
        <w:ilvl w:val="2"/>
        <w:numId w:val="33"/>
      </w:numPr>
      <w:spacing w:before="0"/>
      <w:contextualSpacing/>
    </w:pPr>
  </w:style>
  <w:style w:type="numbering" w:customStyle="1" w:styleId="BoxList">
    <w:name w:val="Box List"/>
    <w:uiPriority w:val="99"/>
    <w:rsid w:val="000A05D0"/>
    <w:pPr>
      <w:numPr>
        <w:numId w:val="9"/>
      </w:numPr>
    </w:pPr>
  </w:style>
  <w:style w:type="paragraph" w:customStyle="1" w:styleId="Figure">
    <w:name w:val="Figure"/>
    <w:basedOn w:val="Normal-nospace"/>
    <w:qFormat/>
    <w:rsid w:val="000A72F3"/>
    <w:pPr>
      <w:keepNext/>
      <w:spacing w:line="240" w:lineRule="auto"/>
      <w:jc w:val="center"/>
    </w:pPr>
    <w:rPr>
      <w:sz w:val="16"/>
    </w:rPr>
  </w:style>
  <w:style w:type="paragraph" w:customStyle="1" w:styleId="Note">
    <w:name w:val="Note"/>
    <w:next w:val="BodyText"/>
    <w:rsid w:val="00FA774D"/>
    <w:pPr>
      <w:keepNext/>
      <w:keepLines/>
      <w:spacing w:before="40" w:after="0" w:line="180" w:lineRule="exact"/>
    </w:pPr>
    <w:rPr>
      <w:rFonts w:ascii="Arial Narrow" w:eastAsia="Times New Roman" w:hAnsi="Arial Narrow" w:cs="Times New Roman"/>
      <w:sz w:val="14"/>
      <w:szCs w:val="24"/>
      <w:lang w:val="en-AU"/>
    </w:rPr>
  </w:style>
  <w:style w:type="character" w:customStyle="1" w:styleId="Notelabel">
    <w:name w:val="Note label"/>
    <w:basedOn w:val="DefaultParagraphFont"/>
    <w:rsid w:val="00F92CF4"/>
    <w:rPr>
      <w:rFonts w:ascii="Arial" w:hAnsi="Arial"/>
      <w:b/>
      <w:color w:val="auto"/>
      <w:vertAlign w:val="superscript"/>
    </w:rPr>
  </w:style>
  <w:style w:type="paragraph" w:customStyle="1" w:styleId="PullOutTitle">
    <w:name w:val="PullOut Title"/>
    <w:basedOn w:val="Normal-nospace"/>
    <w:qFormat/>
    <w:rsid w:val="00A36136"/>
    <w:rPr>
      <w:b/>
    </w:rPr>
  </w:style>
  <w:style w:type="paragraph" w:customStyle="1" w:styleId="Table-PulloutText">
    <w:name w:val="Table - Pullout Text"/>
    <w:basedOn w:val="rgb-Purple"/>
    <w:qFormat/>
    <w:rsid w:val="00602084"/>
    <w:pPr>
      <w:spacing w:before="64" w:line="240" w:lineRule="atLeast"/>
      <w:contextualSpacing/>
      <w:jc w:val="right"/>
    </w:pPr>
    <w:rPr>
      <w:rFonts w:ascii="Helvetica Neue" w:hAnsi="Helvetica Neue"/>
    </w:rPr>
  </w:style>
  <w:style w:type="paragraph" w:customStyle="1" w:styleId="Tableunitsrow">
    <w:name w:val="Table units row"/>
    <w:basedOn w:val="Tabletext"/>
    <w:uiPriority w:val="3"/>
    <w:qFormat/>
    <w:rsid w:val="0023774C"/>
  </w:style>
  <w:style w:type="paragraph" w:customStyle="1" w:styleId="Tablelistbullet">
    <w:name w:val="Table list bullet"/>
    <w:basedOn w:val="Tabletext"/>
    <w:uiPriority w:val="3"/>
    <w:qFormat/>
    <w:rsid w:val="00CD10AE"/>
    <w:pPr>
      <w:numPr>
        <w:numId w:val="32"/>
      </w:numPr>
    </w:pPr>
  </w:style>
  <w:style w:type="paragraph" w:customStyle="1" w:styleId="Tablelistbullet2">
    <w:name w:val="Table list bullet 2"/>
    <w:basedOn w:val="Tablelistbullet"/>
    <w:uiPriority w:val="3"/>
    <w:qFormat/>
    <w:rsid w:val="00CD10AE"/>
    <w:pPr>
      <w:numPr>
        <w:ilvl w:val="1"/>
      </w:numPr>
      <w:spacing w:before="0"/>
    </w:pPr>
  </w:style>
  <w:style w:type="paragraph" w:customStyle="1" w:styleId="Tablelistbullet3">
    <w:name w:val="Table list bullet 3"/>
    <w:basedOn w:val="Tabletext"/>
    <w:uiPriority w:val="3"/>
    <w:qFormat/>
    <w:rsid w:val="00CD10AE"/>
    <w:pPr>
      <w:numPr>
        <w:ilvl w:val="2"/>
        <w:numId w:val="32"/>
      </w:numPr>
      <w:spacing w:before="0"/>
    </w:pPr>
  </w:style>
  <w:style w:type="numbering" w:customStyle="1" w:styleId="aaTableListBullets">
    <w:name w:val="aa Table List Bullets"/>
    <w:uiPriority w:val="99"/>
    <w:rsid w:val="0065074D"/>
    <w:pPr>
      <w:numPr>
        <w:numId w:val="10"/>
      </w:numPr>
    </w:pPr>
  </w:style>
  <w:style w:type="paragraph" w:customStyle="1" w:styleId="Tablelistnumber">
    <w:name w:val="Table list number"/>
    <w:basedOn w:val="Tabletext"/>
    <w:qFormat/>
    <w:rsid w:val="00B16391"/>
    <w:pPr>
      <w:numPr>
        <w:numId w:val="11"/>
      </w:numPr>
    </w:pPr>
  </w:style>
  <w:style w:type="paragraph" w:customStyle="1" w:styleId="Tablelistnumber2">
    <w:name w:val="Table list number 2"/>
    <w:basedOn w:val="Tabletext"/>
    <w:qFormat/>
    <w:rsid w:val="00605727"/>
    <w:pPr>
      <w:numPr>
        <w:ilvl w:val="1"/>
        <w:numId w:val="11"/>
      </w:numPr>
      <w:spacing w:before="0"/>
    </w:pPr>
  </w:style>
  <w:style w:type="paragraph" w:customStyle="1" w:styleId="Tablelistnumber3">
    <w:name w:val="Table list number 3"/>
    <w:basedOn w:val="Tabletext"/>
    <w:qFormat/>
    <w:rsid w:val="00CD10AE"/>
    <w:pPr>
      <w:numPr>
        <w:ilvl w:val="2"/>
        <w:numId w:val="11"/>
      </w:numPr>
      <w:spacing w:before="0"/>
    </w:pPr>
  </w:style>
  <w:style w:type="numbering" w:customStyle="1" w:styleId="aaTableListNumbers">
    <w:name w:val="aa Table List Numbers"/>
    <w:uiPriority w:val="99"/>
    <w:rsid w:val="00802E41"/>
    <w:pPr>
      <w:numPr>
        <w:numId w:val="11"/>
      </w:numPr>
    </w:pPr>
  </w:style>
  <w:style w:type="numbering" w:customStyle="1" w:styleId="BoxListBullets">
    <w:name w:val="Box List Bullets"/>
    <w:uiPriority w:val="99"/>
    <w:rsid w:val="00943684"/>
    <w:pPr>
      <w:numPr>
        <w:numId w:val="12"/>
      </w:numPr>
    </w:pPr>
  </w:style>
  <w:style w:type="table" w:customStyle="1" w:styleId="AcilAllenTable">
    <w:name w:val="Acil Allen Table"/>
    <w:basedOn w:val="TableNormal"/>
    <w:uiPriority w:val="99"/>
    <w:rsid w:val="003F3EB5"/>
    <w:pPr>
      <w:spacing w:after="0" w:line="240" w:lineRule="atLeast"/>
    </w:pPr>
    <w:rPr>
      <w:rFonts w:ascii="HelveticaNeueLT Std Lt Cn" w:hAnsi="HelveticaNeueLT Std Lt Cn"/>
      <w:sz w:val="20"/>
    </w:rPr>
    <w:tblPr>
      <w:tblBorders>
        <w:top w:val="single" w:sz="4" w:space="0" w:color="000100"/>
        <w:bottom w:val="single" w:sz="4" w:space="0" w:color="000100"/>
        <w:insideH w:val="single" w:sz="4" w:space="0" w:color="000100"/>
      </w:tblBorders>
      <w:tblCellMar>
        <w:left w:w="0" w:type="dxa"/>
        <w:right w:w="0" w:type="dxa"/>
      </w:tblCellMar>
    </w:tblPr>
    <w:tblStylePr w:type="firstRow">
      <w:pPr>
        <w:wordWrap/>
        <w:spacing w:beforeLines="0" w:before="0" w:beforeAutospacing="0" w:afterLines="0" w:after="0" w:afterAutospacing="0" w:line="240" w:lineRule="atLeast"/>
        <w:ind w:leftChars="0" w:left="0" w:rightChars="0" w:right="0" w:firstLineChars="0" w:firstLine="0"/>
        <w:contextualSpacing/>
        <w:mirrorIndents w:val="0"/>
        <w:jc w:val="left"/>
      </w:pPr>
      <w:rPr>
        <w:rFonts w:ascii="HelveticaNeueLT Std Cn" w:hAnsi="HelveticaNeueLT Std Cn"/>
        <w:color w:val="FFFEFF"/>
      </w:rPr>
      <w:tblPr/>
      <w:tcPr>
        <w:tcBorders>
          <w:top w:val="nil"/>
          <w:left w:val="nil"/>
          <w:bottom w:val="nil"/>
          <w:right w:val="nil"/>
          <w:insideH w:val="nil"/>
          <w:insideV w:val="nil"/>
          <w:tl2br w:val="nil"/>
          <w:tr2bl w:val="nil"/>
        </w:tcBorders>
        <w:shd w:val="clear" w:color="auto" w:fill="9757A6"/>
      </w:tcPr>
    </w:tblStylePr>
    <w:tblStylePr w:type="lastRow">
      <w:pPr>
        <w:wordWrap/>
        <w:spacing w:beforeLines="0" w:before="0" w:beforeAutospacing="0" w:afterLines="0" w:after="0" w:afterAutospacing="0" w:line="240" w:lineRule="atLeast"/>
      </w:pPr>
      <w:rPr>
        <w:rFonts w:ascii="HelveticaNeueLT Std Lt Cn" w:hAnsi="HelveticaNeueLT Std Lt Cn"/>
        <w:sz w:val="20"/>
      </w:rPr>
    </w:tblStylePr>
  </w:style>
  <w:style w:type="paragraph" w:customStyle="1" w:styleId="Headingglossary">
    <w:name w:val="Heading (glossary)"/>
    <w:basedOn w:val="Chpt-HeadingBanner"/>
    <w:qFormat/>
    <w:rsid w:val="00E16C89"/>
    <w:pPr>
      <w:spacing w:line="240" w:lineRule="auto"/>
      <w:ind w:left="248"/>
    </w:pPr>
    <w:rPr>
      <w:rFonts w:ascii="Arial Narrow" w:hAnsi="Arial Narrow"/>
      <w:caps/>
      <w:sz w:val="28"/>
    </w:rPr>
  </w:style>
  <w:style w:type="paragraph" w:customStyle="1" w:styleId="Abbrev-Context">
    <w:name w:val="Abbrev - Context"/>
    <w:basedOn w:val="Chpt-Context"/>
    <w:qFormat/>
    <w:rsid w:val="00572767"/>
  </w:style>
  <w:style w:type="paragraph" w:customStyle="1" w:styleId="Heading2nonumber">
    <w:name w:val="Heading 2 (no number)"/>
    <w:basedOn w:val="Normal"/>
    <w:next w:val="BodyText"/>
    <w:qFormat/>
    <w:rsid w:val="00A93E8B"/>
    <w:pPr>
      <w:keepNext/>
      <w:numPr>
        <w:ilvl w:val="1"/>
        <w:numId w:val="20"/>
      </w:numPr>
      <w:pBdr>
        <w:bottom w:val="single" w:sz="4" w:space="1" w:color="auto"/>
      </w:pBdr>
      <w:spacing w:before="240" w:after="216" w:line="280" w:lineRule="atLeast"/>
      <w:outlineLvl w:val="1"/>
    </w:pPr>
    <w:rPr>
      <w:b/>
      <w:sz w:val="28"/>
    </w:rPr>
  </w:style>
  <w:style w:type="paragraph" w:customStyle="1" w:styleId="Heading3nonumber">
    <w:name w:val="Heading 3 (no number)"/>
    <w:basedOn w:val="BodyText"/>
    <w:next w:val="BodyText"/>
    <w:qFormat/>
    <w:rsid w:val="00A93E8B"/>
    <w:pPr>
      <w:keepNext/>
      <w:keepLines/>
      <w:numPr>
        <w:ilvl w:val="2"/>
        <w:numId w:val="20"/>
      </w:numPr>
      <w:pBdr>
        <w:bottom w:val="single" w:sz="4" w:space="1" w:color="auto"/>
      </w:pBdr>
      <w:spacing w:before="240" w:after="48"/>
      <w:outlineLvl w:val="2"/>
    </w:pPr>
    <w:rPr>
      <w:b/>
    </w:rPr>
  </w:style>
  <w:style w:type="numbering" w:customStyle="1" w:styleId="aaReportListNumber">
    <w:name w:val="aa Report List Number"/>
    <w:uiPriority w:val="99"/>
    <w:rsid w:val="00E81A3E"/>
    <w:pPr>
      <w:numPr>
        <w:numId w:val="14"/>
      </w:numPr>
    </w:pPr>
  </w:style>
  <w:style w:type="paragraph" w:customStyle="1" w:styleId="Heading8nonumber">
    <w:name w:val="Heading 8 (no number)"/>
    <w:basedOn w:val="Normal"/>
    <w:next w:val="BodyText"/>
    <w:qFormat/>
    <w:rsid w:val="00A93E8B"/>
    <w:pPr>
      <w:keepNext/>
      <w:keepLines/>
      <w:pBdr>
        <w:bottom w:val="single" w:sz="4" w:space="1" w:color="auto"/>
      </w:pBdr>
      <w:spacing w:before="240" w:after="216" w:line="280" w:lineRule="atLeast"/>
      <w:outlineLvl w:val="1"/>
    </w:pPr>
    <w:rPr>
      <w:b/>
      <w:sz w:val="28"/>
    </w:rPr>
  </w:style>
  <w:style w:type="paragraph" w:customStyle="1" w:styleId="Heading9nonumber">
    <w:name w:val="Heading 9 (no number)"/>
    <w:basedOn w:val="Normal"/>
    <w:next w:val="BodyText"/>
    <w:qFormat/>
    <w:rsid w:val="00A93E8B"/>
    <w:pPr>
      <w:keepNext/>
      <w:keepLines/>
      <w:pBdr>
        <w:bottom w:val="single" w:sz="4" w:space="1" w:color="auto"/>
      </w:pBdr>
      <w:spacing w:before="240" w:after="48"/>
      <w:outlineLvl w:val="2"/>
    </w:pPr>
    <w:rPr>
      <w:b/>
      <w:spacing w:val="3"/>
    </w:rPr>
  </w:style>
  <w:style w:type="paragraph" w:customStyle="1" w:styleId="Heading10nonumber">
    <w:name w:val="Heading 10 (no number)"/>
    <w:basedOn w:val="Normal"/>
    <w:next w:val="BodyText"/>
    <w:qFormat/>
    <w:rsid w:val="00F87161"/>
    <w:pPr>
      <w:keepNext/>
      <w:keepLines/>
      <w:spacing w:before="240" w:after="64"/>
    </w:pPr>
    <w:rPr>
      <w:b/>
      <w:spacing w:val="-1"/>
    </w:rPr>
  </w:style>
  <w:style w:type="paragraph" w:customStyle="1" w:styleId="Heading11nonumber">
    <w:name w:val="Heading 11 (no number)"/>
    <w:basedOn w:val="Normal"/>
    <w:next w:val="BodyText"/>
    <w:qFormat/>
    <w:rsid w:val="00F87161"/>
    <w:pPr>
      <w:keepNext/>
      <w:spacing w:before="240" w:after="89"/>
    </w:pPr>
    <w:rPr>
      <w:b/>
      <w:i/>
      <w:spacing w:val="3"/>
    </w:rPr>
  </w:style>
  <w:style w:type="paragraph" w:customStyle="1" w:styleId="SideNoteItalicLeft">
    <w:name w:val="SideNote (Italic Left)"/>
    <w:basedOn w:val="SideNoteItalicRight"/>
    <w:qFormat/>
    <w:rsid w:val="000905CE"/>
    <w:pPr>
      <w:jc w:val="left"/>
    </w:pPr>
  </w:style>
  <w:style w:type="paragraph" w:customStyle="1" w:styleId="SideNoteRegularLeft">
    <w:name w:val="SideNote (Regular Left)"/>
    <w:basedOn w:val="rgb-Purple"/>
    <w:qFormat/>
    <w:rsid w:val="008B6714"/>
    <w:pPr>
      <w:spacing w:before="64" w:line="240" w:lineRule="atLeast"/>
      <w:contextualSpacing/>
    </w:pPr>
  </w:style>
  <w:style w:type="paragraph" w:customStyle="1" w:styleId="SideNoteRegularRight">
    <w:name w:val="SideNote (Regular Right)"/>
    <w:basedOn w:val="SideNoteRegularLeft"/>
    <w:qFormat/>
    <w:rsid w:val="00F73BBB"/>
    <w:pPr>
      <w:jc w:val="right"/>
    </w:pPr>
  </w:style>
  <w:style w:type="paragraph" w:customStyle="1" w:styleId="SideNoteDash">
    <w:name w:val="SideNote Dash"/>
    <w:basedOn w:val="SideNoteRegularLeft"/>
    <w:qFormat/>
    <w:rsid w:val="009B1E82"/>
    <w:pPr>
      <w:numPr>
        <w:numId w:val="36"/>
      </w:numPr>
    </w:pPr>
  </w:style>
  <w:style w:type="numbering" w:customStyle="1" w:styleId="aaSideNotesBullets">
    <w:name w:val="aa SideNotes Bullets"/>
    <w:uiPriority w:val="99"/>
    <w:rsid w:val="009B1E82"/>
    <w:pPr>
      <w:numPr>
        <w:numId w:val="15"/>
      </w:numPr>
    </w:pPr>
  </w:style>
  <w:style w:type="paragraph" w:customStyle="1" w:styleId="SideNoteBullet">
    <w:name w:val="SideNote Bullet"/>
    <w:basedOn w:val="SideNoteRegularLeft"/>
    <w:rsid w:val="00755631"/>
    <w:pPr>
      <w:numPr>
        <w:ilvl w:val="1"/>
        <w:numId w:val="36"/>
      </w:numPr>
      <w:spacing w:before="0" w:after="64"/>
    </w:pPr>
  </w:style>
  <w:style w:type="numbering" w:customStyle="1" w:styleId="aaReportHeadings">
    <w:name w:val="aa Report Headings"/>
    <w:uiPriority w:val="99"/>
    <w:rsid w:val="00CB4D06"/>
    <w:pPr>
      <w:numPr>
        <w:numId w:val="16"/>
      </w:numPr>
    </w:pPr>
  </w:style>
  <w:style w:type="paragraph" w:customStyle="1" w:styleId="HeadingChapter">
    <w:name w:val="Heading (Chapter)"/>
    <w:basedOn w:val="Normal-nospace"/>
    <w:qFormat/>
    <w:rsid w:val="00C05BFC"/>
    <w:pPr>
      <w:spacing w:line="240" w:lineRule="auto"/>
      <w:ind w:left="216"/>
      <w:jc w:val="right"/>
    </w:pPr>
    <w:rPr>
      <w:rFonts w:ascii="Bodoni MT" w:hAnsi="Bodoni MT"/>
      <w:noProof/>
      <w:color w:val="FFFEFF"/>
      <w:spacing w:val="-20"/>
      <w:sz w:val="56"/>
    </w:rPr>
  </w:style>
  <w:style w:type="numbering" w:customStyle="1" w:styleId="TOCList">
    <w:name w:val="TOC List"/>
    <w:uiPriority w:val="99"/>
    <w:rsid w:val="006E1EF5"/>
    <w:pPr>
      <w:numPr>
        <w:numId w:val="17"/>
      </w:numPr>
    </w:pPr>
  </w:style>
  <w:style w:type="paragraph" w:customStyle="1" w:styleId="HeadingAppendix">
    <w:name w:val="Heading (Appendix)"/>
    <w:basedOn w:val="BodyText"/>
    <w:qFormat/>
    <w:rsid w:val="00B30D11"/>
    <w:pPr>
      <w:spacing w:line="240" w:lineRule="auto"/>
      <w:ind w:left="216" w:firstLine="72"/>
      <w:jc w:val="right"/>
    </w:pPr>
    <w:rPr>
      <w:rFonts w:ascii="Bodoni MT" w:hAnsi="Bodoni MT"/>
      <w:noProof/>
      <w:color w:val="FFFEFF"/>
      <w:spacing w:val="-20"/>
      <w:sz w:val="56"/>
    </w:rPr>
  </w:style>
  <w:style w:type="numbering" w:customStyle="1" w:styleId="aaAppendixNumbering">
    <w:name w:val="aa Appendix Numbering"/>
    <w:uiPriority w:val="99"/>
    <w:rsid w:val="00C16703"/>
    <w:pPr>
      <w:numPr>
        <w:numId w:val="18"/>
      </w:numPr>
    </w:pPr>
  </w:style>
  <w:style w:type="paragraph" w:customStyle="1" w:styleId="Heading4nonumber">
    <w:name w:val="Heading 4 (no number)"/>
    <w:basedOn w:val="Normal"/>
    <w:next w:val="BodyText"/>
    <w:qFormat/>
    <w:rsid w:val="004F0A14"/>
    <w:pPr>
      <w:keepNext/>
      <w:keepLines/>
      <w:numPr>
        <w:ilvl w:val="3"/>
        <w:numId w:val="20"/>
      </w:numPr>
      <w:spacing w:before="240" w:after="64"/>
      <w:outlineLvl w:val="3"/>
    </w:pPr>
    <w:rPr>
      <w:b/>
      <w:color w:val="000100"/>
      <w:spacing w:val="-1"/>
    </w:rPr>
  </w:style>
  <w:style w:type="paragraph" w:customStyle="1" w:styleId="Heading5nonumber">
    <w:name w:val="Heading 5 (no number)"/>
    <w:basedOn w:val="Normal"/>
    <w:next w:val="BodyText"/>
    <w:qFormat/>
    <w:rsid w:val="004F0A14"/>
    <w:pPr>
      <w:keepNext/>
      <w:keepLines/>
      <w:numPr>
        <w:ilvl w:val="4"/>
        <w:numId w:val="20"/>
      </w:numPr>
      <w:spacing w:before="240" w:after="89"/>
      <w:outlineLvl w:val="4"/>
    </w:pPr>
    <w:rPr>
      <w:b/>
      <w:i/>
      <w:color w:val="000100"/>
      <w:spacing w:val="3"/>
    </w:rPr>
  </w:style>
  <w:style w:type="paragraph" w:customStyle="1" w:styleId="Heading6nonumber">
    <w:name w:val="Heading 6 (no number)"/>
    <w:basedOn w:val="Normal"/>
    <w:next w:val="BodyText"/>
    <w:qFormat/>
    <w:rsid w:val="004F0A14"/>
    <w:pPr>
      <w:keepNext/>
      <w:numPr>
        <w:ilvl w:val="5"/>
        <w:numId w:val="20"/>
      </w:numPr>
      <w:spacing w:before="240" w:after="89"/>
      <w:outlineLvl w:val="5"/>
    </w:pPr>
    <w:rPr>
      <w:b/>
      <w:i/>
      <w:color w:val="808080" w:themeColor="background1" w:themeShade="80"/>
      <w:spacing w:val="3"/>
    </w:rPr>
  </w:style>
  <w:style w:type="numbering" w:customStyle="1" w:styleId="aaHeadingnonumberList">
    <w:name w:val="aa Heading (no number) List"/>
    <w:uiPriority w:val="99"/>
    <w:rsid w:val="0084499E"/>
    <w:pPr>
      <w:numPr>
        <w:numId w:val="19"/>
      </w:numPr>
    </w:pPr>
  </w:style>
  <w:style w:type="paragraph" w:customStyle="1" w:styleId="TOCHeadingwide">
    <w:name w:val="TOC Heading (wide)"/>
    <w:basedOn w:val="TOCHeading"/>
    <w:qFormat/>
    <w:rsid w:val="00E6543F"/>
    <w:rPr>
      <w:spacing w:val="640"/>
    </w:rPr>
  </w:style>
  <w:style w:type="paragraph" w:customStyle="1" w:styleId="Headingbibliography">
    <w:name w:val="Heading (bibliography)"/>
    <w:basedOn w:val="Chpt-HeadingBanner"/>
    <w:qFormat/>
    <w:rsid w:val="00874DB4"/>
    <w:pPr>
      <w:keepNext/>
      <w:spacing w:line="240" w:lineRule="auto"/>
      <w:ind w:left="216"/>
    </w:pPr>
    <w:rPr>
      <w:rFonts w:ascii="Arial Narrow" w:hAnsi="Arial Narrow"/>
      <w:caps/>
      <w:sz w:val="28"/>
    </w:rPr>
  </w:style>
  <w:style w:type="paragraph" w:customStyle="1" w:styleId="BoxQuote">
    <w:name w:val="Box Quote"/>
    <w:basedOn w:val="BoxText"/>
    <w:qFormat/>
    <w:rsid w:val="008D2B4E"/>
    <w:pPr>
      <w:spacing w:before="0" w:after="0" w:line="240" w:lineRule="auto"/>
      <w:ind w:left="648"/>
    </w:pPr>
    <w:rPr>
      <w:i/>
      <w:color w:val="595959" w:themeColor="text1" w:themeTint="A6"/>
      <w:sz w:val="18"/>
    </w:rPr>
  </w:style>
  <w:style w:type="paragraph" w:customStyle="1" w:styleId="BoxQuoteListBullet">
    <w:name w:val="Box Quote List Bullet"/>
    <w:basedOn w:val="Normal-nospace"/>
    <w:qFormat/>
    <w:rsid w:val="005F68B2"/>
    <w:pPr>
      <w:numPr>
        <w:numId w:val="24"/>
      </w:numPr>
      <w:spacing w:after="60" w:line="240" w:lineRule="auto"/>
      <w:ind w:left="1008" w:right="400"/>
      <w:contextualSpacing/>
    </w:pPr>
    <w:rPr>
      <w:i/>
      <w:color w:val="404040" w:themeColor="text1" w:themeTint="BF"/>
      <w:sz w:val="18"/>
    </w:rPr>
  </w:style>
  <w:style w:type="paragraph" w:customStyle="1" w:styleId="BoxQuoteSource">
    <w:name w:val="Box Quote Source"/>
    <w:basedOn w:val="Normal-nospace"/>
    <w:qFormat/>
    <w:rsid w:val="00BC480E"/>
    <w:pPr>
      <w:spacing w:line="240" w:lineRule="auto"/>
      <w:ind w:right="400"/>
      <w:jc w:val="right"/>
    </w:pPr>
    <w:rPr>
      <w:i/>
      <w:color w:val="595959" w:themeColor="text1" w:themeTint="A6"/>
      <w:sz w:val="18"/>
    </w:rPr>
  </w:style>
  <w:style w:type="paragraph" w:customStyle="1" w:styleId="Tablesideheading2">
    <w:name w:val="Table side heading 2"/>
    <w:basedOn w:val="Tabletext"/>
    <w:qFormat/>
    <w:rsid w:val="00605727"/>
    <w:rPr>
      <w:b/>
      <w:i/>
    </w:rPr>
  </w:style>
  <w:style w:type="paragraph" w:customStyle="1" w:styleId="TableQuote">
    <w:name w:val="Table Quote"/>
    <w:basedOn w:val="Normal-nospace"/>
    <w:qFormat/>
    <w:rsid w:val="00BC480E"/>
    <w:pPr>
      <w:spacing w:before="60" w:line="240" w:lineRule="auto"/>
      <w:ind w:left="100" w:right="200"/>
      <w:contextualSpacing/>
    </w:pPr>
    <w:rPr>
      <w:i/>
      <w:color w:val="404040" w:themeColor="text1" w:themeTint="BF"/>
      <w:sz w:val="18"/>
    </w:rPr>
  </w:style>
  <w:style w:type="paragraph" w:customStyle="1" w:styleId="TableQuoteBullet">
    <w:name w:val="Table Quote Bullet"/>
    <w:basedOn w:val="Normal-nospace"/>
    <w:qFormat/>
    <w:rsid w:val="007737C3"/>
    <w:pPr>
      <w:numPr>
        <w:numId w:val="25"/>
      </w:numPr>
      <w:spacing w:after="60" w:line="240" w:lineRule="auto"/>
      <w:ind w:right="200"/>
      <w:contextualSpacing/>
    </w:pPr>
    <w:rPr>
      <w:i/>
      <w:color w:val="404040" w:themeColor="text1" w:themeTint="BF"/>
      <w:sz w:val="18"/>
    </w:rPr>
  </w:style>
  <w:style w:type="paragraph" w:customStyle="1" w:styleId="TableQuoteSource">
    <w:name w:val="Table Quote Source"/>
    <w:basedOn w:val="Normal-nospace"/>
    <w:qFormat/>
    <w:rsid w:val="00BC480E"/>
    <w:pPr>
      <w:spacing w:after="60" w:line="240" w:lineRule="auto"/>
      <w:ind w:right="200"/>
      <w:jc w:val="right"/>
    </w:pPr>
    <w:rPr>
      <w:i/>
      <w:color w:val="404040" w:themeColor="text1" w:themeTint="BF"/>
      <w:sz w:val="18"/>
    </w:rPr>
  </w:style>
  <w:style w:type="paragraph" w:customStyle="1" w:styleId="QuoteListBullet">
    <w:name w:val="Quote List Bullet"/>
    <w:basedOn w:val="Quote"/>
    <w:qFormat/>
    <w:rsid w:val="00580C8D"/>
    <w:pPr>
      <w:numPr>
        <w:numId w:val="26"/>
      </w:numPr>
      <w:spacing w:before="0"/>
      <w:contextualSpacing/>
    </w:pPr>
  </w:style>
  <w:style w:type="paragraph" w:customStyle="1" w:styleId="QuoteSource">
    <w:name w:val="Quote Source"/>
    <w:basedOn w:val="Quote"/>
    <w:next w:val="BodyText"/>
    <w:qFormat/>
    <w:rsid w:val="00EB345B"/>
    <w:pPr>
      <w:contextualSpacing/>
      <w:jc w:val="right"/>
    </w:pPr>
  </w:style>
  <w:style w:type="paragraph" w:customStyle="1" w:styleId="FigureSubHeadings">
    <w:name w:val="Figure (Sub Headings)"/>
    <w:basedOn w:val="Figure"/>
    <w:qFormat/>
    <w:rsid w:val="007D1AFB"/>
    <w:pPr>
      <w:spacing w:before="60" w:after="120"/>
    </w:pPr>
    <w:rPr>
      <w:sz w:val="18"/>
    </w:rPr>
  </w:style>
  <w:style w:type="paragraph" w:customStyle="1" w:styleId="Tablebody">
    <w:name w:val="Table body"/>
    <w:basedOn w:val="Tabletext"/>
    <w:uiPriority w:val="3"/>
    <w:qFormat/>
    <w:rsid w:val="003C1625"/>
  </w:style>
  <w:style w:type="paragraph" w:customStyle="1" w:styleId="ListDash">
    <w:name w:val="List Dash"/>
    <w:basedOn w:val="Normal"/>
    <w:qFormat/>
    <w:rsid w:val="009216E6"/>
    <w:pPr>
      <w:numPr>
        <w:numId w:val="35"/>
      </w:numPr>
      <w:spacing w:before="60" w:after="60"/>
    </w:pPr>
  </w:style>
  <w:style w:type="paragraph" w:customStyle="1" w:styleId="ListDash2">
    <w:name w:val="List Dash 2"/>
    <w:basedOn w:val="Normal"/>
    <w:qFormat/>
    <w:rsid w:val="009005D5"/>
    <w:pPr>
      <w:numPr>
        <w:ilvl w:val="1"/>
        <w:numId w:val="35"/>
      </w:numPr>
      <w:spacing w:after="60"/>
      <w:contextualSpacing/>
    </w:pPr>
  </w:style>
  <w:style w:type="paragraph" w:customStyle="1" w:styleId="ListDash3">
    <w:name w:val="List Dash 3"/>
    <w:basedOn w:val="Normal"/>
    <w:qFormat/>
    <w:rsid w:val="009005D5"/>
    <w:pPr>
      <w:numPr>
        <w:ilvl w:val="2"/>
        <w:numId w:val="35"/>
      </w:numPr>
      <w:spacing w:after="60"/>
      <w:contextualSpacing/>
    </w:pPr>
  </w:style>
  <w:style w:type="numbering" w:customStyle="1" w:styleId="ACILAllenDashedList">
    <w:name w:val="ACIL Allen Dashed List"/>
    <w:uiPriority w:val="99"/>
    <w:rsid w:val="00E331F5"/>
    <w:pPr>
      <w:numPr>
        <w:numId w:val="27"/>
      </w:numPr>
    </w:pPr>
  </w:style>
  <w:style w:type="character" w:customStyle="1" w:styleId="SourceChar">
    <w:name w:val="Source Char"/>
    <w:basedOn w:val="DefaultParagraphFont"/>
    <w:link w:val="Source"/>
    <w:locked/>
    <w:rsid w:val="00806152"/>
    <w:rPr>
      <w:rFonts w:ascii="Arial Narrow" w:hAnsi="Arial Narrow"/>
      <w:i/>
      <w:caps/>
      <w:spacing w:val="-3"/>
      <w:sz w:val="14"/>
      <w:lang w:val="en-AU"/>
    </w:rPr>
  </w:style>
  <w:style w:type="numbering" w:customStyle="1" w:styleId="aaReportListDash">
    <w:name w:val="aa Report List Dash"/>
    <w:uiPriority w:val="99"/>
    <w:rsid w:val="009216E6"/>
    <w:pPr>
      <w:numPr>
        <w:numId w:val="28"/>
      </w:numPr>
    </w:pPr>
  </w:style>
  <w:style w:type="paragraph" w:customStyle="1" w:styleId="FooterLetter">
    <w:name w:val="Footer (Letter)"/>
    <w:basedOn w:val="Normal"/>
    <w:qFormat/>
    <w:rsid w:val="000F4359"/>
    <w:pPr>
      <w:spacing w:after="0" w:line="240" w:lineRule="auto"/>
    </w:pPr>
    <w:rPr>
      <w:sz w:val="18"/>
    </w:rPr>
  </w:style>
  <w:style w:type="paragraph" w:customStyle="1" w:styleId="LetterPageNumber">
    <w:name w:val="Letter Page Number"/>
    <w:basedOn w:val="FooterLetter"/>
    <w:qFormat/>
    <w:rsid w:val="000F4359"/>
    <w:pPr>
      <w:jc w:val="right"/>
    </w:pPr>
  </w:style>
  <w:style w:type="numbering" w:styleId="ArticleSection">
    <w:name w:val="Outline List 3"/>
    <w:basedOn w:val="NoList"/>
    <w:uiPriority w:val="99"/>
    <w:semiHidden/>
    <w:unhideWhenUsed/>
    <w:rsid w:val="00580C8D"/>
    <w:pPr>
      <w:numPr>
        <w:numId w:val="31"/>
      </w:numPr>
    </w:pPr>
  </w:style>
  <w:style w:type="paragraph" w:customStyle="1" w:styleId="spacertbl">
    <w:name w:val="spacer_tbl"/>
    <w:basedOn w:val="Normal"/>
    <w:qFormat/>
    <w:rsid w:val="002745DC"/>
    <w:pPr>
      <w:widowControl w:val="0"/>
      <w:adjustRightInd w:val="0"/>
      <w:snapToGrid w:val="0"/>
      <w:spacing w:after="0" w:line="240" w:lineRule="auto"/>
    </w:pPr>
    <w:rPr>
      <w:rFonts w:ascii="Arial" w:hAnsi="Arial" w:cs="Arial"/>
      <w:sz w:val="4"/>
      <w:szCs w:val="20"/>
    </w:rPr>
  </w:style>
  <w:style w:type="table" w:customStyle="1" w:styleId="TableGrid20">
    <w:name w:val="Table Grid2"/>
    <w:basedOn w:val="TableNormal"/>
    <w:next w:val="TableGrid"/>
    <w:uiPriority w:val="39"/>
    <w:rsid w:val="00922EBC"/>
    <w:pPr>
      <w:spacing w:after="0" w:line="240" w:lineRule="auto"/>
    </w:pPr>
    <w:rPr>
      <w:rFonts w:ascii="Times New Roman" w:eastAsia="PMingLiU"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ioneryLabel">
    <w:name w:val="StationeryLabel"/>
    <w:basedOn w:val="Normal"/>
    <w:qFormat/>
    <w:rsid w:val="00D60BA9"/>
    <w:pPr>
      <w:spacing w:before="20" w:after="0" w:line="240" w:lineRule="auto"/>
    </w:pPr>
    <w:rPr>
      <w:rFonts w:eastAsia="PMingLiU" w:cs="Times New Roman"/>
      <w:spacing w:val="8"/>
      <w:sz w:val="14"/>
      <w:szCs w:val="20"/>
      <w:lang w:val="en-US" w:eastAsia="zh-TW"/>
    </w:rPr>
  </w:style>
  <w:style w:type="paragraph" w:customStyle="1" w:styleId="StationeryContact">
    <w:name w:val="StationeryContact"/>
    <w:basedOn w:val="Normal"/>
    <w:qFormat/>
    <w:rsid w:val="00753E24"/>
    <w:pPr>
      <w:spacing w:after="192" w:line="240" w:lineRule="auto"/>
      <w:contextualSpacing/>
    </w:pPr>
    <w:rPr>
      <w:rFonts w:eastAsia="PMingLiU" w:cs="Times New Roman"/>
      <w:caps/>
      <w:sz w:val="20"/>
      <w:szCs w:val="20"/>
      <w:lang w:val="en-US" w:eastAsia="zh-TW"/>
    </w:rPr>
  </w:style>
  <w:style w:type="table" w:customStyle="1" w:styleId="TableGrid30">
    <w:name w:val="Table Grid3"/>
    <w:basedOn w:val="TableNormal"/>
    <w:next w:val="TableGrid"/>
    <w:uiPriority w:val="39"/>
    <w:rsid w:val="00922EBC"/>
    <w:pPr>
      <w:spacing w:after="0" w:line="240" w:lineRule="auto"/>
    </w:pPr>
    <w:rPr>
      <w:rFonts w:ascii="Times New Roman" w:eastAsia="PMingLiU" w:hAnsi="Times New Roman" w:cs="Times New Roman"/>
      <w:sz w:val="20"/>
      <w:szCs w:val="20"/>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ioneryType">
    <w:name w:val="StationeryType"/>
    <w:basedOn w:val="Normal"/>
    <w:qFormat/>
    <w:rsid w:val="006F5038"/>
    <w:pPr>
      <w:spacing w:after="104" w:line="240" w:lineRule="auto"/>
      <w:contextualSpacing/>
    </w:pPr>
    <w:rPr>
      <w:rFonts w:eastAsia="PMingLiU" w:cs="Times New Roman"/>
      <w:spacing w:val="96"/>
      <w:sz w:val="19"/>
      <w:szCs w:val="20"/>
      <w:lang w:eastAsia="zh-TW"/>
    </w:rPr>
  </w:style>
  <w:style w:type="paragraph" w:customStyle="1" w:styleId="StationeryRef">
    <w:name w:val="StationeryRef"/>
    <w:basedOn w:val="Normal"/>
    <w:qFormat/>
    <w:rsid w:val="00CE40D0"/>
    <w:pPr>
      <w:spacing w:after="0" w:line="240" w:lineRule="auto"/>
    </w:pPr>
    <w:rPr>
      <w:rFonts w:eastAsia="PMingLiU" w:cs="Times New Roma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4033">
      <w:bodyDiv w:val="1"/>
      <w:marLeft w:val="0"/>
      <w:marRight w:val="0"/>
      <w:marTop w:val="0"/>
      <w:marBottom w:val="0"/>
      <w:divBdr>
        <w:top w:val="none" w:sz="0" w:space="0" w:color="auto"/>
        <w:left w:val="none" w:sz="0" w:space="0" w:color="auto"/>
        <w:bottom w:val="none" w:sz="0" w:space="0" w:color="auto"/>
        <w:right w:val="none" w:sz="0" w:space="0" w:color="auto"/>
      </w:divBdr>
    </w:div>
    <w:div w:id="108206973">
      <w:bodyDiv w:val="1"/>
      <w:marLeft w:val="0"/>
      <w:marRight w:val="0"/>
      <w:marTop w:val="0"/>
      <w:marBottom w:val="0"/>
      <w:divBdr>
        <w:top w:val="none" w:sz="0" w:space="0" w:color="auto"/>
        <w:left w:val="none" w:sz="0" w:space="0" w:color="auto"/>
        <w:bottom w:val="none" w:sz="0" w:space="0" w:color="auto"/>
        <w:right w:val="none" w:sz="0" w:space="0" w:color="auto"/>
      </w:divBdr>
    </w:div>
    <w:div w:id="650448178">
      <w:bodyDiv w:val="1"/>
      <w:marLeft w:val="0"/>
      <w:marRight w:val="0"/>
      <w:marTop w:val="0"/>
      <w:marBottom w:val="0"/>
      <w:divBdr>
        <w:top w:val="none" w:sz="0" w:space="0" w:color="auto"/>
        <w:left w:val="none" w:sz="0" w:space="0" w:color="auto"/>
        <w:bottom w:val="none" w:sz="0" w:space="0" w:color="auto"/>
        <w:right w:val="none" w:sz="0" w:space="0" w:color="auto"/>
      </w:divBdr>
    </w:div>
    <w:div w:id="1004282957">
      <w:bodyDiv w:val="1"/>
      <w:marLeft w:val="0"/>
      <w:marRight w:val="0"/>
      <w:marTop w:val="0"/>
      <w:marBottom w:val="0"/>
      <w:divBdr>
        <w:top w:val="none" w:sz="0" w:space="0" w:color="auto"/>
        <w:left w:val="none" w:sz="0" w:space="0" w:color="auto"/>
        <w:bottom w:val="none" w:sz="0" w:space="0" w:color="auto"/>
        <w:right w:val="none" w:sz="0" w:space="0" w:color="auto"/>
      </w:divBdr>
    </w:div>
    <w:div w:id="1011029023">
      <w:bodyDiv w:val="1"/>
      <w:marLeft w:val="0"/>
      <w:marRight w:val="0"/>
      <w:marTop w:val="0"/>
      <w:marBottom w:val="0"/>
      <w:divBdr>
        <w:top w:val="none" w:sz="0" w:space="0" w:color="auto"/>
        <w:left w:val="none" w:sz="0" w:space="0" w:color="auto"/>
        <w:bottom w:val="none" w:sz="0" w:space="0" w:color="auto"/>
        <w:right w:val="none" w:sz="0" w:space="0" w:color="auto"/>
      </w:divBdr>
    </w:div>
    <w:div w:id="1072508988">
      <w:bodyDiv w:val="1"/>
      <w:marLeft w:val="0"/>
      <w:marRight w:val="0"/>
      <w:marTop w:val="0"/>
      <w:marBottom w:val="0"/>
      <w:divBdr>
        <w:top w:val="none" w:sz="0" w:space="0" w:color="auto"/>
        <w:left w:val="none" w:sz="0" w:space="0" w:color="auto"/>
        <w:bottom w:val="none" w:sz="0" w:space="0" w:color="auto"/>
        <w:right w:val="none" w:sz="0" w:space="0" w:color="auto"/>
      </w:divBdr>
    </w:div>
    <w:div w:id="1236747185">
      <w:bodyDiv w:val="1"/>
      <w:marLeft w:val="0"/>
      <w:marRight w:val="0"/>
      <w:marTop w:val="0"/>
      <w:marBottom w:val="0"/>
      <w:divBdr>
        <w:top w:val="none" w:sz="0" w:space="0" w:color="auto"/>
        <w:left w:val="none" w:sz="0" w:space="0" w:color="auto"/>
        <w:bottom w:val="none" w:sz="0" w:space="0" w:color="auto"/>
        <w:right w:val="none" w:sz="0" w:space="0" w:color="auto"/>
      </w:divBdr>
    </w:div>
    <w:div w:id="1245796120">
      <w:bodyDiv w:val="1"/>
      <w:marLeft w:val="0"/>
      <w:marRight w:val="0"/>
      <w:marTop w:val="0"/>
      <w:marBottom w:val="0"/>
      <w:divBdr>
        <w:top w:val="none" w:sz="0" w:space="0" w:color="auto"/>
        <w:left w:val="none" w:sz="0" w:space="0" w:color="auto"/>
        <w:bottom w:val="none" w:sz="0" w:space="0" w:color="auto"/>
        <w:right w:val="none" w:sz="0" w:space="0" w:color="auto"/>
      </w:divBdr>
    </w:div>
    <w:div w:id="14868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csiro.au/en/Research/LWF/Areas/Landscape-management/Livestock-logistics/TRANSI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la.com.au/globalassets/mla-corporate/prices--markets/documents/trends--analysis/fast-facts--maps/mla_beef-fast-facts-201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CIL%20Allen%20Template.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yuan\Proposals%20in%202017\CSIRO%20-%20health%20and%20biosecurity%20case%20stydies\Northern%20Australia%20case%20study%20CBA%20v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Sheet1!$B$19</c:f>
              <c:strCache>
                <c:ptCount val="1"/>
                <c:pt idx="0">
                  <c:v>Increased benefits from Northern Australia Beef Roads program</c:v>
                </c:pt>
              </c:strCache>
            </c:strRef>
          </c:tx>
          <c:spPr>
            <a:solidFill>
              <a:schemeClr val="accent1"/>
            </a:solidFill>
            <a:ln>
              <a:noFill/>
            </a:ln>
            <a:effectLst/>
          </c:spPr>
          <c:invertIfNegative val="0"/>
          <c:cat>
            <c:strRef>
              <c:f>Sheet1!$G$7:$S$7</c:f>
              <c:strCache>
                <c:ptCount val="13"/>
                <c:pt idx="0">
                  <c:v>2014/15</c:v>
                </c:pt>
                <c:pt idx="1">
                  <c:v>2015/16</c:v>
                </c:pt>
                <c:pt idx="2">
                  <c:v>2016/17</c:v>
                </c:pt>
                <c:pt idx="3">
                  <c:v>2017/18</c:v>
                </c:pt>
                <c:pt idx="4">
                  <c:v>2018/19</c:v>
                </c:pt>
                <c:pt idx="5">
                  <c:v>2019/20</c:v>
                </c:pt>
                <c:pt idx="6">
                  <c:v>2020/21</c:v>
                </c:pt>
                <c:pt idx="7">
                  <c:v>2021/22</c:v>
                </c:pt>
                <c:pt idx="8">
                  <c:v>2022/23</c:v>
                </c:pt>
                <c:pt idx="9">
                  <c:v>2023/24</c:v>
                </c:pt>
                <c:pt idx="10">
                  <c:v>2024/25</c:v>
                </c:pt>
                <c:pt idx="11">
                  <c:v>2025/26</c:v>
                </c:pt>
                <c:pt idx="12">
                  <c:v>2026/27</c:v>
                </c:pt>
              </c:strCache>
            </c:strRef>
          </c:cat>
          <c:val>
            <c:numRef>
              <c:f>Sheet1!$G$19:$S$19</c:f>
              <c:numCache>
                <c:formatCode>#,##0</c:formatCode>
                <c:ptCount val="13"/>
                <c:pt idx="0">
                  <c:v>70000</c:v>
                </c:pt>
                <c:pt idx="1">
                  <c:v>400000</c:v>
                </c:pt>
                <c:pt idx="2">
                  <c:v>600000</c:v>
                </c:pt>
                <c:pt idx="3">
                  <c:v>1000000</c:v>
                </c:pt>
                <c:pt idx="4">
                  <c:v>1300000</c:v>
                </c:pt>
                <c:pt idx="5">
                  <c:v>1600000</c:v>
                </c:pt>
                <c:pt idx="6">
                  <c:v>1900000</c:v>
                </c:pt>
                <c:pt idx="7">
                  <c:v>2200000</c:v>
                </c:pt>
                <c:pt idx="8">
                  <c:v>2500000</c:v>
                </c:pt>
                <c:pt idx="9">
                  <c:v>2800000</c:v>
                </c:pt>
                <c:pt idx="10">
                  <c:v>3100000</c:v>
                </c:pt>
                <c:pt idx="11">
                  <c:v>3400000</c:v>
                </c:pt>
                <c:pt idx="12">
                  <c:v>3700000</c:v>
                </c:pt>
              </c:numCache>
            </c:numRef>
          </c:val>
        </c:ser>
        <c:ser>
          <c:idx val="1"/>
          <c:order val="1"/>
          <c:tx>
            <c:strRef>
              <c:f>Sheet1!$B$21</c:f>
              <c:strCache>
                <c:ptCount val="1"/>
                <c:pt idx="0">
                  <c:v>Reduction in cost of transporting cattle near tick-prone zones in SE Queensland</c:v>
                </c:pt>
              </c:strCache>
            </c:strRef>
          </c:tx>
          <c:spPr>
            <a:solidFill>
              <a:schemeClr val="accent2"/>
            </a:solidFill>
            <a:ln>
              <a:noFill/>
            </a:ln>
            <a:effectLst/>
          </c:spPr>
          <c:invertIfNegative val="0"/>
          <c:cat>
            <c:strRef>
              <c:f>Sheet1!$G$7:$S$7</c:f>
              <c:strCache>
                <c:ptCount val="13"/>
                <c:pt idx="0">
                  <c:v>2014/15</c:v>
                </c:pt>
                <c:pt idx="1">
                  <c:v>2015/16</c:v>
                </c:pt>
                <c:pt idx="2">
                  <c:v>2016/17</c:v>
                </c:pt>
                <c:pt idx="3">
                  <c:v>2017/18</c:v>
                </c:pt>
                <c:pt idx="4">
                  <c:v>2018/19</c:v>
                </c:pt>
                <c:pt idx="5">
                  <c:v>2019/20</c:v>
                </c:pt>
                <c:pt idx="6">
                  <c:v>2020/21</c:v>
                </c:pt>
                <c:pt idx="7">
                  <c:v>2021/22</c:v>
                </c:pt>
                <c:pt idx="8">
                  <c:v>2022/23</c:v>
                </c:pt>
                <c:pt idx="9">
                  <c:v>2023/24</c:v>
                </c:pt>
                <c:pt idx="10">
                  <c:v>2024/25</c:v>
                </c:pt>
                <c:pt idx="11">
                  <c:v>2025/26</c:v>
                </c:pt>
                <c:pt idx="12">
                  <c:v>2026/27</c:v>
                </c:pt>
              </c:strCache>
            </c:strRef>
          </c:cat>
          <c:val>
            <c:numRef>
              <c:f>Sheet1!$G$21:$S$21</c:f>
              <c:numCache>
                <c:formatCode>General</c:formatCode>
                <c:ptCount val="13"/>
                <c:pt idx="2" formatCode="#,##0">
                  <c:v>2300000</c:v>
                </c:pt>
                <c:pt idx="3" formatCode="#,##0">
                  <c:v>2300000</c:v>
                </c:pt>
                <c:pt idx="4" formatCode="#,##0">
                  <c:v>2300000</c:v>
                </c:pt>
                <c:pt idx="5" formatCode="#,##0">
                  <c:v>2300000</c:v>
                </c:pt>
                <c:pt idx="6" formatCode="#,##0">
                  <c:v>2300000</c:v>
                </c:pt>
                <c:pt idx="7" formatCode="#,##0">
                  <c:v>2300000</c:v>
                </c:pt>
                <c:pt idx="8" formatCode="#,##0">
                  <c:v>2300000</c:v>
                </c:pt>
                <c:pt idx="9" formatCode="#,##0">
                  <c:v>2300000</c:v>
                </c:pt>
                <c:pt idx="10" formatCode="#,##0">
                  <c:v>2300000</c:v>
                </c:pt>
                <c:pt idx="11" formatCode="#,##0">
                  <c:v>2300000</c:v>
                </c:pt>
                <c:pt idx="12" formatCode="#,##0">
                  <c:v>2300000</c:v>
                </c:pt>
              </c:numCache>
            </c:numRef>
          </c:val>
        </c:ser>
        <c:ser>
          <c:idx val="2"/>
          <c:order val="2"/>
          <c:tx>
            <c:strRef>
              <c:f>Sheet1!$B$23</c:f>
              <c:strCache>
                <c:ptCount val="1"/>
                <c:pt idx="0">
                  <c:v>Reduction in other costs of transporting cattle</c:v>
                </c:pt>
              </c:strCache>
            </c:strRef>
          </c:tx>
          <c:spPr>
            <a:solidFill>
              <a:schemeClr val="accent3"/>
            </a:solidFill>
            <a:ln>
              <a:noFill/>
            </a:ln>
            <a:effectLst/>
          </c:spPr>
          <c:invertIfNegative val="0"/>
          <c:cat>
            <c:strRef>
              <c:f>Sheet1!$G$7:$S$7</c:f>
              <c:strCache>
                <c:ptCount val="13"/>
                <c:pt idx="0">
                  <c:v>2014/15</c:v>
                </c:pt>
                <c:pt idx="1">
                  <c:v>2015/16</c:v>
                </c:pt>
                <c:pt idx="2">
                  <c:v>2016/17</c:v>
                </c:pt>
                <c:pt idx="3">
                  <c:v>2017/18</c:v>
                </c:pt>
                <c:pt idx="4">
                  <c:v>2018/19</c:v>
                </c:pt>
                <c:pt idx="5">
                  <c:v>2019/20</c:v>
                </c:pt>
                <c:pt idx="6">
                  <c:v>2020/21</c:v>
                </c:pt>
                <c:pt idx="7">
                  <c:v>2021/22</c:v>
                </c:pt>
                <c:pt idx="8">
                  <c:v>2022/23</c:v>
                </c:pt>
                <c:pt idx="9">
                  <c:v>2023/24</c:v>
                </c:pt>
                <c:pt idx="10">
                  <c:v>2024/25</c:v>
                </c:pt>
                <c:pt idx="11">
                  <c:v>2025/26</c:v>
                </c:pt>
                <c:pt idx="12">
                  <c:v>2026/27</c:v>
                </c:pt>
              </c:strCache>
            </c:strRef>
          </c:cat>
          <c:val>
            <c:numRef>
              <c:f>Sheet1!$G$23:$S$23</c:f>
              <c:numCache>
                <c:formatCode>General</c:formatCode>
                <c:ptCount val="13"/>
                <c:pt idx="2" formatCode="#,##0">
                  <c:v>4800000</c:v>
                </c:pt>
                <c:pt idx="3" formatCode="#,##0">
                  <c:v>4800000</c:v>
                </c:pt>
                <c:pt idx="4" formatCode="#,##0">
                  <c:v>4800000</c:v>
                </c:pt>
                <c:pt idx="5" formatCode="#,##0">
                  <c:v>4800000</c:v>
                </c:pt>
                <c:pt idx="6" formatCode="#,##0">
                  <c:v>4800000</c:v>
                </c:pt>
                <c:pt idx="7" formatCode="#,##0">
                  <c:v>4800000</c:v>
                </c:pt>
                <c:pt idx="8" formatCode="#,##0">
                  <c:v>4800000</c:v>
                </c:pt>
                <c:pt idx="9" formatCode="#,##0">
                  <c:v>4800000</c:v>
                </c:pt>
                <c:pt idx="10" formatCode="#,##0">
                  <c:v>4800000</c:v>
                </c:pt>
                <c:pt idx="11" formatCode="#,##0">
                  <c:v>4800000</c:v>
                </c:pt>
                <c:pt idx="12" formatCode="#,##0">
                  <c:v>4800000</c:v>
                </c:pt>
              </c:numCache>
            </c:numRef>
          </c:val>
        </c:ser>
        <c:ser>
          <c:idx val="3"/>
          <c:order val="3"/>
          <c:tx>
            <c:strRef>
              <c:f>Sheet1!$B$25</c:f>
              <c:strCache>
                <c:ptCount val="1"/>
                <c:pt idx="0">
                  <c:v>Model use fees</c:v>
                </c:pt>
              </c:strCache>
            </c:strRef>
          </c:tx>
          <c:spPr>
            <a:solidFill>
              <a:schemeClr val="accent4"/>
            </a:solidFill>
            <a:ln>
              <a:noFill/>
            </a:ln>
            <a:effectLst/>
          </c:spPr>
          <c:invertIfNegative val="0"/>
          <c:cat>
            <c:strRef>
              <c:f>Sheet1!$G$7:$S$7</c:f>
              <c:strCache>
                <c:ptCount val="13"/>
                <c:pt idx="0">
                  <c:v>2014/15</c:v>
                </c:pt>
                <c:pt idx="1">
                  <c:v>2015/16</c:v>
                </c:pt>
                <c:pt idx="2">
                  <c:v>2016/17</c:v>
                </c:pt>
                <c:pt idx="3">
                  <c:v>2017/18</c:v>
                </c:pt>
                <c:pt idx="4">
                  <c:v>2018/19</c:v>
                </c:pt>
                <c:pt idx="5">
                  <c:v>2019/20</c:v>
                </c:pt>
                <c:pt idx="6">
                  <c:v>2020/21</c:v>
                </c:pt>
                <c:pt idx="7">
                  <c:v>2021/22</c:v>
                </c:pt>
                <c:pt idx="8">
                  <c:v>2022/23</c:v>
                </c:pt>
                <c:pt idx="9">
                  <c:v>2023/24</c:v>
                </c:pt>
                <c:pt idx="10">
                  <c:v>2024/25</c:v>
                </c:pt>
                <c:pt idx="11">
                  <c:v>2025/26</c:v>
                </c:pt>
                <c:pt idx="12">
                  <c:v>2026/27</c:v>
                </c:pt>
              </c:strCache>
            </c:strRef>
          </c:cat>
          <c:val>
            <c:numRef>
              <c:f>Sheet1!$G$25:$S$25</c:f>
              <c:numCache>
                <c:formatCode>General</c:formatCode>
                <c:ptCount val="13"/>
                <c:pt idx="2" formatCode="#,##0">
                  <c:v>550000</c:v>
                </c:pt>
                <c:pt idx="3" formatCode="#,##0">
                  <c:v>550000</c:v>
                </c:pt>
                <c:pt idx="4" formatCode="#,##0">
                  <c:v>550000</c:v>
                </c:pt>
                <c:pt idx="5" formatCode="#,##0">
                  <c:v>550000</c:v>
                </c:pt>
                <c:pt idx="6" formatCode="#,##0">
                  <c:v>550000</c:v>
                </c:pt>
                <c:pt idx="7" formatCode="#,##0">
                  <c:v>550000</c:v>
                </c:pt>
                <c:pt idx="8" formatCode="#,##0">
                  <c:v>550000</c:v>
                </c:pt>
                <c:pt idx="9" formatCode="#,##0">
                  <c:v>550000</c:v>
                </c:pt>
                <c:pt idx="10" formatCode="#,##0">
                  <c:v>550000</c:v>
                </c:pt>
                <c:pt idx="11" formatCode="#,##0">
                  <c:v>550000</c:v>
                </c:pt>
                <c:pt idx="12" formatCode="#,##0">
                  <c:v>550000</c:v>
                </c:pt>
              </c:numCache>
            </c:numRef>
          </c:val>
        </c:ser>
        <c:ser>
          <c:idx val="4"/>
          <c:order val="4"/>
          <c:tx>
            <c:strRef>
              <c:f>Sheet1!$B$31</c:f>
              <c:strCache>
                <c:ptCount val="1"/>
                <c:pt idx="0">
                  <c:v>FGARA: Tenders received from extra water allocations auctioned for Gulf catchments</c:v>
                </c:pt>
              </c:strCache>
            </c:strRef>
          </c:tx>
          <c:spPr>
            <a:solidFill>
              <a:schemeClr val="accent5"/>
            </a:solidFill>
            <a:ln>
              <a:noFill/>
            </a:ln>
            <a:effectLst/>
          </c:spPr>
          <c:invertIfNegative val="0"/>
          <c:cat>
            <c:strRef>
              <c:f>Sheet1!$G$7:$S$7</c:f>
              <c:strCache>
                <c:ptCount val="13"/>
                <c:pt idx="0">
                  <c:v>2014/15</c:v>
                </c:pt>
                <c:pt idx="1">
                  <c:v>2015/16</c:v>
                </c:pt>
                <c:pt idx="2">
                  <c:v>2016/17</c:v>
                </c:pt>
                <c:pt idx="3">
                  <c:v>2017/18</c:v>
                </c:pt>
                <c:pt idx="4">
                  <c:v>2018/19</c:v>
                </c:pt>
                <c:pt idx="5">
                  <c:v>2019/20</c:v>
                </c:pt>
                <c:pt idx="6">
                  <c:v>2020/21</c:v>
                </c:pt>
                <c:pt idx="7">
                  <c:v>2021/22</c:v>
                </c:pt>
                <c:pt idx="8">
                  <c:v>2022/23</c:v>
                </c:pt>
                <c:pt idx="9">
                  <c:v>2023/24</c:v>
                </c:pt>
                <c:pt idx="10">
                  <c:v>2024/25</c:v>
                </c:pt>
                <c:pt idx="11">
                  <c:v>2025/26</c:v>
                </c:pt>
                <c:pt idx="12">
                  <c:v>2026/27</c:v>
                </c:pt>
              </c:strCache>
            </c:strRef>
          </c:cat>
          <c:val>
            <c:numRef>
              <c:f>Sheet1!$G$31:$S$31</c:f>
              <c:numCache>
                <c:formatCode>General</c:formatCode>
                <c:ptCount val="13"/>
                <c:pt idx="2" formatCode="#,##0">
                  <c:v>10000000</c:v>
                </c:pt>
              </c:numCache>
            </c:numRef>
          </c:val>
        </c:ser>
        <c:dLbls>
          <c:showLegendKey val="0"/>
          <c:showVal val="0"/>
          <c:showCatName val="0"/>
          <c:showSerName val="0"/>
          <c:showPercent val="0"/>
          <c:showBubbleSize val="0"/>
        </c:dLbls>
        <c:gapWidth val="150"/>
        <c:overlap val="100"/>
        <c:axId val="463699552"/>
        <c:axId val="463699944"/>
      </c:barChart>
      <c:catAx>
        <c:axId val="46369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699944"/>
        <c:crosses val="autoZero"/>
        <c:auto val="1"/>
        <c:lblAlgn val="ctr"/>
        <c:lblOffset val="100"/>
        <c:tickLblSkip val="2"/>
        <c:noMultiLvlLbl val="0"/>
      </c:catAx>
      <c:valAx>
        <c:axId val="463699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699552"/>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cil Allen">
      <a:dk1>
        <a:sysClr val="windowText" lastClr="000000"/>
      </a:dk1>
      <a:lt1>
        <a:sysClr val="window" lastClr="FFFFFF"/>
      </a:lt1>
      <a:dk2>
        <a:srgbClr val="9757A6"/>
      </a:dk2>
      <a:lt2>
        <a:srgbClr val="F4E7ED"/>
      </a:lt2>
      <a:accent1>
        <a:srgbClr val="9757A6"/>
      </a:accent1>
      <a:accent2>
        <a:srgbClr val="FFAE3B"/>
      </a:accent2>
      <a:accent3>
        <a:srgbClr val="A5A5A5"/>
      </a:accent3>
      <a:accent4>
        <a:srgbClr val="B689C1"/>
      </a:accent4>
      <a:accent5>
        <a:srgbClr val="EA8B00"/>
      </a:accent5>
      <a:accent6>
        <a:srgbClr val="BFBFBF"/>
      </a:accent6>
      <a:hlink>
        <a:srgbClr val="FFDE66"/>
      </a:hlink>
      <a:folHlink>
        <a:srgbClr val="D490C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B4B4B4"/>
        </a:solidFill>
        <a:ln>
          <a:noFill/>
        </a:ln>
        <a:extLst>
          <a:ext uri="{91240B29-F687-4F45-9708-019B960494DF}">
            <a14:hiddenLine xmlns:a14="http://schemas.microsoft.com/office/drawing/2010/main" w="9525">
              <a:solidFill>
                <a:srgbClr val="000000"/>
              </a:solidFill>
              <a:round/>
              <a:headEnd/>
              <a:tailEnd/>
            </a14:hiddenLine>
          </a:ext>
        </a:extLst>
      </a:spPr>
      <a:bodyPr vert="horz" wrap="square" lIns="91440" tIns="45720" rIns="91440" bIns="45720" numCol="1" anchor="t" anchorCtr="0" compatLnSpc="1">
        <a:prstTxWarp prst="textNoShape">
          <a:avLst/>
        </a:prstTxWarp>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8661-031D-489C-A961-8510C1A1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ACIL Allen Template.dotm</Template>
  <TotalTime>3</TotalTime>
  <Pages>1</Pages>
  <Words>7057</Words>
  <Characters>40231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Acil Allen Report</vt:lpstr>
    </vt:vector>
  </TitlesOfParts>
  <Company>Acil Allen</Company>
  <LinksUpToDate>false</LinksUpToDate>
  <CharactersWithSpaces>47194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Allen Report</dc:title>
  <dc:subject/>
  <dc:creator>Ann Raleigh</dc:creator>
  <cp:keywords/>
  <dc:description/>
  <cp:lastModifiedBy>Zhu, Julian (SM&amp;I, Clayton)</cp:lastModifiedBy>
  <cp:revision>4</cp:revision>
  <cp:lastPrinted>2015-05-07T01:36:00Z</cp:lastPrinted>
  <dcterms:created xsi:type="dcterms:W3CDTF">2018-02-09T02:55:00Z</dcterms:created>
  <dcterms:modified xsi:type="dcterms:W3CDTF">2018-04-26T23:19:00Z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ationNumberFormat">
    <vt:lpwstr>EquationNumberOnly</vt:lpwstr>
  </property>
  <property fmtid="{D5CDD505-2E9C-101B-9397-08002B2CF9AE}" pid="3" name="reportMode">
    <vt:lpwstr>shortReport</vt:lpwstr>
  </property>
  <property fmtid="{D5CDD505-2E9C-101B-9397-08002B2CF9AE}" pid="4" name="Word">
    <vt:lpwstr>2013</vt:lpwstr>
  </property>
  <property fmtid="{D5CDD505-2E9C-101B-9397-08002B2CF9AE}" pid="5" name="PM version">
    <vt:lpwstr>97p21p06</vt:lpwstr>
  </property>
</Properties>
</file>