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B7F8E" w14:textId="5BBB9EFF" w:rsidR="00F8604C" w:rsidRPr="002F2243" w:rsidRDefault="002D5785" w:rsidP="00226B0A">
      <w:pPr>
        <w:pStyle w:val="Title"/>
      </w:pPr>
      <w:r>
        <w:br/>
      </w:r>
      <w:r w:rsidR="006C2CA2" w:rsidRPr="002F2243">
        <w:t xml:space="preserve">Systemic Issues </w:t>
      </w:r>
      <w:r w:rsidR="00B8244D" w:rsidRPr="002F2243">
        <w:t>&amp;</w:t>
      </w:r>
    </w:p>
    <w:p w14:paraId="04C56CAD" w14:textId="207296AB" w:rsidR="001E4D84" w:rsidRDefault="006C2CA2" w:rsidP="001E4D84">
      <w:pPr>
        <w:pStyle w:val="Title"/>
      </w:pPr>
      <w:r w:rsidRPr="002F2243">
        <w:t xml:space="preserve">Transformation </w:t>
      </w:r>
      <w:r w:rsidR="00F8604C" w:rsidRPr="002F2243">
        <w:t>Risks</w:t>
      </w:r>
    </w:p>
    <w:p w14:paraId="3753450B" w14:textId="77777777" w:rsidR="001E4D84" w:rsidRDefault="001E4D84" w:rsidP="001E4D84">
      <w:pPr>
        <w:pStyle w:val="Title"/>
      </w:pPr>
    </w:p>
    <w:p w14:paraId="487C83DE" w14:textId="7C7D3E3B" w:rsidR="00D22333" w:rsidRDefault="00F00BA1" w:rsidP="000558E0">
      <w:pPr>
        <w:pStyle w:val="Title"/>
        <w:rPr>
          <w:sz w:val="40"/>
          <w:szCs w:val="44"/>
        </w:rPr>
      </w:pPr>
      <w:r>
        <w:rPr>
          <w:sz w:val="40"/>
          <w:szCs w:val="44"/>
        </w:rPr>
        <w:br/>
      </w:r>
      <w:r w:rsidR="0021366F" w:rsidRPr="002F2243">
        <w:rPr>
          <w:sz w:val="40"/>
          <w:szCs w:val="44"/>
        </w:rPr>
        <w:t xml:space="preserve">Report </w:t>
      </w:r>
      <w:r w:rsidR="006C2CA2" w:rsidRPr="002F2243">
        <w:rPr>
          <w:sz w:val="40"/>
          <w:szCs w:val="44"/>
        </w:rPr>
        <w:t>3</w:t>
      </w:r>
      <w:r w:rsidR="00AD2118">
        <w:rPr>
          <w:sz w:val="40"/>
          <w:szCs w:val="44"/>
        </w:rPr>
        <w:t xml:space="preserve"> of 5</w:t>
      </w:r>
      <w:r w:rsidR="0021366F" w:rsidRPr="002F2243">
        <w:rPr>
          <w:sz w:val="40"/>
          <w:szCs w:val="44"/>
        </w:rPr>
        <w:t xml:space="preserve">: Power Systems Architecture </w:t>
      </w:r>
      <w:r w:rsidR="000558E0">
        <w:rPr>
          <w:sz w:val="40"/>
          <w:szCs w:val="44"/>
        </w:rPr>
        <w:br/>
      </w:r>
      <w:r w:rsidR="00BA327E">
        <w:rPr>
          <w:sz w:val="40"/>
          <w:szCs w:val="44"/>
        </w:rPr>
        <w:t>AR</w:t>
      </w:r>
      <w:r w:rsidR="0021366F" w:rsidRPr="002F2243">
        <w:rPr>
          <w:sz w:val="40"/>
          <w:szCs w:val="44"/>
        </w:rPr>
        <w:t>-PST Stage 4, Topic 7</w:t>
      </w:r>
    </w:p>
    <w:p w14:paraId="7BCBF231" w14:textId="77777777" w:rsidR="00FA5D82" w:rsidRDefault="00FA5D82" w:rsidP="00FA5D82"/>
    <w:p w14:paraId="48ADD926" w14:textId="11517F4F" w:rsidR="00FA5D82" w:rsidRPr="00FA5D82" w:rsidRDefault="00FA5D82" w:rsidP="00FA5D82">
      <w:pPr>
        <w:rPr>
          <w:b/>
          <w:bCs/>
          <w:color w:val="EE0000"/>
          <w:sz w:val="44"/>
          <w:szCs w:val="72"/>
        </w:rPr>
      </w:pPr>
      <w:r w:rsidRPr="00FA5D82">
        <w:rPr>
          <w:b/>
          <w:bCs/>
          <w:color w:val="EE0000"/>
          <w:sz w:val="44"/>
          <w:szCs w:val="72"/>
        </w:rPr>
        <w:t>August 2025</w:t>
      </w:r>
    </w:p>
    <w:p w14:paraId="6418CB38" w14:textId="77777777" w:rsidR="00BC70EF" w:rsidRPr="002F2243" w:rsidRDefault="00BC70EF" w:rsidP="00EB2823">
      <w:pPr>
        <w:spacing w:before="1920" w:after="0" w:line="264" w:lineRule="auto"/>
        <w:contextualSpacing/>
        <w:rPr>
          <w:rFonts w:eastAsiaTheme="majorEastAsia" w:cstheme="majorBidi"/>
          <w:spacing w:val="-10"/>
          <w:kern w:val="28"/>
          <w:sz w:val="40"/>
          <w:szCs w:val="44"/>
        </w:rPr>
      </w:pPr>
    </w:p>
    <w:p w14:paraId="7407FDBA" w14:textId="77777777" w:rsidR="00BC70EF" w:rsidRPr="002F2243" w:rsidRDefault="00BC70EF" w:rsidP="00EB2823">
      <w:pPr>
        <w:spacing w:before="1920" w:after="0" w:line="264" w:lineRule="auto"/>
        <w:contextualSpacing/>
        <w:rPr>
          <w:rFonts w:eastAsiaTheme="majorEastAsia" w:cstheme="majorBidi"/>
          <w:spacing w:val="-10"/>
          <w:kern w:val="28"/>
          <w:sz w:val="40"/>
          <w:szCs w:val="44"/>
        </w:rPr>
      </w:pPr>
    </w:p>
    <w:p w14:paraId="494F522A" w14:textId="77777777" w:rsidR="00BC70EF" w:rsidRPr="002F2243" w:rsidRDefault="00BC70EF" w:rsidP="00EB2823">
      <w:pPr>
        <w:spacing w:before="1920" w:after="0" w:line="264" w:lineRule="auto"/>
        <w:contextualSpacing/>
        <w:rPr>
          <w:rFonts w:eastAsiaTheme="majorEastAsia" w:cstheme="majorBidi"/>
          <w:spacing w:val="-10"/>
          <w:kern w:val="28"/>
          <w:sz w:val="40"/>
          <w:szCs w:val="44"/>
        </w:rPr>
      </w:pPr>
    </w:p>
    <w:p w14:paraId="160C5B7B" w14:textId="77777777" w:rsidR="00BC70EF" w:rsidRPr="002F2243" w:rsidRDefault="00BC70EF" w:rsidP="00EB2823">
      <w:pPr>
        <w:spacing w:before="1920" w:after="0" w:line="264" w:lineRule="auto"/>
        <w:contextualSpacing/>
        <w:rPr>
          <w:rFonts w:eastAsiaTheme="majorEastAsia" w:cstheme="majorBidi"/>
          <w:spacing w:val="-10"/>
          <w:kern w:val="28"/>
          <w:sz w:val="40"/>
          <w:szCs w:val="44"/>
        </w:rPr>
      </w:pPr>
    </w:p>
    <w:p w14:paraId="68F79311" w14:textId="77777777" w:rsidR="00BC70EF" w:rsidRPr="002F2243" w:rsidRDefault="00BC70EF" w:rsidP="00EB2823">
      <w:pPr>
        <w:spacing w:before="1920" w:after="0" w:line="264" w:lineRule="auto"/>
        <w:contextualSpacing/>
        <w:rPr>
          <w:rFonts w:eastAsiaTheme="majorEastAsia" w:cstheme="majorBidi"/>
          <w:spacing w:val="-10"/>
          <w:kern w:val="28"/>
          <w:sz w:val="40"/>
          <w:szCs w:val="44"/>
        </w:rPr>
      </w:pPr>
    </w:p>
    <w:p w14:paraId="65B3A86D" w14:textId="70FE8BC8" w:rsidR="00726789" w:rsidRDefault="00BC70EF" w:rsidP="00EB2823">
      <w:pPr>
        <w:spacing w:before="1920" w:after="0" w:line="264" w:lineRule="auto"/>
        <w:contextualSpacing/>
        <w:rPr>
          <w:rFonts w:eastAsiaTheme="majorEastAsia" w:cstheme="majorBidi"/>
          <w:i/>
          <w:iCs/>
          <w:color w:val="067296" w:themeColor="text2"/>
          <w:spacing w:val="-10"/>
          <w:kern w:val="28"/>
          <w:sz w:val="34"/>
          <w:szCs w:val="34"/>
        </w:rPr>
      </w:pPr>
      <w:r w:rsidRPr="002F2243">
        <w:rPr>
          <w:rFonts w:eastAsiaTheme="majorEastAsia" w:cstheme="majorBidi"/>
          <w:i/>
          <w:iCs/>
          <w:color w:val="067296" w:themeColor="text2"/>
          <w:spacing w:val="-10"/>
          <w:kern w:val="28"/>
          <w:sz w:val="34"/>
          <w:szCs w:val="34"/>
        </w:rPr>
        <w:t>Informing the future of Australia’s power sy</w:t>
      </w:r>
      <w:r w:rsidR="002B5916" w:rsidRPr="002F2243">
        <w:rPr>
          <w:rFonts w:eastAsiaTheme="majorEastAsia" w:cstheme="majorBidi"/>
          <w:i/>
          <w:iCs/>
          <w:color w:val="067296" w:themeColor="text2"/>
          <w:spacing w:val="-10"/>
          <w:kern w:val="28"/>
          <w:sz w:val="34"/>
          <w:szCs w:val="34"/>
        </w:rPr>
        <w:t>stems</w:t>
      </w:r>
    </w:p>
    <w:p w14:paraId="1E9800B2" w14:textId="77777777" w:rsidR="00B33DAE" w:rsidRPr="00B33DAE" w:rsidRDefault="00B33DAE" w:rsidP="00B33DAE">
      <w:pPr>
        <w:rPr>
          <w:szCs w:val="18"/>
        </w:rPr>
      </w:pPr>
      <w:r w:rsidRPr="00B33DAE">
        <w:rPr>
          <w:szCs w:val="18"/>
        </w:rPr>
        <w:lastRenderedPageBreak/>
        <w:t>© Commonwealth Scientific and Industrial Research Organisation 2025. To the extent permitted by law, all rights are reserved and no part of this publication covered by copyright may be reproduced or copied in any form or by any means except with the written permission of CSIRO.</w:t>
      </w:r>
    </w:p>
    <w:p w14:paraId="485F7A37" w14:textId="77777777" w:rsidR="00B33DAE" w:rsidRPr="00B33DAE" w:rsidRDefault="00B33DAE" w:rsidP="00183D09">
      <w:pPr>
        <w:spacing w:after="180"/>
        <w:rPr>
          <w:i/>
          <w:iCs/>
          <w:color w:val="013C4C" w:themeColor="accent1"/>
          <w:sz w:val="20"/>
          <w:szCs w:val="18"/>
        </w:rPr>
      </w:pPr>
      <w:r w:rsidRPr="00B33DAE">
        <w:rPr>
          <w:i/>
          <w:iCs/>
          <w:color w:val="013C4C" w:themeColor="accent1"/>
          <w:sz w:val="20"/>
          <w:szCs w:val="18"/>
        </w:rPr>
        <w:t>Important disclaimer</w:t>
      </w:r>
    </w:p>
    <w:p w14:paraId="11E069BF" w14:textId="77777777" w:rsidR="00B33DAE" w:rsidRPr="00B33DAE" w:rsidRDefault="00B33DAE" w:rsidP="00183D09">
      <w:pPr>
        <w:spacing w:before="180" w:after="180"/>
        <w:rPr>
          <w:szCs w:val="18"/>
        </w:rPr>
      </w:pPr>
      <w:r w:rsidRPr="00B33DAE">
        <w:rPr>
          <w:szCs w:val="18"/>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69458F17" w14:textId="77777777" w:rsidR="00B33DAE" w:rsidRPr="00B33DAE" w:rsidRDefault="00B33DAE" w:rsidP="00183D09">
      <w:pPr>
        <w:spacing w:before="180" w:after="180"/>
        <w:rPr>
          <w:szCs w:val="18"/>
        </w:rPr>
      </w:pPr>
      <w:r w:rsidRPr="00B33DAE">
        <w:rPr>
          <w:szCs w:val="18"/>
        </w:rPr>
        <w:t>CSIRO is committed to providing web accessible content wherever possible. If you are having difficulties with accessing this document, please contact csiro.au/contact.</w:t>
      </w:r>
    </w:p>
    <w:p w14:paraId="2C8F42DE" w14:textId="77777777" w:rsidR="00B33DAE" w:rsidRPr="00B33DAE" w:rsidRDefault="00B33DAE" w:rsidP="00B33DAE">
      <w:pPr>
        <w:spacing w:before="0" w:after="160" w:line="259" w:lineRule="auto"/>
        <w:rPr>
          <w:b/>
          <w:bCs/>
          <w:szCs w:val="18"/>
        </w:rPr>
      </w:pPr>
      <w:r w:rsidRPr="00B33DAE">
        <w:rPr>
          <w:b/>
          <w:bCs/>
          <w:szCs w:val="18"/>
        </w:rPr>
        <w:t>Prepared for:</w:t>
      </w:r>
    </w:p>
    <w:p w14:paraId="0F050C81" w14:textId="77777777" w:rsidR="00B33DAE" w:rsidRPr="00B33DAE" w:rsidRDefault="00B33DAE" w:rsidP="00B33DAE">
      <w:pPr>
        <w:spacing w:before="0" w:after="0" w:line="259" w:lineRule="auto"/>
        <w:rPr>
          <w:i/>
          <w:iCs/>
          <w:color w:val="0290B7" w:themeColor="text1" w:themeTint="BF"/>
          <w:sz w:val="12"/>
          <w:szCs w:val="12"/>
        </w:rPr>
      </w:pPr>
      <w:r w:rsidRPr="00B33DAE">
        <w:rPr>
          <w:noProof/>
          <w:szCs w:val="18"/>
        </w:rPr>
        <w:drawing>
          <wp:inline distT="0" distB="0" distL="0" distR="0" wp14:anchorId="17BD3D9A" wp14:editId="77AA047F">
            <wp:extent cx="810883" cy="810883"/>
            <wp:effectExtent l="0" t="0" r="8890" b="8890"/>
            <wp:docPr id="1130745649" name="Picture 15"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45649" name="Picture 15" descr="A blue circle with white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275" cy="821275"/>
                    </a:xfrm>
                    <a:prstGeom prst="rect">
                      <a:avLst/>
                    </a:prstGeom>
                    <a:noFill/>
                    <a:ln>
                      <a:noFill/>
                    </a:ln>
                  </pic:spPr>
                </pic:pic>
              </a:graphicData>
            </a:graphic>
          </wp:inline>
        </w:drawing>
      </w:r>
      <w:r w:rsidRPr="00B33DAE">
        <w:rPr>
          <w:i/>
          <w:iCs/>
          <w:color w:val="0290B7" w:themeColor="text1" w:themeTint="BF"/>
          <w:szCs w:val="18"/>
        </w:rPr>
        <w:br/>
      </w:r>
    </w:p>
    <w:p w14:paraId="4FBD59C6" w14:textId="77777777" w:rsidR="00B33DAE" w:rsidRPr="00B33DAE" w:rsidRDefault="00B33DAE" w:rsidP="00B33DAE">
      <w:pPr>
        <w:spacing w:before="0" w:after="60" w:line="259" w:lineRule="auto"/>
        <w:rPr>
          <w:rStyle w:val="SubtleEmphasis"/>
          <w:b/>
          <w:bCs/>
          <w:i w:val="0"/>
          <w:iCs w:val="0"/>
          <w:color w:val="auto"/>
        </w:rPr>
      </w:pPr>
      <w:r w:rsidRPr="00B33DAE">
        <w:rPr>
          <w:rStyle w:val="SubtleEmphasis"/>
          <w:b/>
          <w:bCs/>
          <w:i w:val="0"/>
          <w:iCs w:val="0"/>
          <w:color w:val="auto"/>
        </w:rPr>
        <w:t>What is CSIRO?</w:t>
      </w:r>
    </w:p>
    <w:p w14:paraId="2E29E183" w14:textId="77777777" w:rsidR="00B33DAE" w:rsidRPr="00B33DAE" w:rsidRDefault="00B33DAE" w:rsidP="00B33DAE">
      <w:pPr>
        <w:spacing w:before="0" w:after="160" w:line="259" w:lineRule="auto"/>
        <w:rPr>
          <w:szCs w:val="18"/>
        </w:rPr>
      </w:pPr>
      <w:r w:rsidRPr="00B33DAE">
        <w:rPr>
          <w:szCs w:val="18"/>
        </w:rPr>
        <w:t>The Commonwealth Scientific and Industrial Research Organisation is Australia's national science agency, conducting applied research across key sectors to drive national impact.</w:t>
      </w:r>
    </w:p>
    <w:p w14:paraId="268FDF83" w14:textId="77777777" w:rsidR="00AD2118" w:rsidRPr="00E12663" w:rsidRDefault="00AD2118" w:rsidP="00E12663">
      <w:pPr>
        <w:spacing w:before="0" w:after="60" w:line="259" w:lineRule="auto"/>
        <w:rPr>
          <w:rStyle w:val="SubtleEmphasis"/>
          <w:b/>
          <w:bCs/>
          <w:i w:val="0"/>
          <w:iCs w:val="0"/>
          <w:color w:val="auto"/>
        </w:rPr>
      </w:pPr>
      <w:r w:rsidRPr="00E12663">
        <w:rPr>
          <w:rStyle w:val="SubtleEmphasis"/>
          <w:b/>
          <w:bCs/>
          <w:i w:val="0"/>
          <w:iCs w:val="0"/>
          <w:color w:val="auto"/>
        </w:rPr>
        <w:t xml:space="preserve">Citation: </w:t>
      </w:r>
    </w:p>
    <w:p w14:paraId="787E5AE9" w14:textId="40355DD0" w:rsidR="00AD2118" w:rsidRPr="0005002F" w:rsidRDefault="003B73EF" w:rsidP="0018069C">
      <w:pPr>
        <w:spacing w:before="120"/>
        <w:rPr>
          <w:rStyle w:val="SubtleEmphasis"/>
          <w:i w:val="0"/>
          <w:iCs w:val="0"/>
          <w:color w:val="auto"/>
          <w:szCs w:val="18"/>
        </w:rPr>
      </w:pPr>
      <w:r w:rsidRPr="003B73EF">
        <w:rPr>
          <w:rStyle w:val="SubtleEmphasis"/>
          <w:i w:val="0"/>
          <w:iCs w:val="0"/>
          <w:color w:val="auto"/>
          <w:szCs w:val="18"/>
        </w:rPr>
        <w:t>Energy Catalyst, Report 3 of 5: Systemic Issues &amp; Transformation Risks</w:t>
      </w:r>
      <w:r w:rsidR="00160431">
        <w:rPr>
          <w:rStyle w:val="SubtleEmphasis"/>
          <w:i w:val="0"/>
          <w:iCs w:val="0"/>
          <w:color w:val="auto"/>
          <w:szCs w:val="18"/>
        </w:rPr>
        <w:t xml:space="preserve"> v1.</w:t>
      </w:r>
      <w:r w:rsidR="00DF56CF">
        <w:rPr>
          <w:rStyle w:val="SubtleEmphasis"/>
          <w:i w:val="0"/>
          <w:iCs w:val="0"/>
          <w:color w:val="auto"/>
          <w:szCs w:val="18"/>
        </w:rPr>
        <w:t>2</w:t>
      </w:r>
      <w:r w:rsidRPr="003B73EF">
        <w:rPr>
          <w:rStyle w:val="SubtleEmphasis"/>
          <w:i w:val="0"/>
          <w:iCs w:val="0"/>
          <w:color w:val="auto"/>
          <w:szCs w:val="18"/>
        </w:rPr>
        <w:t xml:space="preserve">, AR-PST (Australian Research in Power Systems Transition) Stage 4 Topic 7, prepared for CSIRO, </w:t>
      </w:r>
      <w:r w:rsidR="00FA5D82">
        <w:rPr>
          <w:rStyle w:val="SubtleEmphasis"/>
          <w:i w:val="0"/>
          <w:iCs w:val="0"/>
          <w:color w:val="auto"/>
          <w:szCs w:val="18"/>
        </w:rPr>
        <w:t>August</w:t>
      </w:r>
      <w:r w:rsidRPr="003B73EF">
        <w:rPr>
          <w:rStyle w:val="SubtleEmphasis"/>
          <w:i w:val="0"/>
          <w:iCs w:val="0"/>
          <w:color w:val="auto"/>
          <w:szCs w:val="18"/>
        </w:rPr>
        <w:t xml:space="preserve"> 2025.</w:t>
      </w:r>
    </w:p>
    <w:p w14:paraId="43645871" w14:textId="77777777" w:rsidR="00705D75" w:rsidRPr="003A20C3" w:rsidRDefault="00705D75" w:rsidP="00705D75">
      <w:pPr>
        <w:spacing w:before="0" w:after="160" w:line="259" w:lineRule="auto"/>
        <w:rPr>
          <w:rStyle w:val="SubtleEmphasis"/>
          <w:rFonts w:ascii="PP Mori SemiBold" w:hAnsi="PP Mori SemiBold"/>
          <w:i w:val="0"/>
          <w:iCs w:val="0"/>
          <w:szCs w:val="18"/>
        </w:rPr>
      </w:pPr>
      <w:r w:rsidRPr="003A20C3">
        <w:rPr>
          <w:rFonts w:ascii="PP Mori SemiBold" w:hAnsi="PP Mori SemiBold"/>
          <w:noProof/>
          <w:color w:val="013C4C" w:themeColor="text1"/>
          <w:szCs w:val="18"/>
        </w:rPr>
        <w:drawing>
          <wp:inline distT="0" distB="0" distL="0" distR="0" wp14:anchorId="051BD767" wp14:editId="01FB9E2D">
            <wp:extent cx="3246850" cy="603250"/>
            <wp:effectExtent l="0" t="0" r="4445" b="1270"/>
            <wp:docPr id="1864756803" name="Picture 1" descr="A blue and black tex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6977" name="Picture 1" descr="A blue and black tex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6850" cy="603250"/>
                    </a:xfrm>
                    <a:prstGeom prst="rect">
                      <a:avLst/>
                    </a:prstGeom>
                  </pic:spPr>
                </pic:pic>
              </a:graphicData>
            </a:graphic>
          </wp:inline>
        </w:drawing>
      </w:r>
    </w:p>
    <w:p w14:paraId="202EF712" w14:textId="20B1B8CB" w:rsidR="00AD2118" w:rsidRPr="00354C6D" w:rsidRDefault="00705D75" w:rsidP="00354C6D">
      <w:pPr>
        <w:ind w:right="-285"/>
        <w:rPr>
          <w:szCs w:val="18"/>
        </w:rPr>
      </w:pPr>
      <w:r w:rsidRPr="00527C82">
        <w:rPr>
          <w:szCs w:val="18"/>
        </w:rPr>
        <w:t>Energy Catalyst Disclaimer: The information contained in this publication comprises general statements</w:t>
      </w:r>
      <w:r>
        <w:rPr>
          <w:szCs w:val="18"/>
        </w:rPr>
        <w:t>.  No claim to represent the official policy of CSIRO, AEMO or any other third party is made</w:t>
      </w:r>
      <w:r w:rsidRPr="00527C82">
        <w:rPr>
          <w:szCs w:val="18"/>
        </w:rPr>
        <w:t xml:space="preserve">. The reader is advised and </w:t>
      </w:r>
      <w:r>
        <w:rPr>
          <w:szCs w:val="18"/>
        </w:rPr>
        <w:t xml:space="preserve">acknowledges that the </w:t>
      </w:r>
      <w:r w:rsidRPr="00527C82">
        <w:rPr>
          <w:szCs w:val="18"/>
        </w:rPr>
        <w:t xml:space="preserve">information </w:t>
      </w:r>
      <w:r>
        <w:rPr>
          <w:szCs w:val="18"/>
        </w:rPr>
        <w:t xml:space="preserve">contained </w:t>
      </w:r>
      <w:r w:rsidRPr="00527C82">
        <w:rPr>
          <w:szCs w:val="18"/>
        </w:rPr>
        <w:t xml:space="preserve">may be incomplete and/or unsuitable for use in specific situations. Therefore, no reliance or actions must be made on the information contained without seeking independent expert professional, scientific and technical advice. To the extent permitted by law, CSIRO and Energy Catalyst (including their employees and consultants) exclude all liability to any person or entity for any consequences, including but not limited to all losses, damages, costs, expenses and any other compensation, arising directly or indirectly from using this publication (in part or in whole) and any information, material, errors and/or omissions contained </w:t>
      </w:r>
      <w:r>
        <w:rPr>
          <w:szCs w:val="18"/>
        </w:rPr>
        <w:t xml:space="preserve">therein. </w:t>
      </w:r>
    </w:p>
    <w:p w14:paraId="6A53081D" w14:textId="77777777" w:rsidR="00AD2118" w:rsidRDefault="00AD2118" w:rsidP="00AD2118">
      <w:pPr>
        <w:rPr>
          <w:rStyle w:val="IntenseEmphasis"/>
        </w:rPr>
      </w:pPr>
    </w:p>
    <w:p w14:paraId="2F311B5E" w14:textId="77777777" w:rsidR="0018069C" w:rsidRPr="0018069C" w:rsidRDefault="0018069C" w:rsidP="0018069C">
      <w:pPr>
        <w:spacing w:before="0" w:after="160" w:line="259" w:lineRule="auto"/>
        <w:rPr>
          <w:i/>
          <w:iCs/>
          <w:color w:val="013C4C" w:themeColor="accent1"/>
          <w:sz w:val="20"/>
          <w:szCs w:val="18"/>
        </w:rPr>
      </w:pPr>
    </w:p>
    <w:p w14:paraId="7046CCD5" w14:textId="77777777" w:rsidR="0018069C" w:rsidRDefault="0018069C" w:rsidP="0018069C">
      <w:pPr>
        <w:spacing w:before="0" w:after="160" w:line="259" w:lineRule="auto"/>
        <w:rPr>
          <w:i/>
          <w:iCs/>
          <w:color w:val="013C4C" w:themeColor="accent1"/>
          <w:sz w:val="20"/>
          <w:szCs w:val="18"/>
        </w:rPr>
      </w:pPr>
    </w:p>
    <w:p w14:paraId="672CE915" w14:textId="77777777" w:rsidR="0018069C" w:rsidRPr="0018069C" w:rsidRDefault="0018069C" w:rsidP="0018069C">
      <w:pPr>
        <w:spacing w:before="0" w:after="160" w:line="259" w:lineRule="auto"/>
        <w:rPr>
          <w:i/>
          <w:iCs/>
          <w:color w:val="013C4C" w:themeColor="accent1"/>
          <w:sz w:val="20"/>
          <w:szCs w:val="18"/>
        </w:rPr>
      </w:pPr>
    </w:p>
    <w:p w14:paraId="5601285C" w14:textId="77777777" w:rsidR="0018069C" w:rsidRPr="00196F8A" w:rsidRDefault="0018069C" w:rsidP="0018069C">
      <w:pPr>
        <w:spacing w:before="0" w:after="160" w:line="259" w:lineRule="auto"/>
        <w:ind w:left="-567"/>
        <w:jc w:val="center"/>
        <w:rPr>
          <w:i/>
          <w:iCs/>
          <w:color w:val="013C4C" w:themeColor="text1"/>
          <w:sz w:val="2"/>
          <w:szCs w:val="2"/>
        </w:rPr>
      </w:pPr>
    </w:p>
    <w:p w14:paraId="7575CCF3" w14:textId="77777777" w:rsidR="00026688" w:rsidRPr="0018069C" w:rsidRDefault="00026688" w:rsidP="0018069C">
      <w:pPr>
        <w:spacing w:before="0" w:after="160" w:line="259" w:lineRule="auto"/>
        <w:ind w:left="-567"/>
        <w:jc w:val="center"/>
        <w:rPr>
          <w:i/>
          <w:iCs/>
          <w:color w:val="013C4C" w:themeColor="text1"/>
          <w:sz w:val="36"/>
          <w:szCs w:val="32"/>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18069C" w:rsidRPr="0018069C" w14:paraId="258E0B2A" w14:textId="77777777" w:rsidTr="00160431">
        <w:tc>
          <w:tcPr>
            <w:tcW w:w="7087" w:type="dxa"/>
            <w:shd w:val="clear" w:color="auto" w:fill="013C4C" w:themeFill="text1"/>
          </w:tcPr>
          <w:p w14:paraId="057646FD" w14:textId="77777777" w:rsidR="0018069C" w:rsidRPr="0018069C" w:rsidRDefault="0018069C" w:rsidP="0018069C">
            <w:pPr>
              <w:spacing w:before="60" w:after="60" w:line="259" w:lineRule="auto"/>
              <w:jc w:val="center"/>
              <w:rPr>
                <w:rFonts w:ascii="PP Mori SemiBold" w:hAnsi="PP Mori SemiBold"/>
                <w:i/>
                <w:iCs/>
                <w:color w:val="FAFAFA" w:themeColor="background1"/>
                <w:sz w:val="36"/>
                <w:szCs w:val="32"/>
              </w:rPr>
            </w:pPr>
            <w:r w:rsidRPr="0018069C">
              <w:rPr>
                <w:rFonts w:ascii="PP Mori SemiBold" w:hAnsi="PP Mori SemiBold"/>
                <w:i/>
                <w:iCs/>
                <w:color w:val="FAFAFA" w:themeColor="background1"/>
                <w:sz w:val="36"/>
                <w:szCs w:val="32"/>
              </w:rPr>
              <w:t>Navigating to 2035 en route to 2050</w:t>
            </w:r>
          </w:p>
        </w:tc>
      </w:tr>
      <w:tr w:rsidR="0018069C" w:rsidRPr="0018069C" w14:paraId="53CD56EE" w14:textId="77777777" w:rsidTr="00E52F89">
        <w:tc>
          <w:tcPr>
            <w:tcW w:w="7087" w:type="dxa"/>
          </w:tcPr>
          <w:p w14:paraId="554F0706" w14:textId="77777777" w:rsidR="0018069C" w:rsidRPr="0018069C" w:rsidRDefault="0018069C" w:rsidP="0018069C">
            <w:pPr>
              <w:spacing w:before="0" w:after="0" w:line="259" w:lineRule="auto"/>
              <w:jc w:val="center"/>
              <w:rPr>
                <w:rFonts w:ascii="PP Mori SemiBold" w:hAnsi="PP Mori SemiBold"/>
                <w:i/>
                <w:iCs/>
                <w:color w:val="FAFAFA" w:themeColor="background1"/>
                <w:sz w:val="6"/>
                <w:szCs w:val="6"/>
              </w:rPr>
            </w:pPr>
          </w:p>
        </w:tc>
      </w:tr>
      <w:tr w:rsidR="0018069C" w:rsidRPr="0018069C" w14:paraId="41DDE96A" w14:textId="77777777" w:rsidTr="00160431">
        <w:tc>
          <w:tcPr>
            <w:tcW w:w="7087" w:type="dxa"/>
            <w:shd w:val="clear" w:color="auto" w:fill="067296" w:themeFill="text2"/>
          </w:tcPr>
          <w:p w14:paraId="078CDBEE" w14:textId="0EE54093" w:rsidR="00851D98" w:rsidRPr="0018069C" w:rsidRDefault="00851D98" w:rsidP="00DD3C64">
            <w:pPr>
              <w:spacing w:before="180" w:after="180"/>
              <w:ind w:left="176" w:right="312"/>
              <w:jc w:val="both"/>
              <w:rPr>
                <w:color w:val="FAFAFA" w:themeColor="background1"/>
                <w:szCs w:val="24"/>
              </w:rPr>
            </w:pPr>
            <w:r w:rsidRPr="00851D98">
              <w:rPr>
                <w:color w:val="FAFAFA" w:themeColor="background1"/>
                <w:szCs w:val="24"/>
              </w:rPr>
              <w:t xml:space="preserve">Consistent with Systems Engineering practice, </w:t>
            </w:r>
            <w:r w:rsidR="00CF16EF">
              <w:rPr>
                <w:color w:val="FAFAFA" w:themeColor="background1"/>
                <w:szCs w:val="24"/>
              </w:rPr>
              <w:t>this report</w:t>
            </w:r>
            <w:r w:rsidRPr="00851D98">
              <w:rPr>
                <w:color w:val="FAFAFA" w:themeColor="background1"/>
                <w:szCs w:val="24"/>
              </w:rPr>
              <w:t xml:space="preserve"> distils a finite set of </w:t>
            </w:r>
            <w:r w:rsidR="00160431">
              <w:rPr>
                <w:color w:val="FAFAFA" w:themeColor="background1"/>
                <w:szCs w:val="24"/>
              </w:rPr>
              <w:t xml:space="preserve">cross-cutting issues </w:t>
            </w:r>
            <w:r w:rsidR="000471DE">
              <w:rPr>
                <w:color w:val="FAFAFA" w:themeColor="background1"/>
                <w:szCs w:val="24"/>
              </w:rPr>
              <w:t xml:space="preserve">derived from the almost </w:t>
            </w:r>
            <w:r w:rsidR="00472436">
              <w:rPr>
                <w:color w:val="FAFAFA" w:themeColor="background1"/>
                <w:szCs w:val="24"/>
              </w:rPr>
              <w:t>one hundred trends impacting global power system</w:t>
            </w:r>
            <w:r w:rsidR="00E7745D">
              <w:rPr>
                <w:color w:val="FAFAFA" w:themeColor="background1"/>
                <w:szCs w:val="24"/>
              </w:rPr>
              <w:t xml:space="preserve">s and mapped in Report 2.  The resulting fifteen </w:t>
            </w:r>
            <w:r w:rsidRPr="00851D98">
              <w:rPr>
                <w:color w:val="FAFAFA" w:themeColor="background1"/>
                <w:szCs w:val="24"/>
              </w:rPr>
              <w:t xml:space="preserve">Systemic Issues </w:t>
            </w:r>
            <w:r w:rsidR="00E7745D">
              <w:rPr>
                <w:color w:val="FAFAFA" w:themeColor="background1"/>
                <w:szCs w:val="24"/>
              </w:rPr>
              <w:t xml:space="preserve">provide key points of leverage </w:t>
            </w:r>
            <w:r w:rsidR="00A0510B">
              <w:rPr>
                <w:color w:val="FAFAFA" w:themeColor="background1"/>
                <w:szCs w:val="24"/>
              </w:rPr>
              <w:t>for preparing the NEM for an i</w:t>
            </w:r>
            <w:r w:rsidRPr="00851D98">
              <w:rPr>
                <w:color w:val="FAFAFA" w:themeColor="background1"/>
                <w:szCs w:val="24"/>
              </w:rPr>
              <w:t xml:space="preserve">ncreasingly decarbonised and distributed </w:t>
            </w:r>
            <w:r w:rsidR="00A0510B">
              <w:rPr>
                <w:color w:val="FAFAFA" w:themeColor="background1"/>
                <w:szCs w:val="24"/>
              </w:rPr>
              <w:t>future</w:t>
            </w:r>
            <w:r w:rsidRPr="00851D98">
              <w:rPr>
                <w:color w:val="FAFAFA" w:themeColor="background1"/>
                <w:szCs w:val="24"/>
              </w:rPr>
              <w:t xml:space="preserve">.  </w:t>
            </w:r>
            <w:r w:rsidR="00DD3C64">
              <w:rPr>
                <w:color w:val="FAFAFA" w:themeColor="background1"/>
                <w:szCs w:val="24"/>
              </w:rPr>
              <w:t xml:space="preserve">This </w:t>
            </w:r>
            <w:r w:rsidRPr="00851D98">
              <w:rPr>
                <w:color w:val="FAFAFA" w:themeColor="background1"/>
                <w:szCs w:val="24"/>
              </w:rPr>
              <w:t xml:space="preserve">enables stakeholders to move from interrogating dozens of individual trends and large use case libraries, which rapidly become unwieldy, to a more focused set </w:t>
            </w:r>
            <w:r w:rsidR="009C110F">
              <w:rPr>
                <w:color w:val="FAFAFA" w:themeColor="background1"/>
                <w:szCs w:val="24"/>
              </w:rPr>
              <w:t>target</w:t>
            </w:r>
            <w:r w:rsidRPr="00851D98">
              <w:rPr>
                <w:color w:val="FAFAFA" w:themeColor="background1"/>
                <w:szCs w:val="24"/>
              </w:rPr>
              <w:t xml:space="preserve"> issues that </w:t>
            </w:r>
            <w:r w:rsidR="00F34604">
              <w:rPr>
                <w:color w:val="FAFAFA" w:themeColor="background1"/>
                <w:szCs w:val="24"/>
              </w:rPr>
              <w:t xml:space="preserve">provide compounding benefits if addressed and </w:t>
            </w:r>
            <w:r w:rsidR="009C110F">
              <w:rPr>
                <w:color w:val="FAFAFA" w:themeColor="background1"/>
                <w:szCs w:val="24"/>
              </w:rPr>
              <w:t xml:space="preserve">directly inform </w:t>
            </w:r>
            <w:r w:rsidR="00F34604">
              <w:rPr>
                <w:color w:val="FAFAFA" w:themeColor="background1"/>
                <w:szCs w:val="24"/>
              </w:rPr>
              <w:t xml:space="preserve">Distribution System Operator (DSO) and T-D Coordination (TDC) </w:t>
            </w:r>
            <w:r w:rsidR="008A2B55">
              <w:rPr>
                <w:color w:val="FAFAFA" w:themeColor="background1"/>
                <w:szCs w:val="24"/>
              </w:rPr>
              <w:t xml:space="preserve">design. </w:t>
            </w:r>
            <w:r w:rsidRPr="00851D98">
              <w:rPr>
                <w:color w:val="FAFAFA" w:themeColor="background1"/>
                <w:szCs w:val="24"/>
              </w:rPr>
              <w:t xml:space="preserve">  </w:t>
            </w:r>
          </w:p>
        </w:tc>
      </w:tr>
    </w:tbl>
    <w:p w14:paraId="79506AEF" w14:textId="77777777" w:rsidR="0018069C" w:rsidRPr="00196F8A" w:rsidRDefault="0018069C" w:rsidP="0018069C">
      <w:pPr>
        <w:spacing w:before="0" w:after="160" w:line="259" w:lineRule="auto"/>
        <w:ind w:left="-567"/>
        <w:jc w:val="center"/>
        <w:rPr>
          <w:i/>
          <w:iCs/>
          <w:color w:val="013C4C" w:themeColor="text1"/>
          <w:sz w:val="60"/>
          <w:szCs w:val="60"/>
        </w:rPr>
      </w:pPr>
    </w:p>
    <w:p w14:paraId="1D235474" w14:textId="77777777" w:rsidR="0018069C" w:rsidRPr="0018069C" w:rsidRDefault="0018069C" w:rsidP="0018069C">
      <w:pPr>
        <w:spacing w:before="60" w:after="60" w:line="259" w:lineRule="auto"/>
        <w:ind w:left="1134"/>
        <w:rPr>
          <w:color w:val="013C4C" w:themeColor="text1"/>
          <w:sz w:val="22"/>
          <w:szCs w:val="36"/>
        </w:rPr>
      </w:pPr>
      <w:r w:rsidRPr="0018069C">
        <w:rPr>
          <w:color w:val="013C4C" w:themeColor="text1"/>
          <w:sz w:val="22"/>
          <w:szCs w:val="36"/>
        </w:rPr>
        <w:tab/>
      </w:r>
      <w:r w:rsidRPr="0018069C">
        <w:rPr>
          <w:color w:val="013C4C" w:themeColor="text1"/>
          <w:sz w:val="22"/>
          <w:szCs w:val="36"/>
        </w:rPr>
        <w:tab/>
      </w:r>
      <w:r w:rsidRPr="0018069C">
        <w:rPr>
          <w:color w:val="013C4C" w:themeColor="text1"/>
          <w:sz w:val="22"/>
          <w:szCs w:val="36"/>
        </w:rPr>
        <w:tab/>
        <w:t xml:space="preserve"> </w:t>
      </w:r>
    </w:p>
    <w:p w14:paraId="6F6BA2E8" w14:textId="77777777" w:rsidR="0018069C" w:rsidRPr="0018069C" w:rsidRDefault="0018069C" w:rsidP="0018069C">
      <w:pPr>
        <w:spacing w:before="60" w:after="60" w:line="259" w:lineRule="auto"/>
        <w:ind w:left="851" w:firstLine="590"/>
        <w:rPr>
          <w:color w:val="013C4C" w:themeColor="text1"/>
          <w:sz w:val="22"/>
          <w:szCs w:val="36"/>
        </w:rPr>
      </w:pPr>
    </w:p>
    <w:p w14:paraId="598B4E63" w14:textId="77777777" w:rsidR="0018069C" w:rsidRDefault="0018069C" w:rsidP="0018069C">
      <w:pPr>
        <w:spacing w:before="0" w:after="0" w:line="259" w:lineRule="auto"/>
        <w:ind w:left="851" w:firstLine="590"/>
        <w:rPr>
          <w:color w:val="013C4C" w:themeColor="text1"/>
          <w:sz w:val="22"/>
          <w:szCs w:val="36"/>
        </w:rPr>
      </w:pPr>
      <w:r w:rsidRPr="0018069C">
        <w:rPr>
          <w:color w:val="013C4C" w:themeColor="text1"/>
          <w:sz w:val="22"/>
          <w:szCs w:val="36"/>
        </w:rPr>
        <w:tab/>
      </w:r>
      <w:r w:rsidRPr="0018069C">
        <w:rPr>
          <w:color w:val="013C4C" w:themeColor="text1"/>
          <w:sz w:val="22"/>
          <w:szCs w:val="36"/>
        </w:rPr>
        <w:tab/>
        <w:t xml:space="preserve"> </w:t>
      </w:r>
      <w:r w:rsidRPr="0018069C">
        <w:rPr>
          <w:color w:val="013C4C" w:themeColor="text1"/>
          <w:sz w:val="22"/>
          <w:szCs w:val="36"/>
        </w:rPr>
        <w:tab/>
      </w:r>
    </w:p>
    <w:p w14:paraId="31814492" w14:textId="07B583BB" w:rsidR="0018069C" w:rsidRPr="0018069C" w:rsidRDefault="0018069C" w:rsidP="0018069C">
      <w:pPr>
        <w:spacing w:before="0" w:after="0" w:line="259" w:lineRule="auto"/>
        <w:ind w:left="851" w:firstLine="590"/>
        <w:rPr>
          <w:color w:val="013C4C" w:themeColor="text1"/>
          <w:sz w:val="22"/>
          <w:szCs w:val="36"/>
        </w:rPr>
      </w:pPr>
      <w:r w:rsidRPr="0018069C">
        <w:rPr>
          <w:color w:val="013C4C" w:themeColor="text1"/>
          <w:sz w:val="22"/>
          <w:szCs w:val="36"/>
        </w:rPr>
        <w:tab/>
        <w:t xml:space="preserve"> </w:t>
      </w:r>
    </w:p>
    <w:p w14:paraId="4730703A" w14:textId="77777777" w:rsidR="0018069C" w:rsidRPr="00196F8A" w:rsidRDefault="0018069C" w:rsidP="00196F8A">
      <w:pPr>
        <w:spacing w:before="0" w:after="0" w:line="259" w:lineRule="auto"/>
        <w:ind w:left="-567"/>
        <w:jc w:val="center"/>
        <w:rPr>
          <w:sz w:val="10"/>
          <w:szCs w:val="18"/>
        </w:rPr>
      </w:pPr>
    </w:p>
    <w:tbl>
      <w:tblPr>
        <w:tblStyle w:val="TableGrid"/>
        <w:tblW w:w="0" w:type="auto"/>
        <w:tblInd w:w="284" w:type="dxa"/>
        <w:tblBorders>
          <w:top w:val="none" w:sz="0" w:space="0" w:color="auto"/>
          <w:left w:val="none" w:sz="0" w:space="0" w:color="auto"/>
          <w:bottom w:val="none" w:sz="0" w:space="0" w:color="auto"/>
          <w:right w:val="none" w:sz="0" w:space="0" w:color="auto"/>
          <w:insideH w:val="single" w:sz="4" w:space="0" w:color="E7E6E6" w:themeColor="background2"/>
          <w:insideV w:val="single" w:sz="4" w:space="0" w:color="E7E6E6" w:themeColor="background2"/>
        </w:tblBorders>
        <w:shd w:val="clear" w:color="auto" w:fill="013C4C" w:themeFill="text1"/>
        <w:tblLook w:val="04A0" w:firstRow="1" w:lastRow="0" w:firstColumn="1" w:lastColumn="0" w:noHBand="0" w:noVBand="1"/>
      </w:tblPr>
      <w:tblGrid>
        <w:gridCol w:w="3543"/>
        <w:gridCol w:w="3544"/>
      </w:tblGrid>
      <w:tr w:rsidR="0018069C" w:rsidRPr="0018069C" w14:paraId="5C8A2A91" w14:textId="77777777" w:rsidTr="00923E68">
        <w:tc>
          <w:tcPr>
            <w:tcW w:w="7087" w:type="dxa"/>
            <w:gridSpan w:val="2"/>
            <w:shd w:val="clear" w:color="auto" w:fill="013C4C" w:themeFill="text1"/>
            <w:vAlign w:val="center"/>
          </w:tcPr>
          <w:p w14:paraId="284E3D16" w14:textId="77777777" w:rsidR="0018069C" w:rsidRPr="0018069C" w:rsidRDefault="0018069C" w:rsidP="0018069C">
            <w:pPr>
              <w:spacing w:before="120" w:after="120" w:line="259" w:lineRule="auto"/>
              <w:jc w:val="center"/>
              <w:rPr>
                <w:rFonts w:ascii="PP Mori SemiBold" w:hAnsi="PP Mori SemiBold"/>
                <w:color w:val="FAFAFA" w:themeColor="background1"/>
                <w:sz w:val="22"/>
                <w:szCs w:val="36"/>
              </w:rPr>
            </w:pPr>
            <w:r w:rsidRPr="0018069C">
              <w:rPr>
                <w:rFonts w:ascii="PP Mori SemiBold" w:hAnsi="PP Mori SemiBold"/>
                <w:color w:val="FAFAFA" w:themeColor="background1"/>
                <w:sz w:val="24"/>
                <w:szCs w:val="40"/>
              </w:rPr>
              <w:t>Report Development Team</w:t>
            </w:r>
          </w:p>
        </w:tc>
      </w:tr>
      <w:tr w:rsidR="0018069C" w:rsidRPr="0018069C" w14:paraId="6BBE8B9E" w14:textId="77777777" w:rsidTr="00196F8A">
        <w:tc>
          <w:tcPr>
            <w:tcW w:w="3543" w:type="dxa"/>
            <w:shd w:val="clear" w:color="auto" w:fill="067296" w:themeFill="text2"/>
            <w:vAlign w:val="center"/>
          </w:tcPr>
          <w:p w14:paraId="3B8FD1A5" w14:textId="77777777" w:rsidR="0018069C" w:rsidRPr="0018069C" w:rsidRDefault="0018069C" w:rsidP="0018069C">
            <w:pPr>
              <w:spacing w:before="60" w:after="60" w:line="259" w:lineRule="auto"/>
              <w:jc w:val="center"/>
              <w:rPr>
                <w:color w:val="FAFAFA" w:themeColor="background1"/>
                <w:sz w:val="20"/>
                <w:szCs w:val="32"/>
              </w:rPr>
            </w:pPr>
            <w:r w:rsidRPr="0018069C">
              <w:rPr>
                <w:color w:val="FAFAFA" w:themeColor="background1"/>
                <w:sz w:val="20"/>
                <w:szCs w:val="32"/>
              </w:rPr>
              <w:t>Lead Author</w:t>
            </w:r>
          </w:p>
        </w:tc>
        <w:tc>
          <w:tcPr>
            <w:tcW w:w="3544" w:type="dxa"/>
            <w:shd w:val="clear" w:color="auto" w:fill="067296" w:themeFill="text2"/>
            <w:vAlign w:val="center"/>
          </w:tcPr>
          <w:p w14:paraId="176A8009" w14:textId="77777777" w:rsidR="0018069C" w:rsidRPr="0018069C" w:rsidRDefault="0018069C" w:rsidP="0018069C">
            <w:pPr>
              <w:spacing w:before="60" w:after="60" w:line="259" w:lineRule="auto"/>
              <w:jc w:val="center"/>
              <w:rPr>
                <w:color w:val="FAFAFA" w:themeColor="background1"/>
                <w:sz w:val="20"/>
                <w:szCs w:val="32"/>
              </w:rPr>
            </w:pPr>
            <w:r w:rsidRPr="0018069C">
              <w:rPr>
                <w:color w:val="FAFAFA" w:themeColor="background1"/>
                <w:sz w:val="20"/>
                <w:szCs w:val="32"/>
              </w:rPr>
              <w:t>Mark Paterson</w:t>
            </w:r>
          </w:p>
        </w:tc>
      </w:tr>
      <w:tr w:rsidR="0018069C" w:rsidRPr="0018069C" w14:paraId="12D2602A" w14:textId="77777777" w:rsidTr="00196F8A">
        <w:tc>
          <w:tcPr>
            <w:tcW w:w="3543" w:type="dxa"/>
            <w:shd w:val="clear" w:color="auto" w:fill="067296" w:themeFill="text2"/>
            <w:vAlign w:val="center"/>
          </w:tcPr>
          <w:p w14:paraId="07FF2F01" w14:textId="77777777" w:rsidR="0018069C" w:rsidRPr="0018069C" w:rsidRDefault="0018069C" w:rsidP="0018069C">
            <w:pPr>
              <w:spacing w:before="60" w:after="60" w:line="259" w:lineRule="auto"/>
              <w:jc w:val="center"/>
              <w:rPr>
                <w:color w:val="FAFAFA" w:themeColor="background1"/>
                <w:sz w:val="20"/>
                <w:szCs w:val="32"/>
              </w:rPr>
            </w:pPr>
            <w:r w:rsidRPr="0018069C">
              <w:rPr>
                <w:color w:val="FAFAFA" w:themeColor="background1"/>
                <w:sz w:val="20"/>
                <w:szCs w:val="32"/>
              </w:rPr>
              <w:t>Key Technical Advisor</w:t>
            </w:r>
          </w:p>
        </w:tc>
        <w:tc>
          <w:tcPr>
            <w:tcW w:w="3544" w:type="dxa"/>
            <w:shd w:val="clear" w:color="auto" w:fill="067296" w:themeFill="text2"/>
            <w:vAlign w:val="center"/>
          </w:tcPr>
          <w:p w14:paraId="63BADD8D" w14:textId="77777777" w:rsidR="0018069C" w:rsidRPr="0018069C" w:rsidRDefault="0018069C" w:rsidP="0018069C">
            <w:pPr>
              <w:spacing w:before="60" w:after="60" w:line="259" w:lineRule="auto"/>
              <w:jc w:val="center"/>
              <w:rPr>
                <w:color w:val="FAFAFA" w:themeColor="background1"/>
                <w:sz w:val="20"/>
                <w:szCs w:val="32"/>
              </w:rPr>
            </w:pPr>
            <w:r w:rsidRPr="0018069C">
              <w:rPr>
                <w:color w:val="FAFAFA" w:themeColor="background1"/>
                <w:sz w:val="20"/>
                <w:szCs w:val="32"/>
              </w:rPr>
              <w:t>Dr Jeffrey Taft</w:t>
            </w:r>
          </w:p>
        </w:tc>
      </w:tr>
      <w:tr w:rsidR="0018069C" w:rsidRPr="0018069C" w14:paraId="276E8BF4" w14:textId="77777777" w:rsidTr="00196F8A">
        <w:tc>
          <w:tcPr>
            <w:tcW w:w="3543" w:type="dxa"/>
            <w:vMerge w:val="restart"/>
            <w:shd w:val="clear" w:color="auto" w:fill="067296" w:themeFill="text2"/>
            <w:vAlign w:val="center"/>
          </w:tcPr>
          <w:p w14:paraId="2BBFDAFD" w14:textId="77777777" w:rsidR="0018069C" w:rsidRPr="0018069C" w:rsidRDefault="0018069C" w:rsidP="0018069C">
            <w:pPr>
              <w:spacing w:before="60" w:after="60" w:line="259" w:lineRule="auto"/>
              <w:jc w:val="center"/>
              <w:rPr>
                <w:color w:val="FAFAFA" w:themeColor="background1"/>
                <w:sz w:val="20"/>
                <w:szCs w:val="32"/>
              </w:rPr>
            </w:pPr>
            <w:r w:rsidRPr="0018069C">
              <w:rPr>
                <w:color w:val="FAFAFA" w:themeColor="background1"/>
                <w:sz w:val="20"/>
                <w:szCs w:val="32"/>
              </w:rPr>
              <w:t>Contributing Authors</w:t>
            </w:r>
          </w:p>
        </w:tc>
        <w:tc>
          <w:tcPr>
            <w:tcW w:w="3544" w:type="dxa"/>
            <w:shd w:val="clear" w:color="auto" w:fill="067296" w:themeFill="text2"/>
            <w:vAlign w:val="center"/>
          </w:tcPr>
          <w:p w14:paraId="7A40EA6F" w14:textId="77777777" w:rsidR="0018069C" w:rsidRPr="0018069C" w:rsidRDefault="0018069C" w:rsidP="0018069C">
            <w:pPr>
              <w:spacing w:before="60" w:after="60" w:line="259" w:lineRule="auto"/>
              <w:jc w:val="center"/>
              <w:rPr>
                <w:color w:val="FAFAFA" w:themeColor="background1"/>
                <w:sz w:val="20"/>
                <w:szCs w:val="32"/>
              </w:rPr>
            </w:pPr>
            <w:r w:rsidRPr="0018069C">
              <w:rPr>
                <w:color w:val="FAFAFA" w:themeColor="background1"/>
                <w:sz w:val="20"/>
                <w:szCs w:val="32"/>
              </w:rPr>
              <w:t>Matthew Bird</w:t>
            </w:r>
          </w:p>
        </w:tc>
      </w:tr>
      <w:tr w:rsidR="0018069C" w:rsidRPr="0018069C" w14:paraId="2FA4919F" w14:textId="77777777" w:rsidTr="00196F8A">
        <w:tc>
          <w:tcPr>
            <w:tcW w:w="3543" w:type="dxa"/>
            <w:vMerge/>
            <w:shd w:val="clear" w:color="auto" w:fill="067296" w:themeFill="text2"/>
            <w:vAlign w:val="center"/>
          </w:tcPr>
          <w:p w14:paraId="56FBCB35" w14:textId="77777777" w:rsidR="0018069C" w:rsidRPr="0018069C" w:rsidRDefault="0018069C" w:rsidP="0018069C">
            <w:pPr>
              <w:spacing w:before="60" w:after="60" w:line="259" w:lineRule="auto"/>
              <w:jc w:val="center"/>
              <w:rPr>
                <w:color w:val="FAFAFA" w:themeColor="background1"/>
                <w:sz w:val="20"/>
                <w:szCs w:val="32"/>
              </w:rPr>
            </w:pPr>
          </w:p>
        </w:tc>
        <w:tc>
          <w:tcPr>
            <w:tcW w:w="3544" w:type="dxa"/>
            <w:shd w:val="clear" w:color="auto" w:fill="067296" w:themeFill="text2"/>
            <w:vAlign w:val="center"/>
          </w:tcPr>
          <w:p w14:paraId="14AF999B" w14:textId="77777777" w:rsidR="0018069C" w:rsidRPr="0018069C" w:rsidRDefault="0018069C" w:rsidP="0018069C">
            <w:pPr>
              <w:spacing w:before="60" w:after="60" w:line="259" w:lineRule="auto"/>
              <w:jc w:val="center"/>
              <w:rPr>
                <w:color w:val="FAFAFA" w:themeColor="background1"/>
                <w:sz w:val="20"/>
                <w:szCs w:val="32"/>
              </w:rPr>
            </w:pPr>
            <w:r w:rsidRPr="0018069C">
              <w:rPr>
                <w:color w:val="FAFAFA" w:themeColor="background1"/>
                <w:sz w:val="20"/>
                <w:szCs w:val="32"/>
              </w:rPr>
              <w:t>Thomas Prisk</w:t>
            </w:r>
          </w:p>
        </w:tc>
      </w:tr>
      <w:tr w:rsidR="0018069C" w:rsidRPr="0018069C" w14:paraId="2CF2D352" w14:textId="77777777" w:rsidTr="00196F8A">
        <w:tc>
          <w:tcPr>
            <w:tcW w:w="3543" w:type="dxa"/>
            <w:vMerge/>
            <w:shd w:val="clear" w:color="auto" w:fill="067296" w:themeFill="text2"/>
            <w:vAlign w:val="center"/>
          </w:tcPr>
          <w:p w14:paraId="5AD4C3B0" w14:textId="77777777" w:rsidR="0018069C" w:rsidRPr="0018069C" w:rsidRDefault="0018069C" w:rsidP="0018069C">
            <w:pPr>
              <w:spacing w:before="60" w:after="60" w:line="259" w:lineRule="auto"/>
              <w:jc w:val="center"/>
              <w:rPr>
                <w:color w:val="FAFAFA" w:themeColor="background1"/>
                <w:sz w:val="20"/>
                <w:szCs w:val="32"/>
              </w:rPr>
            </w:pPr>
          </w:p>
        </w:tc>
        <w:tc>
          <w:tcPr>
            <w:tcW w:w="3544" w:type="dxa"/>
            <w:shd w:val="clear" w:color="auto" w:fill="067296" w:themeFill="text2"/>
            <w:vAlign w:val="center"/>
          </w:tcPr>
          <w:p w14:paraId="2F641127" w14:textId="4505B9CB" w:rsidR="0018069C" w:rsidRPr="0018069C" w:rsidRDefault="0018069C" w:rsidP="0018069C">
            <w:pPr>
              <w:spacing w:before="60" w:after="60" w:line="259" w:lineRule="auto"/>
              <w:jc w:val="center"/>
              <w:rPr>
                <w:color w:val="FAFAFA" w:themeColor="background1"/>
                <w:sz w:val="20"/>
                <w:szCs w:val="32"/>
              </w:rPr>
            </w:pPr>
            <w:r>
              <w:rPr>
                <w:color w:val="FAFAFA" w:themeColor="background1"/>
                <w:sz w:val="20"/>
                <w:szCs w:val="32"/>
              </w:rPr>
              <w:t>Dr Frederik Geth</w:t>
            </w:r>
          </w:p>
        </w:tc>
      </w:tr>
      <w:tr w:rsidR="0018069C" w:rsidRPr="0018069C" w14:paraId="0F41D9AD" w14:textId="77777777" w:rsidTr="00196F8A">
        <w:tc>
          <w:tcPr>
            <w:tcW w:w="3543" w:type="dxa"/>
            <w:vMerge w:val="restart"/>
            <w:shd w:val="clear" w:color="auto" w:fill="067296" w:themeFill="text2"/>
            <w:vAlign w:val="center"/>
          </w:tcPr>
          <w:p w14:paraId="57735115" w14:textId="77777777" w:rsidR="0018069C" w:rsidRPr="0018069C" w:rsidRDefault="0018069C" w:rsidP="0018069C">
            <w:pPr>
              <w:spacing w:before="60" w:after="60" w:line="259" w:lineRule="auto"/>
              <w:jc w:val="center"/>
              <w:rPr>
                <w:color w:val="FAFAFA" w:themeColor="background1"/>
                <w:sz w:val="20"/>
                <w:szCs w:val="32"/>
              </w:rPr>
            </w:pPr>
            <w:r w:rsidRPr="0018069C">
              <w:rPr>
                <w:color w:val="FAFAFA" w:themeColor="background1"/>
                <w:sz w:val="20"/>
                <w:szCs w:val="32"/>
              </w:rPr>
              <w:t>Support Staff</w:t>
            </w:r>
          </w:p>
        </w:tc>
        <w:tc>
          <w:tcPr>
            <w:tcW w:w="3544" w:type="dxa"/>
            <w:shd w:val="clear" w:color="auto" w:fill="067296" w:themeFill="text2"/>
            <w:vAlign w:val="center"/>
          </w:tcPr>
          <w:p w14:paraId="7DFA880A" w14:textId="77777777" w:rsidR="0018069C" w:rsidRPr="0018069C" w:rsidRDefault="0018069C" w:rsidP="0018069C">
            <w:pPr>
              <w:spacing w:before="60" w:after="60" w:line="259" w:lineRule="auto"/>
              <w:jc w:val="center"/>
              <w:rPr>
                <w:color w:val="FAFAFA" w:themeColor="background1"/>
                <w:sz w:val="20"/>
                <w:szCs w:val="32"/>
              </w:rPr>
            </w:pPr>
            <w:r w:rsidRPr="0018069C">
              <w:rPr>
                <w:color w:val="FAFAFA" w:themeColor="background1"/>
                <w:sz w:val="20"/>
                <w:szCs w:val="32"/>
              </w:rPr>
              <w:t>Eduardo Ariztia</w:t>
            </w:r>
          </w:p>
        </w:tc>
      </w:tr>
      <w:tr w:rsidR="0018069C" w:rsidRPr="0018069C" w14:paraId="2A2D9064" w14:textId="77777777" w:rsidTr="00196F8A">
        <w:tc>
          <w:tcPr>
            <w:tcW w:w="3543" w:type="dxa"/>
            <w:vMerge/>
            <w:shd w:val="clear" w:color="auto" w:fill="067296" w:themeFill="text2"/>
            <w:vAlign w:val="center"/>
          </w:tcPr>
          <w:p w14:paraId="6C488701" w14:textId="77777777" w:rsidR="0018069C" w:rsidRPr="0018069C" w:rsidRDefault="0018069C" w:rsidP="0018069C">
            <w:pPr>
              <w:spacing w:before="60" w:after="60" w:line="259" w:lineRule="auto"/>
              <w:jc w:val="center"/>
              <w:rPr>
                <w:color w:val="FAFAFA" w:themeColor="background1"/>
                <w:sz w:val="20"/>
                <w:szCs w:val="32"/>
              </w:rPr>
            </w:pPr>
          </w:p>
        </w:tc>
        <w:tc>
          <w:tcPr>
            <w:tcW w:w="3544" w:type="dxa"/>
            <w:shd w:val="clear" w:color="auto" w:fill="067296" w:themeFill="text2"/>
            <w:vAlign w:val="center"/>
          </w:tcPr>
          <w:p w14:paraId="3570244E" w14:textId="77777777" w:rsidR="0018069C" w:rsidRPr="0018069C" w:rsidRDefault="0018069C" w:rsidP="0018069C">
            <w:pPr>
              <w:spacing w:before="60" w:after="60" w:line="259" w:lineRule="auto"/>
              <w:jc w:val="center"/>
              <w:rPr>
                <w:color w:val="FAFAFA" w:themeColor="background1"/>
                <w:sz w:val="20"/>
                <w:szCs w:val="32"/>
              </w:rPr>
            </w:pPr>
            <w:r w:rsidRPr="0018069C">
              <w:rPr>
                <w:color w:val="FAFAFA" w:themeColor="background1"/>
                <w:sz w:val="20"/>
                <w:szCs w:val="32"/>
              </w:rPr>
              <w:t>Jenny Mistry</w:t>
            </w:r>
          </w:p>
        </w:tc>
      </w:tr>
    </w:tbl>
    <w:p w14:paraId="0D3CA0ED" w14:textId="77777777" w:rsidR="00705BEC" w:rsidRPr="002C72C2" w:rsidRDefault="00705BEC" w:rsidP="00705BEC">
      <w:pPr>
        <w:pStyle w:val="Heading1"/>
        <w:numPr>
          <w:ilvl w:val="0"/>
          <w:numId w:val="0"/>
        </w:numPr>
        <w:spacing w:line="264" w:lineRule="auto"/>
        <w:ind w:left="432" w:hanging="432"/>
        <w:rPr>
          <w:lang w:eastAsia="en-US" w:bidi="ar-SA"/>
        </w:rPr>
      </w:pPr>
      <w:bookmarkStart w:id="0" w:name="_Toc205533944"/>
      <w:r w:rsidRPr="002C72C2">
        <w:rPr>
          <w:lang w:eastAsia="en-US" w:bidi="ar-SA"/>
        </w:rPr>
        <w:lastRenderedPageBreak/>
        <w:t>Executive Summary</w:t>
      </w:r>
      <w:bookmarkEnd w:id="0"/>
    </w:p>
    <w:p w14:paraId="395CB862" w14:textId="77777777" w:rsidR="00C55800" w:rsidRDefault="00C55800" w:rsidP="00C55800">
      <w:pPr>
        <w:spacing w:before="180" w:after="0"/>
        <w:rPr>
          <w:lang w:val="en-GB"/>
        </w:rPr>
      </w:pPr>
      <w:r w:rsidRPr="00E52AB2">
        <w:rPr>
          <w:lang w:val="en-GB"/>
        </w:rPr>
        <w:t xml:space="preserve">Australia’s </w:t>
      </w:r>
      <w:r>
        <w:rPr>
          <w:lang w:val="en-GB"/>
        </w:rPr>
        <w:t xml:space="preserve">electric </w:t>
      </w:r>
      <w:r w:rsidRPr="00E52AB2">
        <w:rPr>
          <w:lang w:val="en-GB"/>
        </w:rPr>
        <w:t xml:space="preserve">power sector finds itself on the global frontier of </w:t>
      </w:r>
      <w:r>
        <w:rPr>
          <w:lang w:val="en-GB"/>
        </w:rPr>
        <w:t xml:space="preserve">large-scale grid </w:t>
      </w:r>
      <w:r w:rsidRPr="00E52AB2">
        <w:rPr>
          <w:lang w:val="en-GB"/>
        </w:rPr>
        <w:t>transformation</w:t>
      </w:r>
      <w:r>
        <w:rPr>
          <w:lang w:val="en-GB"/>
        </w:rPr>
        <w:t xml:space="preserve">.  The nation’s </w:t>
      </w:r>
      <w:r w:rsidRPr="000C09F4">
        <w:rPr>
          <w:lang w:val="en-GB"/>
        </w:rPr>
        <w:t xml:space="preserve">power systems are transforming from a past </w:t>
      </w:r>
      <w:r>
        <w:rPr>
          <w:lang w:val="en-GB"/>
        </w:rPr>
        <w:t xml:space="preserve">of </w:t>
      </w:r>
      <w:r w:rsidRPr="000C09F4">
        <w:rPr>
          <w:lang w:val="en-GB"/>
        </w:rPr>
        <w:t xml:space="preserve">hundreds of </w:t>
      </w:r>
      <w:r>
        <w:rPr>
          <w:lang w:val="en-GB"/>
        </w:rPr>
        <w:t>large, upstream</w:t>
      </w:r>
      <w:r w:rsidRPr="000C09F4">
        <w:rPr>
          <w:lang w:val="en-GB"/>
        </w:rPr>
        <w:t xml:space="preserve"> generation plant to a future </w:t>
      </w:r>
      <w:r>
        <w:rPr>
          <w:lang w:val="en-GB"/>
        </w:rPr>
        <w:t>with</w:t>
      </w:r>
      <w:r w:rsidRPr="000C09F4">
        <w:rPr>
          <w:lang w:val="en-GB"/>
        </w:rPr>
        <w:t xml:space="preserve"> tens of millions of diverse energy resources </w:t>
      </w:r>
      <w:r>
        <w:rPr>
          <w:lang w:val="en-GB"/>
        </w:rPr>
        <w:t xml:space="preserve">participating </w:t>
      </w:r>
      <w:r w:rsidRPr="000C09F4">
        <w:rPr>
          <w:lang w:val="en-GB"/>
        </w:rPr>
        <w:t xml:space="preserve">across all vertical tiers/layers of the grid. </w:t>
      </w:r>
    </w:p>
    <w:p w14:paraId="4C09E256" w14:textId="4B9966B9" w:rsidR="00004E5A" w:rsidRDefault="006A4A5F" w:rsidP="00004E5A">
      <w:pPr>
        <w:spacing w:before="180" w:after="60" w:line="264" w:lineRule="auto"/>
      </w:pPr>
      <w:r>
        <w:t>This is in a context where the combined impact of increasingly v</w:t>
      </w:r>
      <w:r w:rsidRPr="00BD3CB3">
        <w:t>olatil</w:t>
      </w:r>
      <w:r>
        <w:t xml:space="preserve">e and bidirectional operations is driving world-first challenges for managing a grid originally designed for comparatively stable, unidirectional operation. </w:t>
      </w:r>
      <w:r w:rsidR="002C3392">
        <w:t>In such a context where the operational requirements of a legacy system are changing quite fundamentally from their original design philosophy, while targeted treatments may assist for a time, enduring scalable solutions ultimately require structural interventions.</w:t>
      </w:r>
      <w:r w:rsidR="00874F0D">
        <w:rPr>
          <w:rStyle w:val="FootnoteReference"/>
        </w:rPr>
        <w:footnoteReference w:id="2"/>
      </w:r>
      <w:r w:rsidR="00785D25">
        <w:t xml:space="preserve">  As a result, i</w:t>
      </w:r>
      <w:r w:rsidR="00004E5A">
        <w:t xml:space="preserve">n more recent years, the expanding complexity of navigating large-scale grid transformation has forced an increased focus on the critical role of structural analysis. </w:t>
      </w:r>
    </w:p>
    <w:p w14:paraId="475CD64F" w14:textId="77777777" w:rsidR="000106CD" w:rsidRDefault="00DF06F7" w:rsidP="001F01E5">
      <w:pPr>
        <w:spacing w:before="180" w:after="0"/>
        <w:rPr>
          <w:lang w:val="en-GB"/>
        </w:rPr>
      </w:pPr>
      <w:r w:rsidRPr="00DF06F7">
        <w:rPr>
          <w:lang w:val="en-GB"/>
        </w:rPr>
        <w:t xml:space="preserve">Consistent with Systems Engineering practice, this </w:t>
      </w:r>
      <w:r w:rsidR="007E70F3">
        <w:rPr>
          <w:lang w:val="en-GB"/>
        </w:rPr>
        <w:t xml:space="preserve">analyses and </w:t>
      </w:r>
      <w:r w:rsidRPr="00DF06F7">
        <w:rPr>
          <w:lang w:val="en-GB"/>
        </w:rPr>
        <w:t xml:space="preserve">distils a finite set of Systemic Issues that must be addressed to enable increasingly decarbonised and distributed grids like the NEM to transform in </w:t>
      </w:r>
      <w:r w:rsidR="007E70F3">
        <w:rPr>
          <w:lang w:val="en-GB"/>
        </w:rPr>
        <w:t xml:space="preserve">a secure and </w:t>
      </w:r>
      <w:r w:rsidR="000106CD">
        <w:rPr>
          <w:lang w:val="en-GB"/>
        </w:rPr>
        <w:t>affordable</w:t>
      </w:r>
      <w:r w:rsidRPr="00DF06F7">
        <w:rPr>
          <w:lang w:val="en-GB"/>
        </w:rPr>
        <w:t xml:space="preserve"> manner.  This enables stakeholders to move from interrogating dozens of individual trends and large use case libraries, which rapidly become unwieldy, to distil a more focused set of cross-cutting issues that require targeted structural resolutions.  </w:t>
      </w:r>
    </w:p>
    <w:p w14:paraId="20F23040" w14:textId="6FA4B302" w:rsidR="00A14C99" w:rsidRDefault="00A14C99" w:rsidP="00A14C99">
      <w:pPr>
        <w:spacing w:before="180" w:after="180"/>
        <w:rPr>
          <w:rFonts w:eastAsia="DengXian"/>
          <w:kern w:val="24"/>
          <w:szCs w:val="18"/>
          <w:lang w:eastAsia="en-AU"/>
        </w:rPr>
      </w:pPr>
      <w:r>
        <w:rPr>
          <w:rFonts w:eastAsia="DengXian"/>
          <w:kern w:val="24"/>
          <w:szCs w:val="18"/>
          <w:lang w:eastAsia="en-AU"/>
        </w:rPr>
        <w:t xml:space="preserve">As part of </w:t>
      </w:r>
      <w:r w:rsidRPr="004D6412">
        <w:rPr>
          <w:rFonts w:eastAsia="DengXian"/>
          <w:kern w:val="24"/>
          <w:szCs w:val="18"/>
          <w:lang w:eastAsia="en-AU"/>
        </w:rPr>
        <w:t xml:space="preserve">an integrated </w:t>
      </w:r>
      <w:r>
        <w:rPr>
          <w:rFonts w:eastAsia="DengXian"/>
          <w:kern w:val="24"/>
          <w:szCs w:val="18"/>
          <w:lang w:eastAsia="en-AU"/>
        </w:rPr>
        <w:t xml:space="preserve">reference </w:t>
      </w:r>
      <w:r w:rsidRPr="004D6412">
        <w:rPr>
          <w:rFonts w:eastAsia="DengXian"/>
          <w:kern w:val="24"/>
          <w:szCs w:val="18"/>
          <w:lang w:eastAsia="en-AU"/>
        </w:rPr>
        <w:t>set of five reports</w:t>
      </w:r>
      <w:r w:rsidRPr="00D44099">
        <w:rPr>
          <w:rFonts w:eastAsia="DengXian"/>
          <w:kern w:val="24"/>
          <w:szCs w:val="18"/>
          <w:lang w:eastAsia="en-AU"/>
        </w:rPr>
        <w:t xml:space="preserve">, </w:t>
      </w:r>
      <w:hyperlink w:anchor="S_1" w:history="1">
        <w:r w:rsidRPr="00D44099">
          <w:rPr>
            <w:rStyle w:val="Hyperlink"/>
            <w:rFonts w:eastAsia="DengXian"/>
            <w:kern w:val="24"/>
            <w:szCs w:val="18"/>
            <w:lang w:eastAsia="en-AU"/>
          </w:rPr>
          <w:t>Chapter 1</w:t>
        </w:r>
      </w:hyperlink>
      <w:r w:rsidRPr="00D44099">
        <w:rPr>
          <w:rFonts w:eastAsia="DengXian"/>
          <w:kern w:val="24"/>
          <w:szCs w:val="18"/>
          <w:lang w:eastAsia="en-AU"/>
        </w:rPr>
        <w:t xml:space="preserve"> and </w:t>
      </w:r>
      <w:hyperlink w:anchor="S_2" w:history="1">
        <w:r w:rsidRPr="00D44099">
          <w:rPr>
            <w:rStyle w:val="Hyperlink"/>
            <w:rFonts w:eastAsia="DengXian"/>
            <w:kern w:val="24"/>
            <w:szCs w:val="18"/>
            <w:lang w:eastAsia="en-AU"/>
          </w:rPr>
          <w:t>Chapter 2</w:t>
        </w:r>
      </w:hyperlink>
      <w:r w:rsidRPr="00D44099">
        <w:rPr>
          <w:rFonts w:eastAsia="DengXian"/>
          <w:kern w:val="24"/>
          <w:szCs w:val="18"/>
          <w:lang w:eastAsia="en-AU"/>
        </w:rPr>
        <w:t xml:space="preserve"> provide</w:t>
      </w:r>
      <w:r>
        <w:rPr>
          <w:rFonts w:eastAsia="DengXian"/>
          <w:kern w:val="24"/>
          <w:szCs w:val="18"/>
          <w:lang w:eastAsia="en-AU"/>
        </w:rPr>
        <w:t xml:space="preserve"> an overview of the set and </w:t>
      </w:r>
      <w:r w:rsidR="007E39F7">
        <w:rPr>
          <w:rFonts w:eastAsia="DengXian"/>
          <w:kern w:val="24"/>
          <w:szCs w:val="18"/>
          <w:lang w:eastAsia="en-AU"/>
        </w:rPr>
        <w:t xml:space="preserve">the development approach </w:t>
      </w:r>
      <w:r w:rsidR="00695A9D">
        <w:rPr>
          <w:rFonts w:eastAsia="DengXian"/>
          <w:kern w:val="24"/>
          <w:szCs w:val="18"/>
          <w:lang w:eastAsia="en-AU"/>
        </w:rPr>
        <w:t>applied with this report</w:t>
      </w:r>
      <w:r>
        <w:rPr>
          <w:rFonts w:eastAsia="DengXian"/>
          <w:kern w:val="24"/>
          <w:szCs w:val="18"/>
          <w:lang w:eastAsia="en-AU"/>
        </w:rPr>
        <w:t xml:space="preserve">. </w:t>
      </w:r>
      <w:r w:rsidR="00695A9D">
        <w:rPr>
          <w:rFonts w:eastAsia="DengXian"/>
          <w:kern w:val="24"/>
          <w:szCs w:val="18"/>
          <w:lang w:eastAsia="en-AU"/>
        </w:rPr>
        <w:t xml:space="preserve">Informed by </w:t>
      </w:r>
      <w:r w:rsidRPr="00853247">
        <w:t>Design Thinking</w:t>
      </w:r>
      <w:r>
        <w:t xml:space="preserve"> and u</w:t>
      </w:r>
      <w:r w:rsidRPr="00853247">
        <w:t>nderpinned by Systems Engineering</w:t>
      </w:r>
      <w:r>
        <w:t xml:space="preserve">, </w:t>
      </w:r>
      <w:r w:rsidRPr="00853247">
        <w:t>Systems Architecture</w:t>
      </w:r>
      <w:r>
        <w:t xml:space="preserve"> and a range of related </w:t>
      </w:r>
      <w:r w:rsidRPr="00853247">
        <w:t>disciplines</w:t>
      </w:r>
      <w:r>
        <w:t xml:space="preserve">, the reference set is </w:t>
      </w:r>
      <w:r w:rsidRPr="00E24697">
        <w:rPr>
          <w:rFonts w:eastAsia="DengXian"/>
          <w:kern w:val="24"/>
          <w:szCs w:val="18"/>
          <w:lang w:eastAsia="en-AU"/>
        </w:rPr>
        <w:t xml:space="preserve">designed to </w:t>
      </w:r>
      <w:r>
        <w:rPr>
          <w:rFonts w:eastAsia="DengXian"/>
          <w:kern w:val="24"/>
          <w:szCs w:val="18"/>
          <w:lang w:eastAsia="en-AU"/>
        </w:rPr>
        <w:t>enable</w:t>
      </w:r>
      <w:r w:rsidRPr="00E24697">
        <w:rPr>
          <w:rFonts w:eastAsia="DengXian"/>
          <w:kern w:val="24"/>
          <w:szCs w:val="18"/>
          <w:lang w:eastAsia="en-AU"/>
        </w:rPr>
        <w:t xml:space="preserve"> a </w:t>
      </w:r>
      <w:r>
        <w:rPr>
          <w:rFonts w:eastAsia="DengXian"/>
          <w:kern w:val="24"/>
          <w:szCs w:val="18"/>
          <w:lang w:eastAsia="en-AU"/>
        </w:rPr>
        <w:t xml:space="preserve">subsequent </w:t>
      </w:r>
      <w:r w:rsidRPr="00E24697">
        <w:rPr>
          <w:rFonts w:eastAsia="DengXian"/>
          <w:kern w:val="24"/>
          <w:szCs w:val="18"/>
          <w:lang w:eastAsia="en-AU"/>
        </w:rPr>
        <w:t>Detailed Architecture process</w:t>
      </w:r>
      <w:r>
        <w:rPr>
          <w:rFonts w:eastAsia="DengXian"/>
          <w:kern w:val="24"/>
          <w:szCs w:val="18"/>
          <w:lang w:eastAsia="en-AU"/>
        </w:rPr>
        <w:t xml:space="preserve"> for </w:t>
      </w:r>
      <w:r w:rsidR="00FF7CA8">
        <w:rPr>
          <w:rFonts w:eastAsia="DengXian"/>
          <w:kern w:val="24"/>
          <w:szCs w:val="18"/>
          <w:lang w:eastAsia="en-AU"/>
        </w:rPr>
        <w:t xml:space="preserve">Distribution System Operator (DSO) and Transmission-Distribution Coordination (TDC) </w:t>
      </w:r>
      <w:r>
        <w:rPr>
          <w:rFonts w:eastAsia="DengXian"/>
          <w:kern w:val="24"/>
          <w:szCs w:val="18"/>
          <w:lang w:eastAsia="en-AU"/>
        </w:rPr>
        <w:t xml:space="preserve">models. </w:t>
      </w:r>
    </w:p>
    <w:p w14:paraId="120D882A" w14:textId="30910980" w:rsidR="0070298E" w:rsidRDefault="00695A9D" w:rsidP="001F01E5">
      <w:pPr>
        <w:spacing w:before="180" w:after="0"/>
        <w:rPr>
          <w:lang w:val="en-GB"/>
        </w:rPr>
      </w:pPr>
      <w:hyperlink w:anchor="S_3_RS" w:history="1">
        <w:r w:rsidRPr="00D90F45">
          <w:rPr>
            <w:rStyle w:val="Hyperlink"/>
            <w:lang w:val="en-GB"/>
          </w:rPr>
          <w:t>Chapter</w:t>
        </w:r>
        <w:r w:rsidR="00705BEC" w:rsidRPr="00D90F45">
          <w:rPr>
            <w:rStyle w:val="Hyperlink"/>
            <w:lang w:val="en-GB"/>
          </w:rPr>
          <w:t xml:space="preserve"> 3</w:t>
        </w:r>
      </w:hyperlink>
      <w:r w:rsidR="00705BEC" w:rsidRPr="001F01E5">
        <w:rPr>
          <w:lang w:val="en-GB"/>
        </w:rPr>
        <w:t xml:space="preserve"> </w:t>
      </w:r>
      <w:r>
        <w:rPr>
          <w:lang w:val="en-GB"/>
        </w:rPr>
        <w:t xml:space="preserve">then </w:t>
      </w:r>
      <w:r w:rsidR="00705BEC" w:rsidRPr="001F01E5">
        <w:rPr>
          <w:lang w:val="en-GB"/>
        </w:rPr>
        <w:t>presents a</w:t>
      </w:r>
      <w:r>
        <w:rPr>
          <w:lang w:val="en-GB"/>
        </w:rPr>
        <w:t xml:space="preserve">n analytical </w:t>
      </w:r>
      <w:r w:rsidR="00705BEC" w:rsidRPr="001F01E5">
        <w:rPr>
          <w:lang w:val="en-GB"/>
        </w:rPr>
        <w:t>framework that groups the</w:t>
      </w:r>
      <w:r w:rsidR="00D261C2">
        <w:rPr>
          <w:lang w:val="en-GB"/>
        </w:rPr>
        <w:t xml:space="preserve"> identified S</w:t>
      </w:r>
      <w:r w:rsidR="00705BEC" w:rsidRPr="001F01E5">
        <w:rPr>
          <w:lang w:val="en-GB"/>
        </w:rPr>
        <w:t xml:space="preserve">ystemic </w:t>
      </w:r>
      <w:r w:rsidR="00D261C2">
        <w:rPr>
          <w:lang w:val="en-GB"/>
        </w:rPr>
        <w:t>I</w:t>
      </w:r>
      <w:r w:rsidR="00705BEC" w:rsidRPr="001F01E5">
        <w:rPr>
          <w:lang w:val="en-GB"/>
        </w:rPr>
        <w:t xml:space="preserve">ssues into four categories: strategic transformation risks, core structural and operability issues, digitalisation and scalability constraints, and participation and alignment risks. </w:t>
      </w:r>
      <w:hyperlink w:anchor="S_4_SI_TR" w:history="1">
        <w:r w:rsidR="00D261C2" w:rsidRPr="00796254">
          <w:rPr>
            <w:rStyle w:val="Hyperlink"/>
            <w:lang w:val="en-GB"/>
          </w:rPr>
          <w:t xml:space="preserve">Chapter </w:t>
        </w:r>
        <w:r w:rsidR="00705BEC" w:rsidRPr="00796254">
          <w:rPr>
            <w:rStyle w:val="Hyperlink"/>
            <w:lang w:val="en-GB"/>
          </w:rPr>
          <w:t>4</w:t>
        </w:r>
      </w:hyperlink>
      <w:r w:rsidR="00705BEC" w:rsidRPr="001F01E5">
        <w:rPr>
          <w:lang w:val="en-GB"/>
        </w:rPr>
        <w:t xml:space="preserve"> </w:t>
      </w:r>
      <w:r w:rsidR="00D261C2">
        <w:rPr>
          <w:lang w:val="en-GB"/>
        </w:rPr>
        <w:t>then p</w:t>
      </w:r>
      <w:r w:rsidR="00705BEC" w:rsidRPr="001F01E5">
        <w:rPr>
          <w:lang w:val="en-GB"/>
        </w:rPr>
        <w:t xml:space="preserve">rovides </w:t>
      </w:r>
      <w:r w:rsidR="00D261C2">
        <w:rPr>
          <w:lang w:val="en-GB"/>
        </w:rPr>
        <w:t xml:space="preserve">a </w:t>
      </w:r>
      <w:r w:rsidR="00705BEC" w:rsidRPr="001F01E5">
        <w:rPr>
          <w:lang w:val="en-GB"/>
        </w:rPr>
        <w:t xml:space="preserve">detailed analysis of each </w:t>
      </w:r>
      <w:r w:rsidR="00D261C2">
        <w:rPr>
          <w:lang w:val="en-GB"/>
        </w:rPr>
        <w:t xml:space="preserve">of the fifteen issues </w:t>
      </w:r>
      <w:r w:rsidR="00705BEC" w:rsidRPr="001F01E5">
        <w:rPr>
          <w:lang w:val="en-GB"/>
        </w:rPr>
        <w:t>showing how they span technical, operational, and institutional boundaries</w:t>
      </w:r>
      <w:r w:rsidR="009E4ABA">
        <w:rPr>
          <w:lang w:val="en-GB"/>
        </w:rPr>
        <w:t xml:space="preserve"> and provide </w:t>
      </w:r>
      <w:r w:rsidR="0070298E">
        <w:rPr>
          <w:lang w:val="en-GB"/>
        </w:rPr>
        <w:t xml:space="preserve">guidance on the characteristics of potential solutions. </w:t>
      </w:r>
    </w:p>
    <w:p w14:paraId="2B2EDCF0" w14:textId="57B843A0" w:rsidR="00705BEC" w:rsidRPr="001F01E5" w:rsidRDefault="0052622D" w:rsidP="001F01E5">
      <w:pPr>
        <w:spacing w:before="180" w:after="0"/>
        <w:rPr>
          <w:lang w:val="en-GB"/>
        </w:rPr>
      </w:pPr>
      <w:r>
        <w:rPr>
          <w:lang w:val="en-GB"/>
        </w:rPr>
        <w:t>Functioning as</w:t>
      </w:r>
      <w:r w:rsidR="00A07262">
        <w:rPr>
          <w:lang w:val="en-GB"/>
        </w:rPr>
        <w:t xml:space="preserve"> a key input to </w:t>
      </w:r>
      <w:r w:rsidR="00A07262" w:rsidRPr="0055788C">
        <w:rPr>
          <w:lang w:val="en-GB"/>
        </w:rPr>
        <w:t>Report 4</w:t>
      </w:r>
      <w:r w:rsidR="00A07262">
        <w:rPr>
          <w:lang w:val="en-GB"/>
        </w:rPr>
        <w:t xml:space="preserve"> and </w:t>
      </w:r>
      <w:r w:rsidR="00B03212" w:rsidRPr="00582D80">
        <w:rPr>
          <w:lang w:val="en-GB"/>
        </w:rPr>
        <w:t xml:space="preserve">Report </w:t>
      </w:r>
      <w:r w:rsidR="00A07262" w:rsidRPr="00582D80">
        <w:rPr>
          <w:lang w:val="en-GB"/>
        </w:rPr>
        <w:t>5</w:t>
      </w:r>
      <w:r w:rsidR="00A07262">
        <w:rPr>
          <w:lang w:val="en-GB"/>
        </w:rPr>
        <w:t xml:space="preserve"> in the series</w:t>
      </w:r>
      <w:r w:rsidR="0055788C">
        <w:rPr>
          <w:lang w:val="en-GB"/>
        </w:rPr>
        <w:t xml:space="preserve"> </w:t>
      </w:r>
      <w:hyperlink w:anchor="Ref_33" w:history="1">
        <w:r w:rsidR="0055788C" w:rsidRPr="0055788C">
          <w:rPr>
            <w:rStyle w:val="Hyperlink"/>
            <w:lang w:val="en-GB"/>
          </w:rPr>
          <w:t>[33]</w:t>
        </w:r>
      </w:hyperlink>
      <w:r w:rsidR="0055788C">
        <w:rPr>
          <w:lang w:val="en-GB"/>
        </w:rPr>
        <w:t xml:space="preserve"> </w:t>
      </w:r>
      <w:hyperlink w:anchor="R_34" w:history="1">
        <w:r w:rsidR="0055788C" w:rsidRPr="0055788C">
          <w:rPr>
            <w:rStyle w:val="Hyperlink"/>
            <w:lang w:val="en-GB"/>
          </w:rPr>
          <w:t>[34]</w:t>
        </w:r>
      </w:hyperlink>
      <w:r w:rsidR="00A07262">
        <w:rPr>
          <w:lang w:val="en-GB"/>
        </w:rPr>
        <w:t xml:space="preserve">, this report concludes in </w:t>
      </w:r>
      <w:hyperlink w:anchor="S_5" w:history="1">
        <w:r w:rsidR="00A07262" w:rsidRPr="00796254">
          <w:rPr>
            <w:rStyle w:val="Hyperlink"/>
            <w:lang w:val="en-GB"/>
          </w:rPr>
          <w:t>Chapter 5</w:t>
        </w:r>
      </w:hyperlink>
      <w:r w:rsidR="00A07262">
        <w:rPr>
          <w:lang w:val="en-GB"/>
        </w:rPr>
        <w:t xml:space="preserve"> by providing </w:t>
      </w:r>
      <w:r w:rsidR="00670A01">
        <w:rPr>
          <w:lang w:val="en-GB"/>
        </w:rPr>
        <w:t>a summary of observations about the relevance and veracity of focusing on a finite number of cross-cutting Systemic Issues rather than scores of issues in isolation.</w:t>
      </w:r>
      <w:r w:rsidR="005B6635">
        <w:rPr>
          <w:lang w:val="en-GB"/>
        </w:rPr>
        <w:t xml:space="preserve"> The findings of this report are widely employed in the </w:t>
      </w:r>
      <w:r w:rsidR="00B03212">
        <w:rPr>
          <w:lang w:val="en-GB"/>
        </w:rPr>
        <w:t xml:space="preserve">development of the two subsequent reports. </w:t>
      </w:r>
    </w:p>
    <w:p w14:paraId="7B649E25" w14:textId="77777777" w:rsidR="00705BEC" w:rsidRDefault="00705BEC" w:rsidP="00221A64">
      <w:pPr>
        <w:rPr>
          <w:rStyle w:val="IntenseEmphasis"/>
        </w:rPr>
      </w:pPr>
    </w:p>
    <w:p w14:paraId="3D4FA284" w14:textId="77777777" w:rsidR="00705BEC" w:rsidRDefault="00705BEC" w:rsidP="00221A64">
      <w:pPr>
        <w:rPr>
          <w:rStyle w:val="IntenseEmphasis"/>
        </w:rPr>
      </w:pPr>
    </w:p>
    <w:sdt>
      <w:sdtPr>
        <w:rPr>
          <w:rFonts w:ascii="PP Mori" w:eastAsiaTheme="minorEastAsia" w:hAnsi="PP Mori" w:cstheme="minorBidi"/>
          <w:i/>
          <w:iCs/>
          <w:color w:val="auto"/>
          <w:kern w:val="2"/>
          <w:sz w:val="18"/>
          <w:szCs w:val="18"/>
          <w:lang w:val="en-AU" w:eastAsia="zh-CN" w:bidi="th-TH"/>
          <w14:ligatures w14:val="standardContextual"/>
        </w:rPr>
        <w:id w:val="-1583441231"/>
        <w:docPartObj>
          <w:docPartGallery w:val="Table of Contents"/>
          <w:docPartUnique/>
        </w:docPartObj>
      </w:sdtPr>
      <w:sdtEndPr>
        <w:rPr>
          <w:noProof/>
        </w:rPr>
      </w:sdtEndPr>
      <w:sdtContent>
        <w:p w14:paraId="02A2B06E" w14:textId="7161D25A" w:rsidR="000547C1" w:rsidRPr="002C72C2" w:rsidRDefault="000547C1" w:rsidP="00EB2823">
          <w:pPr>
            <w:pStyle w:val="TOCHeading"/>
            <w:spacing w:line="264" w:lineRule="auto"/>
            <w:rPr>
              <w:lang w:val="en-AU"/>
            </w:rPr>
          </w:pPr>
          <w:r w:rsidRPr="002C72C2">
            <w:rPr>
              <w:lang w:val="en-AU"/>
            </w:rPr>
            <w:t>Table of Contents</w:t>
          </w:r>
        </w:p>
        <w:p w14:paraId="1213F86D" w14:textId="4ACD53C4" w:rsidR="00D11161" w:rsidRDefault="000547C1">
          <w:pPr>
            <w:pStyle w:val="TOC1"/>
            <w:rPr>
              <w:rFonts w:asciiTheme="minorHAnsi" w:hAnsiTheme="minorHAnsi"/>
              <w:noProof/>
              <w:szCs w:val="30"/>
            </w:rPr>
          </w:pPr>
          <w:r w:rsidRPr="002F2243">
            <w:fldChar w:fldCharType="begin"/>
          </w:r>
          <w:r w:rsidRPr="002F2243">
            <w:instrText xml:space="preserve"> TOC \o "1-3" \h \z \u </w:instrText>
          </w:r>
          <w:r w:rsidRPr="002F2243">
            <w:fldChar w:fldCharType="separate"/>
          </w:r>
          <w:hyperlink w:anchor="_Toc205533944" w:history="1">
            <w:r w:rsidR="00D11161" w:rsidRPr="00C545CF">
              <w:rPr>
                <w:rStyle w:val="Hyperlink"/>
                <w:noProof/>
                <w:lang w:eastAsia="en-US" w:bidi="ar-SA"/>
              </w:rPr>
              <w:t>Executive Summary</w:t>
            </w:r>
            <w:r w:rsidR="00D11161">
              <w:rPr>
                <w:noProof/>
                <w:webHidden/>
              </w:rPr>
              <w:tab/>
            </w:r>
            <w:r w:rsidR="00D11161">
              <w:rPr>
                <w:noProof/>
                <w:webHidden/>
              </w:rPr>
              <w:fldChar w:fldCharType="begin"/>
            </w:r>
            <w:r w:rsidR="00D11161">
              <w:rPr>
                <w:noProof/>
                <w:webHidden/>
              </w:rPr>
              <w:instrText xml:space="preserve"> PAGEREF _Toc205533944 \h </w:instrText>
            </w:r>
            <w:r w:rsidR="00D11161">
              <w:rPr>
                <w:noProof/>
                <w:webHidden/>
              </w:rPr>
            </w:r>
            <w:r w:rsidR="00D11161">
              <w:rPr>
                <w:noProof/>
                <w:webHidden/>
              </w:rPr>
              <w:fldChar w:fldCharType="separate"/>
            </w:r>
            <w:r w:rsidR="009F382F">
              <w:rPr>
                <w:noProof/>
                <w:webHidden/>
              </w:rPr>
              <w:t>4</w:t>
            </w:r>
            <w:r w:rsidR="00D11161">
              <w:rPr>
                <w:noProof/>
                <w:webHidden/>
              </w:rPr>
              <w:fldChar w:fldCharType="end"/>
            </w:r>
          </w:hyperlink>
        </w:p>
        <w:p w14:paraId="232E342F" w14:textId="7FA571A4" w:rsidR="00D11161" w:rsidRDefault="00D11161">
          <w:pPr>
            <w:pStyle w:val="TOC1"/>
            <w:rPr>
              <w:rFonts w:asciiTheme="minorHAnsi" w:hAnsiTheme="minorHAnsi"/>
              <w:noProof/>
              <w:szCs w:val="30"/>
            </w:rPr>
          </w:pPr>
          <w:hyperlink w:anchor="_Toc205533945" w:history="1">
            <w:r w:rsidRPr="00C545CF">
              <w:rPr>
                <w:rStyle w:val="Hyperlink"/>
                <w:noProof/>
                <w:lang w:eastAsia="en-US" w:bidi="ar-SA"/>
              </w:rPr>
              <w:t>Table of Figures</w:t>
            </w:r>
            <w:r>
              <w:rPr>
                <w:noProof/>
                <w:webHidden/>
              </w:rPr>
              <w:tab/>
            </w:r>
            <w:r>
              <w:rPr>
                <w:noProof/>
                <w:webHidden/>
              </w:rPr>
              <w:fldChar w:fldCharType="begin"/>
            </w:r>
            <w:r>
              <w:rPr>
                <w:noProof/>
                <w:webHidden/>
              </w:rPr>
              <w:instrText xml:space="preserve"> PAGEREF _Toc205533945 \h </w:instrText>
            </w:r>
            <w:r>
              <w:rPr>
                <w:noProof/>
                <w:webHidden/>
              </w:rPr>
            </w:r>
            <w:r>
              <w:rPr>
                <w:noProof/>
                <w:webHidden/>
              </w:rPr>
              <w:fldChar w:fldCharType="separate"/>
            </w:r>
            <w:r w:rsidR="009F382F">
              <w:rPr>
                <w:noProof/>
                <w:webHidden/>
              </w:rPr>
              <w:t>7</w:t>
            </w:r>
            <w:r>
              <w:rPr>
                <w:noProof/>
                <w:webHidden/>
              </w:rPr>
              <w:fldChar w:fldCharType="end"/>
            </w:r>
          </w:hyperlink>
        </w:p>
        <w:p w14:paraId="3E94A699" w14:textId="3A4BCF81" w:rsidR="00D11161" w:rsidRDefault="00D11161">
          <w:pPr>
            <w:pStyle w:val="TOC1"/>
            <w:rPr>
              <w:rFonts w:asciiTheme="minorHAnsi" w:hAnsiTheme="minorHAnsi"/>
              <w:noProof/>
              <w:szCs w:val="30"/>
            </w:rPr>
          </w:pPr>
          <w:hyperlink w:anchor="_Toc205533946" w:history="1">
            <w:r w:rsidRPr="00C545CF">
              <w:rPr>
                <w:rStyle w:val="Hyperlink"/>
                <w:noProof/>
              </w:rPr>
              <w:t>List of Acronyms</w:t>
            </w:r>
            <w:r>
              <w:rPr>
                <w:noProof/>
                <w:webHidden/>
              </w:rPr>
              <w:tab/>
            </w:r>
            <w:r>
              <w:rPr>
                <w:noProof/>
                <w:webHidden/>
              </w:rPr>
              <w:fldChar w:fldCharType="begin"/>
            </w:r>
            <w:r>
              <w:rPr>
                <w:noProof/>
                <w:webHidden/>
              </w:rPr>
              <w:instrText xml:space="preserve"> PAGEREF _Toc205533946 \h </w:instrText>
            </w:r>
            <w:r>
              <w:rPr>
                <w:noProof/>
                <w:webHidden/>
              </w:rPr>
            </w:r>
            <w:r>
              <w:rPr>
                <w:noProof/>
                <w:webHidden/>
              </w:rPr>
              <w:fldChar w:fldCharType="separate"/>
            </w:r>
            <w:r w:rsidR="009F382F">
              <w:rPr>
                <w:noProof/>
                <w:webHidden/>
              </w:rPr>
              <w:t>8</w:t>
            </w:r>
            <w:r>
              <w:rPr>
                <w:noProof/>
                <w:webHidden/>
              </w:rPr>
              <w:fldChar w:fldCharType="end"/>
            </w:r>
          </w:hyperlink>
        </w:p>
        <w:p w14:paraId="67C805E9" w14:textId="6A053392" w:rsidR="00D11161" w:rsidRDefault="00D11161">
          <w:pPr>
            <w:pStyle w:val="TOC1"/>
            <w:rPr>
              <w:rFonts w:asciiTheme="minorHAnsi" w:hAnsiTheme="minorHAnsi"/>
              <w:noProof/>
              <w:szCs w:val="30"/>
            </w:rPr>
          </w:pPr>
          <w:hyperlink w:anchor="_Toc205533947" w:history="1">
            <w:r w:rsidRPr="00C545CF">
              <w:rPr>
                <w:rStyle w:val="Hyperlink"/>
                <w:noProof/>
                <w:lang w:eastAsia="en-US" w:bidi="ar-SA"/>
              </w:rPr>
              <w:t>1</w:t>
            </w:r>
            <w:r>
              <w:rPr>
                <w:rFonts w:asciiTheme="minorHAnsi" w:hAnsiTheme="minorHAnsi"/>
                <w:noProof/>
                <w:szCs w:val="30"/>
              </w:rPr>
              <w:tab/>
            </w:r>
            <w:r w:rsidRPr="00C545CF">
              <w:rPr>
                <w:rStyle w:val="Hyperlink"/>
                <w:noProof/>
                <w:lang w:eastAsia="en-US" w:bidi="ar-SA"/>
              </w:rPr>
              <w:t>Report Purpose, Context &amp; Rationale</w:t>
            </w:r>
            <w:r>
              <w:rPr>
                <w:noProof/>
                <w:webHidden/>
              </w:rPr>
              <w:tab/>
            </w:r>
            <w:r>
              <w:rPr>
                <w:noProof/>
                <w:webHidden/>
              </w:rPr>
              <w:fldChar w:fldCharType="begin"/>
            </w:r>
            <w:r>
              <w:rPr>
                <w:noProof/>
                <w:webHidden/>
              </w:rPr>
              <w:instrText xml:space="preserve"> PAGEREF _Toc205533947 \h </w:instrText>
            </w:r>
            <w:r>
              <w:rPr>
                <w:noProof/>
                <w:webHidden/>
              </w:rPr>
            </w:r>
            <w:r>
              <w:rPr>
                <w:noProof/>
                <w:webHidden/>
              </w:rPr>
              <w:fldChar w:fldCharType="separate"/>
            </w:r>
            <w:r w:rsidR="009F382F">
              <w:rPr>
                <w:noProof/>
                <w:webHidden/>
              </w:rPr>
              <w:t>11</w:t>
            </w:r>
            <w:r>
              <w:rPr>
                <w:noProof/>
                <w:webHidden/>
              </w:rPr>
              <w:fldChar w:fldCharType="end"/>
            </w:r>
          </w:hyperlink>
        </w:p>
        <w:p w14:paraId="7F979CAC" w14:textId="434BE212" w:rsidR="00D11161" w:rsidRDefault="00D11161">
          <w:pPr>
            <w:pStyle w:val="TOC2"/>
            <w:rPr>
              <w:rFonts w:asciiTheme="minorHAnsi" w:hAnsiTheme="minorHAnsi"/>
              <w:noProof/>
              <w:sz w:val="24"/>
              <w:szCs w:val="30"/>
            </w:rPr>
          </w:pPr>
          <w:hyperlink w:anchor="_Toc205533948" w:history="1">
            <w:r w:rsidRPr="00C545CF">
              <w:rPr>
                <w:rStyle w:val="Hyperlink"/>
                <w:noProof/>
                <w:lang w:eastAsia="en-US" w:bidi="ar-SA"/>
              </w:rPr>
              <w:t>1.1</w:t>
            </w:r>
            <w:r>
              <w:rPr>
                <w:rFonts w:asciiTheme="minorHAnsi" w:hAnsiTheme="minorHAnsi"/>
                <w:noProof/>
                <w:sz w:val="24"/>
                <w:szCs w:val="30"/>
              </w:rPr>
              <w:tab/>
            </w:r>
            <w:r w:rsidRPr="00C545CF">
              <w:rPr>
                <w:rStyle w:val="Hyperlink"/>
                <w:noProof/>
                <w:lang w:eastAsia="en-US" w:bidi="ar-SA"/>
              </w:rPr>
              <w:t>Purpose</w:t>
            </w:r>
            <w:r>
              <w:rPr>
                <w:noProof/>
                <w:webHidden/>
              </w:rPr>
              <w:tab/>
            </w:r>
            <w:r>
              <w:rPr>
                <w:noProof/>
                <w:webHidden/>
              </w:rPr>
              <w:fldChar w:fldCharType="begin"/>
            </w:r>
            <w:r>
              <w:rPr>
                <w:noProof/>
                <w:webHidden/>
              </w:rPr>
              <w:instrText xml:space="preserve"> PAGEREF _Toc205533948 \h </w:instrText>
            </w:r>
            <w:r>
              <w:rPr>
                <w:noProof/>
                <w:webHidden/>
              </w:rPr>
            </w:r>
            <w:r>
              <w:rPr>
                <w:noProof/>
                <w:webHidden/>
              </w:rPr>
              <w:fldChar w:fldCharType="separate"/>
            </w:r>
            <w:r w:rsidR="009F382F">
              <w:rPr>
                <w:noProof/>
                <w:webHidden/>
              </w:rPr>
              <w:t>11</w:t>
            </w:r>
            <w:r>
              <w:rPr>
                <w:noProof/>
                <w:webHidden/>
              </w:rPr>
              <w:fldChar w:fldCharType="end"/>
            </w:r>
          </w:hyperlink>
        </w:p>
        <w:p w14:paraId="76627B4D" w14:textId="37D555F9" w:rsidR="00D11161" w:rsidRDefault="00D11161">
          <w:pPr>
            <w:pStyle w:val="TOC2"/>
            <w:rPr>
              <w:rFonts w:asciiTheme="minorHAnsi" w:hAnsiTheme="minorHAnsi"/>
              <w:noProof/>
              <w:sz w:val="24"/>
              <w:szCs w:val="30"/>
            </w:rPr>
          </w:pPr>
          <w:hyperlink w:anchor="_Toc205533949" w:history="1">
            <w:r w:rsidRPr="00C545CF">
              <w:rPr>
                <w:rStyle w:val="Hyperlink"/>
                <w:noProof/>
                <w:lang w:eastAsia="en-US" w:bidi="ar-SA"/>
              </w:rPr>
              <w:t>1.2</w:t>
            </w:r>
            <w:r>
              <w:rPr>
                <w:rFonts w:asciiTheme="minorHAnsi" w:hAnsiTheme="minorHAnsi"/>
                <w:noProof/>
                <w:sz w:val="24"/>
                <w:szCs w:val="30"/>
              </w:rPr>
              <w:tab/>
            </w:r>
            <w:r w:rsidRPr="00C545CF">
              <w:rPr>
                <w:rStyle w:val="Hyperlink"/>
                <w:noProof/>
                <w:lang w:eastAsia="en-US" w:bidi="ar-SA"/>
              </w:rPr>
              <w:t>National Context</w:t>
            </w:r>
            <w:r>
              <w:rPr>
                <w:noProof/>
                <w:webHidden/>
              </w:rPr>
              <w:tab/>
            </w:r>
            <w:r>
              <w:rPr>
                <w:noProof/>
                <w:webHidden/>
              </w:rPr>
              <w:fldChar w:fldCharType="begin"/>
            </w:r>
            <w:r>
              <w:rPr>
                <w:noProof/>
                <w:webHidden/>
              </w:rPr>
              <w:instrText xml:space="preserve"> PAGEREF _Toc205533949 \h </w:instrText>
            </w:r>
            <w:r>
              <w:rPr>
                <w:noProof/>
                <w:webHidden/>
              </w:rPr>
            </w:r>
            <w:r>
              <w:rPr>
                <w:noProof/>
                <w:webHidden/>
              </w:rPr>
              <w:fldChar w:fldCharType="separate"/>
            </w:r>
            <w:r w:rsidR="009F382F">
              <w:rPr>
                <w:noProof/>
                <w:webHidden/>
              </w:rPr>
              <w:t>12</w:t>
            </w:r>
            <w:r>
              <w:rPr>
                <w:noProof/>
                <w:webHidden/>
              </w:rPr>
              <w:fldChar w:fldCharType="end"/>
            </w:r>
          </w:hyperlink>
        </w:p>
        <w:p w14:paraId="3B212CE3" w14:textId="2EDF9F04" w:rsidR="00D11161" w:rsidRDefault="00D11161">
          <w:pPr>
            <w:pStyle w:val="TOC2"/>
            <w:rPr>
              <w:rFonts w:asciiTheme="minorHAnsi" w:hAnsiTheme="minorHAnsi"/>
              <w:noProof/>
              <w:sz w:val="24"/>
              <w:szCs w:val="30"/>
            </w:rPr>
          </w:pPr>
          <w:hyperlink w:anchor="_Toc205533950" w:history="1">
            <w:r w:rsidRPr="00C545CF">
              <w:rPr>
                <w:rStyle w:val="Hyperlink"/>
                <w:noProof/>
                <w:lang w:eastAsia="en-US" w:bidi="ar-SA"/>
              </w:rPr>
              <w:t>1.3</w:t>
            </w:r>
            <w:r>
              <w:rPr>
                <w:rFonts w:asciiTheme="minorHAnsi" w:hAnsiTheme="minorHAnsi"/>
                <w:noProof/>
                <w:sz w:val="24"/>
                <w:szCs w:val="30"/>
              </w:rPr>
              <w:tab/>
            </w:r>
            <w:r w:rsidRPr="00C545CF">
              <w:rPr>
                <w:rStyle w:val="Hyperlink"/>
                <w:noProof/>
                <w:lang w:eastAsia="en-US" w:bidi="ar-SA"/>
              </w:rPr>
              <w:t>Practical Rationale</w:t>
            </w:r>
            <w:r>
              <w:rPr>
                <w:noProof/>
                <w:webHidden/>
              </w:rPr>
              <w:tab/>
            </w:r>
            <w:r>
              <w:rPr>
                <w:noProof/>
                <w:webHidden/>
              </w:rPr>
              <w:fldChar w:fldCharType="begin"/>
            </w:r>
            <w:r>
              <w:rPr>
                <w:noProof/>
                <w:webHidden/>
              </w:rPr>
              <w:instrText xml:space="preserve"> PAGEREF _Toc205533950 \h </w:instrText>
            </w:r>
            <w:r>
              <w:rPr>
                <w:noProof/>
                <w:webHidden/>
              </w:rPr>
            </w:r>
            <w:r>
              <w:rPr>
                <w:noProof/>
                <w:webHidden/>
              </w:rPr>
              <w:fldChar w:fldCharType="separate"/>
            </w:r>
            <w:r w:rsidR="009F382F">
              <w:rPr>
                <w:noProof/>
                <w:webHidden/>
              </w:rPr>
              <w:t>13</w:t>
            </w:r>
            <w:r>
              <w:rPr>
                <w:noProof/>
                <w:webHidden/>
              </w:rPr>
              <w:fldChar w:fldCharType="end"/>
            </w:r>
          </w:hyperlink>
        </w:p>
        <w:p w14:paraId="02C3DA4F" w14:textId="7476D341" w:rsidR="00D11161" w:rsidRDefault="00D11161">
          <w:pPr>
            <w:pStyle w:val="TOC1"/>
            <w:rPr>
              <w:rFonts w:asciiTheme="minorHAnsi" w:hAnsiTheme="minorHAnsi"/>
              <w:noProof/>
              <w:szCs w:val="30"/>
            </w:rPr>
          </w:pPr>
          <w:hyperlink w:anchor="_Toc205533951" w:history="1">
            <w:r w:rsidRPr="00C545CF">
              <w:rPr>
                <w:rStyle w:val="Hyperlink"/>
                <w:noProof/>
                <w:lang w:eastAsia="en-US" w:bidi="ar-SA"/>
              </w:rPr>
              <w:t>2</w:t>
            </w:r>
            <w:r>
              <w:rPr>
                <w:rFonts w:asciiTheme="minorHAnsi" w:hAnsiTheme="minorHAnsi"/>
                <w:noProof/>
                <w:szCs w:val="30"/>
              </w:rPr>
              <w:tab/>
            </w:r>
            <w:r w:rsidRPr="00C545CF">
              <w:rPr>
                <w:rStyle w:val="Hyperlink"/>
                <w:noProof/>
                <w:lang w:eastAsia="en-US" w:bidi="ar-SA"/>
              </w:rPr>
              <w:t>Report Development Approach</w:t>
            </w:r>
            <w:r>
              <w:rPr>
                <w:noProof/>
                <w:webHidden/>
              </w:rPr>
              <w:tab/>
            </w:r>
            <w:r>
              <w:rPr>
                <w:noProof/>
                <w:webHidden/>
              </w:rPr>
              <w:fldChar w:fldCharType="begin"/>
            </w:r>
            <w:r>
              <w:rPr>
                <w:noProof/>
                <w:webHidden/>
              </w:rPr>
              <w:instrText xml:space="preserve"> PAGEREF _Toc205533951 \h </w:instrText>
            </w:r>
            <w:r>
              <w:rPr>
                <w:noProof/>
                <w:webHidden/>
              </w:rPr>
            </w:r>
            <w:r>
              <w:rPr>
                <w:noProof/>
                <w:webHidden/>
              </w:rPr>
              <w:fldChar w:fldCharType="separate"/>
            </w:r>
            <w:r w:rsidR="009F382F">
              <w:rPr>
                <w:noProof/>
                <w:webHidden/>
              </w:rPr>
              <w:t>16</w:t>
            </w:r>
            <w:r>
              <w:rPr>
                <w:noProof/>
                <w:webHidden/>
              </w:rPr>
              <w:fldChar w:fldCharType="end"/>
            </w:r>
          </w:hyperlink>
        </w:p>
        <w:p w14:paraId="2E9AB402" w14:textId="66428921" w:rsidR="00D11161" w:rsidRPr="000D09C4" w:rsidRDefault="00D11161">
          <w:pPr>
            <w:pStyle w:val="TOC2"/>
            <w:rPr>
              <w:rStyle w:val="Hyperlink"/>
              <w:noProof/>
              <w:lang w:val="en-US" w:eastAsia="en-US" w:bidi="ar-SA"/>
            </w:rPr>
          </w:pPr>
          <w:hyperlink w:anchor="_Toc205533952" w:history="1">
            <w:r w:rsidRPr="00C545CF">
              <w:rPr>
                <w:rStyle w:val="Hyperlink"/>
                <w:noProof/>
                <w:lang w:val="en-US" w:eastAsia="en-US" w:bidi="ar-SA"/>
              </w:rPr>
              <w:t>2.1</w:t>
            </w:r>
            <w:r w:rsidRPr="000D09C4">
              <w:rPr>
                <w:rStyle w:val="Hyperlink"/>
                <w:noProof/>
                <w:lang w:val="en-US" w:eastAsia="en-US" w:bidi="ar-SA"/>
              </w:rPr>
              <w:tab/>
            </w:r>
            <w:r w:rsidRPr="00C545CF">
              <w:rPr>
                <w:rStyle w:val="Hyperlink"/>
                <w:noProof/>
                <w:lang w:val="en-US" w:eastAsia="en-US" w:bidi="ar-SA"/>
              </w:rPr>
              <w:t>Philosophy</w:t>
            </w:r>
            <w:r w:rsidRPr="000D09C4">
              <w:rPr>
                <w:rStyle w:val="Hyperlink"/>
                <w:noProof/>
                <w:webHidden/>
                <w:lang w:val="en-US" w:eastAsia="en-US" w:bidi="ar-SA"/>
              </w:rPr>
              <w:tab/>
            </w:r>
            <w:r w:rsidRPr="000D09C4">
              <w:rPr>
                <w:rStyle w:val="Hyperlink"/>
                <w:noProof/>
                <w:webHidden/>
                <w:lang w:val="en-US" w:eastAsia="en-US" w:bidi="ar-SA"/>
              </w:rPr>
              <w:fldChar w:fldCharType="begin"/>
            </w:r>
            <w:r w:rsidRPr="000D09C4">
              <w:rPr>
                <w:rStyle w:val="Hyperlink"/>
                <w:noProof/>
                <w:webHidden/>
                <w:lang w:val="en-US" w:eastAsia="en-US" w:bidi="ar-SA"/>
              </w:rPr>
              <w:instrText xml:space="preserve"> PAGEREF _Toc205533952 \h </w:instrText>
            </w:r>
            <w:r w:rsidRPr="000D09C4">
              <w:rPr>
                <w:rStyle w:val="Hyperlink"/>
                <w:noProof/>
                <w:webHidden/>
                <w:lang w:val="en-US" w:eastAsia="en-US" w:bidi="ar-SA"/>
              </w:rPr>
            </w:r>
            <w:r w:rsidRPr="000D09C4">
              <w:rPr>
                <w:rStyle w:val="Hyperlink"/>
                <w:noProof/>
                <w:webHidden/>
                <w:lang w:val="en-US" w:eastAsia="en-US" w:bidi="ar-SA"/>
              </w:rPr>
              <w:fldChar w:fldCharType="separate"/>
            </w:r>
            <w:r w:rsidR="009F382F">
              <w:rPr>
                <w:rStyle w:val="Hyperlink"/>
                <w:noProof/>
                <w:webHidden/>
                <w:lang w:val="en-US" w:eastAsia="en-US" w:bidi="ar-SA"/>
              </w:rPr>
              <w:t>16</w:t>
            </w:r>
            <w:r w:rsidRPr="000D09C4">
              <w:rPr>
                <w:rStyle w:val="Hyperlink"/>
                <w:noProof/>
                <w:webHidden/>
                <w:lang w:val="en-US" w:eastAsia="en-US" w:bidi="ar-SA"/>
              </w:rPr>
              <w:fldChar w:fldCharType="end"/>
            </w:r>
          </w:hyperlink>
        </w:p>
        <w:p w14:paraId="7FF88A1D" w14:textId="35E87E06" w:rsidR="00D11161" w:rsidRPr="000D09C4" w:rsidRDefault="00D11161">
          <w:pPr>
            <w:pStyle w:val="TOC2"/>
            <w:rPr>
              <w:rStyle w:val="Hyperlink"/>
              <w:noProof/>
              <w:lang w:val="en-US" w:eastAsia="en-US" w:bidi="ar-SA"/>
            </w:rPr>
          </w:pPr>
          <w:hyperlink w:anchor="_Toc205533953" w:history="1">
            <w:r w:rsidRPr="000D09C4">
              <w:rPr>
                <w:rStyle w:val="Hyperlink"/>
                <w:noProof/>
                <w:lang w:val="en-US" w:eastAsia="en-US" w:bidi="ar-SA"/>
              </w:rPr>
              <w:t>2.1</w:t>
            </w:r>
            <w:r w:rsidRPr="000D09C4">
              <w:rPr>
                <w:rStyle w:val="Hyperlink"/>
                <w:noProof/>
                <w:lang w:val="en-US" w:eastAsia="en-US" w:bidi="ar-SA"/>
              </w:rPr>
              <w:tab/>
              <w:t>Working Definition</w:t>
            </w:r>
            <w:r w:rsidRPr="000D09C4">
              <w:rPr>
                <w:rStyle w:val="Hyperlink"/>
                <w:noProof/>
                <w:webHidden/>
                <w:lang w:val="en-US" w:eastAsia="en-US" w:bidi="ar-SA"/>
              </w:rPr>
              <w:tab/>
            </w:r>
            <w:r w:rsidRPr="000D09C4">
              <w:rPr>
                <w:rStyle w:val="Hyperlink"/>
                <w:noProof/>
                <w:webHidden/>
                <w:lang w:val="en-US" w:eastAsia="en-US" w:bidi="ar-SA"/>
              </w:rPr>
              <w:fldChar w:fldCharType="begin"/>
            </w:r>
            <w:r w:rsidRPr="000D09C4">
              <w:rPr>
                <w:rStyle w:val="Hyperlink"/>
                <w:noProof/>
                <w:webHidden/>
                <w:lang w:val="en-US" w:eastAsia="en-US" w:bidi="ar-SA"/>
              </w:rPr>
              <w:instrText xml:space="preserve"> PAGEREF _Toc205533953 \h </w:instrText>
            </w:r>
            <w:r w:rsidRPr="000D09C4">
              <w:rPr>
                <w:rStyle w:val="Hyperlink"/>
                <w:noProof/>
                <w:webHidden/>
                <w:lang w:val="en-US" w:eastAsia="en-US" w:bidi="ar-SA"/>
              </w:rPr>
            </w:r>
            <w:r w:rsidRPr="000D09C4">
              <w:rPr>
                <w:rStyle w:val="Hyperlink"/>
                <w:noProof/>
                <w:webHidden/>
                <w:lang w:val="en-US" w:eastAsia="en-US" w:bidi="ar-SA"/>
              </w:rPr>
              <w:fldChar w:fldCharType="separate"/>
            </w:r>
            <w:r w:rsidR="009F382F">
              <w:rPr>
                <w:rStyle w:val="Hyperlink"/>
                <w:noProof/>
                <w:webHidden/>
                <w:lang w:val="en-US" w:eastAsia="en-US" w:bidi="ar-SA"/>
              </w:rPr>
              <w:t>17</w:t>
            </w:r>
            <w:r w:rsidRPr="000D09C4">
              <w:rPr>
                <w:rStyle w:val="Hyperlink"/>
                <w:noProof/>
                <w:webHidden/>
                <w:lang w:val="en-US" w:eastAsia="en-US" w:bidi="ar-SA"/>
              </w:rPr>
              <w:fldChar w:fldCharType="end"/>
            </w:r>
          </w:hyperlink>
        </w:p>
        <w:p w14:paraId="7CD78620" w14:textId="72E9AD53" w:rsidR="00D11161" w:rsidRPr="000D09C4" w:rsidRDefault="00D11161">
          <w:pPr>
            <w:pStyle w:val="TOC2"/>
            <w:rPr>
              <w:rStyle w:val="Hyperlink"/>
              <w:noProof/>
              <w:lang w:val="en-US" w:eastAsia="en-US" w:bidi="ar-SA"/>
            </w:rPr>
          </w:pPr>
          <w:hyperlink w:anchor="_Toc205533954" w:history="1">
            <w:r w:rsidRPr="000D09C4">
              <w:rPr>
                <w:rStyle w:val="Hyperlink"/>
                <w:noProof/>
                <w:lang w:val="en-US" w:eastAsia="en-US" w:bidi="ar-SA"/>
              </w:rPr>
              <w:t>2.2</w:t>
            </w:r>
            <w:r w:rsidRPr="000D09C4">
              <w:rPr>
                <w:rStyle w:val="Hyperlink"/>
                <w:noProof/>
                <w:lang w:val="en-US" w:eastAsia="en-US" w:bidi="ar-SA"/>
              </w:rPr>
              <w:tab/>
              <w:t>Development Approach</w:t>
            </w:r>
            <w:r w:rsidRPr="000D09C4">
              <w:rPr>
                <w:rStyle w:val="Hyperlink"/>
                <w:noProof/>
                <w:webHidden/>
                <w:lang w:val="en-US" w:eastAsia="en-US" w:bidi="ar-SA"/>
              </w:rPr>
              <w:tab/>
            </w:r>
            <w:r w:rsidRPr="000D09C4">
              <w:rPr>
                <w:rStyle w:val="Hyperlink"/>
                <w:noProof/>
                <w:webHidden/>
                <w:lang w:val="en-US" w:eastAsia="en-US" w:bidi="ar-SA"/>
              </w:rPr>
              <w:fldChar w:fldCharType="begin"/>
            </w:r>
            <w:r w:rsidRPr="000D09C4">
              <w:rPr>
                <w:rStyle w:val="Hyperlink"/>
                <w:noProof/>
                <w:webHidden/>
                <w:lang w:val="en-US" w:eastAsia="en-US" w:bidi="ar-SA"/>
              </w:rPr>
              <w:instrText xml:space="preserve"> PAGEREF _Toc205533954 \h </w:instrText>
            </w:r>
            <w:r w:rsidRPr="000D09C4">
              <w:rPr>
                <w:rStyle w:val="Hyperlink"/>
                <w:noProof/>
                <w:webHidden/>
                <w:lang w:val="en-US" w:eastAsia="en-US" w:bidi="ar-SA"/>
              </w:rPr>
            </w:r>
            <w:r w:rsidRPr="000D09C4">
              <w:rPr>
                <w:rStyle w:val="Hyperlink"/>
                <w:noProof/>
                <w:webHidden/>
                <w:lang w:val="en-US" w:eastAsia="en-US" w:bidi="ar-SA"/>
              </w:rPr>
              <w:fldChar w:fldCharType="separate"/>
            </w:r>
            <w:r w:rsidR="009F382F">
              <w:rPr>
                <w:rStyle w:val="Hyperlink"/>
                <w:noProof/>
                <w:webHidden/>
                <w:lang w:val="en-US" w:eastAsia="en-US" w:bidi="ar-SA"/>
              </w:rPr>
              <w:t>17</w:t>
            </w:r>
            <w:r w:rsidRPr="000D09C4">
              <w:rPr>
                <w:rStyle w:val="Hyperlink"/>
                <w:noProof/>
                <w:webHidden/>
                <w:lang w:val="en-US" w:eastAsia="en-US" w:bidi="ar-SA"/>
              </w:rPr>
              <w:fldChar w:fldCharType="end"/>
            </w:r>
          </w:hyperlink>
        </w:p>
        <w:p w14:paraId="734162BF" w14:textId="08303C28" w:rsidR="00D11161" w:rsidRPr="000D09C4" w:rsidRDefault="00D11161">
          <w:pPr>
            <w:pStyle w:val="TOC2"/>
            <w:rPr>
              <w:rStyle w:val="Hyperlink"/>
              <w:noProof/>
              <w:lang w:val="en-US" w:eastAsia="en-US" w:bidi="ar-SA"/>
            </w:rPr>
          </w:pPr>
          <w:hyperlink w:anchor="_Toc205533955" w:history="1">
            <w:r w:rsidRPr="000D09C4">
              <w:rPr>
                <w:rStyle w:val="Hyperlink"/>
                <w:noProof/>
                <w:lang w:val="en-US" w:eastAsia="en-US" w:bidi="ar-SA"/>
              </w:rPr>
              <w:t>2.4</w:t>
            </w:r>
            <w:r w:rsidRPr="000D09C4">
              <w:rPr>
                <w:rStyle w:val="Hyperlink"/>
                <w:noProof/>
                <w:lang w:val="en-US" w:eastAsia="en-US" w:bidi="ar-SA"/>
              </w:rPr>
              <w:tab/>
              <w:t>Inherent Limitations &amp; Constraints</w:t>
            </w:r>
            <w:r w:rsidRPr="000D09C4">
              <w:rPr>
                <w:rStyle w:val="Hyperlink"/>
                <w:noProof/>
                <w:webHidden/>
                <w:lang w:val="en-US" w:eastAsia="en-US" w:bidi="ar-SA"/>
              </w:rPr>
              <w:tab/>
            </w:r>
            <w:r w:rsidRPr="000D09C4">
              <w:rPr>
                <w:rStyle w:val="Hyperlink"/>
                <w:noProof/>
                <w:webHidden/>
                <w:lang w:val="en-US" w:eastAsia="en-US" w:bidi="ar-SA"/>
              </w:rPr>
              <w:fldChar w:fldCharType="begin"/>
            </w:r>
            <w:r w:rsidRPr="000D09C4">
              <w:rPr>
                <w:rStyle w:val="Hyperlink"/>
                <w:noProof/>
                <w:webHidden/>
                <w:lang w:val="en-US" w:eastAsia="en-US" w:bidi="ar-SA"/>
              </w:rPr>
              <w:instrText xml:space="preserve"> PAGEREF _Toc205533955 \h </w:instrText>
            </w:r>
            <w:r w:rsidRPr="000D09C4">
              <w:rPr>
                <w:rStyle w:val="Hyperlink"/>
                <w:noProof/>
                <w:webHidden/>
                <w:lang w:val="en-US" w:eastAsia="en-US" w:bidi="ar-SA"/>
              </w:rPr>
            </w:r>
            <w:r w:rsidRPr="000D09C4">
              <w:rPr>
                <w:rStyle w:val="Hyperlink"/>
                <w:noProof/>
                <w:webHidden/>
                <w:lang w:val="en-US" w:eastAsia="en-US" w:bidi="ar-SA"/>
              </w:rPr>
              <w:fldChar w:fldCharType="separate"/>
            </w:r>
            <w:r w:rsidR="009F382F">
              <w:rPr>
                <w:rStyle w:val="Hyperlink"/>
                <w:noProof/>
                <w:webHidden/>
                <w:lang w:val="en-US" w:eastAsia="en-US" w:bidi="ar-SA"/>
              </w:rPr>
              <w:t>18</w:t>
            </w:r>
            <w:r w:rsidRPr="000D09C4">
              <w:rPr>
                <w:rStyle w:val="Hyperlink"/>
                <w:noProof/>
                <w:webHidden/>
                <w:lang w:val="en-US" w:eastAsia="en-US" w:bidi="ar-SA"/>
              </w:rPr>
              <w:fldChar w:fldCharType="end"/>
            </w:r>
          </w:hyperlink>
        </w:p>
        <w:p w14:paraId="2E763399" w14:textId="0463906E" w:rsidR="00D11161" w:rsidRDefault="00D11161">
          <w:pPr>
            <w:pStyle w:val="TOC2"/>
            <w:rPr>
              <w:rFonts w:asciiTheme="minorHAnsi" w:hAnsiTheme="minorHAnsi"/>
              <w:noProof/>
              <w:sz w:val="24"/>
              <w:szCs w:val="30"/>
            </w:rPr>
          </w:pPr>
          <w:hyperlink w:anchor="_Toc205533956" w:history="1">
            <w:r w:rsidRPr="000D09C4">
              <w:rPr>
                <w:rStyle w:val="Hyperlink"/>
                <w:noProof/>
                <w:lang w:val="en-US" w:eastAsia="en-US" w:bidi="ar-SA"/>
              </w:rPr>
              <w:t>2.5</w:t>
            </w:r>
            <w:r w:rsidRPr="000D09C4">
              <w:rPr>
                <w:rStyle w:val="Hyperlink"/>
                <w:noProof/>
                <w:lang w:val="en-US" w:eastAsia="en-US" w:bidi="ar-SA"/>
              </w:rPr>
              <w:tab/>
              <w:t>Accessing the Reference Set &amp; Providing Feedback</w:t>
            </w:r>
            <w:r w:rsidRPr="000D09C4">
              <w:rPr>
                <w:rStyle w:val="Hyperlink"/>
                <w:noProof/>
                <w:webHidden/>
                <w:lang w:val="en-US" w:eastAsia="en-US" w:bidi="ar-SA"/>
              </w:rPr>
              <w:tab/>
            </w:r>
            <w:r w:rsidRPr="000D09C4">
              <w:rPr>
                <w:rStyle w:val="Hyperlink"/>
                <w:noProof/>
                <w:webHidden/>
                <w:lang w:val="en-US" w:eastAsia="en-US" w:bidi="ar-SA"/>
              </w:rPr>
              <w:fldChar w:fldCharType="begin"/>
            </w:r>
            <w:r w:rsidRPr="000D09C4">
              <w:rPr>
                <w:rStyle w:val="Hyperlink"/>
                <w:noProof/>
                <w:webHidden/>
                <w:lang w:val="en-US" w:eastAsia="en-US" w:bidi="ar-SA"/>
              </w:rPr>
              <w:instrText xml:space="preserve"> PAGEREF _Toc205533956 \h </w:instrText>
            </w:r>
            <w:r w:rsidRPr="000D09C4">
              <w:rPr>
                <w:rStyle w:val="Hyperlink"/>
                <w:noProof/>
                <w:webHidden/>
                <w:lang w:val="en-US" w:eastAsia="en-US" w:bidi="ar-SA"/>
              </w:rPr>
            </w:r>
            <w:r w:rsidRPr="000D09C4">
              <w:rPr>
                <w:rStyle w:val="Hyperlink"/>
                <w:noProof/>
                <w:webHidden/>
                <w:lang w:val="en-US" w:eastAsia="en-US" w:bidi="ar-SA"/>
              </w:rPr>
              <w:fldChar w:fldCharType="separate"/>
            </w:r>
            <w:r w:rsidR="009F382F">
              <w:rPr>
                <w:rStyle w:val="Hyperlink"/>
                <w:noProof/>
                <w:webHidden/>
                <w:lang w:val="en-US" w:eastAsia="en-US" w:bidi="ar-SA"/>
              </w:rPr>
              <w:t>20</w:t>
            </w:r>
            <w:r w:rsidRPr="000D09C4">
              <w:rPr>
                <w:rStyle w:val="Hyperlink"/>
                <w:noProof/>
                <w:webHidden/>
                <w:lang w:val="en-US" w:eastAsia="en-US" w:bidi="ar-SA"/>
              </w:rPr>
              <w:fldChar w:fldCharType="end"/>
            </w:r>
          </w:hyperlink>
        </w:p>
        <w:p w14:paraId="07A631F4" w14:textId="2D0E1EC9" w:rsidR="00D11161" w:rsidRDefault="00D11161">
          <w:pPr>
            <w:pStyle w:val="TOC1"/>
            <w:rPr>
              <w:rFonts w:asciiTheme="minorHAnsi" w:hAnsiTheme="minorHAnsi"/>
              <w:noProof/>
              <w:szCs w:val="30"/>
            </w:rPr>
          </w:pPr>
          <w:hyperlink w:anchor="_Toc205533957" w:history="1">
            <w:r w:rsidRPr="00C545CF">
              <w:rPr>
                <w:rStyle w:val="Hyperlink"/>
                <w:noProof/>
                <w:lang w:eastAsia="en-US" w:bidi="ar-SA"/>
              </w:rPr>
              <w:t>3</w:t>
            </w:r>
            <w:r>
              <w:rPr>
                <w:rFonts w:asciiTheme="minorHAnsi" w:hAnsiTheme="minorHAnsi"/>
                <w:noProof/>
                <w:szCs w:val="30"/>
              </w:rPr>
              <w:tab/>
            </w:r>
            <w:r w:rsidRPr="00C545CF">
              <w:rPr>
                <w:rStyle w:val="Hyperlink"/>
                <w:noProof/>
                <w:lang w:eastAsia="en-US" w:bidi="ar-SA"/>
              </w:rPr>
              <w:t>Report Structure</w:t>
            </w:r>
            <w:r>
              <w:rPr>
                <w:noProof/>
                <w:webHidden/>
              </w:rPr>
              <w:tab/>
            </w:r>
            <w:r>
              <w:rPr>
                <w:noProof/>
                <w:webHidden/>
              </w:rPr>
              <w:fldChar w:fldCharType="begin"/>
            </w:r>
            <w:r>
              <w:rPr>
                <w:noProof/>
                <w:webHidden/>
              </w:rPr>
              <w:instrText xml:space="preserve"> PAGEREF _Toc205533957 \h </w:instrText>
            </w:r>
            <w:r>
              <w:rPr>
                <w:noProof/>
                <w:webHidden/>
              </w:rPr>
            </w:r>
            <w:r>
              <w:rPr>
                <w:noProof/>
                <w:webHidden/>
              </w:rPr>
              <w:fldChar w:fldCharType="separate"/>
            </w:r>
            <w:r w:rsidR="009F382F">
              <w:rPr>
                <w:noProof/>
                <w:webHidden/>
              </w:rPr>
              <w:t>22</w:t>
            </w:r>
            <w:r>
              <w:rPr>
                <w:noProof/>
                <w:webHidden/>
              </w:rPr>
              <w:fldChar w:fldCharType="end"/>
            </w:r>
          </w:hyperlink>
        </w:p>
        <w:p w14:paraId="0DD7080E" w14:textId="0412A66F" w:rsidR="00D11161" w:rsidRDefault="00D11161">
          <w:pPr>
            <w:pStyle w:val="TOC1"/>
            <w:rPr>
              <w:rFonts w:asciiTheme="minorHAnsi" w:hAnsiTheme="minorHAnsi"/>
              <w:noProof/>
              <w:szCs w:val="30"/>
            </w:rPr>
          </w:pPr>
          <w:hyperlink w:anchor="_Toc205533958" w:history="1">
            <w:r w:rsidRPr="00C545CF">
              <w:rPr>
                <w:rStyle w:val="Hyperlink"/>
                <w:noProof/>
                <w:lang w:eastAsia="en-US" w:bidi="ar-SA"/>
              </w:rPr>
              <w:t>4</w:t>
            </w:r>
            <w:r>
              <w:rPr>
                <w:rFonts w:asciiTheme="minorHAnsi" w:hAnsiTheme="minorHAnsi"/>
                <w:noProof/>
                <w:szCs w:val="30"/>
              </w:rPr>
              <w:tab/>
            </w:r>
            <w:r w:rsidRPr="00C545CF">
              <w:rPr>
                <w:rStyle w:val="Hyperlink"/>
                <w:noProof/>
                <w:lang w:eastAsia="en-US" w:bidi="ar-SA"/>
              </w:rPr>
              <w:t>Systemic Issues &amp; Transformation Risks</w:t>
            </w:r>
            <w:r>
              <w:rPr>
                <w:noProof/>
                <w:webHidden/>
              </w:rPr>
              <w:tab/>
            </w:r>
            <w:r>
              <w:rPr>
                <w:noProof/>
                <w:webHidden/>
              </w:rPr>
              <w:fldChar w:fldCharType="begin"/>
            </w:r>
            <w:r>
              <w:rPr>
                <w:noProof/>
                <w:webHidden/>
              </w:rPr>
              <w:instrText xml:space="preserve"> PAGEREF _Toc205533958 \h </w:instrText>
            </w:r>
            <w:r>
              <w:rPr>
                <w:noProof/>
                <w:webHidden/>
              </w:rPr>
            </w:r>
            <w:r>
              <w:rPr>
                <w:noProof/>
                <w:webHidden/>
              </w:rPr>
              <w:fldChar w:fldCharType="separate"/>
            </w:r>
            <w:r w:rsidR="009F382F">
              <w:rPr>
                <w:noProof/>
                <w:webHidden/>
              </w:rPr>
              <w:t>28</w:t>
            </w:r>
            <w:r>
              <w:rPr>
                <w:noProof/>
                <w:webHidden/>
              </w:rPr>
              <w:fldChar w:fldCharType="end"/>
            </w:r>
          </w:hyperlink>
        </w:p>
        <w:p w14:paraId="0D5CAD39" w14:textId="1DF79FED" w:rsidR="00D11161" w:rsidRDefault="00D11161">
          <w:pPr>
            <w:pStyle w:val="TOC2"/>
            <w:rPr>
              <w:rFonts w:asciiTheme="minorHAnsi" w:hAnsiTheme="minorHAnsi"/>
              <w:noProof/>
              <w:sz w:val="24"/>
              <w:szCs w:val="30"/>
            </w:rPr>
          </w:pPr>
          <w:hyperlink w:anchor="_Toc205533959" w:history="1">
            <w:r w:rsidRPr="00C545CF">
              <w:rPr>
                <w:rStyle w:val="Hyperlink"/>
                <w:noProof/>
                <w:lang w:eastAsia="en-US" w:bidi="ar-SA"/>
              </w:rPr>
              <w:t>4.1</w:t>
            </w:r>
            <w:r>
              <w:rPr>
                <w:rFonts w:asciiTheme="minorHAnsi" w:hAnsiTheme="minorHAnsi"/>
                <w:noProof/>
                <w:sz w:val="24"/>
                <w:szCs w:val="30"/>
              </w:rPr>
              <w:tab/>
            </w:r>
            <w:r w:rsidRPr="00C545CF">
              <w:rPr>
                <w:rStyle w:val="Hyperlink"/>
                <w:noProof/>
                <w:lang w:eastAsia="en-US" w:bidi="ar-SA"/>
              </w:rPr>
              <w:t>Strategic Transformation Risks</w:t>
            </w:r>
            <w:r>
              <w:rPr>
                <w:noProof/>
                <w:webHidden/>
              </w:rPr>
              <w:tab/>
            </w:r>
            <w:r>
              <w:rPr>
                <w:noProof/>
                <w:webHidden/>
              </w:rPr>
              <w:fldChar w:fldCharType="begin"/>
            </w:r>
            <w:r>
              <w:rPr>
                <w:noProof/>
                <w:webHidden/>
              </w:rPr>
              <w:instrText xml:space="preserve"> PAGEREF _Toc205533959 \h </w:instrText>
            </w:r>
            <w:r>
              <w:rPr>
                <w:noProof/>
                <w:webHidden/>
              </w:rPr>
            </w:r>
            <w:r>
              <w:rPr>
                <w:noProof/>
                <w:webHidden/>
              </w:rPr>
              <w:fldChar w:fldCharType="separate"/>
            </w:r>
            <w:r w:rsidR="009F382F">
              <w:rPr>
                <w:noProof/>
                <w:webHidden/>
              </w:rPr>
              <w:t>29</w:t>
            </w:r>
            <w:r>
              <w:rPr>
                <w:noProof/>
                <w:webHidden/>
              </w:rPr>
              <w:fldChar w:fldCharType="end"/>
            </w:r>
          </w:hyperlink>
        </w:p>
        <w:p w14:paraId="376E16A9" w14:textId="1FD00659" w:rsidR="00D11161" w:rsidRDefault="00D11161">
          <w:pPr>
            <w:pStyle w:val="TOC3"/>
            <w:rPr>
              <w:rFonts w:asciiTheme="minorHAnsi" w:hAnsiTheme="minorHAnsi"/>
              <w:noProof/>
              <w:sz w:val="24"/>
              <w:szCs w:val="30"/>
            </w:rPr>
          </w:pPr>
          <w:hyperlink w:anchor="_Toc205533960" w:history="1">
            <w:r w:rsidRPr="00C545CF">
              <w:rPr>
                <w:rStyle w:val="Hyperlink"/>
                <w:noProof/>
                <w:lang w:eastAsia="en-US" w:bidi="ar-SA"/>
              </w:rPr>
              <w:t>4.1.1</w:t>
            </w:r>
            <w:r>
              <w:rPr>
                <w:rFonts w:asciiTheme="minorHAnsi" w:hAnsiTheme="minorHAnsi"/>
                <w:noProof/>
                <w:sz w:val="24"/>
                <w:szCs w:val="30"/>
              </w:rPr>
              <w:tab/>
            </w:r>
            <w:r w:rsidRPr="00C545CF">
              <w:rPr>
                <w:rStyle w:val="Hyperlink"/>
                <w:noProof/>
                <w:lang w:eastAsia="en-US" w:bidi="ar-SA"/>
              </w:rPr>
              <w:t>Limited Shared Future Vision</w:t>
            </w:r>
            <w:r>
              <w:rPr>
                <w:noProof/>
                <w:webHidden/>
              </w:rPr>
              <w:tab/>
            </w:r>
            <w:r>
              <w:rPr>
                <w:noProof/>
                <w:webHidden/>
              </w:rPr>
              <w:fldChar w:fldCharType="begin"/>
            </w:r>
            <w:r>
              <w:rPr>
                <w:noProof/>
                <w:webHidden/>
              </w:rPr>
              <w:instrText xml:space="preserve"> PAGEREF _Toc205533960 \h </w:instrText>
            </w:r>
            <w:r>
              <w:rPr>
                <w:noProof/>
                <w:webHidden/>
              </w:rPr>
            </w:r>
            <w:r>
              <w:rPr>
                <w:noProof/>
                <w:webHidden/>
              </w:rPr>
              <w:fldChar w:fldCharType="separate"/>
            </w:r>
            <w:r w:rsidR="009F382F">
              <w:rPr>
                <w:noProof/>
                <w:webHidden/>
              </w:rPr>
              <w:t>29</w:t>
            </w:r>
            <w:r>
              <w:rPr>
                <w:noProof/>
                <w:webHidden/>
              </w:rPr>
              <w:fldChar w:fldCharType="end"/>
            </w:r>
          </w:hyperlink>
        </w:p>
        <w:p w14:paraId="156818A7" w14:textId="5C7CF20E" w:rsidR="00D11161" w:rsidRDefault="00D11161">
          <w:pPr>
            <w:pStyle w:val="TOC3"/>
            <w:rPr>
              <w:rFonts w:asciiTheme="minorHAnsi" w:hAnsiTheme="minorHAnsi"/>
              <w:noProof/>
              <w:sz w:val="24"/>
              <w:szCs w:val="30"/>
            </w:rPr>
          </w:pPr>
          <w:hyperlink w:anchor="_Toc205533961" w:history="1">
            <w:r w:rsidRPr="00C545CF">
              <w:rPr>
                <w:rStyle w:val="Hyperlink"/>
                <w:noProof/>
                <w:lang w:eastAsia="en-US" w:bidi="ar-SA"/>
              </w:rPr>
              <w:t>4.1.2</w:t>
            </w:r>
            <w:r>
              <w:rPr>
                <w:rFonts w:asciiTheme="minorHAnsi" w:hAnsiTheme="minorHAnsi"/>
                <w:noProof/>
                <w:sz w:val="24"/>
                <w:szCs w:val="30"/>
              </w:rPr>
              <w:tab/>
            </w:r>
            <w:r w:rsidRPr="00C545CF">
              <w:rPr>
                <w:rStyle w:val="Hyperlink"/>
                <w:noProof/>
                <w:lang w:eastAsia="en-US" w:bidi="ar-SA"/>
              </w:rPr>
              <w:t>Inadequate Complexity Management</w:t>
            </w:r>
            <w:r>
              <w:rPr>
                <w:noProof/>
                <w:webHidden/>
              </w:rPr>
              <w:tab/>
            </w:r>
            <w:r>
              <w:rPr>
                <w:noProof/>
                <w:webHidden/>
              </w:rPr>
              <w:fldChar w:fldCharType="begin"/>
            </w:r>
            <w:r>
              <w:rPr>
                <w:noProof/>
                <w:webHidden/>
              </w:rPr>
              <w:instrText xml:space="preserve"> PAGEREF _Toc205533961 \h </w:instrText>
            </w:r>
            <w:r>
              <w:rPr>
                <w:noProof/>
                <w:webHidden/>
              </w:rPr>
            </w:r>
            <w:r>
              <w:rPr>
                <w:noProof/>
                <w:webHidden/>
              </w:rPr>
              <w:fldChar w:fldCharType="separate"/>
            </w:r>
            <w:r w:rsidR="009F382F">
              <w:rPr>
                <w:noProof/>
                <w:webHidden/>
              </w:rPr>
              <w:t>33</w:t>
            </w:r>
            <w:r>
              <w:rPr>
                <w:noProof/>
                <w:webHidden/>
              </w:rPr>
              <w:fldChar w:fldCharType="end"/>
            </w:r>
          </w:hyperlink>
        </w:p>
        <w:p w14:paraId="55868E8A" w14:textId="158A1C87" w:rsidR="00D11161" w:rsidRDefault="00D11161">
          <w:pPr>
            <w:pStyle w:val="TOC3"/>
            <w:rPr>
              <w:rFonts w:asciiTheme="minorHAnsi" w:hAnsiTheme="minorHAnsi"/>
              <w:noProof/>
              <w:sz w:val="24"/>
              <w:szCs w:val="30"/>
            </w:rPr>
          </w:pPr>
          <w:hyperlink w:anchor="_Toc205533962" w:history="1">
            <w:r w:rsidRPr="00C545CF">
              <w:rPr>
                <w:rStyle w:val="Hyperlink"/>
                <w:noProof/>
                <w:lang w:eastAsia="en-US" w:bidi="ar-SA"/>
              </w:rPr>
              <w:t>4.1.3</w:t>
            </w:r>
            <w:r>
              <w:rPr>
                <w:rFonts w:asciiTheme="minorHAnsi" w:hAnsiTheme="minorHAnsi"/>
                <w:noProof/>
                <w:sz w:val="24"/>
                <w:szCs w:val="30"/>
              </w:rPr>
              <w:tab/>
            </w:r>
            <w:r w:rsidRPr="00C545CF">
              <w:rPr>
                <w:rStyle w:val="Hyperlink"/>
                <w:noProof/>
                <w:lang w:eastAsia="en-US" w:bidi="ar-SA"/>
              </w:rPr>
              <w:t>Benefits Realisation Risks</w:t>
            </w:r>
            <w:r>
              <w:rPr>
                <w:noProof/>
                <w:webHidden/>
              </w:rPr>
              <w:tab/>
            </w:r>
            <w:r>
              <w:rPr>
                <w:noProof/>
                <w:webHidden/>
              </w:rPr>
              <w:fldChar w:fldCharType="begin"/>
            </w:r>
            <w:r>
              <w:rPr>
                <w:noProof/>
                <w:webHidden/>
              </w:rPr>
              <w:instrText xml:space="preserve"> PAGEREF _Toc205533962 \h </w:instrText>
            </w:r>
            <w:r>
              <w:rPr>
                <w:noProof/>
                <w:webHidden/>
              </w:rPr>
            </w:r>
            <w:r>
              <w:rPr>
                <w:noProof/>
                <w:webHidden/>
              </w:rPr>
              <w:fldChar w:fldCharType="separate"/>
            </w:r>
            <w:r w:rsidR="009F382F">
              <w:rPr>
                <w:noProof/>
                <w:webHidden/>
              </w:rPr>
              <w:t>39</w:t>
            </w:r>
            <w:r>
              <w:rPr>
                <w:noProof/>
                <w:webHidden/>
              </w:rPr>
              <w:fldChar w:fldCharType="end"/>
            </w:r>
          </w:hyperlink>
        </w:p>
        <w:p w14:paraId="2617361A" w14:textId="1DD1EEA1" w:rsidR="00D11161" w:rsidRDefault="00D11161">
          <w:pPr>
            <w:pStyle w:val="TOC2"/>
            <w:rPr>
              <w:rFonts w:asciiTheme="minorHAnsi" w:hAnsiTheme="minorHAnsi"/>
              <w:noProof/>
              <w:sz w:val="24"/>
              <w:szCs w:val="30"/>
            </w:rPr>
          </w:pPr>
          <w:hyperlink w:anchor="_Toc205533963" w:history="1">
            <w:r w:rsidRPr="00C545CF">
              <w:rPr>
                <w:rStyle w:val="Hyperlink"/>
                <w:noProof/>
                <w:lang w:eastAsia="en-US" w:bidi="ar-SA"/>
              </w:rPr>
              <w:t>4.2</w:t>
            </w:r>
            <w:r>
              <w:rPr>
                <w:rFonts w:asciiTheme="minorHAnsi" w:hAnsiTheme="minorHAnsi"/>
                <w:noProof/>
                <w:sz w:val="24"/>
                <w:szCs w:val="30"/>
              </w:rPr>
              <w:tab/>
            </w:r>
            <w:r w:rsidRPr="00C545CF">
              <w:rPr>
                <w:rStyle w:val="Hyperlink"/>
                <w:noProof/>
                <w:lang w:eastAsia="en-US" w:bidi="ar-SA"/>
              </w:rPr>
              <w:t>Core Structural &amp; Operability Issues</w:t>
            </w:r>
            <w:r>
              <w:rPr>
                <w:noProof/>
                <w:webHidden/>
              </w:rPr>
              <w:tab/>
            </w:r>
            <w:r>
              <w:rPr>
                <w:noProof/>
                <w:webHidden/>
              </w:rPr>
              <w:fldChar w:fldCharType="begin"/>
            </w:r>
            <w:r>
              <w:rPr>
                <w:noProof/>
                <w:webHidden/>
              </w:rPr>
              <w:instrText xml:space="preserve"> PAGEREF _Toc205533963 \h </w:instrText>
            </w:r>
            <w:r>
              <w:rPr>
                <w:noProof/>
                <w:webHidden/>
              </w:rPr>
            </w:r>
            <w:r>
              <w:rPr>
                <w:noProof/>
                <w:webHidden/>
              </w:rPr>
              <w:fldChar w:fldCharType="separate"/>
            </w:r>
            <w:r w:rsidR="009F382F">
              <w:rPr>
                <w:noProof/>
                <w:webHidden/>
              </w:rPr>
              <w:t>43</w:t>
            </w:r>
            <w:r>
              <w:rPr>
                <w:noProof/>
                <w:webHidden/>
              </w:rPr>
              <w:fldChar w:fldCharType="end"/>
            </w:r>
          </w:hyperlink>
        </w:p>
        <w:p w14:paraId="6383417C" w14:textId="688DCD78" w:rsidR="00D11161" w:rsidRDefault="00D11161">
          <w:pPr>
            <w:pStyle w:val="TOC3"/>
            <w:rPr>
              <w:rFonts w:asciiTheme="minorHAnsi" w:hAnsiTheme="minorHAnsi"/>
              <w:noProof/>
              <w:sz w:val="24"/>
              <w:szCs w:val="30"/>
            </w:rPr>
          </w:pPr>
          <w:hyperlink w:anchor="_Toc205533964" w:history="1">
            <w:r w:rsidRPr="00C545CF">
              <w:rPr>
                <w:rStyle w:val="Hyperlink"/>
                <w:noProof/>
                <w:lang w:eastAsia="en-US" w:bidi="ar-SA"/>
              </w:rPr>
              <w:t>4.2.1</w:t>
            </w:r>
            <w:r>
              <w:rPr>
                <w:rFonts w:asciiTheme="minorHAnsi" w:hAnsiTheme="minorHAnsi"/>
                <w:noProof/>
                <w:sz w:val="24"/>
                <w:szCs w:val="30"/>
              </w:rPr>
              <w:tab/>
            </w:r>
            <w:r w:rsidRPr="00C545CF">
              <w:rPr>
                <w:rStyle w:val="Hyperlink"/>
                <w:noProof/>
                <w:lang w:eastAsia="en-US" w:bidi="ar-SA"/>
              </w:rPr>
              <w:t>Foundational Structural Shifts</w:t>
            </w:r>
            <w:r>
              <w:rPr>
                <w:noProof/>
                <w:webHidden/>
              </w:rPr>
              <w:tab/>
            </w:r>
            <w:r>
              <w:rPr>
                <w:noProof/>
                <w:webHidden/>
              </w:rPr>
              <w:fldChar w:fldCharType="begin"/>
            </w:r>
            <w:r>
              <w:rPr>
                <w:noProof/>
                <w:webHidden/>
              </w:rPr>
              <w:instrText xml:space="preserve"> PAGEREF _Toc205533964 \h </w:instrText>
            </w:r>
            <w:r>
              <w:rPr>
                <w:noProof/>
                <w:webHidden/>
              </w:rPr>
            </w:r>
            <w:r>
              <w:rPr>
                <w:noProof/>
                <w:webHidden/>
              </w:rPr>
              <w:fldChar w:fldCharType="separate"/>
            </w:r>
            <w:r w:rsidR="009F382F">
              <w:rPr>
                <w:noProof/>
                <w:webHidden/>
              </w:rPr>
              <w:t>43</w:t>
            </w:r>
            <w:r>
              <w:rPr>
                <w:noProof/>
                <w:webHidden/>
              </w:rPr>
              <w:fldChar w:fldCharType="end"/>
            </w:r>
          </w:hyperlink>
        </w:p>
        <w:p w14:paraId="3D741B2C" w14:textId="4507F9B3" w:rsidR="00D11161" w:rsidRDefault="00D11161">
          <w:pPr>
            <w:pStyle w:val="TOC3"/>
            <w:rPr>
              <w:rFonts w:asciiTheme="minorHAnsi" w:hAnsiTheme="minorHAnsi"/>
              <w:noProof/>
              <w:sz w:val="24"/>
              <w:szCs w:val="30"/>
            </w:rPr>
          </w:pPr>
          <w:hyperlink w:anchor="_Toc205533965" w:history="1">
            <w:r w:rsidRPr="00C545CF">
              <w:rPr>
                <w:rStyle w:val="Hyperlink"/>
                <w:noProof/>
                <w:lang w:eastAsia="en-US" w:bidi="ar-SA"/>
              </w:rPr>
              <w:t>4.2.2</w:t>
            </w:r>
            <w:r>
              <w:rPr>
                <w:rFonts w:asciiTheme="minorHAnsi" w:hAnsiTheme="minorHAnsi"/>
                <w:noProof/>
                <w:sz w:val="24"/>
                <w:szCs w:val="30"/>
              </w:rPr>
              <w:tab/>
            </w:r>
            <w:r w:rsidRPr="00C545CF">
              <w:rPr>
                <w:rStyle w:val="Hyperlink"/>
                <w:noProof/>
                <w:lang w:eastAsia="en-US" w:bidi="ar-SA"/>
              </w:rPr>
              <w:t>Operational Visibility Risks</w:t>
            </w:r>
            <w:r>
              <w:rPr>
                <w:noProof/>
                <w:webHidden/>
              </w:rPr>
              <w:tab/>
            </w:r>
            <w:r>
              <w:rPr>
                <w:noProof/>
                <w:webHidden/>
              </w:rPr>
              <w:fldChar w:fldCharType="begin"/>
            </w:r>
            <w:r>
              <w:rPr>
                <w:noProof/>
                <w:webHidden/>
              </w:rPr>
              <w:instrText xml:space="preserve"> PAGEREF _Toc205533965 \h </w:instrText>
            </w:r>
            <w:r>
              <w:rPr>
                <w:noProof/>
                <w:webHidden/>
              </w:rPr>
            </w:r>
            <w:r>
              <w:rPr>
                <w:noProof/>
                <w:webHidden/>
              </w:rPr>
              <w:fldChar w:fldCharType="separate"/>
            </w:r>
            <w:r w:rsidR="009F382F">
              <w:rPr>
                <w:noProof/>
                <w:webHidden/>
              </w:rPr>
              <w:t>49</w:t>
            </w:r>
            <w:r>
              <w:rPr>
                <w:noProof/>
                <w:webHidden/>
              </w:rPr>
              <w:fldChar w:fldCharType="end"/>
            </w:r>
          </w:hyperlink>
        </w:p>
        <w:p w14:paraId="2A433AC1" w14:textId="3BD1F551" w:rsidR="00D11161" w:rsidRDefault="00D11161">
          <w:pPr>
            <w:pStyle w:val="TOC3"/>
            <w:rPr>
              <w:rFonts w:asciiTheme="minorHAnsi" w:hAnsiTheme="minorHAnsi"/>
              <w:noProof/>
              <w:sz w:val="24"/>
              <w:szCs w:val="30"/>
            </w:rPr>
          </w:pPr>
          <w:hyperlink w:anchor="_Toc205533966" w:history="1">
            <w:r w:rsidRPr="00C545CF">
              <w:rPr>
                <w:rStyle w:val="Hyperlink"/>
                <w:noProof/>
                <w:lang w:eastAsia="en-US" w:bidi="ar-SA"/>
              </w:rPr>
              <w:t>4.2.3</w:t>
            </w:r>
            <w:r>
              <w:rPr>
                <w:rFonts w:asciiTheme="minorHAnsi" w:hAnsiTheme="minorHAnsi"/>
                <w:noProof/>
                <w:sz w:val="24"/>
                <w:szCs w:val="30"/>
              </w:rPr>
              <w:tab/>
            </w:r>
            <w:r w:rsidRPr="00C545CF">
              <w:rPr>
                <w:rStyle w:val="Hyperlink"/>
                <w:noProof/>
                <w:lang w:eastAsia="en-US" w:bidi="ar-SA"/>
              </w:rPr>
              <w:t>System Coordination &amp; Balancing Risks</w:t>
            </w:r>
            <w:r>
              <w:rPr>
                <w:noProof/>
                <w:webHidden/>
              </w:rPr>
              <w:tab/>
            </w:r>
            <w:r>
              <w:rPr>
                <w:noProof/>
                <w:webHidden/>
              </w:rPr>
              <w:fldChar w:fldCharType="begin"/>
            </w:r>
            <w:r>
              <w:rPr>
                <w:noProof/>
                <w:webHidden/>
              </w:rPr>
              <w:instrText xml:space="preserve"> PAGEREF _Toc205533966 \h </w:instrText>
            </w:r>
            <w:r>
              <w:rPr>
                <w:noProof/>
                <w:webHidden/>
              </w:rPr>
            </w:r>
            <w:r>
              <w:rPr>
                <w:noProof/>
                <w:webHidden/>
              </w:rPr>
              <w:fldChar w:fldCharType="separate"/>
            </w:r>
            <w:r w:rsidR="009F382F">
              <w:rPr>
                <w:noProof/>
                <w:webHidden/>
              </w:rPr>
              <w:t>54</w:t>
            </w:r>
            <w:r>
              <w:rPr>
                <w:noProof/>
                <w:webHidden/>
              </w:rPr>
              <w:fldChar w:fldCharType="end"/>
            </w:r>
          </w:hyperlink>
        </w:p>
        <w:p w14:paraId="7031DACC" w14:textId="6DD503FA" w:rsidR="00D11161" w:rsidRDefault="00D11161">
          <w:pPr>
            <w:pStyle w:val="TOC3"/>
            <w:rPr>
              <w:rFonts w:asciiTheme="minorHAnsi" w:hAnsiTheme="minorHAnsi"/>
              <w:noProof/>
              <w:sz w:val="24"/>
              <w:szCs w:val="30"/>
            </w:rPr>
          </w:pPr>
          <w:hyperlink w:anchor="_Toc205533967" w:history="1">
            <w:r w:rsidRPr="00C545CF">
              <w:rPr>
                <w:rStyle w:val="Hyperlink"/>
                <w:noProof/>
                <w:lang w:eastAsia="en-US" w:bidi="ar-SA"/>
              </w:rPr>
              <w:t>4.2.4</w:t>
            </w:r>
            <w:r>
              <w:rPr>
                <w:rFonts w:asciiTheme="minorHAnsi" w:hAnsiTheme="minorHAnsi"/>
                <w:noProof/>
                <w:sz w:val="24"/>
                <w:szCs w:val="30"/>
              </w:rPr>
              <w:tab/>
            </w:r>
            <w:r w:rsidRPr="00C545CF">
              <w:rPr>
                <w:rStyle w:val="Hyperlink"/>
                <w:noProof/>
                <w:lang w:eastAsia="en-US" w:bidi="ar-SA"/>
              </w:rPr>
              <w:t>Whole-system Buffering Needs</w:t>
            </w:r>
            <w:r>
              <w:rPr>
                <w:noProof/>
                <w:webHidden/>
              </w:rPr>
              <w:tab/>
            </w:r>
            <w:r>
              <w:rPr>
                <w:noProof/>
                <w:webHidden/>
              </w:rPr>
              <w:fldChar w:fldCharType="begin"/>
            </w:r>
            <w:r>
              <w:rPr>
                <w:noProof/>
                <w:webHidden/>
              </w:rPr>
              <w:instrText xml:space="preserve"> PAGEREF _Toc205533967 \h </w:instrText>
            </w:r>
            <w:r>
              <w:rPr>
                <w:noProof/>
                <w:webHidden/>
              </w:rPr>
            </w:r>
            <w:r>
              <w:rPr>
                <w:noProof/>
                <w:webHidden/>
              </w:rPr>
              <w:fldChar w:fldCharType="separate"/>
            </w:r>
            <w:r w:rsidR="009F382F">
              <w:rPr>
                <w:noProof/>
                <w:webHidden/>
              </w:rPr>
              <w:t>64</w:t>
            </w:r>
            <w:r>
              <w:rPr>
                <w:noProof/>
                <w:webHidden/>
              </w:rPr>
              <w:fldChar w:fldCharType="end"/>
            </w:r>
          </w:hyperlink>
        </w:p>
        <w:p w14:paraId="43A3B866" w14:textId="32B20570" w:rsidR="00D11161" w:rsidRDefault="00D11161">
          <w:pPr>
            <w:pStyle w:val="TOC3"/>
            <w:rPr>
              <w:rFonts w:asciiTheme="minorHAnsi" w:hAnsiTheme="minorHAnsi"/>
              <w:noProof/>
              <w:sz w:val="24"/>
              <w:szCs w:val="30"/>
            </w:rPr>
          </w:pPr>
          <w:hyperlink w:anchor="_Toc205533968" w:history="1">
            <w:r w:rsidRPr="00C545CF">
              <w:rPr>
                <w:rStyle w:val="Hyperlink"/>
                <w:noProof/>
                <w:lang w:eastAsia="en-US" w:bidi="ar-SA"/>
              </w:rPr>
              <w:t>4.2.5</w:t>
            </w:r>
            <w:r>
              <w:rPr>
                <w:rFonts w:asciiTheme="minorHAnsi" w:hAnsiTheme="minorHAnsi"/>
                <w:noProof/>
                <w:sz w:val="24"/>
                <w:szCs w:val="30"/>
              </w:rPr>
              <w:tab/>
            </w:r>
            <w:r w:rsidRPr="00C545CF">
              <w:rPr>
                <w:rStyle w:val="Hyperlink"/>
                <w:noProof/>
                <w:lang w:eastAsia="en-US" w:bidi="ar-SA"/>
              </w:rPr>
              <w:t>Multiple Aggregator/VPP Risks</w:t>
            </w:r>
            <w:r>
              <w:rPr>
                <w:noProof/>
                <w:webHidden/>
              </w:rPr>
              <w:tab/>
            </w:r>
            <w:r>
              <w:rPr>
                <w:noProof/>
                <w:webHidden/>
              </w:rPr>
              <w:fldChar w:fldCharType="begin"/>
            </w:r>
            <w:r>
              <w:rPr>
                <w:noProof/>
                <w:webHidden/>
              </w:rPr>
              <w:instrText xml:space="preserve"> PAGEREF _Toc205533968 \h </w:instrText>
            </w:r>
            <w:r>
              <w:rPr>
                <w:noProof/>
                <w:webHidden/>
              </w:rPr>
            </w:r>
            <w:r>
              <w:rPr>
                <w:noProof/>
                <w:webHidden/>
              </w:rPr>
              <w:fldChar w:fldCharType="separate"/>
            </w:r>
            <w:r w:rsidR="009F382F">
              <w:rPr>
                <w:noProof/>
                <w:webHidden/>
              </w:rPr>
              <w:t>66</w:t>
            </w:r>
            <w:r>
              <w:rPr>
                <w:noProof/>
                <w:webHidden/>
              </w:rPr>
              <w:fldChar w:fldCharType="end"/>
            </w:r>
          </w:hyperlink>
        </w:p>
        <w:p w14:paraId="7AE5F74B" w14:textId="4F7C49D4" w:rsidR="00D11161" w:rsidRDefault="00D11161">
          <w:pPr>
            <w:pStyle w:val="TOC3"/>
            <w:rPr>
              <w:rFonts w:asciiTheme="minorHAnsi" w:hAnsiTheme="minorHAnsi"/>
              <w:noProof/>
              <w:sz w:val="24"/>
              <w:szCs w:val="30"/>
            </w:rPr>
          </w:pPr>
          <w:hyperlink w:anchor="_Toc205533969" w:history="1">
            <w:r w:rsidRPr="00C545CF">
              <w:rPr>
                <w:rStyle w:val="Hyperlink"/>
                <w:noProof/>
                <w:lang w:eastAsia="en-US" w:bidi="ar-SA"/>
              </w:rPr>
              <w:t>4.2.6</w:t>
            </w:r>
            <w:r>
              <w:rPr>
                <w:rFonts w:asciiTheme="minorHAnsi" w:hAnsiTheme="minorHAnsi"/>
                <w:noProof/>
                <w:sz w:val="24"/>
                <w:szCs w:val="30"/>
              </w:rPr>
              <w:tab/>
            </w:r>
            <w:r w:rsidRPr="00C545CF">
              <w:rPr>
                <w:rStyle w:val="Hyperlink"/>
                <w:noProof/>
                <w:lang w:eastAsia="en-US" w:bidi="ar-SA"/>
              </w:rPr>
              <w:t>Single Point of Failure Risks</w:t>
            </w:r>
            <w:r>
              <w:rPr>
                <w:noProof/>
                <w:webHidden/>
              </w:rPr>
              <w:tab/>
            </w:r>
            <w:r>
              <w:rPr>
                <w:noProof/>
                <w:webHidden/>
              </w:rPr>
              <w:fldChar w:fldCharType="begin"/>
            </w:r>
            <w:r>
              <w:rPr>
                <w:noProof/>
                <w:webHidden/>
              </w:rPr>
              <w:instrText xml:space="preserve"> PAGEREF _Toc205533969 \h </w:instrText>
            </w:r>
            <w:r>
              <w:rPr>
                <w:noProof/>
                <w:webHidden/>
              </w:rPr>
            </w:r>
            <w:r>
              <w:rPr>
                <w:noProof/>
                <w:webHidden/>
              </w:rPr>
              <w:fldChar w:fldCharType="separate"/>
            </w:r>
            <w:r w:rsidR="009F382F">
              <w:rPr>
                <w:noProof/>
                <w:webHidden/>
              </w:rPr>
              <w:t>74</w:t>
            </w:r>
            <w:r>
              <w:rPr>
                <w:noProof/>
                <w:webHidden/>
              </w:rPr>
              <w:fldChar w:fldCharType="end"/>
            </w:r>
          </w:hyperlink>
        </w:p>
        <w:p w14:paraId="634CFB12" w14:textId="3D62426F" w:rsidR="00D11161" w:rsidRDefault="00D11161">
          <w:pPr>
            <w:pStyle w:val="TOC3"/>
            <w:rPr>
              <w:rFonts w:asciiTheme="minorHAnsi" w:hAnsiTheme="minorHAnsi"/>
              <w:noProof/>
              <w:sz w:val="24"/>
              <w:szCs w:val="30"/>
            </w:rPr>
          </w:pPr>
          <w:hyperlink w:anchor="_Toc205533970" w:history="1">
            <w:r w:rsidRPr="00C545CF">
              <w:rPr>
                <w:rStyle w:val="Hyperlink"/>
                <w:noProof/>
                <w:lang w:eastAsia="en-US" w:bidi="ar-SA"/>
              </w:rPr>
              <w:t>4.2.7</w:t>
            </w:r>
            <w:r>
              <w:rPr>
                <w:rFonts w:asciiTheme="minorHAnsi" w:hAnsiTheme="minorHAnsi"/>
                <w:noProof/>
                <w:sz w:val="24"/>
                <w:szCs w:val="30"/>
              </w:rPr>
              <w:tab/>
            </w:r>
            <w:r w:rsidRPr="00C545CF">
              <w:rPr>
                <w:rStyle w:val="Hyperlink"/>
                <w:noProof/>
                <w:lang w:eastAsia="en-US" w:bidi="ar-SA"/>
              </w:rPr>
              <w:t>Modelling &amp; Forecasting Risks</w:t>
            </w:r>
            <w:r>
              <w:rPr>
                <w:noProof/>
                <w:webHidden/>
              </w:rPr>
              <w:tab/>
            </w:r>
            <w:r>
              <w:rPr>
                <w:noProof/>
                <w:webHidden/>
              </w:rPr>
              <w:fldChar w:fldCharType="begin"/>
            </w:r>
            <w:r>
              <w:rPr>
                <w:noProof/>
                <w:webHidden/>
              </w:rPr>
              <w:instrText xml:space="preserve"> PAGEREF _Toc205533970 \h </w:instrText>
            </w:r>
            <w:r>
              <w:rPr>
                <w:noProof/>
                <w:webHidden/>
              </w:rPr>
            </w:r>
            <w:r>
              <w:rPr>
                <w:noProof/>
                <w:webHidden/>
              </w:rPr>
              <w:fldChar w:fldCharType="separate"/>
            </w:r>
            <w:r w:rsidR="009F382F">
              <w:rPr>
                <w:noProof/>
                <w:webHidden/>
              </w:rPr>
              <w:t>77</w:t>
            </w:r>
            <w:r>
              <w:rPr>
                <w:noProof/>
                <w:webHidden/>
              </w:rPr>
              <w:fldChar w:fldCharType="end"/>
            </w:r>
          </w:hyperlink>
        </w:p>
        <w:p w14:paraId="1B48C113" w14:textId="515E6BED" w:rsidR="00D11161" w:rsidRDefault="00D11161">
          <w:pPr>
            <w:pStyle w:val="TOC2"/>
            <w:rPr>
              <w:rFonts w:asciiTheme="minorHAnsi" w:hAnsiTheme="minorHAnsi"/>
              <w:noProof/>
              <w:sz w:val="24"/>
              <w:szCs w:val="30"/>
            </w:rPr>
          </w:pPr>
          <w:hyperlink w:anchor="_Toc205533971" w:history="1">
            <w:r w:rsidRPr="00C545CF">
              <w:rPr>
                <w:rStyle w:val="Hyperlink"/>
                <w:noProof/>
                <w:lang w:eastAsia="en-US" w:bidi="ar-SA"/>
              </w:rPr>
              <w:t>4.3</w:t>
            </w:r>
            <w:r>
              <w:rPr>
                <w:rFonts w:asciiTheme="minorHAnsi" w:hAnsiTheme="minorHAnsi"/>
                <w:noProof/>
                <w:sz w:val="24"/>
                <w:szCs w:val="30"/>
              </w:rPr>
              <w:tab/>
            </w:r>
            <w:r w:rsidRPr="00C545CF">
              <w:rPr>
                <w:rStyle w:val="Hyperlink"/>
                <w:noProof/>
                <w:lang w:eastAsia="en-US" w:bidi="ar-SA"/>
              </w:rPr>
              <w:t>Digitalisation &amp; Scalability Issues</w:t>
            </w:r>
            <w:r>
              <w:rPr>
                <w:noProof/>
                <w:webHidden/>
              </w:rPr>
              <w:tab/>
            </w:r>
            <w:r>
              <w:rPr>
                <w:noProof/>
                <w:webHidden/>
              </w:rPr>
              <w:fldChar w:fldCharType="begin"/>
            </w:r>
            <w:r>
              <w:rPr>
                <w:noProof/>
                <w:webHidden/>
              </w:rPr>
              <w:instrText xml:space="preserve"> PAGEREF _Toc205533971 \h </w:instrText>
            </w:r>
            <w:r>
              <w:rPr>
                <w:noProof/>
                <w:webHidden/>
              </w:rPr>
            </w:r>
            <w:r>
              <w:rPr>
                <w:noProof/>
                <w:webHidden/>
              </w:rPr>
              <w:fldChar w:fldCharType="separate"/>
            </w:r>
            <w:r w:rsidR="009F382F">
              <w:rPr>
                <w:noProof/>
                <w:webHidden/>
              </w:rPr>
              <w:t>79</w:t>
            </w:r>
            <w:r>
              <w:rPr>
                <w:noProof/>
                <w:webHidden/>
              </w:rPr>
              <w:fldChar w:fldCharType="end"/>
            </w:r>
          </w:hyperlink>
        </w:p>
        <w:p w14:paraId="5123C015" w14:textId="19BF71AF" w:rsidR="00D11161" w:rsidRDefault="00D11161">
          <w:pPr>
            <w:pStyle w:val="TOC3"/>
            <w:rPr>
              <w:rFonts w:asciiTheme="minorHAnsi" w:hAnsiTheme="minorHAnsi"/>
              <w:noProof/>
              <w:sz w:val="24"/>
              <w:szCs w:val="30"/>
            </w:rPr>
          </w:pPr>
          <w:hyperlink w:anchor="_Toc205533972" w:history="1">
            <w:r w:rsidRPr="00C545CF">
              <w:rPr>
                <w:rStyle w:val="Hyperlink"/>
                <w:noProof/>
                <w:lang w:eastAsia="en-US" w:bidi="ar-SA"/>
              </w:rPr>
              <w:t>4.3.1</w:t>
            </w:r>
            <w:r>
              <w:rPr>
                <w:rFonts w:asciiTheme="minorHAnsi" w:hAnsiTheme="minorHAnsi"/>
                <w:noProof/>
                <w:sz w:val="24"/>
                <w:szCs w:val="30"/>
              </w:rPr>
              <w:tab/>
            </w:r>
            <w:r w:rsidRPr="00C545CF">
              <w:rPr>
                <w:rStyle w:val="Hyperlink"/>
                <w:noProof/>
                <w:lang w:eastAsia="en-US" w:bidi="ar-SA"/>
              </w:rPr>
              <w:t>Cyber-security Vulnerabilities</w:t>
            </w:r>
            <w:r>
              <w:rPr>
                <w:noProof/>
                <w:webHidden/>
              </w:rPr>
              <w:tab/>
            </w:r>
            <w:r>
              <w:rPr>
                <w:noProof/>
                <w:webHidden/>
              </w:rPr>
              <w:fldChar w:fldCharType="begin"/>
            </w:r>
            <w:r>
              <w:rPr>
                <w:noProof/>
                <w:webHidden/>
              </w:rPr>
              <w:instrText xml:space="preserve"> PAGEREF _Toc205533972 \h </w:instrText>
            </w:r>
            <w:r>
              <w:rPr>
                <w:noProof/>
                <w:webHidden/>
              </w:rPr>
            </w:r>
            <w:r>
              <w:rPr>
                <w:noProof/>
                <w:webHidden/>
              </w:rPr>
              <w:fldChar w:fldCharType="separate"/>
            </w:r>
            <w:r w:rsidR="009F382F">
              <w:rPr>
                <w:noProof/>
                <w:webHidden/>
              </w:rPr>
              <w:t>79</w:t>
            </w:r>
            <w:r>
              <w:rPr>
                <w:noProof/>
                <w:webHidden/>
              </w:rPr>
              <w:fldChar w:fldCharType="end"/>
            </w:r>
          </w:hyperlink>
        </w:p>
        <w:p w14:paraId="638CB8B9" w14:textId="208A2371" w:rsidR="00D11161" w:rsidRDefault="00D11161">
          <w:pPr>
            <w:pStyle w:val="TOC3"/>
            <w:rPr>
              <w:rFonts w:asciiTheme="minorHAnsi" w:hAnsiTheme="minorHAnsi"/>
              <w:noProof/>
              <w:sz w:val="24"/>
              <w:szCs w:val="30"/>
            </w:rPr>
          </w:pPr>
          <w:hyperlink w:anchor="_Toc205533973" w:history="1">
            <w:r w:rsidRPr="00C545CF">
              <w:rPr>
                <w:rStyle w:val="Hyperlink"/>
                <w:noProof/>
                <w:lang w:eastAsia="en-US" w:bidi="ar-SA"/>
              </w:rPr>
              <w:t>4.3.2</w:t>
            </w:r>
            <w:r>
              <w:rPr>
                <w:rFonts w:asciiTheme="minorHAnsi" w:hAnsiTheme="minorHAnsi"/>
                <w:noProof/>
                <w:sz w:val="24"/>
                <w:szCs w:val="30"/>
              </w:rPr>
              <w:tab/>
            </w:r>
            <w:r w:rsidRPr="00C545CF">
              <w:rPr>
                <w:rStyle w:val="Hyperlink"/>
                <w:noProof/>
                <w:lang w:eastAsia="en-US" w:bidi="ar-SA"/>
              </w:rPr>
              <w:t>Data Sharing Risks</w:t>
            </w:r>
            <w:r>
              <w:rPr>
                <w:noProof/>
                <w:webHidden/>
              </w:rPr>
              <w:tab/>
            </w:r>
            <w:r>
              <w:rPr>
                <w:noProof/>
                <w:webHidden/>
              </w:rPr>
              <w:fldChar w:fldCharType="begin"/>
            </w:r>
            <w:r>
              <w:rPr>
                <w:noProof/>
                <w:webHidden/>
              </w:rPr>
              <w:instrText xml:space="preserve"> PAGEREF _Toc205533973 \h </w:instrText>
            </w:r>
            <w:r>
              <w:rPr>
                <w:noProof/>
                <w:webHidden/>
              </w:rPr>
            </w:r>
            <w:r>
              <w:rPr>
                <w:noProof/>
                <w:webHidden/>
              </w:rPr>
              <w:fldChar w:fldCharType="separate"/>
            </w:r>
            <w:r w:rsidR="009F382F">
              <w:rPr>
                <w:noProof/>
                <w:webHidden/>
              </w:rPr>
              <w:t>82</w:t>
            </w:r>
            <w:r>
              <w:rPr>
                <w:noProof/>
                <w:webHidden/>
              </w:rPr>
              <w:fldChar w:fldCharType="end"/>
            </w:r>
          </w:hyperlink>
        </w:p>
        <w:p w14:paraId="28977BE8" w14:textId="040EB5BF" w:rsidR="00D11161" w:rsidRDefault="00D11161">
          <w:pPr>
            <w:pStyle w:val="TOC3"/>
            <w:rPr>
              <w:rFonts w:asciiTheme="minorHAnsi" w:hAnsiTheme="minorHAnsi"/>
              <w:noProof/>
              <w:sz w:val="24"/>
              <w:szCs w:val="30"/>
            </w:rPr>
          </w:pPr>
          <w:hyperlink w:anchor="_Toc205533974" w:history="1">
            <w:r w:rsidRPr="00C545CF">
              <w:rPr>
                <w:rStyle w:val="Hyperlink"/>
                <w:noProof/>
                <w:lang w:eastAsia="en-US" w:bidi="ar-SA"/>
              </w:rPr>
              <w:t>4.3.3</w:t>
            </w:r>
            <w:r>
              <w:rPr>
                <w:rFonts w:asciiTheme="minorHAnsi" w:hAnsiTheme="minorHAnsi"/>
                <w:noProof/>
                <w:sz w:val="24"/>
                <w:szCs w:val="30"/>
              </w:rPr>
              <w:tab/>
            </w:r>
            <w:r w:rsidRPr="00C545CF">
              <w:rPr>
                <w:rStyle w:val="Hyperlink"/>
                <w:noProof/>
                <w:lang w:eastAsia="en-US" w:bidi="ar-SA"/>
              </w:rPr>
              <w:t>Solution Scalability Risks</w:t>
            </w:r>
            <w:r>
              <w:rPr>
                <w:noProof/>
                <w:webHidden/>
              </w:rPr>
              <w:tab/>
            </w:r>
            <w:r>
              <w:rPr>
                <w:noProof/>
                <w:webHidden/>
              </w:rPr>
              <w:fldChar w:fldCharType="begin"/>
            </w:r>
            <w:r>
              <w:rPr>
                <w:noProof/>
                <w:webHidden/>
              </w:rPr>
              <w:instrText xml:space="preserve"> PAGEREF _Toc205533974 \h </w:instrText>
            </w:r>
            <w:r>
              <w:rPr>
                <w:noProof/>
                <w:webHidden/>
              </w:rPr>
            </w:r>
            <w:r>
              <w:rPr>
                <w:noProof/>
                <w:webHidden/>
              </w:rPr>
              <w:fldChar w:fldCharType="separate"/>
            </w:r>
            <w:r w:rsidR="009F382F">
              <w:rPr>
                <w:noProof/>
                <w:webHidden/>
              </w:rPr>
              <w:t>87</w:t>
            </w:r>
            <w:r>
              <w:rPr>
                <w:noProof/>
                <w:webHidden/>
              </w:rPr>
              <w:fldChar w:fldCharType="end"/>
            </w:r>
          </w:hyperlink>
        </w:p>
        <w:p w14:paraId="56793FEF" w14:textId="343BB7EB" w:rsidR="00D11161" w:rsidRDefault="00D11161">
          <w:pPr>
            <w:pStyle w:val="TOC2"/>
            <w:rPr>
              <w:rFonts w:asciiTheme="minorHAnsi" w:hAnsiTheme="minorHAnsi"/>
              <w:noProof/>
              <w:sz w:val="24"/>
              <w:szCs w:val="30"/>
            </w:rPr>
          </w:pPr>
          <w:hyperlink w:anchor="_Toc205533975" w:history="1">
            <w:r w:rsidRPr="00C545CF">
              <w:rPr>
                <w:rStyle w:val="Hyperlink"/>
                <w:noProof/>
                <w:lang w:eastAsia="en-US" w:bidi="ar-SA"/>
              </w:rPr>
              <w:t>4.4</w:t>
            </w:r>
            <w:r>
              <w:rPr>
                <w:rFonts w:asciiTheme="minorHAnsi" w:hAnsiTheme="minorHAnsi"/>
                <w:noProof/>
                <w:sz w:val="24"/>
                <w:szCs w:val="30"/>
              </w:rPr>
              <w:tab/>
            </w:r>
            <w:r w:rsidRPr="00C545CF">
              <w:rPr>
                <w:rStyle w:val="Hyperlink"/>
                <w:noProof/>
                <w:lang w:eastAsia="en-US" w:bidi="ar-SA"/>
              </w:rPr>
              <w:t>Sectoral Alignment &amp; Participation Models</w:t>
            </w:r>
            <w:r>
              <w:rPr>
                <w:noProof/>
                <w:webHidden/>
              </w:rPr>
              <w:tab/>
            </w:r>
            <w:r>
              <w:rPr>
                <w:noProof/>
                <w:webHidden/>
              </w:rPr>
              <w:fldChar w:fldCharType="begin"/>
            </w:r>
            <w:r>
              <w:rPr>
                <w:noProof/>
                <w:webHidden/>
              </w:rPr>
              <w:instrText xml:space="preserve"> PAGEREF _Toc205533975 \h </w:instrText>
            </w:r>
            <w:r>
              <w:rPr>
                <w:noProof/>
                <w:webHidden/>
              </w:rPr>
            </w:r>
            <w:r>
              <w:rPr>
                <w:noProof/>
                <w:webHidden/>
              </w:rPr>
              <w:fldChar w:fldCharType="separate"/>
            </w:r>
            <w:r w:rsidR="009F382F">
              <w:rPr>
                <w:noProof/>
                <w:webHidden/>
              </w:rPr>
              <w:t>92</w:t>
            </w:r>
            <w:r>
              <w:rPr>
                <w:noProof/>
                <w:webHidden/>
              </w:rPr>
              <w:fldChar w:fldCharType="end"/>
            </w:r>
          </w:hyperlink>
        </w:p>
        <w:p w14:paraId="049686B3" w14:textId="413F7795" w:rsidR="00D11161" w:rsidRDefault="00D11161">
          <w:pPr>
            <w:pStyle w:val="TOC3"/>
            <w:rPr>
              <w:rFonts w:asciiTheme="minorHAnsi" w:hAnsiTheme="minorHAnsi"/>
              <w:noProof/>
              <w:sz w:val="24"/>
              <w:szCs w:val="30"/>
            </w:rPr>
          </w:pPr>
          <w:hyperlink w:anchor="_Toc205533976" w:history="1">
            <w:r w:rsidRPr="00C545CF">
              <w:rPr>
                <w:rStyle w:val="Hyperlink"/>
                <w:noProof/>
                <w:lang w:eastAsia="en-US" w:bidi="ar-SA"/>
              </w:rPr>
              <w:t>4.4.1</w:t>
            </w:r>
            <w:r>
              <w:rPr>
                <w:rFonts w:asciiTheme="minorHAnsi" w:hAnsiTheme="minorHAnsi"/>
                <w:noProof/>
                <w:sz w:val="24"/>
                <w:szCs w:val="30"/>
              </w:rPr>
              <w:tab/>
            </w:r>
            <w:r w:rsidRPr="00C545CF">
              <w:rPr>
                <w:rStyle w:val="Hyperlink"/>
                <w:noProof/>
                <w:lang w:eastAsia="en-US" w:bidi="ar-SA"/>
              </w:rPr>
              <w:t>Roles &amp; Responsibilities Assignment Risks</w:t>
            </w:r>
            <w:r>
              <w:rPr>
                <w:noProof/>
                <w:webHidden/>
              </w:rPr>
              <w:tab/>
            </w:r>
            <w:r>
              <w:rPr>
                <w:noProof/>
                <w:webHidden/>
              </w:rPr>
              <w:fldChar w:fldCharType="begin"/>
            </w:r>
            <w:r>
              <w:rPr>
                <w:noProof/>
                <w:webHidden/>
              </w:rPr>
              <w:instrText xml:space="preserve"> PAGEREF _Toc205533976 \h </w:instrText>
            </w:r>
            <w:r>
              <w:rPr>
                <w:noProof/>
                <w:webHidden/>
              </w:rPr>
            </w:r>
            <w:r>
              <w:rPr>
                <w:noProof/>
                <w:webHidden/>
              </w:rPr>
              <w:fldChar w:fldCharType="separate"/>
            </w:r>
            <w:r w:rsidR="009F382F">
              <w:rPr>
                <w:noProof/>
                <w:webHidden/>
              </w:rPr>
              <w:t>92</w:t>
            </w:r>
            <w:r>
              <w:rPr>
                <w:noProof/>
                <w:webHidden/>
              </w:rPr>
              <w:fldChar w:fldCharType="end"/>
            </w:r>
          </w:hyperlink>
        </w:p>
        <w:p w14:paraId="1DBA3076" w14:textId="0C0C5E27" w:rsidR="00D11161" w:rsidRDefault="00D11161">
          <w:pPr>
            <w:pStyle w:val="TOC3"/>
            <w:rPr>
              <w:rFonts w:asciiTheme="minorHAnsi" w:hAnsiTheme="minorHAnsi"/>
              <w:noProof/>
              <w:sz w:val="24"/>
              <w:szCs w:val="30"/>
            </w:rPr>
          </w:pPr>
          <w:hyperlink w:anchor="_Toc205533977" w:history="1">
            <w:r w:rsidRPr="00C545CF">
              <w:rPr>
                <w:rStyle w:val="Hyperlink"/>
                <w:noProof/>
                <w:lang w:eastAsia="en-US" w:bidi="ar-SA"/>
              </w:rPr>
              <w:t>4.4.2</w:t>
            </w:r>
            <w:r>
              <w:rPr>
                <w:rFonts w:asciiTheme="minorHAnsi" w:hAnsiTheme="minorHAnsi"/>
                <w:noProof/>
                <w:sz w:val="24"/>
                <w:szCs w:val="30"/>
              </w:rPr>
              <w:tab/>
            </w:r>
            <w:r w:rsidRPr="00C545CF">
              <w:rPr>
                <w:rStyle w:val="Hyperlink"/>
                <w:noProof/>
                <w:lang w:eastAsia="en-US" w:bidi="ar-SA"/>
              </w:rPr>
              <w:t>CER/DER Scale Participation Risks</w:t>
            </w:r>
            <w:r>
              <w:rPr>
                <w:noProof/>
                <w:webHidden/>
              </w:rPr>
              <w:tab/>
            </w:r>
            <w:r>
              <w:rPr>
                <w:noProof/>
                <w:webHidden/>
              </w:rPr>
              <w:fldChar w:fldCharType="begin"/>
            </w:r>
            <w:r>
              <w:rPr>
                <w:noProof/>
                <w:webHidden/>
              </w:rPr>
              <w:instrText xml:space="preserve"> PAGEREF _Toc205533977 \h </w:instrText>
            </w:r>
            <w:r>
              <w:rPr>
                <w:noProof/>
                <w:webHidden/>
              </w:rPr>
            </w:r>
            <w:r>
              <w:rPr>
                <w:noProof/>
                <w:webHidden/>
              </w:rPr>
              <w:fldChar w:fldCharType="separate"/>
            </w:r>
            <w:r w:rsidR="009F382F">
              <w:rPr>
                <w:noProof/>
                <w:webHidden/>
              </w:rPr>
              <w:t>98</w:t>
            </w:r>
            <w:r>
              <w:rPr>
                <w:noProof/>
                <w:webHidden/>
              </w:rPr>
              <w:fldChar w:fldCharType="end"/>
            </w:r>
          </w:hyperlink>
        </w:p>
        <w:p w14:paraId="0AE1D186" w14:textId="6A101F14" w:rsidR="00D11161" w:rsidRDefault="00D11161">
          <w:pPr>
            <w:pStyle w:val="TOC1"/>
            <w:rPr>
              <w:rFonts w:asciiTheme="minorHAnsi" w:hAnsiTheme="minorHAnsi"/>
              <w:noProof/>
              <w:szCs w:val="30"/>
            </w:rPr>
          </w:pPr>
          <w:hyperlink w:anchor="_Toc205533978" w:history="1">
            <w:r w:rsidRPr="00C545CF">
              <w:rPr>
                <w:rStyle w:val="Hyperlink"/>
                <w:noProof/>
                <w:lang w:eastAsia="en-US" w:bidi="ar-SA"/>
              </w:rPr>
              <w:t>5</w:t>
            </w:r>
            <w:r>
              <w:rPr>
                <w:rFonts w:asciiTheme="minorHAnsi" w:hAnsiTheme="minorHAnsi"/>
                <w:noProof/>
                <w:szCs w:val="30"/>
              </w:rPr>
              <w:tab/>
            </w:r>
            <w:r w:rsidRPr="00C545CF">
              <w:rPr>
                <w:rStyle w:val="Hyperlink"/>
                <w:noProof/>
                <w:lang w:eastAsia="en-US" w:bidi="ar-SA"/>
              </w:rPr>
              <w:t>Conclusion</w:t>
            </w:r>
            <w:r>
              <w:rPr>
                <w:noProof/>
                <w:webHidden/>
              </w:rPr>
              <w:tab/>
            </w:r>
            <w:r>
              <w:rPr>
                <w:noProof/>
                <w:webHidden/>
              </w:rPr>
              <w:fldChar w:fldCharType="begin"/>
            </w:r>
            <w:r>
              <w:rPr>
                <w:noProof/>
                <w:webHidden/>
              </w:rPr>
              <w:instrText xml:space="preserve"> PAGEREF _Toc205533978 \h </w:instrText>
            </w:r>
            <w:r>
              <w:rPr>
                <w:noProof/>
                <w:webHidden/>
              </w:rPr>
            </w:r>
            <w:r>
              <w:rPr>
                <w:noProof/>
                <w:webHidden/>
              </w:rPr>
              <w:fldChar w:fldCharType="separate"/>
            </w:r>
            <w:r w:rsidR="009F382F">
              <w:rPr>
                <w:noProof/>
                <w:webHidden/>
              </w:rPr>
              <w:t>101</w:t>
            </w:r>
            <w:r>
              <w:rPr>
                <w:noProof/>
                <w:webHidden/>
              </w:rPr>
              <w:fldChar w:fldCharType="end"/>
            </w:r>
          </w:hyperlink>
        </w:p>
        <w:p w14:paraId="142FAD11" w14:textId="1AA4F1B0" w:rsidR="00D11161" w:rsidRDefault="00D11161">
          <w:pPr>
            <w:pStyle w:val="TOC1"/>
            <w:rPr>
              <w:rFonts w:asciiTheme="minorHAnsi" w:hAnsiTheme="minorHAnsi"/>
              <w:noProof/>
              <w:szCs w:val="30"/>
            </w:rPr>
          </w:pPr>
          <w:hyperlink w:anchor="_Toc205533979" w:history="1">
            <w:r w:rsidRPr="00C545CF">
              <w:rPr>
                <w:rStyle w:val="Hyperlink"/>
                <w:noProof/>
              </w:rPr>
              <w:t>6</w:t>
            </w:r>
            <w:r>
              <w:rPr>
                <w:rFonts w:asciiTheme="minorHAnsi" w:hAnsiTheme="minorHAnsi"/>
                <w:noProof/>
                <w:szCs w:val="30"/>
              </w:rPr>
              <w:tab/>
            </w:r>
            <w:r w:rsidRPr="00C545CF">
              <w:rPr>
                <w:rStyle w:val="Hyperlink"/>
                <w:noProof/>
              </w:rPr>
              <w:t>References</w:t>
            </w:r>
            <w:r>
              <w:rPr>
                <w:noProof/>
                <w:webHidden/>
              </w:rPr>
              <w:tab/>
            </w:r>
            <w:r>
              <w:rPr>
                <w:noProof/>
                <w:webHidden/>
              </w:rPr>
              <w:fldChar w:fldCharType="begin"/>
            </w:r>
            <w:r>
              <w:rPr>
                <w:noProof/>
                <w:webHidden/>
              </w:rPr>
              <w:instrText xml:space="preserve"> PAGEREF _Toc205533979 \h </w:instrText>
            </w:r>
            <w:r>
              <w:rPr>
                <w:noProof/>
                <w:webHidden/>
              </w:rPr>
            </w:r>
            <w:r>
              <w:rPr>
                <w:noProof/>
                <w:webHidden/>
              </w:rPr>
              <w:fldChar w:fldCharType="separate"/>
            </w:r>
            <w:r w:rsidR="009F382F">
              <w:rPr>
                <w:noProof/>
                <w:webHidden/>
              </w:rPr>
              <w:t>102</w:t>
            </w:r>
            <w:r>
              <w:rPr>
                <w:noProof/>
                <w:webHidden/>
              </w:rPr>
              <w:fldChar w:fldCharType="end"/>
            </w:r>
          </w:hyperlink>
        </w:p>
        <w:p w14:paraId="040F1F2D" w14:textId="46D68570" w:rsidR="00D11161" w:rsidRDefault="00D11161">
          <w:pPr>
            <w:pStyle w:val="TOC1"/>
            <w:rPr>
              <w:rFonts w:asciiTheme="minorHAnsi" w:hAnsiTheme="minorHAnsi"/>
              <w:noProof/>
              <w:szCs w:val="30"/>
            </w:rPr>
          </w:pPr>
          <w:hyperlink w:anchor="_Toc205533980" w:history="1">
            <w:r w:rsidRPr="00C545CF">
              <w:rPr>
                <w:rStyle w:val="Hyperlink"/>
                <w:rFonts w:eastAsiaTheme="majorEastAsia" w:cstheme="majorBidi"/>
                <w:noProof/>
              </w:rPr>
              <w:t>Appendix A: Principles, Methodologies &amp; Acknowledgements</w:t>
            </w:r>
            <w:r>
              <w:rPr>
                <w:noProof/>
                <w:webHidden/>
              </w:rPr>
              <w:tab/>
            </w:r>
            <w:r>
              <w:rPr>
                <w:noProof/>
                <w:webHidden/>
              </w:rPr>
              <w:fldChar w:fldCharType="begin"/>
            </w:r>
            <w:r>
              <w:rPr>
                <w:noProof/>
                <w:webHidden/>
              </w:rPr>
              <w:instrText xml:space="preserve"> PAGEREF _Toc205533980 \h </w:instrText>
            </w:r>
            <w:r>
              <w:rPr>
                <w:noProof/>
                <w:webHidden/>
              </w:rPr>
            </w:r>
            <w:r>
              <w:rPr>
                <w:noProof/>
                <w:webHidden/>
              </w:rPr>
              <w:fldChar w:fldCharType="separate"/>
            </w:r>
            <w:r w:rsidR="009F382F">
              <w:rPr>
                <w:noProof/>
                <w:webHidden/>
              </w:rPr>
              <w:t>106</w:t>
            </w:r>
            <w:r>
              <w:rPr>
                <w:noProof/>
                <w:webHidden/>
              </w:rPr>
              <w:fldChar w:fldCharType="end"/>
            </w:r>
          </w:hyperlink>
        </w:p>
        <w:p w14:paraId="532BA516" w14:textId="1314E4CA" w:rsidR="00D11161" w:rsidRDefault="00D11161">
          <w:pPr>
            <w:pStyle w:val="TOC2"/>
            <w:rPr>
              <w:rFonts w:asciiTheme="minorHAnsi" w:hAnsiTheme="minorHAnsi"/>
              <w:noProof/>
              <w:sz w:val="24"/>
              <w:szCs w:val="30"/>
            </w:rPr>
          </w:pPr>
          <w:hyperlink w:anchor="_Toc205533981" w:history="1">
            <w:r w:rsidRPr="00C545CF">
              <w:rPr>
                <w:rStyle w:val="Hyperlink"/>
                <w:rFonts w:ascii="PP Mori SemiBold" w:eastAsiaTheme="majorEastAsia" w:hAnsi="PP Mori SemiBold" w:cstheme="majorBidi"/>
                <w:noProof/>
                <w:lang w:eastAsia="en-US" w:bidi="ar-SA"/>
              </w:rPr>
              <w:t>A1</w:t>
            </w:r>
            <w:r>
              <w:rPr>
                <w:rFonts w:asciiTheme="minorHAnsi" w:hAnsiTheme="minorHAnsi"/>
                <w:noProof/>
                <w:sz w:val="24"/>
                <w:szCs w:val="30"/>
              </w:rPr>
              <w:tab/>
            </w:r>
            <w:r w:rsidRPr="00C545CF">
              <w:rPr>
                <w:rStyle w:val="Hyperlink"/>
                <w:rFonts w:ascii="PP Mori SemiBold" w:eastAsiaTheme="majorEastAsia" w:hAnsi="PP Mori SemiBold" w:cstheme="majorBidi"/>
                <w:noProof/>
                <w:lang w:eastAsia="en-US" w:bidi="ar-SA"/>
              </w:rPr>
              <w:t>Guiding Principles</w:t>
            </w:r>
            <w:r>
              <w:rPr>
                <w:noProof/>
                <w:webHidden/>
              </w:rPr>
              <w:tab/>
            </w:r>
            <w:r>
              <w:rPr>
                <w:noProof/>
                <w:webHidden/>
              </w:rPr>
              <w:fldChar w:fldCharType="begin"/>
            </w:r>
            <w:r>
              <w:rPr>
                <w:noProof/>
                <w:webHidden/>
              </w:rPr>
              <w:instrText xml:space="preserve"> PAGEREF _Toc205533981 \h </w:instrText>
            </w:r>
            <w:r>
              <w:rPr>
                <w:noProof/>
                <w:webHidden/>
              </w:rPr>
            </w:r>
            <w:r>
              <w:rPr>
                <w:noProof/>
                <w:webHidden/>
              </w:rPr>
              <w:fldChar w:fldCharType="separate"/>
            </w:r>
            <w:r w:rsidR="009F382F">
              <w:rPr>
                <w:noProof/>
                <w:webHidden/>
              </w:rPr>
              <w:t>106</w:t>
            </w:r>
            <w:r>
              <w:rPr>
                <w:noProof/>
                <w:webHidden/>
              </w:rPr>
              <w:fldChar w:fldCharType="end"/>
            </w:r>
          </w:hyperlink>
        </w:p>
        <w:p w14:paraId="4C692F7B" w14:textId="5F4C1A78" w:rsidR="00D11161" w:rsidRDefault="00D11161">
          <w:pPr>
            <w:pStyle w:val="TOC2"/>
            <w:rPr>
              <w:rFonts w:asciiTheme="minorHAnsi" w:hAnsiTheme="minorHAnsi"/>
              <w:noProof/>
              <w:sz w:val="24"/>
              <w:szCs w:val="30"/>
            </w:rPr>
          </w:pPr>
          <w:hyperlink w:anchor="_Toc205533982" w:history="1">
            <w:r w:rsidRPr="00C545CF">
              <w:rPr>
                <w:rStyle w:val="Hyperlink"/>
                <w:rFonts w:ascii="PP Mori SemiBold" w:eastAsiaTheme="majorEastAsia" w:hAnsi="PP Mori SemiBold" w:cstheme="majorBidi"/>
                <w:noProof/>
                <w:lang w:eastAsia="en-US" w:bidi="ar-SA"/>
              </w:rPr>
              <w:t>A2</w:t>
            </w:r>
            <w:r>
              <w:rPr>
                <w:rFonts w:asciiTheme="minorHAnsi" w:hAnsiTheme="minorHAnsi"/>
                <w:noProof/>
                <w:sz w:val="24"/>
                <w:szCs w:val="30"/>
              </w:rPr>
              <w:tab/>
            </w:r>
            <w:r w:rsidRPr="00C545CF">
              <w:rPr>
                <w:rStyle w:val="Hyperlink"/>
                <w:rFonts w:ascii="PP Mori SemiBold" w:eastAsiaTheme="majorEastAsia" w:hAnsi="PP Mori SemiBold" w:cstheme="majorBidi"/>
                <w:noProof/>
                <w:lang w:eastAsia="en-US" w:bidi="ar-SA"/>
              </w:rPr>
              <w:t>Integrated Disciplines &amp; Tools</w:t>
            </w:r>
            <w:r>
              <w:rPr>
                <w:noProof/>
                <w:webHidden/>
              </w:rPr>
              <w:tab/>
            </w:r>
            <w:r>
              <w:rPr>
                <w:noProof/>
                <w:webHidden/>
              </w:rPr>
              <w:fldChar w:fldCharType="begin"/>
            </w:r>
            <w:r>
              <w:rPr>
                <w:noProof/>
                <w:webHidden/>
              </w:rPr>
              <w:instrText xml:space="preserve"> PAGEREF _Toc205533982 \h </w:instrText>
            </w:r>
            <w:r>
              <w:rPr>
                <w:noProof/>
                <w:webHidden/>
              </w:rPr>
            </w:r>
            <w:r>
              <w:rPr>
                <w:noProof/>
                <w:webHidden/>
              </w:rPr>
              <w:fldChar w:fldCharType="separate"/>
            </w:r>
            <w:r w:rsidR="009F382F">
              <w:rPr>
                <w:noProof/>
                <w:webHidden/>
              </w:rPr>
              <w:t>107</w:t>
            </w:r>
            <w:r>
              <w:rPr>
                <w:noProof/>
                <w:webHidden/>
              </w:rPr>
              <w:fldChar w:fldCharType="end"/>
            </w:r>
          </w:hyperlink>
        </w:p>
        <w:p w14:paraId="7A4F7080" w14:textId="75310D55" w:rsidR="00D11161" w:rsidRDefault="00D11161">
          <w:pPr>
            <w:pStyle w:val="TOC2"/>
            <w:rPr>
              <w:rFonts w:asciiTheme="minorHAnsi" w:hAnsiTheme="minorHAnsi"/>
              <w:noProof/>
              <w:sz w:val="24"/>
              <w:szCs w:val="30"/>
            </w:rPr>
          </w:pPr>
          <w:hyperlink w:anchor="_Toc205533983" w:history="1">
            <w:r w:rsidRPr="00C545CF">
              <w:rPr>
                <w:rStyle w:val="Hyperlink"/>
                <w:rFonts w:ascii="PP Mori SemiBold" w:eastAsiaTheme="majorEastAsia" w:hAnsi="PP Mori SemiBold" w:cstheme="majorBidi"/>
                <w:noProof/>
              </w:rPr>
              <w:t>A3</w:t>
            </w:r>
            <w:r>
              <w:rPr>
                <w:rFonts w:asciiTheme="minorHAnsi" w:hAnsiTheme="minorHAnsi"/>
                <w:noProof/>
                <w:sz w:val="24"/>
                <w:szCs w:val="30"/>
              </w:rPr>
              <w:tab/>
            </w:r>
            <w:r w:rsidRPr="00C545CF">
              <w:rPr>
                <w:rStyle w:val="Hyperlink"/>
                <w:rFonts w:ascii="PP Mori SemiBold" w:eastAsiaTheme="majorEastAsia" w:hAnsi="PP Mori SemiBold" w:cstheme="majorBidi"/>
                <w:noProof/>
              </w:rPr>
              <w:t>Acknowledgements &amp; Foundational Sources</w:t>
            </w:r>
            <w:r>
              <w:rPr>
                <w:noProof/>
                <w:webHidden/>
              </w:rPr>
              <w:tab/>
            </w:r>
            <w:r>
              <w:rPr>
                <w:noProof/>
                <w:webHidden/>
              </w:rPr>
              <w:fldChar w:fldCharType="begin"/>
            </w:r>
            <w:r>
              <w:rPr>
                <w:noProof/>
                <w:webHidden/>
              </w:rPr>
              <w:instrText xml:space="preserve"> PAGEREF _Toc205533983 \h </w:instrText>
            </w:r>
            <w:r>
              <w:rPr>
                <w:noProof/>
                <w:webHidden/>
              </w:rPr>
            </w:r>
            <w:r>
              <w:rPr>
                <w:noProof/>
                <w:webHidden/>
              </w:rPr>
              <w:fldChar w:fldCharType="separate"/>
            </w:r>
            <w:r w:rsidR="009F382F">
              <w:rPr>
                <w:noProof/>
                <w:webHidden/>
              </w:rPr>
              <w:t>111</w:t>
            </w:r>
            <w:r>
              <w:rPr>
                <w:noProof/>
                <w:webHidden/>
              </w:rPr>
              <w:fldChar w:fldCharType="end"/>
            </w:r>
          </w:hyperlink>
        </w:p>
        <w:p w14:paraId="549BD124" w14:textId="3112A6B5" w:rsidR="00D11161" w:rsidRDefault="00D11161">
          <w:pPr>
            <w:pStyle w:val="TOC1"/>
            <w:rPr>
              <w:rFonts w:asciiTheme="minorHAnsi" w:hAnsiTheme="minorHAnsi"/>
              <w:noProof/>
              <w:szCs w:val="30"/>
            </w:rPr>
          </w:pPr>
          <w:hyperlink w:anchor="_Toc205533984" w:history="1">
            <w:r w:rsidRPr="00C545CF">
              <w:rPr>
                <w:rStyle w:val="Hyperlink"/>
                <w:rFonts w:eastAsiaTheme="majorEastAsia" w:cstheme="majorBidi"/>
                <w:noProof/>
              </w:rPr>
              <w:t>Appendix B: Glossary of Terms</w:t>
            </w:r>
            <w:r>
              <w:rPr>
                <w:noProof/>
                <w:webHidden/>
              </w:rPr>
              <w:tab/>
            </w:r>
            <w:r>
              <w:rPr>
                <w:noProof/>
                <w:webHidden/>
              </w:rPr>
              <w:fldChar w:fldCharType="begin"/>
            </w:r>
            <w:r>
              <w:rPr>
                <w:noProof/>
                <w:webHidden/>
              </w:rPr>
              <w:instrText xml:space="preserve"> PAGEREF _Toc205533984 \h </w:instrText>
            </w:r>
            <w:r>
              <w:rPr>
                <w:noProof/>
                <w:webHidden/>
              </w:rPr>
            </w:r>
            <w:r>
              <w:rPr>
                <w:noProof/>
                <w:webHidden/>
              </w:rPr>
              <w:fldChar w:fldCharType="separate"/>
            </w:r>
            <w:r w:rsidR="009F382F">
              <w:rPr>
                <w:noProof/>
                <w:webHidden/>
              </w:rPr>
              <w:t>113</w:t>
            </w:r>
            <w:r>
              <w:rPr>
                <w:noProof/>
                <w:webHidden/>
              </w:rPr>
              <w:fldChar w:fldCharType="end"/>
            </w:r>
          </w:hyperlink>
        </w:p>
        <w:p w14:paraId="78B3289E" w14:textId="0B53409B" w:rsidR="00D11161" w:rsidRDefault="00D11161">
          <w:pPr>
            <w:pStyle w:val="TOC1"/>
            <w:rPr>
              <w:rFonts w:asciiTheme="minorHAnsi" w:hAnsiTheme="minorHAnsi"/>
              <w:noProof/>
              <w:szCs w:val="30"/>
            </w:rPr>
          </w:pPr>
          <w:hyperlink w:anchor="_Toc205533985" w:history="1">
            <w:r w:rsidRPr="00C545CF">
              <w:rPr>
                <w:rStyle w:val="Hyperlink"/>
                <w:rFonts w:eastAsiaTheme="majorEastAsia" w:cstheme="majorBidi"/>
                <w:noProof/>
              </w:rPr>
              <w:t>Appendix C: Network of Structures</w:t>
            </w:r>
            <w:r>
              <w:rPr>
                <w:noProof/>
                <w:webHidden/>
              </w:rPr>
              <w:tab/>
            </w:r>
            <w:r>
              <w:rPr>
                <w:noProof/>
                <w:webHidden/>
              </w:rPr>
              <w:fldChar w:fldCharType="begin"/>
            </w:r>
            <w:r>
              <w:rPr>
                <w:noProof/>
                <w:webHidden/>
              </w:rPr>
              <w:instrText xml:space="preserve"> PAGEREF _Toc205533985 \h </w:instrText>
            </w:r>
            <w:r>
              <w:rPr>
                <w:noProof/>
                <w:webHidden/>
              </w:rPr>
            </w:r>
            <w:r>
              <w:rPr>
                <w:noProof/>
                <w:webHidden/>
              </w:rPr>
              <w:fldChar w:fldCharType="separate"/>
            </w:r>
            <w:r w:rsidR="009F382F">
              <w:rPr>
                <w:noProof/>
                <w:webHidden/>
              </w:rPr>
              <w:t>138</w:t>
            </w:r>
            <w:r>
              <w:rPr>
                <w:noProof/>
                <w:webHidden/>
              </w:rPr>
              <w:fldChar w:fldCharType="end"/>
            </w:r>
          </w:hyperlink>
        </w:p>
        <w:p w14:paraId="0C2A2DBD" w14:textId="6611D48E" w:rsidR="00D11161" w:rsidRDefault="00D11161">
          <w:pPr>
            <w:pStyle w:val="TOC1"/>
            <w:rPr>
              <w:rFonts w:asciiTheme="minorHAnsi" w:hAnsiTheme="minorHAnsi"/>
              <w:noProof/>
              <w:szCs w:val="30"/>
            </w:rPr>
          </w:pPr>
          <w:hyperlink w:anchor="_Toc205533986" w:history="1">
            <w:r w:rsidRPr="00C545CF">
              <w:rPr>
                <w:rStyle w:val="Hyperlink"/>
                <w:rFonts w:eastAsiaTheme="majorEastAsia" w:cstheme="majorBidi"/>
                <w:noProof/>
              </w:rPr>
              <w:t>Appendix D: Power Systems Architecture vs Enterprise IT Architecture - Important Distinctions</w:t>
            </w:r>
            <w:r>
              <w:rPr>
                <w:noProof/>
                <w:webHidden/>
              </w:rPr>
              <w:tab/>
            </w:r>
            <w:r>
              <w:rPr>
                <w:noProof/>
                <w:webHidden/>
              </w:rPr>
              <w:fldChar w:fldCharType="begin"/>
            </w:r>
            <w:r>
              <w:rPr>
                <w:noProof/>
                <w:webHidden/>
              </w:rPr>
              <w:instrText xml:space="preserve"> PAGEREF _Toc205533986 \h </w:instrText>
            </w:r>
            <w:r>
              <w:rPr>
                <w:noProof/>
                <w:webHidden/>
              </w:rPr>
            </w:r>
            <w:r>
              <w:rPr>
                <w:noProof/>
                <w:webHidden/>
              </w:rPr>
              <w:fldChar w:fldCharType="separate"/>
            </w:r>
            <w:r w:rsidR="009F382F">
              <w:rPr>
                <w:noProof/>
                <w:webHidden/>
              </w:rPr>
              <w:t>142</w:t>
            </w:r>
            <w:r>
              <w:rPr>
                <w:noProof/>
                <w:webHidden/>
              </w:rPr>
              <w:fldChar w:fldCharType="end"/>
            </w:r>
          </w:hyperlink>
        </w:p>
        <w:p w14:paraId="36572608" w14:textId="49295459" w:rsidR="000547C1" w:rsidRPr="002F2243" w:rsidRDefault="000547C1" w:rsidP="00EB2823">
          <w:pPr>
            <w:spacing w:line="264" w:lineRule="auto"/>
          </w:pPr>
          <w:r w:rsidRPr="002F2243">
            <w:rPr>
              <w:noProof/>
            </w:rPr>
            <w:fldChar w:fldCharType="end"/>
          </w:r>
        </w:p>
      </w:sdtContent>
    </w:sdt>
    <w:p w14:paraId="214F1261" w14:textId="77777777" w:rsidR="008C5C7F" w:rsidRDefault="008C5C7F">
      <w:pPr>
        <w:spacing w:before="0" w:after="160" w:line="259" w:lineRule="auto"/>
        <w:rPr>
          <w:rFonts w:ascii="PP Mori SemiBold" w:eastAsiaTheme="majorEastAsia" w:hAnsi="PP Mori SemiBold" w:cstheme="majorBidi"/>
          <w:color w:val="013C4C" w:themeColor="text1"/>
          <w:sz w:val="32"/>
          <w:szCs w:val="40"/>
          <w:lang w:eastAsia="en-US" w:bidi="ar-SA"/>
        </w:rPr>
      </w:pPr>
      <w:r>
        <w:rPr>
          <w:lang w:eastAsia="en-US" w:bidi="ar-SA"/>
        </w:rPr>
        <w:br w:type="page"/>
      </w:r>
    </w:p>
    <w:p w14:paraId="12C2A506" w14:textId="3F42F6B0" w:rsidR="00866166" w:rsidRDefault="00221A64" w:rsidP="006924C6">
      <w:pPr>
        <w:pStyle w:val="Heading1"/>
        <w:numPr>
          <w:ilvl w:val="0"/>
          <w:numId w:val="0"/>
        </w:numPr>
        <w:rPr>
          <w:lang w:eastAsia="en-US" w:bidi="ar-SA"/>
        </w:rPr>
      </w:pPr>
      <w:bookmarkStart w:id="1" w:name="_Toc205533945"/>
      <w:r>
        <w:rPr>
          <w:lang w:eastAsia="en-US" w:bidi="ar-SA"/>
        </w:rPr>
        <w:lastRenderedPageBreak/>
        <w:t>Table of Figures</w:t>
      </w:r>
      <w:bookmarkEnd w:id="1"/>
    </w:p>
    <w:p w14:paraId="0134E5BA" w14:textId="00FDD77F" w:rsidR="00F42427" w:rsidRDefault="00221A64">
      <w:pPr>
        <w:pStyle w:val="TableofFigures"/>
        <w:tabs>
          <w:tab w:val="right" w:leader="dot" w:pos="8210"/>
        </w:tabs>
        <w:rPr>
          <w:rFonts w:asciiTheme="minorHAnsi" w:hAnsiTheme="minorHAnsi"/>
          <w:noProof/>
          <w:sz w:val="24"/>
          <w:szCs w:val="24"/>
          <w:lang w:eastAsia="en-AU" w:bidi="ar-SA"/>
        </w:rPr>
      </w:pPr>
      <w:r w:rsidRPr="00696100">
        <w:rPr>
          <w:bCs/>
          <w:iCs/>
          <w:lang w:eastAsia="en-US" w:bidi="ar-SA"/>
        </w:rPr>
        <w:fldChar w:fldCharType="begin"/>
      </w:r>
      <w:r w:rsidRPr="00696100">
        <w:rPr>
          <w:bCs/>
          <w:iCs/>
          <w:lang w:eastAsia="en-US" w:bidi="ar-SA"/>
        </w:rPr>
        <w:instrText xml:space="preserve"> TOC \h \z \c "Figure" </w:instrText>
      </w:r>
      <w:r w:rsidRPr="00696100">
        <w:rPr>
          <w:bCs/>
          <w:iCs/>
          <w:lang w:eastAsia="en-US" w:bidi="ar-SA"/>
        </w:rPr>
        <w:fldChar w:fldCharType="separate"/>
      </w:r>
      <w:hyperlink w:anchor="_Toc205365726" w:history="1">
        <w:r w:rsidR="00F42427" w:rsidRPr="00FC57EE">
          <w:rPr>
            <w:rStyle w:val="Hyperlink"/>
            <w:i/>
            <w:iCs/>
            <w:noProof/>
          </w:rPr>
          <w:t>Figure 1: This report is one of five which, as a reference set, are designed to support an integrative approach to Australia’s power system transformation</w:t>
        </w:r>
        <w:r w:rsidR="00F42427">
          <w:rPr>
            <w:noProof/>
            <w:webHidden/>
          </w:rPr>
          <w:tab/>
        </w:r>
        <w:r w:rsidR="00F42427">
          <w:rPr>
            <w:noProof/>
            <w:webHidden/>
          </w:rPr>
          <w:fldChar w:fldCharType="begin"/>
        </w:r>
        <w:r w:rsidR="00F42427">
          <w:rPr>
            <w:noProof/>
            <w:webHidden/>
          </w:rPr>
          <w:instrText xml:space="preserve"> PAGEREF _Toc205365726 \h </w:instrText>
        </w:r>
        <w:r w:rsidR="00F42427">
          <w:rPr>
            <w:noProof/>
            <w:webHidden/>
          </w:rPr>
        </w:r>
        <w:r w:rsidR="00F42427">
          <w:rPr>
            <w:noProof/>
            <w:webHidden/>
          </w:rPr>
          <w:fldChar w:fldCharType="separate"/>
        </w:r>
        <w:r w:rsidR="009F382F">
          <w:rPr>
            <w:noProof/>
            <w:webHidden/>
          </w:rPr>
          <w:t>13</w:t>
        </w:r>
        <w:r w:rsidR="00F42427">
          <w:rPr>
            <w:noProof/>
            <w:webHidden/>
          </w:rPr>
          <w:fldChar w:fldCharType="end"/>
        </w:r>
      </w:hyperlink>
    </w:p>
    <w:p w14:paraId="655DBB34" w14:textId="456FFFF2" w:rsidR="00F42427" w:rsidRDefault="00F42427">
      <w:pPr>
        <w:pStyle w:val="TableofFigures"/>
        <w:tabs>
          <w:tab w:val="right" w:leader="dot" w:pos="8210"/>
        </w:tabs>
        <w:rPr>
          <w:rFonts w:asciiTheme="minorHAnsi" w:hAnsiTheme="minorHAnsi"/>
          <w:noProof/>
          <w:sz w:val="24"/>
          <w:szCs w:val="24"/>
          <w:lang w:eastAsia="en-AU" w:bidi="ar-SA"/>
        </w:rPr>
      </w:pPr>
      <w:hyperlink w:anchor="_Toc205365727" w:history="1">
        <w:r w:rsidRPr="00FC57EE">
          <w:rPr>
            <w:rStyle w:val="Hyperlink"/>
            <w:noProof/>
          </w:rPr>
          <w:t xml:space="preserve"> </w:t>
        </w:r>
        <w:r w:rsidRPr="00FC57EE">
          <w:rPr>
            <w:rStyle w:val="Hyperlink"/>
            <w:i/>
            <w:iCs/>
            <w:noProof/>
          </w:rPr>
          <w:t>Figure 2: The reference set of five reports applies a Design Thinking approach to whole-system transformation underpinned by Systems Engineering and related disciplines</w:t>
        </w:r>
        <w:r>
          <w:rPr>
            <w:noProof/>
            <w:webHidden/>
          </w:rPr>
          <w:tab/>
        </w:r>
        <w:r>
          <w:rPr>
            <w:noProof/>
            <w:webHidden/>
          </w:rPr>
          <w:fldChar w:fldCharType="begin"/>
        </w:r>
        <w:r>
          <w:rPr>
            <w:noProof/>
            <w:webHidden/>
          </w:rPr>
          <w:instrText xml:space="preserve"> PAGEREF _Toc205365727 \h </w:instrText>
        </w:r>
        <w:r>
          <w:rPr>
            <w:noProof/>
            <w:webHidden/>
          </w:rPr>
        </w:r>
        <w:r>
          <w:rPr>
            <w:noProof/>
            <w:webHidden/>
          </w:rPr>
          <w:fldChar w:fldCharType="separate"/>
        </w:r>
        <w:r w:rsidR="009F382F">
          <w:rPr>
            <w:noProof/>
            <w:webHidden/>
          </w:rPr>
          <w:t>16</w:t>
        </w:r>
        <w:r>
          <w:rPr>
            <w:noProof/>
            <w:webHidden/>
          </w:rPr>
          <w:fldChar w:fldCharType="end"/>
        </w:r>
      </w:hyperlink>
    </w:p>
    <w:p w14:paraId="57E3A14B" w14:textId="3DB3748A" w:rsidR="00F42427" w:rsidRDefault="00F42427">
      <w:pPr>
        <w:pStyle w:val="TableofFigures"/>
        <w:tabs>
          <w:tab w:val="right" w:leader="dot" w:pos="8210"/>
        </w:tabs>
        <w:rPr>
          <w:rFonts w:asciiTheme="minorHAnsi" w:hAnsiTheme="minorHAnsi"/>
          <w:noProof/>
          <w:sz w:val="24"/>
          <w:szCs w:val="24"/>
          <w:lang w:eastAsia="en-AU" w:bidi="ar-SA"/>
        </w:rPr>
      </w:pPr>
      <w:hyperlink w:anchor="_Toc205365728" w:history="1">
        <w:r w:rsidRPr="00FC57EE">
          <w:rPr>
            <w:rStyle w:val="Hyperlink"/>
            <w:noProof/>
          </w:rPr>
          <w:t>Figure 3: The structural analysis undertaken identified fifteen Systemic Issues &amp; Transformation Risks clustered under four categories.</w:t>
        </w:r>
        <w:r>
          <w:rPr>
            <w:noProof/>
            <w:webHidden/>
          </w:rPr>
          <w:tab/>
        </w:r>
        <w:r>
          <w:rPr>
            <w:noProof/>
            <w:webHidden/>
          </w:rPr>
          <w:fldChar w:fldCharType="begin"/>
        </w:r>
        <w:r>
          <w:rPr>
            <w:noProof/>
            <w:webHidden/>
          </w:rPr>
          <w:instrText xml:space="preserve"> PAGEREF _Toc205365728 \h </w:instrText>
        </w:r>
        <w:r>
          <w:rPr>
            <w:noProof/>
            <w:webHidden/>
          </w:rPr>
        </w:r>
        <w:r>
          <w:rPr>
            <w:noProof/>
            <w:webHidden/>
          </w:rPr>
          <w:fldChar w:fldCharType="separate"/>
        </w:r>
        <w:r w:rsidR="009F382F">
          <w:rPr>
            <w:noProof/>
            <w:webHidden/>
          </w:rPr>
          <w:t>28</w:t>
        </w:r>
        <w:r>
          <w:rPr>
            <w:noProof/>
            <w:webHidden/>
          </w:rPr>
          <w:fldChar w:fldCharType="end"/>
        </w:r>
      </w:hyperlink>
    </w:p>
    <w:p w14:paraId="52AF92A9" w14:textId="6B673BF4" w:rsidR="00F42427" w:rsidRDefault="00F42427">
      <w:pPr>
        <w:pStyle w:val="TableofFigures"/>
        <w:tabs>
          <w:tab w:val="right" w:leader="dot" w:pos="8210"/>
        </w:tabs>
        <w:rPr>
          <w:rFonts w:asciiTheme="minorHAnsi" w:hAnsiTheme="minorHAnsi"/>
          <w:noProof/>
          <w:sz w:val="24"/>
          <w:szCs w:val="24"/>
          <w:lang w:eastAsia="en-AU" w:bidi="ar-SA"/>
        </w:rPr>
      </w:pPr>
      <w:hyperlink w:anchor="_Toc205365729" w:history="1">
        <w:r w:rsidRPr="00FC57EE">
          <w:rPr>
            <w:rStyle w:val="Hyperlink"/>
            <w:noProof/>
          </w:rPr>
          <w:t>Figure 4: AEMO 2024 Step Change Scenario[1].</w:t>
        </w:r>
        <w:r>
          <w:rPr>
            <w:noProof/>
            <w:webHidden/>
          </w:rPr>
          <w:tab/>
        </w:r>
        <w:r>
          <w:rPr>
            <w:noProof/>
            <w:webHidden/>
          </w:rPr>
          <w:fldChar w:fldCharType="begin"/>
        </w:r>
        <w:r>
          <w:rPr>
            <w:noProof/>
            <w:webHidden/>
          </w:rPr>
          <w:instrText xml:space="preserve"> PAGEREF _Toc205365729 \h </w:instrText>
        </w:r>
        <w:r>
          <w:rPr>
            <w:noProof/>
            <w:webHidden/>
          </w:rPr>
        </w:r>
        <w:r>
          <w:rPr>
            <w:noProof/>
            <w:webHidden/>
          </w:rPr>
          <w:fldChar w:fldCharType="separate"/>
        </w:r>
        <w:r w:rsidR="009F382F">
          <w:rPr>
            <w:noProof/>
            <w:webHidden/>
          </w:rPr>
          <w:t>30</w:t>
        </w:r>
        <w:r>
          <w:rPr>
            <w:noProof/>
            <w:webHidden/>
          </w:rPr>
          <w:fldChar w:fldCharType="end"/>
        </w:r>
      </w:hyperlink>
    </w:p>
    <w:p w14:paraId="349A441F" w14:textId="6564A7A6" w:rsidR="00F42427" w:rsidRDefault="00F42427">
      <w:pPr>
        <w:pStyle w:val="TableofFigures"/>
        <w:tabs>
          <w:tab w:val="right" w:leader="dot" w:pos="8210"/>
        </w:tabs>
        <w:rPr>
          <w:rFonts w:asciiTheme="minorHAnsi" w:hAnsiTheme="minorHAnsi"/>
          <w:noProof/>
          <w:sz w:val="24"/>
          <w:szCs w:val="24"/>
          <w:lang w:eastAsia="en-AU" w:bidi="ar-SA"/>
        </w:rPr>
      </w:pPr>
      <w:hyperlink w:anchor="_Toc205365730" w:history="1">
        <w:r w:rsidRPr="00FC57EE">
          <w:rPr>
            <w:rStyle w:val="Hyperlink"/>
            <w:noProof/>
          </w:rPr>
          <w:t xml:space="preserve">Figure 5: Modern power systems are a ‘super-system’ of seven structures, four of which are functionally interdependent </w:t>
        </w:r>
        <w:r w:rsidRPr="00FC57EE">
          <w:rPr>
            <w:rStyle w:val="Hyperlink"/>
            <w:noProof/>
            <w:lang w:eastAsia="en-US"/>
          </w:rPr>
          <w:t>on a days-to-sub second timescale</w:t>
        </w:r>
        <w:r w:rsidRPr="00FC57EE">
          <w:rPr>
            <w:rStyle w:val="Hyperlink"/>
            <w:b/>
            <w:noProof/>
            <w:lang w:eastAsia="en-US"/>
          </w:rPr>
          <w:t xml:space="preserve"> </w:t>
        </w:r>
        <w:r w:rsidRPr="00FC57EE">
          <w:rPr>
            <w:rStyle w:val="Hyperlink"/>
            <w:noProof/>
          </w:rPr>
          <w:t>(coral nodes)</w:t>
        </w:r>
        <w:r>
          <w:rPr>
            <w:noProof/>
            <w:webHidden/>
          </w:rPr>
          <w:tab/>
        </w:r>
        <w:r>
          <w:rPr>
            <w:noProof/>
            <w:webHidden/>
          </w:rPr>
          <w:fldChar w:fldCharType="begin"/>
        </w:r>
        <w:r>
          <w:rPr>
            <w:noProof/>
            <w:webHidden/>
          </w:rPr>
          <w:instrText xml:space="preserve"> PAGEREF _Toc205365730 \h </w:instrText>
        </w:r>
        <w:r>
          <w:rPr>
            <w:noProof/>
            <w:webHidden/>
          </w:rPr>
        </w:r>
        <w:r>
          <w:rPr>
            <w:noProof/>
            <w:webHidden/>
          </w:rPr>
          <w:fldChar w:fldCharType="separate"/>
        </w:r>
        <w:r w:rsidR="009F382F">
          <w:rPr>
            <w:noProof/>
            <w:webHidden/>
          </w:rPr>
          <w:t>34</w:t>
        </w:r>
        <w:r>
          <w:rPr>
            <w:noProof/>
            <w:webHidden/>
          </w:rPr>
          <w:fldChar w:fldCharType="end"/>
        </w:r>
      </w:hyperlink>
    </w:p>
    <w:p w14:paraId="1D34343A" w14:textId="1689C48C" w:rsidR="00F42427" w:rsidRDefault="00F42427">
      <w:pPr>
        <w:pStyle w:val="TableofFigures"/>
        <w:tabs>
          <w:tab w:val="right" w:leader="dot" w:pos="8210"/>
        </w:tabs>
        <w:rPr>
          <w:rFonts w:asciiTheme="minorHAnsi" w:hAnsiTheme="minorHAnsi"/>
          <w:noProof/>
          <w:sz w:val="24"/>
          <w:szCs w:val="24"/>
          <w:lang w:eastAsia="en-AU" w:bidi="ar-SA"/>
        </w:rPr>
      </w:pPr>
      <w:hyperlink w:anchor="_Toc205365731" w:history="1">
        <w:r w:rsidRPr="00FC57EE">
          <w:rPr>
            <w:rStyle w:val="Hyperlink"/>
            <w:noProof/>
          </w:rPr>
          <w:t>Figure 6: Advanced operational coordination and balancing mechanisms require ‘market-control’ alignment and complementarity across key tiers/layers of the power system [20].</w:t>
        </w:r>
        <w:r>
          <w:rPr>
            <w:noProof/>
            <w:webHidden/>
          </w:rPr>
          <w:tab/>
        </w:r>
        <w:r>
          <w:rPr>
            <w:noProof/>
            <w:webHidden/>
          </w:rPr>
          <w:fldChar w:fldCharType="begin"/>
        </w:r>
        <w:r>
          <w:rPr>
            <w:noProof/>
            <w:webHidden/>
          </w:rPr>
          <w:instrText xml:space="preserve"> PAGEREF _Toc205365731 \h </w:instrText>
        </w:r>
        <w:r>
          <w:rPr>
            <w:noProof/>
            <w:webHidden/>
          </w:rPr>
        </w:r>
        <w:r>
          <w:rPr>
            <w:noProof/>
            <w:webHidden/>
          </w:rPr>
          <w:fldChar w:fldCharType="separate"/>
        </w:r>
        <w:r w:rsidR="009F382F">
          <w:rPr>
            <w:noProof/>
            <w:webHidden/>
          </w:rPr>
          <w:t>55</w:t>
        </w:r>
        <w:r>
          <w:rPr>
            <w:noProof/>
            <w:webHidden/>
          </w:rPr>
          <w:fldChar w:fldCharType="end"/>
        </w:r>
      </w:hyperlink>
    </w:p>
    <w:p w14:paraId="76C45C2D" w14:textId="1A424C55" w:rsidR="00F42427" w:rsidRDefault="00F42427">
      <w:pPr>
        <w:pStyle w:val="TableofFigures"/>
        <w:tabs>
          <w:tab w:val="right" w:leader="dot" w:pos="8210"/>
        </w:tabs>
        <w:rPr>
          <w:rFonts w:asciiTheme="minorHAnsi" w:hAnsiTheme="minorHAnsi"/>
          <w:noProof/>
          <w:sz w:val="24"/>
          <w:szCs w:val="24"/>
          <w:lang w:eastAsia="en-AU" w:bidi="ar-SA"/>
        </w:rPr>
      </w:pPr>
      <w:hyperlink w:anchor="_Toc205365732" w:history="1">
        <w:r w:rsidRPr="00FC57EE">
          <w:rPr>
            <w:rStyle w:val="Hyperlink"/>
            <w:noProof/>
          </w:rPr>
          <w:t>Figure 7: Examples of Architectural Issues that will impact operational coordination.</w:t>
        </w:r>
        <w:r>
          <w:rPr>
            <w:noProof/>
            <w:webHidden/>
          </w:rPr>
          <w:tab/>
        </w:r>
        <w:r>
          <w:rPr>
            <w:noProof/>
            <w:webHidden/>
          </w:rPr>
          <w:fldChar w:fldCharType="begin"/>
        </w:r>
        <w:r>
          <w:rPr>
            <w:noProof/>
            <w:webHidden/>
          </w:rPr>
          <w:instrText xml:space="preserve"> PAGEREF _Toc205365732 \h </w:instrText>
        </w:r>
        <w:r>
          <w:rPr>
            <w:noProof/>
            <w:webHidden/>
          </w:rPr>
        </w:r>
        <w:r>
          <w:rPr>
            <w:noProof/>
            <w:webHidden/>
          </w:rPr>
          <w:fldChar w:fldCharType="separate"/>
        </w:r>
        <w:r w:rsidR="009F382F">
          <w:rPr>
            <w:noProof/>
            <w:webHidden/>
          </w:rPr>
          <w:t>59</w:t>
        </w:r>
        <w:r>
          <w:rPr>
            <w:noProof/>
            <w:webHidden/>
          </w:rPr>
          <w:fldChar w:fldCharType="end"/>
        </w:r>
      </w:hyperlink>
    </w:p>
    <w:p w14:paraId="661112A5" w14:textId="7D361B55" w:rsidR="00F42427" w:rsidRDefault="00F42427">
      <w:pPr>
        <w:pStyle w:val="TableofFigures"/>
        <w:tabs>
          <w:tab w:val="right" w:leader="dot" w:pos="8210"/>
        </w:tabs>
        <w:rPr>
          <w:rFonts w:asciiTheme="minorHAnsi" w:hAnsiTheme="minorHAnsi"/>
          <w:noProof/>
          <w:sz w:val="24"/>
          <w:szCs w:val="24"/>
          <w:lang w:eastAsia="en-AU" w:bidi="ar-SA"/>
        </w:rPr>
      </w:pPr>
      <w:hyperlink w:anchor="_Toc205365733" w:history="1">
        <w:r w:rsidRPr="00FC57EE">
          <w:rPr>
            <w:rStyle w:val="Hyperlink"/>
            <w:noProof/>
          </w:rPr>
          <w:t>Figure 8: Different examples of how hidden coupling can manifest.</w:t>
        </w:r>
        <w:r>
          <w:rPr>
            <w:noProof/>
            <w:webHidden/>
          </w:rPr>
          <w:tab/>
        </w:r>
        <w:r>
          <w:rPr>
            <w:noProof/>
            <w:webHidden/>
          </w:rPr>
          <w:fldChar w:fldCharType="begin"/>
        </w:r>
        <w:r>
          <w:rPr>
            <w:noProof/>
            <w:webHidden/>
          </w:rPr>
          <w:instrText xml:space="preserve"> PAGEREF _Toc205365733 \h </w:instrText>
        </w:r>
        <w:r>
          <w:rPr>
            <w:noProof/>
            <w:webHidden/>
          </w:rPr>
        </w:r>
        <w:r>
          <w:rPr>
            <w:noProof/>
            <w:webHidden/>
          </w:rPr>
          <w:fldChar w:fldCharType="separate"/>
        </w:r>
        <w:r w:rsidR="009F382F">
          <w:rPr>
            <w:noProof/>
            <w:webHidden/>
          </w:rPr>
          <w:t>60</w:t>
        </w:r>
        <w:r>
          <w:rPr>
            <w:noProof/>
            <w:webHidden/>
          </w:rPr>
          <w:fldChar w:fldCharType="end"/>
        </w:r>
      </w:hyperlink>
    </w:p>
    <w:p w14:paraId="38053E26" w14:textId="2AB6E0D4" w:rsidR="00F42427" w:rsidRDefault="00F42427">
      <w:pPr>
        <w:pStyle w:val="TableofFigures"/>
        <w:tabs>
          <w:tab w:val="right" w:leader="dot" w:pos="8210"/>
        </w:tabs>
        <w:rPr>
          <w:rFonts w:asciiTheme="minorHAnsi" w:hAnsiTheme="minorHAnsi"/>
          <w:noProof/>
          <w:sz w:val="24"/>
          <w:szCs w:val="24"/>
          <w:lang w:eastAsia="en-AU" w:bidi="ar-SA"/>
        </w:rPr>
      </w:pPr>
      <w:hyperlink w:anchor="_Toc205365734" w:history="1">
        <w:r w:rsidRPr="00FC57EE">
          <w:rPr>
            <w:rStyle w:val="Hyperlink"/>
            <w:noProof/>
          </w:rPr>
          <w:t>Figure 9: Computational ‘time wall’ effects can occur quite suddenly. In the case of the factorial curve (black), no amount of computing resources will be adequate to solve the optimisation problems in a reasonable time once the breakpoint has been reached.</w:t>
        </w:r>
        <w:r>
          <w:rPr>
            <w:noProof/>
            <w:webHidden/>
          </w:rPr>
          <w:tab/>
        </w:r>
        <w:r>
          <w:rPr>
            <w:noProof/>
            <w:webHidden/>
          </w:rPr>
          <w:fldChar w:fldCharType="begin"/>
        </w:r>
        <w:r>
          <w:rPr>
            <w:noProof/>
            <w:webHidden/>
          </w:rPr>
          <w:instrText xml:space="preserve"> PAGEREF _Toc205365734 \h </w:instrText>
        </w:r>
        <w:r>
          <w:rPr>
            <w:noProof/>
            <w:webHidden/>
          </w:rPr>
        </w:r>
        <w:r>
          <w:rPr>
            <w:noProof/>
            <w:webHidden/>
          </w:rPr>
          <w:fldChar w:fldCharType="separate"/>
        </w:r>
        <w:r w:rsidR="009F382F">
          <w:rPr>
            <w:noProof/>
            <w:webHidden/>
          </w:rPr>
          <w:t>61</w:t>
        </w:r>
        <w:r>
          <w:rPr>
            <w:noProof/>
            <w:webHidden/>
          </w:rPr>
          <w:fldChar w:fldCharType="end"/>
        </w:r>
      </w:hyperlink>
    </w:p>
    <w:p w14:paraId="3C2E1B76" w14:textId="430434D0" w:rsidR="00F42427" w:rsidRDefault="00F42427">
      <w:pPr>
        <w:pStyle w:val="TableofFigures"/>
        <w:tabs>
          <w:tab w:val="right" w:leader="dot" w:pos="8210"/>
        </w:tabs>
        <w:rPr>
          <w:rFonts w:asciiTheme="minorHAnsi" w:hAnsiTheme="minorHAnsi"/>
          <w:noProof/>
          <w:sz w:val="24"/>
          <w:szCs w:val="24"/>
          <w:lang w:eastAsia="en-AU" w:bidi="ar-SA"/>
        </w:rPr>
      </w:pPr>
      <w:hyperlink w:anchor="_Toc205365735" w:history="1">
        <w:r w:rsidRPr="00FC57EE">
          <w:rPr>
            <w:rStyle w:val="Hyperlink"/>
            <w:noProof/>
          </w:rPr>
          <w:t>Figure 10: Back-end integration constraints arise due the multiple vertical silo structures found in many supply-chain organisational system.</w:t>
        </w:r>
        <w:r>
          <w:rPr>
            <w:noProof/>
            <w:webHidden/>
          </w:rPr>
          <w:tab/>
        </w:r>
        <w:r>
          <w:rPr>
            <w:noProof/>
            <w:webHidden/>
          </w:rPr>
          <w:fldChar w:fldCharType="begin"/>
        </w:r>
        <w:r>
          <w:rPr>
            <w:noProof/>
            <w:webHidden/>
          </w:rPr>
          <w:instrText xml:space="preserve"> PAGEREF _Toc205365735 \h </w:instrText>
        </w:r>
        <w:r>
          <w:rPr>
            <w:noProof/>
            <w:webHidden/>
          </w:rPr>
        </w:r>
        <w:r>
          <w:rPr>
            <w:noProof/>
            <w:webHidden/>
          </w:rPr>
          <w:fldChar w:fldCharType="separate"/>
        </w:r>
        <w:r w:rsidR="009F382F">
          <w:rPr>
            <w:noProof/>
            <w:webHidden/>
          </w:rPr>
          <w:t>62</w:t>
        </w:r>
        <w:r>
          <w:rPr>
            <w:noProof/>
            <w:webHidden/>
          </w:rPr>
          <w:fldChar w:fldCharType="end"/>
        </w:r>
      </w:hyperlink>
    </w:p>
    <w:p w14:paraId="4FE047AC" w14:textId="089FB98D" w:rsidR="00F42427" w:rsidRDefault="00F42427">
      <w:pPr>
        <w:pStyle w:val="TableofFigures"/>
        <w:tabs>
          <w:tab w:val="right" w:leader="dot" w:pos="8210"/>
        </w:tabs>
        <w:rPr>
          <w:rFonts w:asciiTheme="minorHAnsi" w:hAnsiTheme="minorHAnsi"/>
          <w:noProof/>
          <w:sz w:val="24"/>
          <w:szCs w:val="24"/>
          <w:lang w:eastAsia="en-AU" w:bidi="ar-SA"/>
        </w:rPr>
      </w:pPr>
      <w:hyperlink w:anchor="_Toc205365736" w:history="1">
        <w:r w:rsidRPr="00FC57EE">
          <w:rPr>
            <w:rStyle w:val="Hyperlink"/>
            <w:noProof/>
          </w:rPr>
          <w:t>Figure 11: Examples of how hidden coupling can manifest.</w:t>
        </w:r>
        <w:r>
          <w:rPr>
            <w:noProof/>
            <w:webHidden/>
          </w:rPr>
          <w:tab/>
        </w:r>
        <w:r>
          <w:rPr>
            <w:noProof/>
            <w:webHidden/>
          </w:rPr>
          <w:fldChar w:fldCharType="begin"/>
        </w:r>
        <w:r>
          <w:rPr>
            <w:noProof/>
            <w:webHidden/>
          </w:rPr>
          <w:instrText xml:space="preserve"> PAGEREF _Toc205365736 \h </w:instrText>
        </w:r>
        <w:r>
          <w:rPr>
            <w:noProof/>
            <w:webHidden/>
          </w:rPr>
        </w:r>
        <w:r>
          <w:rPr>
            <w:noProof/>
            <w:webHidden/>
          </w:rPr>
          <w:fldChar w:fldCharType="separate"/>
        </w:r>
        <w:r w:rsidR="009F382F">
          <w:rPr>
            <w:noProof/>
            <w:webHidden/>
          </w:rPr>
          <w:t>68</w:t>
        </w:r>
        <w:r>
          <w:rPr>
            <w:noProof/>
            <w:webHidden/>
          </w:rPr>
          <w:fldChar w:fldCharType="end"/>
        </w:r>
      </w:hyperlink>
    </w:p>
    <w:p w14:paraId="6A2A6819" w14:textId="316BA648" w:rsidR="00F42427" w:rsidRDefault="00F42427">
      <w:pPr>
        <w:pStyle w:val="TableofFigures"/>
        <w:tabs>
          <w:tab w:val="right" w:leader="dot" w:pos="8210"/>
        </w:tabs>
        <w:rPr>
          <w:rFonts w:asciiTheme="minorHAnsi" w:hAnsiTheme="minorHAnsi"/>
          <w:noProof/>
          <w:sz w:val="24"/>
          <w:szCs w:val="24"/>
          <w:lang w:eastAsia="en-AU" w:bidi="ar-SA"/>
        </w:rPr>
      </w:pPr>
      <w:hyperlink w:anchor="_Toc205365737" w:history="1">
        <w:r w:rsidRPr="00FC57EE">
          <w:rPr>
            <w:rStyle w:val="Hyperlink"/>
            <w:noProof/>
          </w:rPr>
          <w:t>Figure 12: Examples of how multi-VPP hidden coupling can manifest.</w:t>
        </w:r>
        <w:r>
          <w:rPr>
            <w:noProof/>
            <w:webHidden/>
          </w:rPr>
          <w:tab/>
        </w:r>
        <w:r>
          <w:rPr>
            <w:noProof/>
            <w:webHidden/>
          </w:rPr>
          <w:fldChar w:fldCharType="begin"/>
        </w:r>
        <w:r>
          <w:rPr>
            <w:noProof/>
            <w:webHidden/>
          </w:rPr>
          <w:instrText xml:space="preserve"> PAGEREF _Toc205365737 \h </w:instrText>
        </w:r>
        <w:r>
          <w:rPr>
            <w:noProof/>
            <w:webHidden/>
          </w:rPr>
        </w:r>
        <w:r>
          <w:rPr>
            <w:noProof/>
            <w:webHidden/>
          </w:rPr>
          <w:fldChar w:fldCharType="separate"/>
        </w:r>
        <w:r w:rsidR="009F382F">
          <w:rPr>
            <w:noProof/>
            <w:webHidden/>
          </w:rPr>
          <w:t>68</w:t>
        </w:r>
        <w:r>
          <w:rPr>
            <w:noProof/>
            <w:webHidden/>
          </w:rPr>
          <w:fldChar w:fldCharType="end"/>
        </w:r>
      </w:hyperlink>
    </w:p>
    <w:p w14:paraId="77E88662" w14:textId="1481E729" w:rsidR="00F42427" w:rsidRDefault="00F42427">
      <w:pPr>
        <w:pStyle w:val="TableofFigures"/>
        <w:tabs>
          <w:tab w:val="right" w:leader="dot" w:pos="8210"/>
        </w:tabs>
        <w:rPr>
          <w:rFonts w:asciiTheme="minorHAnsi" w:hAnsiTheme="minorHAnsi"/>
          <w:noProof/>
          <w:sz w:val="24"/>
          <w:szCs w:val="24"/>
          <w:lang w:eastAsia="en-AU" w:bidi="ar-SA"/>
        </w:rPr>
      </w:pPr>
      <w:hyperlink w:anchor="_Toc205365738" w:history="1">
        <w:r w:rsidRPr="00FC57EE">
          <w:rPr>
            <w:rStyle w:val="Hyperlink"/>
            <w:noProof/>
          </w:rPr>
          <w:t>Figure 13: Circuit switching can instantly change VPP-Grid Network Configurations.</w:t>
        </w:r>
        <w:r>
          <w:rPr>
            <w:noProof/>
            <w:webHidden/>
          </w:rPr>
          <w:tab/>
        </w:r>
        <w:r>
          <w:rPr>
            <w:noProof/>
            <w:webHidden/>
          </w:rPr>
          <w:fldChar w:fldCharType="begin"/>
        </w:r>
        <w:r>
          <w:rPr>
            <w:noProof/>
            <w:webHidden/>
          </w:rPr>
          <w:instrText xml:space="preserve"> PAGEREF _Toc205365738 \h </w:instrText>
        </w:r>
        <w:r>
          <w:rPr>
            <w:noProof/>
            <w:webHidden/>
          </w:rPr>
        </w:r>
        <w:r>
          <w:rPr>
            <w:noProof/>
            <w:webHidden/>
          </w:rPr>
          <w:fldChar w:fldCharType="separate"/>
        </w:r>
        <w:r w:rsidR="009F382F">
          <w:rPr>
            <w:noProof/>
            <w:webHidden/>
          </w:rPr>
          <w:t>69</w:t>
        </w:r>
        <w:r>
          <w:rPr>
            <w:noProof/>
            <w:webHidden/>
          </w:rPr>
          <w:fldChar w:fldCharType="end"/>
        </w:r>
      </w:hyperlink>
    </w:p>
    <w:p w14:paraId="2E784EBF" w14:textId="1678F19A" w:rsidR="00F42427" w:rsidRDefault="00F42427">
      <w:pPr>
        <w:pStyle w:val="TableofFigures"/>
        <w:tabs>
          <w:tab w:val="right" w:leader="dot" w:pos="8210"/>
        </w:tabs>
        <w:rPr>
          <w:rFonts w:asciiTheme="minorHAnsi" w:hAnsiTheme="minorHAnsi"/>
          <w:noProof/>
          <w:sz w:val="24"/>
          <w:szCs w:val="24"/>
          <w:lang w:eastAsia="en-AU" w:bidi="ar-SA"/>
        </w:rPr>
      </w:pPr>
      <w:hyperlink w:anchor="_Toc205365739" w:history="1">
        <w:r w:rsidRPr="00FC57EE">
          <w:rPr>
            <w:rStyle w:val="Hyperlink"/>
            <w:noProof/>
          </w:rPr>
          <w:t>Figure 14: One credible view of</w:t>
        </w:r>
        <w:r w:rsidRPr="00FC57EE">
          <w:rPr>
            <w:rStyle w:val="Hyperlink"/>
            <w:noProof/>
            <w:lang w:eastAsia="en-US"/>
          </w:rPr>
          <w:t xml:space="preserve"> how the NEM’s legacy structures will need to change to enable high-CER/DER futures similar to AEMO’s Step Change scenario</w:t>
        </w:r>
        <w:r w:rsidRPr="00FC57EE">
          <w:rPr>
            <w:rStyle w:val="Hyperlink"/>
            <w:noProof/>
          </w:rPr>
          <w:t xml:space="preserve"> </w:t>
        </w:r>
        <w:r w:rsidRPr="00FC57EE">
          <w:rPr>
            <w:rStyle w:val="Hyperlink"/>
            <w:noProof/>
            <w:lang w:eastAsia="en-US"/>
          </w:rPr>
          <w:t>[6]</w:t>
        </w:r>
        <w:r w:rsidRPr="00FC57EE">
          <w:rPr>
            <w:rStyle w:val="Hyperlink"/>
            <w:noProof/>
          </w:rPr>
          <w:t>.</w:t>
        </w:r>
        <w:r>
          <w:rPr>
            <w:noProof/>
            <w:webHidden/>
          </w:rPr>
          <w:tab/>
        </w:r>
        <w:r>
          <w:rPr>
            <w:noProof/>
            <w:webHidden/>
          </w:rPr>
          <w:fldChar w:fldCharType="begin"/>
        </w:r>
        <w:r>
          <w:rPr>
            <w:noProof/>
            <w:webHidden/>
          </w:rPr>
          <w:instrText xml:space="preserve"> PAGEREF _Toc205365739 \h </w:instrText>
        </w:r>
        <w:r>
          <w:rPr>
            <w:noProof/>
            <w:webHidden/>
          </w:rPr>
        </w:r>
        <w:r>
          <w:rPr>
            <w:noProof/>
            <w:webHidden/>
          </w:rPr>
          <w:fldChar w:fldCharType="separate"/>
        </w:r>
        <w:r w:rsidR="009F382F">
          <w:rPr>
            <w:noProof/>
            <w:webHidden/>
          </w:rPr>
          <w:t>94</w:t>
        </w:r>
        <w:r>
          <w:rPr>
            <w:noProof/>
            <w:webHidden/>
          </w:rPr>
          <w:fldChar w:fldCharType="end"/>
        </w:r>
      </w:hyperlink>
    </w:p>
    <w:p w14:paraId="5871B3A7" w14:textId="064330FE" w:rsidR="00F42427" w:rsidRDefault="00F42427">
      <w:pPr>
        <w:pStyle w:val="TableofFigures"/>
        <w:tabs>
          <w:tab w:val="right" w:leader="dot" w:pos="8210"/>
        </w:tabs>
        <w:rPr>
          <w:rFonts w:asciiTheme="minorHAnsi" w:hAnsiTheme="minorHAnsi"/>
          <w:noProof/>
          <w:sz w:val="24"/>
          <w:szCs w:val="24"/>
          <w:lang w:eastAsia="en-AU" w:bidi="ar-SA"/>
        </w:rPr>
      </w:pPr>
      <w:hyperlink w:anchor="_Toc205365740" w:history="1">
        <w:r w:rsidRPr="00FC57EE">
          <w:rPr>
            <w:rStyle w:val="Hyperlink"/>
            <w:noProof/>
          </w:rPr>
          <w:t xml:space="preserve">Figure 15: </w:t>
        </w:r>
        <w:r w:rsidRPr="00FC57EE">
          <w:rPr>
            <w:rStyle w:val="Hyperlink"/>
            <w:noProof/>
            <w:lang w:eastAsia="en-US"/>
          </w:rPr>
          <w:t>Structurally informed process for the assignment of roles and responsibilities[35]</w:t>
        </w:r>
        <w:r>
          <w:rPr>
            <w:noProof/>
            <w:webHidden/>
          </w:rPr>
          <w:tab/>
        </w:r>
        <w:r>
          <w:rPr>
            <w:noProof/>
            <w:webHidden/>
          </w:rPr>
          <w:fldChar w:fldCharType="begin"/>
        </w:r>
        <w:r>
          <w:rPr>
            <w:noProof/>
            <w:webHidden/>
          </w:rPr>
          <w:instrText xml:space="preserve"> PAGEREF _Toc205365740 \h </w:instrText>
        </w:r>
        <w:r>
          <w:rPr>
            <w:noProof/>
            <w:webHidden/>
          </w:rPr>
        </w:r>
        <w:r>
          <w:rPr>
            <w:noProof/>
            <w:webHidden/>
          </w:rPr>
          <w:fldChar w:fldCharType="separate"/>
        </w:r>
        <w:r w:rsidR="009F382F">
          <w:rPr>
            <w:noProof/>
            <w:webHidden/>
          </w:rPr>
          <w:t>97</w:t>
        </w:r>
        <w:r>
          <w:rPr>
            <w:noProof/>
            <w:webHidden/>
          </w:rPr>
          <w:fldChar w:fldCharType="end"/>
        </w:r>
      </w:hyperlink>
    </w:p>
    <w:p w14:paraId="6F7645F2" w14:textId="1D05E556" w:rsidR="00221A64" w:rsidRPr="00221A64" w:rsidRDefault="00221A64">
      <w:pPr>
        <w:spacing w:before="0" w:after="160" w:line="259" w:lineRule="auto"/>
        <w:rPr>
          <w:bCs/>
          <w:iCs/>
          <w:lang w:eastAsia="en-US" w:bidi="ar-SA"/>
        </w:rPr>
      </w:pPr>
      <w:r w:rsidRPr="00696100">
        <w:rPr>
          <w:bCs/>
          <w:iCs/>
          <w:lang w:eastAsia="en-US" w:bidi="ar-SA"/>
        </w:rPr>
        <w:fldChar w:fldCharType="end"/>
      </w:r>
    </w:p>
    <w:p w14:paraId="7D5BEE31" w14:textId="77777777" w:rsidR="00866166" w:rsidRDefault="00866166">
      <w:pPr>
        <w:spacing w:before="0" w:after="160" w:line="259" w:lineRule="auto"/>
        <w:rPr>
          <w:lang w:eastAsia="en-US" w:bidi="ar-SA"/>
        </w:rPr>
      </w:pPr>
    </w:p>
    <w:p w14:paraId="1A7C3EF7" w14:textId="77777777" w:rsidR="00866166" w:rsidRDefault="00866166">
      <w:pPr>
        <w:spacing w:before="0" w:after="160" w:line="259" w:lineRule="auto"/>
        <w:rPr>
          <w:lang w:eastAsia="en-US" w:bidi="ar-SA"/>
        </w:rPr>
      </w:pPr>
    </w:p>
    <w:p w14:paraId="22B84D0A" w14:textId="77777777" w:rsidR="00221A64" w:rsidRDefault="00221A64">
      <w:pPr>
        <w:spacing w:before="0" w:after="160" w:line="259" w:lineRule="auto"/>
        <w:rPr>
          <w:lang w:eastAsia="en-US" w:bidi="ar-SA"/>
        </w:rPr>
      </w:pPr>
    </w:p>
    <w:p w14:paraId="65173724" w14:textId="77777777" w:rsidR="00221A64" w:rsidRDefault="00221A64">
      <w:pPr>
        <w:spacing w:before="0" w:after="160" w:line="259" w:lineRule="auto"/>
        <w:rPr>
          <w:lang w:eastAsia="en-US" w:bidi="ar-SA"/>
        </w:rPr>
      </w:pPr>
    </w:p>
    <w:p w14:paraId="32441942" w14:textId="77777777" w:rsidR="00221A64" w:rsidRDefault="00221A64">
      <w:pPr>
        <w:spacing w:before="0" w:after="160" w:line="259" w:lineRule="auto"/>
        <w:rPr>
          <w:lang w:eastAsia="en-US" w:bidi="ar-SA"/>
        </w:rPr>
      </w:pPr>
    </w:p>
    <w:p w14:paraId="24648EA5" w14:textId="77777777" w:rsidR="00866166" w:rsidRDefault="00866166">
      <w:pPr>
        <w:spacing w:before="0" w:after="160" w:line="259" w:lineRule="auto"/>
        <w:rPr>
          <w:lang w:eastAsia="en-US" w:bidi="ar-SA"/>
        </w:rPr>
      </w:pPr>
    </w:p>
    <w:p w14:paraId="0E5DD9F3" w14:textId="1EF5EF61" w:rsidR="00264AD4" w:rsidRDefault="00264AD4" w:rsidP="00264AD4">
      <w:pPr>
        <w:pStyle w:val="Heading10"/>
        <w:spacing w:after="120"/>
        <w:ind w:left="431" w:hanging="431"/>
      </w:pPr>
      <w:bookmarkStart w:id="2" w:name="_Toc205533946"/>
      <w:r>
        <w:t>List of Acronyms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843"/>
        <w:gridCol w:w="6377"/>
      </w:tblGrid>
      <w:tr w:rsidR="00264AD4" w:rsidRPr="005D097A" w14:paraId="68D6A943" w14:textId="77777777" w:rsidTr="00E52F89">
        <w:trPr>
          <w:trHeight w:val="340"/>
        </w:trPr>
        <w:tc>
          <w:tcPr>
            <w:tcW w:w="1843" w:type="dxa"/>
          </w:tcPr>
          <w:p w14:paraId="417EE7E4" w14:textId="77777777" w:rsidR="00264AD4" w:rsidRPr="002B3C24" w:rsidRDefault="00264AD4" w:rsidP="00E52F89">
            <w:pPr>
              <w:spacing w:before="0" w:after="0"/>
            </w:pPr>
            <w:r w:rsidRPr="002B3C24">
              <w:t>AR-PST</w:t>
            </w:r>
          </w:p>
        </w:tc>
        <w:tc>
          <w:tcPr>
            <w:tcW w:w="6377" w:type="dxa"/>
          </w:tcPr>
          <w:p w14:paraId="3C92DA8A" w14:textId="77777777" w:rsidR="00264AD4" w:rsidRPr="002B3C24" w:rsidRDefault="00264AD4" w:rsidP="00E52F89">
            <w:pPr>
              <w:spacing w:before="0" w:after="0"/>
            </w:pPr>
            <w:r w:rsidRPr="002B3C24">
              <w:t>Australian Research in Power System Transition</w:t>
            </w:r>
          </w:p>
        </w:tc>
      </w:tr>
      <w:tr w:rsidR="00264AD4" w:rsidRPr="005D097A" w14:paraId="386A883F" w14:textId="77777777" w:rsidTr="00E52F89">
        <w:trPr>
          <w:trHeight w:val="340"/>
        </w:trPr>
        <w:tc>
          <w:tcPr>
            <w:tcW w:w="1843" w:type="dxa"/>
          </w:tcPr>
          <w:p w14:paraId="0E2853F9" w14:textId="77777777" w:rsidR="00264AD4" w:rsidRPr="002B3C24" w:rsidRDefault="00264AD4" w:rsidP="00E52F89">
            <w:pPr>
              <w:spacing w:before="0" w:after="0"/>
            </w:pPr>
            <w:r w:rsidRPr="002B3C24">
              <w:t>ACER</w:t>
            </w:r>
          </w:p>
        </w:tc>
        <w:tc>
          <w:tcPr>
            <w:tcW w:w="6377" w:type="dxa"/>
          </w:tcPr>
          <w:p w14:paraId="3C2A28C3" w14:textId="77777777" w:rsidR="00264AD4" w:rsidRPr="002B3C24" w:rsidRDefault="00264AD4" w:rsidP="00E52F89">
            <w:pPr>
              <w:spacing w:before="0" w:after="0"/>
            </w:pPr>
            <w:r w:rsidRPr="002B3C24">
              <w:t>Agency for the Cooperation of Energy Regulators (EU)</w:t>
            </w:r>
          </w:p>
        </w:tc>
      </w:tr>
      <w:tr w:rsidR="00264AD4" w:rsidRPr="005D097A" w14:paraId="332F1F1F" w14:textId="77777777" w:rsidTr="00E52F89">
        <w:trPr>
          <w:trHeight w:val="340"/>
        </w:trPr>
        <w:tc>
          <w:tcPr>
            <w:tcW w:w="1843" w:type="dxa"/>
          </w:tcPr>
          <w:p w14:paraId="69F9B6B2" w14:textId="77777777" w:rsidR="00264AD4" w:rsidRPr="002B3C24" w:rsidRDefault="00264AD4" w:rsidP="00E52F89">
            <w:pPr>
              <w:spacing w:before="0" w:after="0"/>
            </w:pPr>
            <w:r w:rsidRPr="002B3C24">
              <w:t>AEMO</w:t>
            </w:r>
          </w:p>
        </w:tc>
        <w:tc>
          <w:tcPr>
            <w:tcW w:w="6377" w:type="dxa"/>
          </w:tcPr>
          <w:p w14:paraId="2BE2B464" w14:textId="77777777" w:rsidR="00264AD4" w:rsidRPr="002B3C24" w:rsidRDefault="00264AD4" w:rsidP="00E52F89">
            <w:pPr>
              <w:spacing w:before="0" w:after="0"/>
            </w:pPr>
            <w:r w:rsidRPr="002B3C24">
              <w:t>Australian Energy Market Operator</w:t>
            </w:r>
          </w:p>
        </w:tc>
      </w:tr>
      <w:tr w:rsidR="00264AD4" w:rsidRPr="005D097A" w14:paraId="0A5EDD3F" w14:textId="77777777" w:rsidTr="00E52F89">
        <w:trPr>
          <w:trHeight w:val="340"/>
        </w:trPr>
        <w:tc>
          <w:tcPr>
            <w:tcW w:w="1843" w:type="dxa"/>
          </w:tcPr>
          <w:p w14:paraId="31C9A3FB" w14:textId="77777777" w:rsidR="00264AD4" w:rsidRPr="002B3C24" w:rsidRDefault="00264AD4" w:rsidP="00E52F89">
            <w:pPr>
              <w:spacing w:before="0" w:after="0"/>
            </w:pPr>
            <w:r w:rsidRPr="002B3C24">
              <w:t>ADMS</w:t>
            </w:r>
          </w:p>
        </w:tc>
        <w:tc>
          <w:tcPr>
            <w:tcW w:w="6377" w:type="dxa"/>
          </w:tcPr>
          <w:p w14:paraId="1FA4A51C" w14:textId="77777777" w:rsidR="00264AD4" w:rsidRPr="002B3C24" w:rsidRDefault="00264AD4" w:rsidP="00E52F89">
            <w:pPr>
              <w:spacing w:before="0" w:after="0"/>
            </w:pPr>
            <w:r w:rsidRPr="002B3C24">
              <w:t>Advanced Distribution Management System</w:t>
            </w:r>
          </w:p>
        </w:tc>
      </w:tr>
      <w:tr w:rsidR="00264AD4" w:rsidRPr="005D097A" w14:paraId="76C6AEC2" w14:textId="77777777" w:rsidTr="00E52F89">
        <w:trPr>
          <w:trHeight w:val="340"/>
        </w:trPr>
        <w:tc>
          <w:tcPr>
            <w:tcW w:w="1843" w:type="dxa"/>
          </w:tcPr>
          <w:p w14:paraId="745A6498" w14:textId="77777777" w:rsidR="00264AD4" w:rsidRPr="002B3C24" w:rsidRDefault="00264AD4" w:rsidP="00E52F89">
            <w:pPr>
              <w:spacing w:before="0" w:after="0"/>
            </w:pPr>
            <w:r w:rsidRPr="002B3C24">
              <w:t>AI</w:t>
            </w:r>
          </w:p>
        </w:tc>
        <w:tc>
          <w:tcPr>
            <w:tcW w:w="6377" w:type="dxa"/>
          </w:tcPr>
          <w:p w14:paraId="4AD20996" w14:textId="77777777" w:rsidR="00264AD4" w:rsidRPr="002B3C24" w:rsidRDefault="00264AD4" w:rsidP="00E52F89">
            <w:pPr>
              <w:spacing w:before="0" w:after="0"/>
            </w:pPr>
            <w:r w:rsidRPr="002B3C24">
              <w:t>Artificial Intelligence</w:t>
            </w:r>
          </w:p>
        </w:tc>
      </w:tr>
      <w:tr w:rsidR="00264AD4" w:rsidRPr="005D097A" w14:paraId="5C293C40" w14:textId="77777777" w:rsidTr="00E52F89">
        <w:trPr>
          <w:trHeight w:val="340"/>
        </w:trPr>
        <w:tc>
          <w:tcPr>
            <w:tcW w:w="1843" w:type="dxa"/>
          </w:tcPr>
          <w:p w14:paraId="3F2B3E90" w14:textId="77777777" w:rsidR="00264AD4" w:rsidRPr="002B3C24" w:rsidRDefault="00264AD4" w:rsidP="00E52F89">
            <w:pPr>
              <w:spacing w:before="0" w:after="0"/>
            </w:pPr>
            <w:r w:rsidRPr="002B3C24">
              <w:t>ANM</w:t>
            </w:r>
          </w:p>
        </w:tc>
        <w:tc>
          <w:tcPr>
            <w:tcW w:w="6377" w:type="dxa"/>
          </w:tcPr>
          <w:p w14:paraId="790BFE57" w14:textId="77777777" w:rsidR="00264AD4" w:rsidRPr="002B3C24" w:rsidRDefault="00264AD4" w:rsidP="00E52F89">
            <w:pPr>
              <w:spacing w:before="0" w:after="0"/>
            </w:pPr>
            <w:r w:rsidRPr="002B3C24">
              <w:t>Active Network Management</w:t>
            </w:r>
          </w:p>
        </w:tc>
      </w:tr>
      <w:tr w:rsidR="00264AD4" w:rsidRPr="005D097A" w14:paraId="64B19180" w14:textId="77777777" w:rsidTr="00E52F89">
        <w:trPr>
          <w:trHeight w:val="340"/>
        </w:trPr>
        <w:tc>
          <w:tcPr>
            <w:tcW w:w="1843" w:type="dxa"/>
          </w:tcPr>
          <w:p w14:paraId="34F94BC7" w14:textId="77777777" w:rsidR="00264AD4" w:rsidRPr="002B3C24" w:rsidRDefault="00264AD4" w:rsidP="00E52F89">
            <w:pPr>
              <w:spacing w:before="0" w:after="0"/>
            </w:pPr>
            <w:r w:rsidRPr="002B3C24">
              <w:t>API</w:t>
            </w:r>
          </w:p>
        </w:tc>
        <w:tc>
          <w:tcPr>
            <w:tcW w:w="6377" w:type="dxa"/>
          </w:tcPr>
          <w:p w14:paraId="5ADCD3AE" w14:textId="77777777" w:rsidR="00264AD4" w:rsidRPr="002B3C24" w:rsidRDefault="00264AD4" w:rsidP="00E52F89">
            <w:pPr>
              <w:spacing w:before="0" w:after="0"/>
            </w:pPr>
            <w:r w:rsidRPr="002B3C24">
              <w:t>Application Programming Interface</w:t>
            </w:r>
          </w:p>
        </w:tc>
      </w:tr>
      <w:tr w:rsidR="00264AD4" w:rsidRPr="005D097A" w14:paraId="3BE3A0F6" w14:textId="77777777" w:rsidTr="00E52F89">
        <w:trPr>
          <w:trHeight w:val="340"/>
        </w:trPr>
        <w:tc>
          <w:tcPr>
            <w:tcW w:w="1843" w:type="dxa"/>
          </w:tcPr>
          <w:p w14:paraId="0B27CCCC" w14:textId="77777777" w:rsidR="00264AD4" w:rsidRPr="002B3C24" w:rsidRDefault="00264AD4" w:rsidP="00E52F89">
            <w:pPr>
              <w:spacing w:before="0" w:after="0"/>
            </w:pPr>
            <w:r w:rsidRPr="002B3C24">
              <w:t>BESS</w:t>
            </w:r>
          </w:p>
        </w:tc>
        <w:tc>
          <w:tcPr>
            <w:tcW w:w="6377" w:type="dxa"/>
          </w:tcPr>
          <w:p w14:paraId="10E853CD" w14:textId="77777777" w:rsidR="00264AD4" w:rsidRPr="002B3C24" w:rsidRDefault="00264AD4" w:rsidP="00E52F89">
            <w:pPr>
              <w:spacing w:before="0" w:after="0"/>
            </w:pPr>
            <w:r w:rsidRPr="002B3C24">
              <w:t>Battery Energy Storage System</w:t>
            </w:r>
          </w:p>
        </w:tc>
      </w:tr>
      <w:tr w:rsidR="00264AD4" w:rsidRPr="005D097A" w14:paraId="37748844" w14:textId="77777777" w:rsidTr="00E52F89">
        <w:trPr>
          <w:trHeight w:val="340"/>
        </w:trPr>
        <w:tc>
          <w:tcPr>
            <w:tcW w:w="1843" w:type="dxa"/>
          </w:tcPr>
          <w:p w14:paraId="26A2CDC4" w14:textId="77777777" w:rsidR="00264AD4" w:rsidRPr="002B3C24" w:rsidRDefault="00264AD4" w:rsidP="00E52F89">
            <w:pPr>
              <w:spacing w:before="0" w:after="0"/>
            </w:pPr>
            <w:r w:rsidRPr="002B3C24">
              <w:t>BPS</w:t>
            </w:r>
          </w:p>
        </w:tc>
        <w:tc>
          <w:tcPr>
            <w:tcW w:w="6377" w:type="dxa"/>
          </w:tcPr>
          <w:p w14:paraId="4EBCAE38" w14:textId="77777777" w:rsidR="00264AD4" w:rsidRPr="002B3C24" w:rsidRDefault="00264AD4" w:rsidP="00E52F89">
            <w:pPr>
              <w:spacing w:before="0" w:after="0"/>
            </w:pPr>
            <w:r w:rsidRPr="002B3C24">
              <w:t>Bulk Power System</w:t>
            </w:r>
          </w:p>
        </w:tc>
      </w:tr>
      <w:tr w:rsidR="00264AD4" w:rsidRPr="005D097A" w14:paraId="50D92EDC" w14:textId="77777777" w:rsidTr="00E52F89">
        <w:trPr>
          <w:trHeight w:val="340"/>
        </w:trPr>
        <w:tc>
          <w:tcPr>
            <w:tcW w:w="1843" w:type="dxa"/>
          </w:tcPr>
          <w:p w14:paraId="0C9C5E17" w14:textId="77777777" w:rsidR="00264AD4" w:rsidRPr="002B3C24" w:rsidRDefault="00264AD4" w:rsidP="00E52F89">
            <w:pPr>
              <w:spacing w:before="0" w:after="0"/>
            </w:pPr>
            <w:r w:rsidRPr="002B3C24">
              <w:t>BTM</w:t>
            </w:r>
          </w:p>
        </w:tc>
        <w:tc>
          <w:tcPr>
            <w:tcW w:w="6377" w:type="dxa"/>
          </w:tcPr>
          <w:p w14:paraId="65D25379" w14:textId="77777777" w:rsidR="00264AD4" w:rsidRPr="002B3C24" w:rsidRDefault="00264AD4" w:rsidP="00E52F89">
            <w:pPr>
              <w:spacing w:before="0" w:after="0"/>
            </w:pPr>
            <w:r w:rsidRPr="002B3C24">
              <w:t>Behind-the-meter</w:t>
            </w:r>
          </w:p>
        </w:tc>
      </w:tr>
      <w:tr w:rsidR="00264AD4" w:rsidRPr="005D097A" w14:paraId="5EBCBA3A" w14:textId="77777777" w:rsidTr="00E52F89">
        <w:trPr>
          <w:trHeight w:val="340"/>
        </w:trPr>
        <w:tc>
          <w:tcPr>
            <w:tcW w:w="1843" w:type="dxa"/>
          </w:tcPr>
          <w:p w14:paraId="36E788F6" w14:textId="77777777" w:rsidR="00264AD4" w:rsidRPr="002B3C24" w:rsidRDefault="00264AD4" w:rsidP="00E52F89">
            <w:pPr>
              <w:spacing w:before="0" w:after="0"/>
            </w:pPr>
            <w:r w:rsidRPr="002B3C24">
              <w:t>CAES</w:t>
            </w:r>
          </w:p>
        </w:tc>
        <w:tc>
          <w:tcPr>
            <w:tcW w:w="6377" w:type="dxa"/>
          </w:tcPr>
          <w:p w14:paraId="6B7E1371" w14:textId="77777777" w:rsidR="00264AD4" w:rsidRPr="002B3C24" w:rsidRDefault="00264AD4" w:rsidP="00E52F89">
            <w:pPr>
              <w:spacing w:before="0" w:after="0"/>
            </w:pPr>
            <w:r w:rsidRPr="002B3C24">
              <w:t>Compressed Air Energy Storage</w:t>
            </w:r>
          </w:p>
        </w:tc>
      </w:tr>
      <w:tr w:rsidR="00264AD4" w:rsidRPr="005D097A" w14:paraId="779C70EC" w14:textId="77777777" w:rsidTr="00E52F89">
        <w:trPr>
          <w:trHeight w:val="340"/>
        </w:trPr>
        <w:tc>
          <w:tcPr>
            <w:tcW w:w="1843" w:type="dxa"/>
          </w:tcPr>
          <w:p w14:paraId="09413DBB" w14:textId="77777777" w:rsidR="00264AD4" w:rsidRPr="002B3C24" w:rsidRDefault="00264AD4" w:rsidP="00E52F89">
            <w:pPr>
              <w:spacing w:before="0" w:after="0"/>
            </w:pPr>
            <w:r w:rsidRPr="002B3C24">
              <w:t>CAPEX</w:t>
            </w:r>
          </w:p>
        </w:tc>
        <w:tc>
          <w:tcPr>
            <w:tcW w:w="6377" w:type="dxa"/>
          </w:tcPr>
          <w:p w14:paraId="26E9EFAC" w14:textId="77777777" w:rsidR="00264AD4" w:rsidRPr="002B3C24" w:rsidRDefault="00264AD4" w:rsidP="00E52F89">
            <w:pPr>
              <w:spacing w:before="0" w:after="0"/>
            </w:pPr>
            <w:r w:rsidRPr="002B3C24">
              <w:t>Capital Expenditure</w:t>
            </w:r>
          </w:p>
        </w:tc>
      </w:tr>
      <w:tr w:rsidR="00264AD4" w:rsidRPr="005D097A" w14:paraId="6E390D79" w14:textId="77777777" w:rsidTr="00E52F89">
        <w:trPr>
          <w:trHeight w:val="340"/>
        </w:trPr>
        <w:tc>
          <w:tcPr>
            <w:tcW w:w="1843" w:type="dxa"/>
          </w:tcPr>
          <w:p w14:paraId="47A50CF6" w14:textId="77777777" w:rsidR="00264AD4" w:rsidRPr="002B3C24" w:rsidRDefault="00264AD4" w:rsidP="00E52F89">
            <w:pPr>
              <w:spacing w:before="0" w:after="0"/>
            </w:pPr>
            <w:r w:rsidRPr="002B3C24">
              <w:t>CER</w:t>
            </w:r>
          </w:p>
        </w:tc>
        <w:tc>
          <w:tcPr>
            <w:tcW w:w="6377" w:type="dxa"/>
          </w:tcPr>
          <w:p w14:paraId="21EF23B1" w14:textId="77777777" w:rsidR="00264AD4" w:rsidRPr="002B3C24" w:rsidRDefault="00264AD4" w:rsidP="00E52F89">
            <w:pPr>
              <w:spacing w:before="0" w:after="0"/>
            </w:pPr>
            <w:r w:rsidRPr="002B3C24">
              <w:t>Consumer Energy Resources</w:t>
            </w:r>
          </w:p>
        </w:tc>
      </w:tr>
      <w:tr w:rsidR="00264AD4" w:rsidRPr="005D097A" w14:paraId="30994505" w14:textId="77777777" w:rsidTr="00E52F89">
        <w:trPr>
          <w:trHeight w:val="340"/>
        </w:trPr>
        <w:tc>
          <w:tcPr>
            <w:tcW w:w="1843" w:type="dxa"/>
          </w:tcPr>
          <w:p w14:paraId="1DC6C26F" w14:textId="77777777" w:rsidR="00264AD4" w:rsidRPr="002B3C24" w:rsidRDefault="00264AD4" w:rsidP="00E52F89">
            <w:pPr>
              <w:spacing w:before="0" w:after="0"/>
            </w:pPr>
            <w:r w:rsidRPr="002B3C24">
              <w:t>CIM</w:t>
            </w:r>
          </w:p>
        </w:tc>
        <w:tc>
          <w:tcPr>
            <w:tcW w:w="6377" w:type="dxa"/>
          </w:tcPr>
          <w:p w14:paraId="6D1DF051" w14:textId="77777777" w:rsidR="00264AD4" w:rsidRPr="002B3C24" w:rsidRDefault="00264AD4" w:rsidP="00E52F89">
            <w:pPr>
              <w:spacing w:before="0" w:after="0"/>
            </w:pPr>
            <w:r w:rsidRPr="002B3C24">
              <w:t>Common Information Model</w:t>
            </w:r>
          </w:p>
        </w:tc>
      </w:tr>
      <w:tr w:rsidR="00264AD4" w:rsidRPr="005D097A" w14:paraId="09138E36" w14:textId="77777777" w:rsidTr="00E52F89">
        <w:trPr>
          <w:trHeight w:val="340"/>
        </w:trPr>
        <w:tc>
          <w:tcPr>
            <w:tcW w:w="1843" w:type="dxa"/>
          </w:tcPr>
          <w:p w14:paraId="02F99262" w14:textId="77777777" w:rsidR="00264AD4" w:rsidRPr="002B3C24" w:rsidRDefault="00264AD4" w:rsidP="00E52F89">
            <w:pPr>
              <w:spacing w:before="0" w:after="0"/>
            </w:pPr>
            <w:r w:rsidRPr="002B3C24">
              <w:t>CSIRO</w:t>
            </w:r>
          </w:p>
        </w:tc>
        <w:tc>
          <w:tcPr>
            <w:tcW w:w="6377" w:type="dxa"/>
          </w:tcPr>
          <w:p w14:paraId="3B716A9B" w14:textId="77777777" w:rsidR="00264AD4" w:rsidRPr="002B3C24" w:rsidRDefault="00264AD4" w:rsidP="00E52F89">
            <w:pPr>
              <w:spacing w:before="0" w:after="0"/>
            </w:pPr>
            <w:r w:rsidRPr="002B3C24">
              <w:t>Commonwealth Scientific and Industrial Research Organisation</w:t>
            </w:r>
          </w:p>
        </w:tc>
      </w:tr>
      <w:tr w:rsidR="00264AD4" w:rsidRPr="005D097A" w14:paraId="3B06A149" w14:textId="77777777" w:rsidTr="00E52F89">
        <w:trPr>
          <w:trHeight w:val="340"/>
        </w:trPr>
        <w:tc>
          <w:tcPr>
            <w:tcW w:w="1843" w:type="dxa"/>
          </w:tcPr>
          <w:p w14:paraId="4E436630" w14:textId="77777777" w:rsidR="00264AD4" w:rsidRPr="002B3C24" w:rsidRDefault="00264AD4" w:rsidP="00E52F89">
            <w:pPr>
              <w:spacing w:before="0" w:after="0"/>
            </w:pPr>
            <w:r w:rsidRPr="002B3C24">
              <w:t>DER</w:t>
            </w:r>
          </w:p>
        </w:tc>
        <w:tc>
          <w:tcPr>
            <w:tcW w:w="6377" w:type="dxa"/>
          </w:tcPr>
          <w:p w14:paraId="0AB41E9A" w14:textId="77777777" w:rsidR="00264AD4" w:rsidRPr="002B3C24" w:rsidRDefault="00264AD4" w:rsidP="00E52F89">
            <w:pPr>
              <w:spacing w:before="0" w:after="0"/>
            </w:pPr>
            <w:r w:rsidRPr="002B3C24">
              <w:t>Distributed Energy Resources</w:t>
            </w:r>
          </w:p>
        </w:tc>
      </w:tr>
      <w:tr w:rsidR="00264AD4" w:rsidRPr="005D097A" w14:paraId="1E843DDD" w14:textId="77777777" w:rsidTr="00E52F89">
        <w:trPr>
          <w:trHeight w:val="340"/>
        </w:trPr>
        <w:tc>
          <w:tcPr>
            <w:tcW w:w="1843" w:type="dxa"/>
          </w:tcPr>
          <w:p w14:paraId="08662EDC" w14:textId="77777777" w:rsidR="00264AD4" w:rsidRPr="002B3C24" w:rsidRDefault="00264AD4" w:rsidP="00E52F89">
            <w:pPr>
              <w:spacing w:before="0" w:after="0"/>
            </w:pPr>
            <w:r w:rsidRPr="002B3C24">
              <w:t>DERMS</w:t>
            </w:r>
          </w:p>
        </w:tc>
        <w:tc>
          <w:tcPr>
            <w:tcW w:w="6377" w:type="dxa"/>
          </w:tcPr>
          <w:p w14:paraId="53207062" w14:textId="77777777" w:rsidR="00264AD4" w:rsidRPr="002B3C24" w:rsidRDefault="00264AD4" w:rsidP="00E52F89">
            <w:pPr>
              <w:spacing w:before="0" w:after="0"/>
            </w:pPr>
            <w:r w:rsidRPr="002B3C24">
              <w:t>Distributed Energy Resources Management System</w:t>
            </w:r>
          </w:p>
        </w:tc>
      </w:tr>
      <w:tr w:rsidR="00264AD4" w:rsidRPr="005D097A" w14:paraId="225C1EC6" w14:textId="77777777" w:rsidTr="00E52F89">
        <w:trPr>
          <w:trHeight w:val="340"/>
        </w:trPr>
        <w:tc>
          <w:tcPr>
            <w:tcW w:w="1843" w:type="dxa"/>
          </w:tcPr>
          <w:p w14:paraId="52460E17" w14:textId="77777777" w:rsidR="00264AD4" w:rsidRPr="002B3C24" w:rsidRDefault="00264AD4" w:rsidP="00E52F89">
            <w:pPr>
              <w:spacing w:before="0" w:after="0"/>
            </w:pPr>
            <w:r w:rsidRPr="002B3C24">
              <w:t>DLT</w:t>
            </w:r>
          </w:p>
        </w:tc>
        <w:tc>
          <w:tcPr>
            <w:tcW w:w="6377" w:type="dxa"/>
          </w:tcPr>
          <w:p w14:paraId="64977B25" w14:textId="77777777" w:rsidR="00264AD4" w:rsidRPr="002B3C24" w:rsidRDefault="00264AD4" w:rsidP="00E52F89">
            <w:pPr>
              <w:spacing w:before="0" w:after="0"/>
            </w:pPr>
            <w:r w:rsidRPr="002B3C24">
              <w:t>Distributed Ledger Technology</w:t>
            </w:r>
          </w:p>
        </w:tc>
      </w:tr>
      <w:tr w:rsidR="00264AD4" w:rsidRPr="005D097A" w14:paraId="56E5BD65" w14:textId="77777777" w:rsidTr="00E52F89">
        <w:trPr>
          <w:trHeight w:val="340"/>
        </w:trPr>
        <w:tc>
          <w:tcPr>
            <w:tcW w:w="1843" w:type="dxa"/>
          </w:tcPr>
          <w:p w14:paraId="43154DB9" w14:textId="77777777" w:rsidR="00264AD4" w:rsidRPr="002B3C24" w:rsidRDefault="00264AD4" w:rsidP="00E52F89">
            <w:pPr>
              <w:spacing w:before="0" w:after="0"/>
            </w:pPr>
            <w:r w:rsidRPr="002B3C24">
              <w:t>DMO</w:t>
            </w:r>
          </w:p>
        </w:tc>
        <w:tc>
          <w:tcPr>
            <w:tcW w:w="6377" w:type="dxa"/>
          </w:tcPr>
          <w:p w14:paraId="23538A1A" w14:textId="77777777" w:rsidR="00264AD4" w:rsidRPr="002B3C24" w:rsidRDefault="00264AD4" w:rsidP="00E52F89">
            <w:pPr>
              <w:spacing w:before="0" w:after="0"/>
            </w:pPr>
            <w:r w:rsidRPr="002B3C24">
              <w:t xml:space="preserve">Distribution Market Operator </w:t>
            </w:r>
          </w:p>
        </w:tc>
      </w:tr>
      <w:tr w:rsidR="00264AD4" w:rsidRPr="005D097A" w14:paraId="100C98E7" w14:textId="77777777" w:rsidTr="00E52F89">
        <w:trPr>
          <w:trHeight w:val="340"/>
        </w:trPr>
        <w:tc>
          <w:tcPr>
            <w:tcW w:w="1843" w:type="dxa"/>
          </w:tcPr>
          <w:p w14:paraId="469F9D23" w14:textId="77777777" w:rsidR="00264AD4" w:rsidRPr="002B3C24" w:rsidRDefault="00264AD4" w:rsidP="00E52F89">
            <w:pPr>
              <w:spacing w:before="0" w:after="0"/>
            </w:pPr>
            <w:r w:rsidRPr="002B3C24">
              <w:t>DMS</w:t>
            </w:r>
          </w:p>
        </w:tc>
        <w:tc>
          <w:tcPr>
            <w:tcW w:w="6377" w:type="dxa"/>
          </w:tcPr>
          <w:p w14:paraId="745C328F" w14:textId="77777777" w:rsidR="00264AD4" w:rsidRPr="002B3C24" w:rsidRDefault="00264AD4" w:rsidP="00E52F89">
            <w:pPr>
              <w:spacing w:before="0" w:after="0"/>
            </w:pPr>
            <w:r w:rsidRPr="002B3C24">
              <w:t>Distribution Management System</w:t>
            </w:r>
          </w:p>
        </w:tc>
      </w:tr>
      <w:tr w:rsidR="00264AD4" w:rsidRPr="005D097A" w14:paraId="48B13848" w14:textId="77777777" w:rsidTr="00E52F89">
        <w:trPr>
          <w:trHeight w:val="340"/>
        </w:trPr>
        <w:tc>
          <w:tcPr>
            <w:tcW w:w="1843" w:type="dxa"/>
          </w:tcPr>
          <w:p w14:paraId="4E52A09F" w14:textId="77777777" w:rsidR="00264AD4" w:rsidRPr="002B3C24" w:rsidRDefault="00264AD4" w:rsidP="00E52F89">
            <w:pPr>
              <w:spacing w:before="0" w:after="0"/>
            </w:pPr>
            <w:r w:rsidRPr="002B3C24">
              <w:t>DNSP</w:t>
            </w:r>
          </w:p>
        </w:tc>
        <w:tc>
          <w:tcPr>
            <w:tcW w:w="6377" w:type="dxa"/>
          </w:tcPr>
          <w:p w14:paraId="52E8D145" w14:textId="77777777" w:rsidR="00264AD4" w:rsidRPr="002B3C24" w:rsidRDefault="00264AD4" w:rsidP="00E52F89">
            <w:pPr>
              <w:spacing w:before="0" w:after="0"/>
            </w:pPr>
            <w:r w:rsidRPr="002B3C24">
              <w:t>Distribution Network Service Provider</w:t>
            </w:r>
          </w:p>
        </w:tc>
      </w:tr>
      <w:tr w:rsidR="00264AD4" w:rsidRPr="005D097A" w14:paraId="30265882" w14:textId="77777777" w:rsidTr="00E52F89">
        <w:trPr>
          <w:trHeight w:val="340"/>
        </w:trPr>
        <w:tc>
          <w:tcPr>
            <w:tcW w:w="1843" w:type="dxa"/>
          </w:tcPr>
          <w:p w14:paraId="51C8F16E" w14:textId="77777777" w:rsidR="00264AD4" w:rsidRPr="002B3C24" w:rsidRDefault="00264AD4" w:rsidP="00E52F89">
            <w:pPr>
              <w:spacing w:before="0" w:after="0"/>
            </w:pPr>
            <w:r w:rsidRPr="002B3C24">
              <w:t>DNO</w:t>
            </w:r>
          </w:p>
        </w:tc>
        <w:tc>
          <w:tcPr>
            <w:tcW w:w="6377" w:type="dxa"/>
          </w:tcPr>
          <w:p w14:paraId="24E2E98C" w14:textId="77777777" w:rsidR="00264AD4" w:rsidRPr="002B3C24" w:rsidRDefault="00264AD4" w:rsidP="00E52F89">
            <w:pPr>
              <w:spacing w:before="0" w:after="0"/>
            </w:pPr>
            <w:r w:rsidRPr="002B3C24">
              <w:t>Distribution Network Operator</w:t>
            </w:r>
          </w:p>
        </w:tc>
      </w:tr>
      <w:tr w:rsidR="00264AD4" w:rsidRPr="005D097A" w14:paraId="537BAA45" w14:textId="77777777" w:rsidTr="00E52F89">
        <w:trPr>
          <w:trHeight w:val="340"/>
        </w:trPr>
        <w:tc>
          <w:tcPr>
            <w:tcW w:w="1843" w:type="dxa"/>
          </w:tcPr>
          <w:p w14:paraId="4A1E32FE" w14:textId="77777777" w:rsidR="00264AD4" w:rsidRPr="002B3C24" w:rsidRDefault="00264AD4" w:rsidP="00E52F89">
            <w:pPr>
              <w:spacing w:before="0" w:after="0"/>
            </w:pPr>
            <w:r w:rsidRPr="002B3C24">
              <w:t>DOE</w:t>
            </w:r>
          </w:p>
        </w:tc>
        <w:tc>
          <w:tcPr>
            <w:tcW w:w="6377" w:type="dxa"/>
          </w:tcPr>
          <w:p w14:paraId="039703DB" w14:textId="77777777" w:rsidR="00264AD4" w:rsidRPr="002B3C24" w:rsidRDefault="00264AD4" w:rsidP="00E52F89">
            <w:pPr>
              <w:spacing w:before="0" w:after="0"/>
            </w:pPr>
            <w:r w:rsidRPr="002B3C24">
              <w:t>Dynamic Operating Envelopes</w:t>
            </w:r>
          </w:p>
        </w:tc>
      </w:tr>
      <w:tr w:rsidR="00264AD4" w:rsidRPr="005D097A" w14:paraId="038CD64E" w14:textId="77777777" w:rsidTr="00E52F89">
        <w:trPr>
          <w:trHeight w:val="340"/>
        </w:trPr>
        <w:tc>
          <w:tcPr>
            <w:tcW w:w="1843" w:type="dxa"/>
          </w:tcPr>
          <w:p w14:paraId="4A3FFE5F" w14:textId="77777777" w:rsidR="00264AD4" w:rsidRPr="002B3C24" w:rsidRDefault="00264AD4" w:rsidP="00E52F89">
            <w:pPr>
              <w:spacing w:before="0" w:after="0"/>
            </w:pPr>
            <w:r w:rsidRPr="002B3C24">
              <w:t>DPV</w:t>
            </w:r>
          </w:p>
        </w:tc>
        <w:tc>
          <w:tcPr>
            <w:tcW w:w="6377" w:type="dxa"/>
          </w:tcPr>
          <w:p w14:paraId="140E4C2B" w14:textId="77777777" w:rsidR="00264AD4" w:rsidRPr="002B3C24" w:rsidRDefault="00264AD4" w:rsidP="00E52F89">
            <w:pPr>
              <w:spacing w:before="0" w:after="0"/>
            </w:pPr>
            <w:r w:rsidRPr="002B3C24">
              <w:t>Distributed Photovoltaics</w:t>
            </w:r>
          </w:p>
        </w:tc>
      </w:tr>
      <w:tr w:rsidR="00264AD4" w:rsidRPr="005D097A" w14:paraId="57C03278" w14:textId="77777777" w:rsidTr="00E52F89">
        <w:trPr>
          <w:trHeight w:val="340"/>
        </w:trPr>
        <w:tc>
          <w:tcPr>
            <w:tcW w:w="1843" w:type="dxa"/>
          </w:tcPr>
          <w:p w14:paraId="4D062927" w14:textId="77777777" w:rsidR="00264AD4" w:rsidRPr="002B3C24" w:rsidRDefault="00264AD4" w:rsidP="00E52F89">
            <w:pPr>
              <w:spacing w:before="0" w:after="0"/>
            </w:pPr>
            <w:r w:rsidRPr="002B3C24">
              <w:t>DSMO</w:t>
            </w:r>
          </w:p>
        </w:tc>
        <w:tc>
          <w:tcPr>
            <w:tcW w:w="6377" w:type="dxa"/>
          </w:tcPr>
          <w:p w14:paraId="0065AD91" w14:textId="77777777" w:rsidR="00264AD4" w:rsidRPr="002B3C24" w:rsidRDefault="00264AD4" w:rsidP="00E52F89">
            <w:pPr>
              <w:spacing w:before="0" w:after="0"/>
            </w:pPr>
            <w:r w:rsidRPr="002B3C24">
              <w:t>Distributed System Market Operator</w:t>
            </w:r>
          </w:p>
        </w:tc>
      </w:tr>
      <w:tr w:rsidR="00264AD4" w:rsidRPr="005D097A" w14:paraId="318B8692" w14:textId="77777777" w:rsidTr="00E52F89">
        <w:trPr>
          <w:trHeight w:val="340"/>
        </w:trPr>
        <w:tc>
          <w:tcPr>
            <w:tcW w:w="1843" w:type="dxa"/>
          </w:tcPr>
          <w:p w14:paraId="035D188A" w14:textId="77777777" w:rsidR="00264AD4" w:rsidRPr="002B3C24" w:rsidRDefault="00264AD4" w:rsidP="00E52F89">
            <w:pPr>
              <w:spacing w:before="0" w:after="0"/>
            </w:pPr>
            <w:r w:rsidRPr="002B3C24">
              <w:t>DSO</w:t>
            </w:r>
          </w:p>
        </w:tc>
        <w:tc>
          <w:tcPr>
            <w:tcW w:w="6377" w:type="dxa"/>
          </w:tcPr>
          <w:p w14:paraId="25831A0F" w14:textId="77777777" w:rsidR="00264AD4" w:rsidRPr="002B3C24" w:rsidRDefault="00264AD4" w:rsidP="00E52F89">
            <w:pPr>
              <w:spacing w:before="0" w:after="0"/>
              <w:rPr>
                <w:lang w:bidi="ar-SA"/>
              </w:rPr>
            </w:pPr>
            <w:r w:rsidRPr="002B3C24">
              <w:t>Distribution System Operator</w:t>
            </w:r>
          </w:p>
        </w:tc>
      </w:tr>
      <w:tr w:rsidR="00264AD4" w:rsidRPr="005D097A" w14:paraId="48EF0745" w14:textId="77777777" w:rsidTr="00E52F89">
        <w:trPr>
          <w:trHeight w:val="340"/>
        </w:trPr>
        <w:tc>
          <w:tcPr>
            <w:tcW w:w="1843" w:type="dxa"/>
          </w:tcPr>
          <w:p w14:paraId="50B64FB4" w14:textId="77777777" w:rsidR="00264AD4" w:rsidRPr="002B3C24" w:rsidRDefault="00264AD4" w:rsidP="00E52F89">
            <w:pPr>
              <w:spacing w:before="0" w:after="0"/>
            </w:pPr>
            <w:r w:rsidRPr="002B3C24">
              <w:t>DSR</w:t>
            </w:r>
          </w:p>
        </w:tc>
        <w:tc>
          <w:tcPr>
            <w:tcW w:w="6377" w:type="dxa"/>
          </w:tcPr>
          <w:p w14:paraId="7D1C7CDC" w14:textId="77777777" w:rsidR="00264AD4" w:rsidRPr="002B3C24" w:rsidRDefault="00264AD4" w:rsidP="00E52F89">
            <w:pPr>
              <w:spacing w:before="0" w:after="0"/>
            </w:pPr>
            <w:r w:rsidRPr="002B3C24">
              <w:t>Demand Side Response</w:t>
            </w:r>
          </w:p>
        </w:tc>
      </w:tr>
      <w:tr w:rsidR="00264AD4" w:rsidRPr="005D097A" w14:paraId="5D3CE2A1" w14:textId="77777777" w:rsidTr="00E52F89">
        <w:trPr>
          <w:trHeight w:val="340"/>
        </w:trPr>
        <w:tc>
          <w:tcPr>
            <w:tcW w:w="1843" w:type="dxa"/>
          </w:tcPr>
          <w:p w14:paraId="14F6CBF1" w14:textId="77777777" w:rsidR="00264AD4" w:rsidRPr="002B3C24" w:rsidRDefault="00264AD4" w:rsidP="00E52F89">
            <w:pPr>
              <w:spacing w:before="0" w:after="0"/>
            </w:pPr>
            <w:r w:rsidRPr="002B3C24">
              <w:t>E.DSO</w:t>
            </w:r>
          </w:p>
        </w:tc>
        <w:tc>
          <w:tcPr>
            <w:tcW w:w="6377" w:type="dxa"/>
          </w:tcPr>
          <w:p w14:paraId="5AFAA947" w14:textId="77777777" w:rsidR="00264AD4" w:rsidRPr="002B3C24" w:rsidRDefault="00264AD4" w:rsidP="00E52F89">
            <w:pPr>
              <w:spacing w:before="0" w:after="0"/>
            </w:pPr>
            <w:r w:rsidRPr="002B3C24">
              <w:t>European Distribution System Operators</w:t>
            </w:r>
          </w:p>
        </w:tc>
      </w:tr>
      <w:tr w:rsidR="00264AD4" w:rsidRPr="005D097A" w14:paraId="1CF238C4" w14:textId="77777777" w:rsidTr="00E52F89">
        <w:trPr>
          <w:trHeight w:val="340"/>
        </w:trPr>
        <w:tc>
          <w:tcPr>
            <w:tcW w:w="1843" w:type="dxa"/>
          </w:tcPr>
          <w:p w14:paraId="03CF3287" w14:textId="77777777" w:rsidR="00264AD4" w:rsidRPr="002B3C24" w:rsidRDefault="00264AD4" w:rsidP="00E52F89">
            <w:pPr>
              <w:spacing w:before="0" w:after="0"/>
            </w:pPr>
            <w:r w:rsidRPr="002B3C24">
              <w:t>EE-ISAC</w:t>
            </w:r>
          </w:p>
        </w:tc>
        <w:tc>
          <w:tcPr>
            <w:tcW w:w="6377" w:type="dxa"/>
          </w:tcPr>
          <w:p w14:paraId="3ED21812" w14:textId="77777777" w:rsidR="00264AD4" w:rsidRPr="002B3C24" w:rsidRDefault="00264AD4" w:rsidP="00E52F89">
            <w:pPr>
              <w:spacing w:before="0" w:after="0"/>
            </w:pPr>
            <w:r w:rsidRPr="002B3C24">
              <w:t>European Energy – Information Sharing &amp; Analysis Centre</w:t>
            </w:r>
          </w:p>
        </w:tc>
      </w:tr>
      <w:tr w:rsidR="00264AD4" w:rsidRPr="005D097A" w14:paraId="1512CA12" w14:textId="77777777" w:rsidTr="00E52F89">
        <w:trPr>
          <w:trHeight w:val="340"/>
        </w:trPr>
        <w:tc>
          <w:tcPr>
            <w:tcW w:w="1843" w:type="dxa"/>
          </w:tcPr>
          <w:p w14:paraId="137882F5" w14:textId="77777777" w:rsidR="00264AD4" w:rsidRPr="002B3C24" w:rsidRDefault="00264AD4" w:rsidP="00E52F89">
            <w:pPr>
              <w:spacing w:before="0" w:after="0"/>
            </w:pPr>
            <w:r w:rsidRPr="002B3C24">
              <w:t>ENA</w:t>
            </w:r>
          </w:p>
        </w:tc>
        <w:tc>
          <w:tcPr>
            <w:tcW w:w="6377" w:type="dxa"/>
          </w:tcPr>
          <w:p w14:paraId="1144BCFC" w14:textId="77777777" w:rsidR="00264AD4" w:rsidRPr="002B3C24" w:rsidRDefault="00264AD4" w:rsidP="00E52F89">
            <w:pPr>
              <w:spacing w:before="0" w:after="0"/>
            </w:pPr>
            <w:r w:rsidRPr="002B3C24">
              <w:t>Energy Network Association (UK)</w:t>
            </w:r>
          </w:p>
        </w:tc>
      </w:tr>
      <w:tr w:rsidR="00264AD4" w:rsidRPr="005D097A" w14:paraId="23DF2DC8" w14:textId="77777777" w:rsidTr="00E52F89">
        <w:trPr>
          <w:trHeight w:val="340"/>
        </w:trPr>
        <w:tc>
          <w:tcPr>
            <w:tcW w:w="1843" w:type="dxa"/>
          </w:tcPr>
          <w:p w14:paraId="0CDEC2B3" w14:textId="77777777" w:rsidR="00264AD4" w:rsidRPr="002B3C24" w:rsidRDefault="00264AD4" w:rsidP="00E52F89">
            <w:pPr>
              <w:spacing w:before="0" w:after="0"/>
            </w:pPr>
            <w:r w:rsidRPr="002B3C24">
              <w:t>ENCS</w:t>
            </w:r>
          </w:p>
        </w:tc>
        <w:tc>
          <w:tcPr>
            <w:tcW w:w="6377" w:type="dxa"/>
          </w:tcPr>
          <w:p w14:paraId="58DFFC4E" w14:textId="77777777" w:rsidR="00264AD4" w:rsidRPr="002B3C24" w:rsidRDefault="00264AD4" w:rsidP="00E52F89">
            <w:pPr>
              <w:spacing w:before="0" w:after="0"/>
            </w:pPr>
            <w:r w:rsidRPr="002B3C24">
              <w:t>European Network for Cyber Security (EU)</w:t>
            </w:r>
          </w:p>
        </w:tc>
      </w:tr>
      <w:tr w:rsidR="00264AD4" w:rsidRPr="005D097A" w14:paraId="44D9825A" w14:textId="77777777" w:rsidTr="00E52F89">
        <w:trPr>
          <w:trHeight w:val="340"/>
        </w:trPr>
        <w:tc>
          <w:tcPr>
            <w:tcW w:w="1843" w:type="dxa"/>
          </w:tcPr>
          <w:p w14:paraId="43EC0548" w14:textId="77777777" w:rsidR="00264AD4" w:rsidRPr="002B3C24" w:rsidRDefault="00264AD4" w:rsidP="00E52F89">
            <w:pPr>
              <w:spacing w:before="0" w:after="0"/>
            </w:pPr>
            <w:r w:rsidRPr="002B3C24">
              <w:t>ENISA</w:t>
            </w:r>
          </w:p>
        </w:tc>
        <w:tc>
          <w:tcPr>
            <w:tcW w:w="6377" w:type="dxa"/>
          </w:tcPr>
          <w:p w14:paraId="50937AC4" w14:textId="77777777" w:rsidR="00264AD4" w:rsidRPr="002B3C24" w:rsidRDefault="00264AD4" w:rsidP="00E52F89">
            <w:pPr>
              <w:spacing w:before="0" w:after="0"/>
            </w:pPr>
            <w:r w:rsidRPr="002B3C24">
              <w:t>European Network and Information Security Agency</w:t>
            </w:r>
          </w:p>
        </w:tc>
      </w:tr>
      <w:tr w:rsidR="00264AD4" w:rsidRPr="005D097A" w14:paraId="428A334B" w14:textId="77777777" w:rsidTr="00E52F89">
        <w:trPr>
          <w:trHeight w:val="340"/>
        </w:trPr>
        <w:tc>
          <w:tcPr>
            <w:tcW w:w="1843" w:type="dxa"/>
          </w:tcPr>
          <w:p w14:paraId="676A85AB" w14:textId="77777777" w:rsidR="00264AD4" w:rsidRPr="002B3C24" w:rsidRDefault="00264AD4" w:rsidP="00E52F89">
            <w:pPr>
              <w:spacing w:before="0" w:after="0"/>
            </w:pPr>
            <w:r w:rsidRPr="002B3C24">
              <w:t>ENTSO-E</w:t>
            </w:r>
          </w:p>
        </w:tc>
        <w:tc>
          <w:tcPr>
            <w:tcW w:w="6377" w:type="dxa"/>
          </w:tcPr>
          <w:p w14:paraId="7C96DC31" w14:textId="77777777" w:rsidR="00264AD4" w:rsidRPr="002B3C24" w:rsidRDefault="00264AD4" w:rsidP="00E52F89">
            <w:pPr>
              <w:spacing w:before="0" w:after="0"/>
            </w:pPr>
            <w:r w:rsidRPr="002B3C24">
              <w:t>European Network of</w:t>
            </w:r>
            <w:r w:rsidRPr="002B3C24">
              <w:rPr>
                <w:rFonts w:ascii="Calibri" w:hAnsi="Calibri" w:cs="Calibri"/>
              </w:rPr>
              <w:t> </w:t>
            </w:r>
            <w:r w:rsidRPr="002B3C24">
              <w:t>Transmission System Operators</w:t>
            </w:r>
            <w:r w:rsidRPr="002B3C24">
              <w:rPr>
                <w:rFonts w:ascii="Calibri" w:hAnsi="Calibri" w:cs="Calibri"/>
              </w:rPr>
              <w:t> </w:t>
            </w:r>
            <w:r w:rsidRPr="002B3C24">
              <w:t>for Electricity</w:t>
            </w:r>
          </w:p>
        </w:tc>
      </w:tr>
      <w:tr w:rsidR="00264AD4" w:rsidRPr="005D097A" w14:paraId="615A7A67" w14:textId="77777777" w:rsidTr="00E52F89">
        <w:trPr>
          <w:trHeight w:val="340"/>
        </w:trPr>
        <w:tc>
          <w:tcPr>
            <w:tcW w:w="1843" w:type="dxa"/>
          </w:tcPr>
          <w:p w14:paraId="4ADEA8E0" w14:textId="77777777" w:rsidR="00264AD4" w:rsidRPr="002B3C24" w:rsidRDefault="00264AD4" w:rsidP="00E52F89">
            <w:pPr>
              <w:spacing w:before="0" w:after="0"/>
            </w:pPr>
            <w:r w:rsidRPr="002B3C24">
              <w:t>EPRI</w:t>
            </w:r>
          </w:p>
        </w:tc>
        <w:tc>
          <w:tcPr>
            <w:tcW w:w="6377" w:type="dxa"/>
          </w:tcPr>
          <w:p w14:paraId="5B01710A" w14:textId="77777777" w:rsidR="00264AD4" w:rsidRPr="002B3C24" w:rsidRDefault="00264AD4" w:rsidP="00E52F89">
            <w:pPr>
              <w:spacing w:before="0" w:after="0"/>
              <w:rPr>
                <w:szCs w:val="18"/>
              </w:rPr>
            </w:pPr>
            <w:r w:rsidRPr="002B3C24">
              <w:t>Electric Power Research Institute (</w:t>
            </w:r>
          </w:p>
        </w:tc>
      </w:tr>
      <w:tr w:rsidR="00264AD4" w:rsidRPr="005D097A" w14:paraId="6C0619E6" w14:textId="77777777" w:rsidTr="00E52F89">
        <w:trPr>
          <w:trHeight w:val="340"/>
        </w:trPr>
        <w:tc>
          <w:tcPr>
            <w:tcW w:w="1843" w:type="dxa"/>
          </w:tcPr>
          <w:p w14:paraId="67169F3A" w14:textId="77777777" w:rsidR="00264AD4" w:rsidRPr="002B3C24" w:rsidRDefault="00264AD4" w:rsidP="00E52F89">
            <w:pPr>
              <w:spacing w:before="0" w:after="0"/>
            </w:pPr>
            <w:r w:rsidRPr="002B3C24">
              <w:t>ESO</w:t>
            </w:r>
          </w:p>
        </w:tc>
        <w:tc>
          <w:tcPr>
            <w:tcW w:w="6377" w:type="dxa"/>
          </w:tcPr>
          <w:p w14:paraId="69E75DCB" w14:textId="77777777" w:rsidR="00264AD4" w:rsidRPr="002B3C24" w:rsidRDefault="00264AD4" w:rsidP="00E52F89">
            <w:pPr>
              <w:spacing w:before="0" w:after="0"/>
            </w:pPr>
            <w:r w:rsidRPr="002B3C24">
              <w:t>Electricity System Operator</w:t>
            </w:r>
          </w:p>
        </w:tc>
      </w:tr>
      <w:tr w:rsidR="00264AD4" w:rsidRPr="005D097A" w14:paraId="2D58E305" w14:textId="77777777" w:rsidTr="00E52F89">
        <w:trPr>
          <w:trHeight w:val="340"/>
        </w:trPr>
        <w:tc>
          <w:tcPr>
            <w:tcW w:w="1843" w:type="dxa"/>
          </w:tcPr>
          <w:p w14:paraId="411C6EA3" w14:textId="77777777" w:rsidR="00264AD4" w:rsidRPr="002B3C24" w:rsidRDefault="00264AD4" w:rsidP="00E52F89">
            <w:pPr>
              <w:spacing w:before="0" w:after="0"/>
            </w:pPr>
            <w:r w:rsidRPr="002B3C24">
              <w:t>EV</w:t>
            </w:r>
          </w:p>
        </w:tc>
        <w:tc>
          <w:tcPr>
            <w:tcW w:w="6377" w:type="dxa"/>
          </w:tcPr>
          <w:p w14:paraId="7ACD3436" w14:textId="77777777" w:rsidR="00264AD4" w:rsidRPr="002B3C24" w:rsidRDefault="00264AD4" w:rsidP="00E52F89">
            <w:pPr>
              <w:spacing w:before="0" w:after="0"/>
            </w:pPr>
            <w:r w:rsidRPr="002B3C24">
              <w:t>Electric Vehicle</w:t>
            </w:r>
          </w:p>
        </w:tc>
      </w:tr>
      <w:tr w:rsidR="00264AD4" w:rsidRPr="005D097A" w14:paraId="60108396" w14:textId="77777777" w:rsidTr="00E52F89">
        <w:trPr>
          <w:trHeight w:val="340"/>
        </w:trPr>
        <w:tc>
          <w:tcPr>
            <w:tcW w:w="1843" w:type="dxa"/>
          </w:tcPr>
          <w:p w14:paraId="460A03C5" w14:textId="77777777" w:rsidR="00264AD4" w:rsidRPr="002B3C24" w:rsidRDefault="00264AD4" w:rsidP="00E52F89">
            <w:pPr>
              <w:spacing w:before="0" w:after="0"/>
            </w:pPr>
            <w:r w:rsidRPr="002B3C24">
              <w:t>FCAS</w:t>
            </w:r>
          </w:p>
        </w:tc>
        <w:tc>
          <w:tcPr>
            <w:tcW w:w="6377" w:type="dxa"/>
          </w:tcPr>
          <w:p w14:paraId="093F64F3" w14:textId="77777777" w:rsidR="00264AD4" w:rsidRPr="002B3C24" w:rsidRDefault="00264AD4" w:rsidP="00E52F89">
            <w:pPr>
              <w:spacing w:before="0" w:after="0"/>
            </w:pPr>
            <w:r w:rsidRPr="002B3C24">
              <w:t>Frequency Control Ancillary Services</w:t>
            </w:r>
          </w:p>
        </w:tc>
      </w:tr>
      <w:tr w:rsidR="00264AD4" w:rsidRPr="005D097A" w14:paraId="6E63CCB3" w14:textId="77777777" w:rsidTr="00E52F89">
        <w:trPr>
          <w:trHeight w:val="340"/>
        </w:trPr>
        <w:tc>
          <w:tcPr>
            <w:tcW w:w="1843" w:type="dxa"/>
          </w:tcPr>
          <w:p w14:paraId="7494EC01" w14:textId="77777777" w:rsidR="00264AD4" w:rsidRPr="002B3C24" w:rsidRDefault="00264AD4" w:rsidP="00E52F89">
            <w:pPr>
              <w:spacing w:before="0" w:after="0"/>
            </w:pPr>
            <w:r w:rsidRPr="002B3C24">
              <w:t>FERC</w:t>
            </w:r>
          </w:p>
        </w:tc>
        <w:tc>
          <w:tcPr>
            <w:tcW w:w="6377" w:type="dxa"/>
          </w:tcPr>
          <w:p w14:paraId="102ECC64" w14:textId="77777777" w:rsidR="00264AD4" w:rsidRPr="002B3C24" w:rsidRDefault="00264AD4" w:rsidP="00E52F89">
            <w:pPr>
              <w:spacing w:before="0" w:after="0"/>
            </w:pPr>
            <w:r w:rsidRPr="002B3C24">
              <w:t>Federal Energy Regulatory Commission (US)</w:t>
            </w:r>
          </w:p>
        </w:tc>
      </w:tr>
      <w:tr w:rsidR="00264AD4" w:rsidRPr="005D097A" w14:paraId="3FBCA8CC" w14:textId="77777777" w:rsidTr="00E52F89">
        <w:trPr>
          <w:trHeight w:val="340"/>
        </w:trPr>
        <w:tc>
          <w:tcPr>
            <w:tcW w:w="1843" w:type="dxa"/>
          </w:tcPr>
          <w:p w14:paraId="05B0EDF6" w14:textId="77777777" w:rsidR="00264AD4" w:rsidRPr="002B3C24" w:rsidRDefault="00264AD4" w:rsidP="00E52F89">
            <w:pPr>
              <w:spacing w:before="0" w:after="0"/>
            </w:pPr>
            <w:r w:rsidRPr="002B3C24">
              <w:t>FLISR</w:t>
            </w:r>
          </w:p>
        </w:tc>
        <w:tc>
          <w:tcPr>
            <w:tcW w:w="6377" w:type="dxa"/>
          </w:tcPr>
          <w:p w14:paraId="6FA59E74" w14:textId="77777777" w:rsidR="00264AD4" w:rsidRPr="002B3C24" w:rsidRDefault="00264AD4" w:rsidP="00E52F89">
            <w:pPr>
              <w:spacing w:before="0" w:after="0"/>
            </w:pPr>
            <w:r w:rsidRPr="002B3C24">
              <w:t>Faul Location, Isolation, and Service Restoration</w:t>
            </w:r>
          </w:p>
        </w:tc>
      </w:tr>
      <w:tr w:rsidR="00264AD4" w:rsidRPr="005D097A" w14:paraId="41F6D3BC" w14:textId="77777777" w:rsidTr="00E52F89">
        <w:trPr>
          <w:trHeight w:val="340"/>
        </w:trPr>
        <w:tc>
          <w:tcPr>
            <w:tcW w:w="1843" w:type="dxa"/>
          </w:tcPr>
          <w:p w14:paraId="43A4803D" w14:textId="77777777" w:rsidR="00264AD4" w:rsidRPr="002B3C24" w:rsidRDefault="00264AD4" w:rsidP="00E52F89">
            <w:pPr>
              <w:spacing w:before="0" w:after="0"/>
            </w:pPr>
            <w:r w:rsidRPr="002B3C24">
              <w:t>FTM</w:t>
            </w:r>
          </w:p>
        </w:tc>
        <w:tc>
          <w:tcPr>
            <w:tcW w:w="6377" w:type="dxa"/>
          </w:tcPr>
          <w:p w14:paraId="18D86DBE" w14:textId="77777777" w:rsidR="00264AD4" w:rsidRPr="002B3C24" w:rsidRDefault="00264AD4" w:rsidP="00E52F89">
            <w:pPr>
              <w:spacing w:before="0" w:after="0"/>
            </w:pPr>
            <w:r w:rsidRPr="002B3C24">
              <w:t>Front of the Meter</w:t>
            </w:r>
          </w:p>
        </w:tc>
      </w:tr>
      <w:tr w:rsidR="00264AD4" w:rsidRPr="005D097A" w14:paraId="256E9DA1" w14:textId="77777777" w:rsidTr="00E52F89">
        <w:trPr>
          <w:trHeight w:val="340"/>
        </w:trPr>
        <w:tc>
          <w:tcPr>
            <w:tcW w:w="1843" w:type="dxa"/>
          </w:tcPr>
          <w:p w14:paraId="3525B89A" w14:textId="77777777" w:rsidR="00264AD4" w:rsidRPr="002B3C24" w:rsidRDefault="00264AD4" w:rsidP="00E52F89">
            <w:pPr>
              <w:spacing w:before="0" w:after="0"/>
            </w:pPr>
            <w:r w:rsidRPr="002B3C24">
              <w:t>GW</w:t>
            </w:r>
          </w:p>
        </w:tc>
        <w:tc>
          <w:tcPr>
            <w:tcW w:w="6377" w:type="dxa"/>
          </w:tcPr>
          <w:p w14:paraId="0327B59B" w14:textId="77777777" w:rsidR="00264AD4" w:rsidRPr="002B3C24" w:rsidRDefault="00264AD4" w:rsidP="00E52F89">
            <w:pPr>
              <w:spacing w:before="0" w:after="0"/>
            </w:pPr>
            <w:r w:rsidRPr="002B3C24">
              <w:t>Gigawatt</w:t>
            </w:r>
          </w:p>
        </w:tc>
      </w:tr>
      <w:tr w:rsidR="00264AD4" w:rsidRPr="005D097A" w14:paraId="15BD6764" w14:textId="77777777" w:rsidTr="00E52F89">
        <w:trPr>
          <w:trHeight w:val="340"/>
        </w:trPr>
        <w:tc>
          <w:tcPr>
            <w:tcW w:w="1843" w:type="dxa"/>
          </w:tcPr>
          <w:p w14:paraId="1FA1E450" w14:textId="77777777" w:rsidR="00264AD4" w:rsidRPr="002B3C24" w:rsidRDefault="00264AD4" w:rsidP="00E52F89">
            <w:pPr>
              <w:spacing w:before="0" w:after="0"/>
            </w:pPr>
            <w:r w:rsidRPr="002B3C24">
              <w:t>GWh</w:t>
            </w:r>
          </w:p>
        </w:tc>
        <w:tc>
          <w:tcPr>
            <w:tcW w:w="6377" w:type="dxa"/>
          </w:tcPr>
          <w:p w14:paraId="20C08BBC" w14:textId="77777777" w:rsidR="00264AD4" w:rsidRPr="002B3C24" w:rsidRDefault="00264AD4" w:rsidP="00E52F89">
            <w:pPr>
              <w:spacing w:before="0" w:after="0"/>
            </w:pPr>
            <w:r w:rsidRPr="002B3C24">
              <w:t xml:space="preserve">Gigawatt Hour </w:t>
            </w:r>
          </w:p>
        </w:tc>
      </w:tr>
      <w:tr w:rsidR="00264AD4" w:rsidRPr="005D097A" w14:paraId="1564CCCA" w14:textId="77777777" w:rsidTr="00E52F89">
        <w:trPr>
          <w:trHeight w:val="340"/>
        </w:trPr>
        <w:tc>
          <w:tcPr>
            <w:tcW w:w="1843" w:type="dxa"/>
          </w:tcPr>
          <w:p w14:paraId="1E3434BB" w14:textId="77777777" w:rsidR="00264AD4" w:rsidRPr="002B3C24" w:rsidRDefault="00264AD4" w:rsidP="00E52F89">
            <w:pPr>
              <w:spacing w:before="0" w:after="0"/>
            </w:pPr>
            <w:r w:rsidRPr="002B3C24">
              <w:t>HP</w:t>
            </w:r>
          </w:p>
        </w:tc>
        <w:tc>
          <w:tcPr>
            <w:tcW w:w="6377" w:type="dxa"/>
          </w:tcPr>
          <w:p w14:paraId="53D7B5C3" w14:textId="77777777" w:rsidR="00264AD4" w:rsidRPr="002B3C24" w:rsidRDefault="00264AD4" w:rsidP="00E52F89">
            <w:pPr>
              <w:spacing w:before="0" w:after="0"/>
            </w:pPr>
            <w:r w:rsidRPr="002B3C24">
              <w:t>Heat Pump</w:t>
            </w:r>
          </w:p>
        </w:tc>
      </w:tr>
      <w:tr w:rsidR="00264AD4" w:rsidRPr="005D097A" w14:paraId="77827B57" w14:textId="77777777" w:rsidTr="00E52F89">
        <w:trPr>
          <w:trHeight w:val="340"/>
        </w:trPr>
        <w:tc>
          <w:tcPr>
            <w:tcW w:w="1843" w:type="dxa"/>
          </w:tcPr>
          <w:p w14:paraId="571117C8" w14:textId="77777777" w:rsidR="00264AD4" w:rsidRPr="002B3C24" w:rsidRDefault="00264AD4" w:rsidP="00E52F89">
            <w:pPr>
              <w:spacing w:before="0" w:after="0"/>
            </w:pPr>
            <w:r w:rsidRPr="002B3C24">
              <w:t>HV</w:t>
            </w:r>
          </w:p>
        </w:tc>
        <w:tc>
          <w:tcPr>
            <w:tcW w:w="6377" w:type="dxa"/>
          </w:tcPr>
          <w:p w14:paraId="45CA288D" w14:textId="77777777" w:rsidR="00264AD4" w:rsidRPr="002B3C24" w:rsidRDefault="00264AD4" w:rsidP="00E52F89">
            <w:pPr>
              <w:spacing w:before="0" w:after="0"/>
            </w:pPr>
            <w:r w:rsidRPr="002B3C24">
              <w:t>High Voltage</w:t>
            </w:r>
          </w:p>
        </w:tc>
      </w:tr>
      <w:tr w:rsidR="00264AD4" w:rsidRPr="005D097A" w14:paraId="149CE5E7" w14:textId="77777777" w:rsidTr="00E52F89">
        <w:trPr>
          <w:trHeight w:val="340"/>
        </w:trPr>
        <w:tc>
          <w:tcPr>
            <w:tcW w:w="1843" w:type="dxa"/>
          </w:tcPr>
          <w:p w14:paraId="63C2BBCE" w14:textId="77777777" w:rsidR="00264AD4" w:rsidRPr="002B3C24" w:rsidRDefault="00264AD4" w:rsidP="00E52F89">
            <w:pPr>
              <w:spacing w:before="0" w:after="0"/>
            </w:pPr>
            <w:r w:rsidRPr="002B3C24">
              <w:t>HVAC</w:t>
            </w:r>
          </w:p>
        </w:tc>
        <w:tc>
          <w:tcPr>
            <w:tcW w:w="6377" w:type="dxa"/>
          </w:tcPr>
          <w:p w14:paraId="40ABA9C6" w14:textId="77777777" w:rsidR="00264AD4" w:rsidRPr="002B3C24" w:rsidRDefault="00264AD4" w:rsidP="00E52F89">
            <w:pPr>
              <w:spacing w:before="0" w:after="0"/>
            </w:pPr>
            <w:r w:rsidRPr="002B3C24">
              <w:t>Heating, Ventilation, and Air Conditioning</w:t>
            </w:r>
          </w:p>
        </w:tc>
      </w:tr>
      <w:tr w:rsidR="00264AD4" w:rsidRPr="005D097A" w14:paraId="3AA65C45" w14:textId="77777777" w:rsidTr="00E52F89">
        <w:trPr>
          <w:trHeight w:val="340"/>
        </w:trPr>
        <w:tc>
          <w:tcPr>
            <w:tcW w:w="1843" w:type="dxa"/>
          </w:tcPr>
          <w:p w14:paraId="622C81A5" w14:textId="77777777" w:rsidR="00264AD4" w:rsidRPr="002B3C24" w:rsidRDefault="00264AD4" w:rsidP="00E52F89">
            <w:pPr>
              <w:spacing w:before="0" w:after="0"/>
            </w:pPr>
            <w:r w:rsidRPr="002B3C24">
              <w:t>IBR</w:t>
            </w:r>
          </w:p>
        </w:tc>
        <w:tc>
          <w:tcPr>
            <w:tcW w:w="6377" w:type="dxa"/>
          </w:tcPr>
          <w:p w14:paraId="60766FA8" w14:textId="77777777" w:rsidR="00264AD4" w:rsidRPr="002B3C24" w:rsidRDefault="00264AD4" w:rsidP="00E52F89">
            <w:pPr>
              <w:spacing w:before="0" w:after="0"/>
            </w:pPr>
            <w:r w:rsidRPr="002B3C24">
              <w:t>Invertor-Based Resources</w:t>
            </w:r>
          </w:p>
        </w:tc>
      </w:tr>
      <w:tr w:rsidR="00264AD4" w:rsidRPr="005D097A" w14:paraId="61FA3B71" w14:textId="77777777" w:rsidTr="00E52F89">
        <w:trPr>
          <w:trHeight w:val="340"/>
        </w:trPr>
        <w:tc>
          <w:tcPr>
            <w:tcW w:w="1843" w:type="dxa"/>
          </w:tcPr>
          <w:p w14:paraId="1B2E8D8C" w14:textId="77777777" w:rsidR="00264AD4" w:rsidRPr="002B3C24" w:rsidRDefault="00264AD4" w:rsidP="00E52F89">
            <w:pPr>
              <w:spacing w:before="0" w:after="0"/>
            </w:pPr>
            <w:r w:rsidRPr="002B3C24">
              <w:t>ISO</w:t>
            </w:r>
          </w:p>
        </w:tc>
        <w:tc>
          <w:tcPr>
            <w:tcW w:w="6377" w:type="dxa"/>
          </w:tcPr>
          <w:p w14:paraId="63F8FC77" w14:textId="77777777" w:rsidR="00264AD4" w:rsidRPr="002B3C24" w:rsidRDefault="00264AD4" w:rsidP="00E52F89">
            <w:pPr>
              <w:spacing w:before="0" w:after="0"/>
            </w:pPr>
            <w:r w:rsidRPr="002B3C24">
              <w:t xml:space="preserve">Independent System Operator </w:t>
            </w:r>
          </w:p>
        </w:tc>
      </w:tr>
      <w:tr w:rsidR="00264AD4" w:rsidRPr="005D097A" w14:paraId="568A03F7" w14:textId="77777777" w:rsidTr="00E52F89">
        <w:trPr>
          <w:trHeight w:val="340"/>
        </w:trPr>
        <w:tc>
          <w:tcPr>
            <w:tcW w:w="1843" w:type="dxa"/>
          </w:tcPr>
          <w:p w14:paraId="57C75290" w14:textId="77777777" w:rsidR="00264AD4" w:rsidRPr="002B3C24" w:rsidRDefault="00264AD4" w:rsidP="00E52F89">
            <w:pPr>
              <w:spacing w:before="0" w:after="0"/>
            </w:pPr>
            <w:r w:rsidRPr="002B3C24">
              <w:t>ISP</w:t>
            </w:r>
          </w:p>
        </w:tc>
        <w:tc>
          <w:tcPr>
            <w:tcW w:w="6377" w:type="dxa"/>
          </w:tcPr>
          <w:p w14:paraId="14B74977" w14:textId="77777777" w:rsidR="00264AD4" w:rsidRPr="002B3C24" w:rsidRDefault="00264AD4" w:rsidP="00E52F89">
            <w:pPr>
              <w:spacing w:before="0" w:after="0"/>
            </w:pPr>
            <w:r w:rsidRPr="002B3C24">
              <w:t>Integrated System Plan</w:t>
            </w:r>
          </w:p>
        </w:tc>
      </w:tr>
      <w:tr w:rsidR="00264AD4" w:rsidRPr="005D097A" w14:paraId="7D032DC6" w14:textId="77777777" w:rsidTr="00E52F89">
        <w:trPr>
          <w:trHeight w:val="340"/>
        </w:trPr>
        <w:tc>
          <w:tcPr>
            <w:tcW w:w="1843" w:type="dxa"/>
          </w:tcPr>
          <w:p w14:paraId="07C6FB3E" w14:textId="77777777" w:rsidR="00264AD4" w:rsidRPr="002B3C24" w:rsidRDefault="00264AD4" w:rsidP="00E52F89">
            <w:pPr>
              <w:spacing w:before="0" w:after="0"/>
            </w:pPr>
            <w:r w:rsidRPr="002B3C24">
              <w:t>KW</w:t>
            </w:r>
          </w:p>
        </w:tc>
        <w:tc>
          <w:tcPr>
            <w:tcW w:w="6377" w:type="dxa"/>
          </w:tcPr>
          <w:p w14:paraId="77A12B33" w14:textId="77777777" w:rsidR="00264AD4" w:rsidRPr="002B3C24" w:rsidRDefault="00264AD4" w:rsidP="00E52F89">
            <w:pPr>
              <w:spacing w:before="0" w:after="0"/>
            </w:pPr>
            <w:r w:rsidRPr="002B3C24">
              <w:t>Kilowatt</w:t>
            </w:r>
          </w:p>
        </w:tc>
      </w:tr>
      <w:tr w:rsidR="00264AD4" w:rsidRPr="005D097A" w14:paraId="01808E93" w14:textId="77777777" w:rsidTr="00E52F89">
        <w:trPr>
          <w:trHeight w:val="340"/>
        </w:trPr>
        <w:tc>
          <w:tcPr>
            <w:tcW w:w="1843" w:type="dxa"/>
          </w:tcPr>
          <w:p w14:paraId="7DFFF4A5" w14:textId="77777777" w:rsidR="00264AD4" w:rsidRPr="002B3C24" w:rsidRDefault="00264AD4" w:rsidP="00E52F89">
            <w:pPr>
              <w:spacing w:before="0" w:after="0"/>
            </w:pPr>
            <w:r w:rsidRPr="002B3C24">
              <w:t>LV</w:t>
            </w:r>
          </w:p>
        </w:tc>
        <w:tc>
          <w:tcPr>
            <w:tcW w:w="6377" w:type="dxa"/>
          </w:tcPr>
          <w:p w14:paraId="5F59578C" w14:textId="77777777" w:rsidR="00264AD4" w:rsidRPr="002B3C24" w:rsidRDefault="00264AD4" w:rsidP="00E52F89">
            <w:pPr>
              <w:spacing w:before="0" w:after="0"/>
            </w:pPr>
            <w:r w:rsidRPr="002B3C24">
              <w:t>Low Voltage</w:t>
            </w:r>
          </w:p>
        </w:tc>
      </w:tr>
      <w:tr w:rsidR="00264AD4" w:rsidRPr="005D097A" w14:paraId="784D6119" w14:textId="77777777" w:rsidTr="00E52F89">
        <w:trPr>
          <w:trHeight w:val="340"/>
        </w:trPr>
        <w:tc>
          <w:tcPr>
            <w:tcW w:w="1843" w:type="dxa"/>
          </w:tcPr>
          <w:p w14:paraId="3BEA426B" w14:textId="77777777" w:rsidR="00264AD4" w:rsidRPr="002B3C24" w:rsidRDefault="00264AD4" w:rsidP="00E52F89">
            <w:pPr>
              <w:spacing w:before="0" w:after="0"/>
            </w:pPr>
            <w:r w:rsidRPr="002B3C24">
              <w:t>MBSE</w:t>
            </w:r>
          </w:p>
        </w:tc>
        <w:tc>
          <w:tcPr>
            <w:tcW w:w="6377" w:type="dxa"/>
          </w:tcPr>
          <w:p w14:paraId="2502D260" w14:textId="77777777" w:rsidR="00264AD4" w:rsidRPr="002B3C24" w:rsidRDefault="00264AD4" w:rsidP="00E52F89">
            <w:pPr>
              <w:spacing w:before="0" w:after="0"/>
            </w:pPr>
            <w:r w:rsidRPr="002B3C24">
              <w:t>Model-Based Systems Engineering</w:t>
            </w:r>
          </w:p>
        </w:tc>
      </w:tr>
      <w:tr w:rsidR="00264AD4" w:rsidRPr="005D097A" w14:paraId="661F8F62" w14:textId="77777777" w:rsidTr="00E52F89">
        <w:trPr>
          <w:trHeight w:val="340"/>
        </w:trPr>
        <w:tc>
          <w:tcPr>
            <w:tcW w:w="1843" w:type="dxa"/>
          </w:tcPr>
          <w:p w14:paraId="4B92ED13" w14:textId="77777777" w:rsidR="00264AD4" w:rsidRPr="002B3C24" w:rsidRDefault="00264AD4" w:rsidP="00E52F89">
            <w:pPr>
              <w:spacing w:before="0" w:after="0"/>
            </w:pPr>
            <w:r w:rsidRPr="002B3C24">
              <w:t>MV</w:t>
            </w:r>
          </w:p>
        </w:tc>
        <w:tc>
          <w:tcPr>
            <w:tcW w:w="6377" w:type="dxa"/>
          </w:tcPr>
          <w:p w14:paraId="5E9DC871" w14:textId="77777777" w:rsidR="00264AD4" w:rsidRPr="002B3C24" w:rsidRDefault="00264AD4" w:rsidP="00E52F89">
            <w:pPr>
              <w:spacing w:before="0" w:after="0"/>
            </w:pPr>
            <w:r w:rsidRPr="002B3C24">
              <w:t>Medium Voltage</w:t>
            </w:r>
          </w:p>
        </w:tc>
      </w:tr>
      <w:tr w:rsidR="00264AD4" w:rsidRPr="005D097A" w14:paraId="5F3C1294" w14:textId="77777777" w:rsidTr="00E52F89">
        <w:trPr>
          <w:trHeight w:val="340"/>
        </w:trPr>
        <w:tc>
          <w:tcPr>
            <w:tcW w:w="1843" w:type="dxa"/>
          </w:tcPr>
          <w:p w14:paraId="63CC97DD" w14:textId="77777777" w:rsidR="00264AD4" w:rsidRPr="002B3C24" w:rsidRDefault="00264AD4" w:rsidP="00E52F89">
            <w:pPr>
              <w:spacing w:before="0" w:after="0"/>
            </w:pPr>
            <w:r w:rsidRPr="002B3C24">
              <w:t>MVAr</w:t>
            </w:r>
          </w:p>
        </w:tc>
        <w:tc>
          <w:tcPr>
            <w:tcW w:w="6377" w:type="dxa"/>
          </w:tcPr>
          <w:p w14:paraId="3AEADD64" w14:textId="77777777" w:rsidR="00264AD4" w:rsidRPr="002B3C24" w:rsidRDefault="00264AD4" w:rsidP="00E52F89">
            <w:pPr>
              <w:spacing w:before="0" w:after="0"/>
            </w:pPr>
            <w:r w:rsidRPr="002B3C24">
              <w:t>Megavolt-ampere Reactive</w:t>
            </w:r>
          </w:p>
        </w:tc>
      </w:tr>
      <w:tr w:rsidR="00264AD4" w:rsidRPr="005D097A" w14:paraId="350FCD60" w14:textId="77777777" w:rsidTr="00E52F89">
        <w:trPr>
          <w:trHeight w:val="340"/>
        </w:trPr>
        <w:tc>
          <w:tcPr>
            <w:tcW w:w="1843" w:type="dxa"/>
          </w:tcPr>
          <w:p w14:paraId="1EA19C06" w14:textId="77777777" w:rsidR="00264AD4" w:rsidRPr="002B3C24" w:rsidRDefault="00264AD4" w:rsidP="00E52F89">
            <w:pPr>
              <w:spacing w:before="0" w:after="0"/>
            </w:pPr>
            <w:r w:rsidRPr="002B3C24">
              <w:t>MW</w:t>
            </w:r>
          </w:p>
        </w:tc>
        <w:tc>
          <w:tcPr>
            <w:tcW w:w="6377" w:type="dxa"/>
          </w:tcPr>
          <w:p w14:paraId="38EB4701" w14:textId="77777777" w:rsidR="00264AD4" w:rsidRPr="002B3C24" w:rsidRDefault="00264AD4" w:rsidP="00E52F89">
            <w:pPr>
              <w:spacing w:before="0" w:after="0"/>
            </w:pPr>
            <w:r w:rsidRPr="002B3C24">
              <w:t>Megawatt</w:t>
            </w:r>
          </w:p>
        </w:tc>
      </w:tr>
      <w:tr w:rsidR="00264AD4" w:rsidRPr="005D097A" w14:paraId="01BDE980" w14:textId="77777777" w:rsidTr="00E52F89">
        <w:trPr>
          <w:trHeight w:val="340"/>
        </w:trPr>
        <w:tc>
          <w:tcPr>
            <w:tcW w:w="1843" w:type="dxa"/>
          </w:tcPr>
          <w:p w14:paraId="3A46B7D0" w14:textId="77777777" w:rsidR="00264AD4" w:rsidRPr="002B3C24" w:rsidRDefault="00264AD4" w:rsidP="00E52F89">
            <w:pPr>
              <w:spacing w:before="0" w:after="0"/>
            </w:pPr>
            <w:r w:rsidRPr="002B3C24">
              <w:t>MWh</w:t>
            </w:r>
          </w:p>
        </w:tc>
        <w:tc>
          <w:tcPr>
            <w:tcW w:w="6377" w:type="dxa"/>
          </w:tcPr>
          <w:p w14:paraId="46067B88" w14:textId="77777777" w:rsidR="00264AD4" w:rsidRPr="002B3C24" w:rsidRDefault="00264AD4" w:rsidP="00E52F89">
            <w:pPr>
              <w:spacing w:before="0" w:after="0"/>
            </w:pPr>
            <w:r w:rsidRPr="002B3C24">
              <w:t xml:space="preserve">Megawatt Hour </w:t>
            </w:r>
          </w:p>
        </w:tc>
      </w:tr>
      <w:tr w:rsidR="00264AD4" w:rsidRPr="005D097A" w14:paraId="22D5FBCF" w14:textId="77777777" w:rsidTr="00E52F89">
        <w:trPr>
          <w:trHeight w:val="340"/>
        </w:trPr>
        <w:tc>
          <w:tcPr>
            <w:tcW w:w="1843" w:type="dxa"/>
          </w:tcPr>
          <w:p w14:paraId="6DB385D9" w14:textId="77777777" w:rsidR="00264AD4" w:rsidRPr="002B3C24" w:rsidRDefault="00264AD4" w:rsidP="00E52F89">
            <w:pPr>
              <w:spacing w:before="0" w:after="0"/>
            </w:pPr>
            <w:r w:rsidRPr="002B3C24">
              <w:t>NCERR</w:t>
            </w:r>
          </w:p>
        </w:tc>
        <w:tc>
          <w:tcPr>
            <w:tcW w:w="6377" w:type="dxa"/>
          </w:tcPr>
          <w:p w14:paraId="1B22D870" w14:textId="77777777" w:rsidR="00264AD4" w:rsidRPr="002B3C24" w:rsidRDefault="00264AD4" w:rsidP="00E52F89">
            <w:pPr>
              <w:spacing w:before="0" w:after="0"/>
            </w:pPr>
            <w:r w:rsidRPr="002B3C24">
              <w:t>National Consumer Energy Resources Roadmap</w:t>
            </w:r>
          </w:p>
        </w:tc>
      </w:tr>
      <w:tr w:rsidR="00264AD4" w:rsidRPr="005D097A" w14:paraId="3221C51B" w14:textId="77777777" w:rsidTr="00E52F89">
        <w:trPr>
          <w:trHeight w:val="340"/>
        </w:trPr>
        <w:tc>
          <w:tcPr>
            <w:tcW w:w="1843" w:type="dxa"/>
          </w:tcPr>
          <w:p w14:paraId="0629F3BE" w14:textId="77777777" w:rsidR="00264AD4" w:rsidRPr="002B3C24" w:rsidRDefault="00264AD4" w:rsidP="00E52F89">
            <w:pPr>
              <w:spacing w:before="0" w:after="0"/>
            </w:pPr>
            <w:r w:rsidRPr="002B3C24">
              <w:t>NEM</w:t>
            </w:r>
          </w:p>
        </w:tc>
        <w:tc>
          <w:tcPr>
            <w:tcW w:w="6377" w:type="dxa"/>
          </w:tcPr>
          <w:p w14:paraId="127874B3" w14:textId="77777777" w:rsidR="00264AD4" w:rsidRPr="002B3C24" w:rsidRDefault="00264AD4" w:rsidP="00E52F89">
            <w:pPr>
              <w:spacing w:before="0" w:after="0"/>
            </w:pPr>
            <w:r w:rsidRPr="002B3C24">
              <w:t>National Electricity Market</w:t>
            </w:r>
          </w:p>
        </w:tc>
      </w:tr>
      <w:tr w:rsidR="00264AD4" w:rsidRPr="005D097A" w14:paraId="4530901A" w14:textId="77777777" w:rsidTr="00E52F89">
        <w:trPr>
          <w:trHeight w:val="340"/>
        </w:trPr>
        <w:tc>
          <w:tcPr>
            <w:tcW w:w="1843" w:type="dxa"/>
          </w:tcPr>
          <w:p w14:paraId="54935AA0" w14:textId="77777777" w:rsidR="00264AD4" w:rsidRPr="002B3C24" w:rsidRDefault="00264AD4" w:rsidP="00E52F89">
            <w:pPr>
              <w:spacing w:before="0" w:after="0"/>
            </w:pPr>
            <w:r w:rsidRPr="002B3C24">
              <w:t>NESO</w:t>
            </w:r>
          </w:p>
        </w:tc>
        <w:tc>
          <w:tcPr>
            <w:tcW w:w="6377" w:type="dxa"/>
          </w:tcPr>
          <w:p w14:paraId="34088058" w14:textId="77777777" w:rsidR="00264AD4" w:rsidRPr="002B3C24" w:rsidRDefault="00264AD4" w:rsidP="00E52F89">
            <w:pPr>
              <w:spacing w:before="0" w:after="0"/>
            </w:pPr>
            <w:r w:rsidRPr="002B3C24">
              <w:t>National Energy System Operator</w:t>
            </w:r>
          </w:p>
        </w:tc>
      </w:tr>
      <w:tr w:rsidR="00264AD4" w:rsidRPr="005D097A" w14:paraId="7A70F5BF" w14:textId="77777777" w:rsidTr="00E52F89">
        <w:trPr>
          <w:trHeight w:val="340"/>
        </w:trPr>
        <w:tc>
          <w:tcPr>
            <w:tcW w:w="1843" w:type="dxa"/>
          </w:tcPr>
          <w:p w14:paraId="73151101" w14:textId="77777777" w:rsidR="00264AD4" w:rsidRPr="002B3C24" w:rsidRDefault="00264AD4" w:rsidP="00E52F89">
            <w:pPr>
              <w:spacing w:before="0" w:after="0"/>
            </w:pPr>
            <w:r w:rsidRPr="002B3C24">
              <w:t>NPV</w:t>
            </w:r>
          </w:p>
        </w:tc>
        <w:tc>
          <w:tcPr>
            <w:tcW w:w="6377" w:type="dxa"/>
          </w:tcPr>
          <w:p w14:paraId="0A3A5238" w14:textId="77777777" w:rsidR="00264AD4" w:rsidRPr="002B3C24" w:rsidRDefault="00264AD4" w:rsidP="00E52F89">
            <w:pPr>
              <w:spacing w:before="0" w:after="0"/>
            </w:pPr>
            <w:r w:rsidRPr="002B3C24">
              <w:rPr>
                <w:rFonts w:cs="Calibri"/>
                <w:szCs w:val="18"/>
              </w:rPr>
              <w:t>Net Present Value</w:t>
            </w:r>
          </w:p>
        </w:tc>
      </w:tr>
      <w:tr w:rsidR="00264AD4" w:rsidRPr="005D097A" w14:paraId="502F0AA3" w14:textId="77777777" w:rsidTr="00E52F89">
        <w:trPr>
          <w:trHeight w:val="340"/>
        </w:trPr>
        <w:tc>
          <w:tcPr>
            <w:tcW w:w="1843" w:type="dxa"/>
          </w:tcPr>
          <w:p w14:paraId="5A90A48F" w14:textId="77777777" w:rsidR="00264AD4" w:rsidRPr="002B3C24" w:rsidRDefault="00264AD4" w:rsidP="00E52F89">
            <w:pPr>
              <w:spacing w:before="0" w:after="0"/>
            </w:pPr>
            <w:r w:rsidRPr="002B3C24">
              <w:t>OEM</w:t>
            </w:r>
          </w:p>
        </w:tc>
        <w:tc>
          <w:tcPr>
            <w:tcW w:w="6377" w:type="dxa"/>
          </w:tcPr>
          <w:p w14:paraId="7A05EBAB" w14:textId="77777777" w:rsidR="00264AD4" w:rsidRPr="002B3C24" w:rsidRDefault="00264AD4" w:rsidP="00E52F89">
            <w:pPr>
              <w:spacing w:before="0" w:after="0"/>
              <w:rPr>
                <w:rFonts w:cs="Calibri"/>
                <w:szCs w:val="18"/>
              </w:rPr>
            </w:pPr>
            <w:r w:rsidRPr="002B3C24">
              <w:t>Original Equipment Manufacturer</w:t>
            </w:r>
          </w:p>
        </w:tc>
      </w:tr>
      <w:tr w:rsidR="00264AD4" w:rsidRPr="005D097A" w14:paraId="428A329F" w14:textId="77777777" w:rsidTr="00E52F89">
        <w:trPr>
          <w:trHeight w:val="340"/>
        </w:trPr>
        <w:tc>
          <w:tcPr>
            <w:tcW w:w="1843" w:type="dxa"/>
          </w:tcPr>
          <w:p w14:paraId="37B7F172" w14:textId="77777777" w:rsidR="00264AD4" w:rsidRPr="002B3C24" w:rsidRDefault="00264AD4" w:rsidP="00E52F89">
            <w:pPr>
              <w:spacing w:before="0" w:after="0"/>
            </w:pPr>
            <w:r w:rsidRPr="002B3C24">
              <w:t>OFGEM</w:t>
            </w:r>
          </w:p>
        </w:tc>
        <w:tc>
          <w:tcPr>
            <w:tcW w:w="6377" w:type="dxa"/>
          </w:tcPr>
          <w:p w14:paraId="26B68146" w14:textId="77777777" w:rsidR="00264AD4" w:rsidRPr="002B3C24" w:rsidRDefault="00264AD4" w:rsidP="00E52F89">
            <w:pPr>
              <w:spacing w:before="0" w:after="0"/>
            </w:pPr>
            <w:r w:rsidRPr="002B3C24">
              <w:t>Office of Gas and Electricity Markets (UK)</w:t>
            </w:r>
          </w:p>
        </w:tc>
      </w:tr>
      <w:tr w:rsidR="00264AD4" w:rsidRPr="005D097A" w14:paraId="2406447D" w14:textId="77777777" w:rsidTr="00E52F89">
        <w:trPr>
          <w:trHeight w:val="340"/>
        </w:trPr>
        <w:tc>
          <w:tcPr>
            <w:tcW w:w="1843" w:type="dxa"/>
          </w:tcPr>
          <w:p w14:paraId="4AC4CF95" w14:textId="77777777" w:rsidR="00264AD4" w:rsidRPr="002B3C24" w:rsidRDefault="00264AD4" w:rsidP="00E52F89">
            <w:pPr>
              <w:tabs>
                <w:tab w:val="left" w:pos="1485"/>
              </w:tabs>
              <w:spacing w:before="0" w:after="0"/>
            </w:pPr>
            <w:r w:rsidRPr="002B3C24">
              <w:t>OMS</w:t>
            </w:r>
          </w:p>
        </w:tc>
        <w:tc>
          <w:tcPr>
            <w:tcW w:w="6377" w:type="dxa"/>
          </w:tcPr>
          <w:p w14:paraId="7B5C6E74" w14:textId="77777777" w:rsidR="00264AD4" w:rsidRPr="002B3C24" w:rsidRDefault="00264AD4" w:rsidP="00E52F89">
            <w:pPr>
              <w:spacing w:before="0" w:after="0"/>
            </w:pPr>
            <w:r w:rsidRPr="002B3C24">
              <w:t>Outage Management System</w:t>
            </w:r>
          </w:p>
        </w:tc>
      </w:tr>
      <w:tr w:rsidR="00264AD4" w:rsidRPr="005D097A" w14:paraId="6267835E" w14:textId="77777777" w:rsidTr="00E52F89">
        <w:trPr>
          <w:trHeight w:val="340"/>
        </w:trPr>
        <w:tc>
          <w:tcPr>
            <w:tcW w:w="1843" w:type="dxa"/>
          </w:tcPr>
          <w:p w14:paraId="1F7E3C10" w14:textId="77777777" w:rsidR="00264AD4" w:rsidRPr="002B3C24" w:rsidRDefault="00264AD4" w:rsidP="00E52F89">
            <w:pPr>
              <w:spacing w:before="0" w:after="0"/>
            </w:pPr>
            <w:r w:rsidRPr="002B3C24">
              <w:t>OPEX</w:t>
            </w:r>
          </w:p>
        </w:tc>
        <w:tc>
          <w:tcPr>
            <w:tcW w:w="6377" w:type="dxa"/>
          </w:tcPr>
          <w:p w14:paraId="48D304AF" w14:textId="77777777" w:rsidR="00264AD4" w:rsidRPr="002B3C24" w:rsidRDefault="00264AD4" w:rsidP="00E52F89">
            <w:pPr>
              <w:spacing w:before="0" w:after="0"/>
            </w:pPr>
            <w:r w:rsidRPr="002B3C24">
              <w:t>Operational Expenditure</w:t>
            </w:r>
          </w:p>
        </w:tc>
      </w:tr>
      <w:tr w:rsidR="00264AD4" w:rsidRPr="005D097A" w14:paraId="0642C5BA" w14:textId="77777777" w:rsidTr="00E52F89">
        <w:trPr>
          <w:trHeight w:val="340"/>
        </w:trPr>
        <w:tc>
          <w:tcPr>
            <w:tcW w:w="1843" w:type="dxa"/>
          </w:tcPr>
          <w:p w14:paraId="3827862A" w14:textId="77777777" w:rsidR="00264AD4" w:rsidRPr="002B3C24" w:rsidRDefault="00264AD4" w:rsidP="00E52F89">
            <w:pPr>
              <w:spacing w:before="0" w:after="0"/>
            </w:pPr>
            <w:r w:rsidRPr="002B3C24">
              <w:t>OPF</w:t>
            </w:r>
          </w:p>
        </w:tc>
        <w:tc>
          <w:tcPr>
            <w:tcW w:w="6377" w:type="dxa"/>
          </w:tcPr>
          <w:p w14:paraId="5F52CB01" w14:textId="77777777" w:rsidR="00264AD4" w:rsidRPr="002B3C24" w:rsidRDefault="00264AD4" w:rsidP="00E52F89">
            <w:pPr>
              <w:spacing w:before="0" w:after="0"/>
            </w:pPr>
            <w:r w:rsidRPr="002B3C24">
              <w:t>Optimal Power Flow</w:t>
            </w:r>
          </w:p>
        </w:tc>
      </w:tr>
      <w:tr w:rsidR="00264AD4" w:rsidRPr="005D097A" w14:paraId="41A6D942" w14:textId="77777777" w:rsidTr="00E52F89">
        <w:trPr>
          <w:trHeight w:val="340"/>
        </w:trPr>
        <w:tc>
          <w:tcPr>
            <w:tcW w:w="1843" w:type="dxa"/>
          </w:tcPr>
          <w:p w14:paraId="4AA81450" w14:textId="77777777" w:rsidR="00264AD4" w:rsidRPr="002B3C24" w:rsidRDefault="00264AD4" w:rsidP="00E52F89">
            <w:pPr>
              <w:spacing w:before="0" w:after="0"/>
            </w:pPr>
            <w:r w:rsidRPr="002B3C24">
              <w:t>OT</w:t>
            </w:r>
          </w:p>
        </w:tc>
        <w:tc>
          <w:tcPr>
            <w:tcW w:w="6377" w:type="dxa"/>
          </w:tcPr>
          <w:p w14:paraId="2D200D31" w14:textId="77777777" w:rsidR="00264AD4" w:rsidRPr="002B3C24" w:rsidRDefault="00264AD4" w:rsidP="00E52F89">
            <w:pPr>
              <w:spacing w:before="0" w:after="0"/>
            </w:pPr>
            <w:r w:rsidRPr="002B3C24">
              <w:t>Operational Technology</w:t>
            </w:r>
          </w:p>
        </w:tc>
      </w:tr>
      <w:tr w:rsidR="00264AD4" w:rsidRPr="005D097A" w14:paraId="1DC341C4" w14:textId="77777777" w:rsidTr="00E52F89">
        <w:trPr>
          <w:trHeight w:val="340"/>
        </w:trPr>
        <w:tc>
          <w:tcPr>
            <w:tcW w:w="1843" w:type="dxa"/>
          </w:tcPr>
          <w:p w14:paraId="38E98541" w14:textId="77777777" w:rsidR="00264AD4" w:rsidRPr="002B3C24" w:rsidRDefault="00264AD4" w:rsidP="00E52F89">
            <w:pPr>
              <w:spacing w:before="0" w:after="0"/>
            </w:pPr>
            <w:r w:rsidRPr="002B3C24">
              <w:t>PNNL</w:t>
            </w:r>
          </w:p>
        </w:tc>
        <w:tc>
          <w:tcPr>
            <w:tcW w:w="6377" w:type="dxa"/>
          </w:tcPr>
          <w:p w14:paraId="71A9E501" w14:textId="77777777" w:rsidR="00264AD4" w:rsidRPr="002B3C24" w:rsidRDefault="00264AD4" w:rsidP="00E52F89">
            <w:pPr>
              <w:spacing w:before="0" w:after="0"/>
            </w:pPr>
            <w:r w:rsidRPr="002B3C24">
              <w:t>Pacific Northwest National Laboratory (US)</w:t>
            </w:r>
          </w:p>
        </w:tc>
      </w:tr>
      <w:tr w:rsidR="00264AD4" w:rsidRPr="005D097A" w14:paraId="402B0E6D" w14:textId="77777777" w:rsidTr="00E52F89">
        <w:trPr>
          <w:trHeight w:val="340"/>
        </w:trPr>
        <w:tc>
          <w:tcPr>
            <w:tcW w:w="1843" w:type="dxa"/>
          </w:tcPr>
          <w:p w14:paraId="66BEACFB" w14:textId="77777777" w:rsidR="00264AD4" w:rsidRPr="002B3C24" w:rsidRDefault="00264AD4" w:rsidP="00E52F89">
            <w:pPr>
              <w:spacing w:before="0" w:after="0"/>
            </w:pPr>
            <w:r w:rsidRPr="002B3C24">
              <w:t>PV</w:t>
            </w:r>
          </w:p>
        </w:tc>
        <w:tc>
          <w:tcPr>
            <w:tcW w:w="6377" w:type="dxa"/>
          </w:tcPr>
          <w:p w14:paraId="3BFEFC8A" w14:textId="77777777" w:rsidR="00264AD4" w:rsidRPr="002B3C24" w:rsidRDefault="00264AD4" w:rsidP="00E52F89">
            <w:pPr>
              <w:spacing w:before="0" w:after="0"/>
            </w:pPr>
            <w:r w:rsidRPr="002B3C24">
              <w:t>Photovoltaic</w:t>
            </w:r>
          </w:p>
        </w:tc>
      </w:tr>
      <w:tr w:rsidR="00264AD4" w:rsidRPr="005D097A" w14:paraId="6CCAF875" w14:textId="77777777" w:rsidTr="00E52F89">
        <w:trPr>
          <w:trHeight w:val="340"/>
        </w:trPr>
        <w:tc>
          <w:tcPr>
            <w:tcW w:w="1843" w:type="dxa"/>
          </w:tcPr>
          <w:p w14:paraId="4ED552B3" w14:textId="77777777" w:rsidR="00264AD4" w:rsidRPr="002B3C24" w:rsidRDefault="00264AD4" w:rsidP="00E52F89">
            <w:pPr>
              <w:spacing w:before="0" w:after="0"/>
            </w:pPr>
            <w:r w:rsidRPr="002B3C24">
              <w:t>RIIO</w:t>
            </w:r>
          </w:p>
        </w:tc>
        <w:tc>
          <w:tcPr>
            <w:tcW w:w="6377" w:type="dxa"/>
          </w:tcPr>
          <w:p w14:paraId="68D27477" w14:textId="77777777" w:rsidR="00264AD4" w:rsidRPr="002B3C24" w:rsidRDefault="00264AD4" w:rsidP="00E52F89">
            <w:pPr>
              <w:spacing w:before="0" w:after="0"/>
            </w:pPr>
            <w:r w:rsidRPr="002B3C24">
              <w:t>Revenue = Incentives + Innovation + Outputs (UK)</w:t>
            </w:r>
          </w:p>
        </w:tc>
      </w:tr>
      <w:tr w:rsidR="00264AD4" w:rsidRPr="005D097A" w14:paraId="28A2A001" w14:textId="77777777" w:rsidTr="00E52F89">
        <w:trPr>
          <w:trHeight w:val="340"/>
        </w:trPr>
        <w:tc>
          <w:tcPr>
            <w:tcW w:w="1843" w:type="dxa"/>
          </w:tcPr>
          <w:p w14:paraId="41AA8AAD" w14:textId="77777777" w:rsidR="00264AD4" w:rsidRPr="002B3C24" w:rsidRDefault="00264AD4" w:rsidP="00E52F89">
            <w:pPr>
              <w:spacing w:before="0" w:after="0"/>
            </w:pPr>
            <w:r w:rsidRPr="002B3C24">
              <w:t>SCADA</w:t>
            </w:r>
          </w:p>
        </w:tc>
        <w:tc>
          <w:tcPr>
            <w:tcW w:w="6377" w:type="dxa"/>
          </w:tcPr>
          <w:p w14:paraId="4696F786" w14:textId="77777777" w:rsidR="00264AD4" w:rsidRPr="002B3C24" w:rsidRDefault="00264AD4" w:rsidP="00E52F89">
            <w:pPr>
              <w:spacing w:before="0" w:after="0"/>
            </w:pPr>
            <w:r w:rsidRPr="002B3C24">
              <w:t>Supervisory Control and Data Acquisition</w:t>
            </w:r>
          </w:p>
        </w:tc>
      </w:tr>
      <w:tr w:rsidR="00264AD4" w:rsidRPr="005D097A" w14:paraId="078DA974" w14:textId="77777777" w:rsidTr="00E52F89">
        <w:trPr>
          <w:trHeight w:val="340"/>
        </w:trPr>
        <w:tc>
          <w:tcPr>
            <w:tcW w:w="1843" w:type="dxa"/>
          </w:tcPr>
          <w:p w14:paraId="01E1156B" w14:textId="77777777" w:rsidR="00264AD4" w:rsidRPr="002B3C24" w:rsidRDefault="00264AD4" w:rsidP="00E52F89">
            <w:pPr>
              <w:spacing w:before="0" w:after="0"/>
            </w:pPr>
            <w:r w:rsidRPr="002B3C24">
              <w:t>SO</w:t>
            </w:r>
          </w:p>
        </w:tc>
        <w:tc>
          <w:tcPr>
            <w:tcW w:w="6377" w:type="dxa"/>
          </w:tcPr>
          <w:p w14:paraId="32FF4F30" w14:textId="77777777" w:rsidR="00264AD4" w:rsidRPr="002B3C24" w:rsidRDefault="00264AD4" w:rsidP="00E52F89">
            <w:pPr>
              <w:spacing w:before="0" w:after="0"/>
            </w:pPr>
            <w:r w:rsidRPr="002B3C24">
              <w:t>System Operator</w:t>
            </w:r>
          </w:p>
        </w:tc>
      </w:tr>
      <w:tr w:rsidR="00264AD4" w:rsidRPr="005D097A" w14:paraId="0AB04F0E" w14:textId="77777777" w:rsidTr="00E52F89">
        <w:trPr>
          <w:trHeight w:val="340"/>
        </w:trPr>
        <w:tc>
          <w:tcPr>
            <w:tcW w:w="1843" w:type="dxa"/>
          </w:tcPr>
          <w:p w14:paraId="60AA766B" w14:textId="77777777" w:rsidR="00264AD4" w:rsidRPr="002B3C24" w:rsidRDefault="00264AD4" w:rsidP="00E52F89">
            <w:pPr>
              <w:spacing w:before="0" w:after="0"/>
            </w:pPr>
            <w:r w:rsidRPr="002B3C24">
              <w:t>SPOF</w:t>
            </w:r>
          </w:p>
        </w:tc>
        <w:tc>
          <w:tcPr>
            <w:tcW w:w="6377" w:type="dxa"/>
          </w:tcPr>
          <w:p w14:paraId="068DD851" w14:textId="77777777" w:rsidR="00264AD4" w:rsidRPr="002B3C24" w:rsidRDefault="00264AD4" w:rsidP="00E52F89">
            <w:pPr>
              <w:spacing w:before="0" w:after="0"/>
            </w:pPr>
            <w:r w:rsidRPr="002B3C24">
              <w:t>Single Point of Failure</w:t>
            </w:r>
          </w:p>
        </w:tc>
      </w:tr>
      <w:tr w:rsidR="00264AD4" w:rsidRPr="005D097A" w14:paraId="2C40DE85" w14:textId="77777777" w:rsidTr="00E52F89">
        <w:trPr>
          <w:trHeight w:val="340"/>
        </w:trPr>
        <w:tc>
          <w:tcPr>
            <w:tcW w:w="1843" w:type="dxa"/>
          </w:tcPr>
          <w:p w14:paraId="28D58555" w14:textId="77777777" w:rsidR="00264AD4" w:rsidRPr="002B3C24" w:rsidRDefault="00264AD4" w:rsidP="00E52F89">
            <w:pPr>
              <w:spacing w:before="0" w:after="0"/>
            </w:pPr>
            <w:r w:rsidRPr="002B3C24">
              <w:t>TDC</w:t>
            </w:r>
          </w:p>
        </w:tc>
        <w:tc>
          <w:tcPr>
            <w:tcW w:w="6377" w:type="dxa"/>
          </w:tcPr>
          <w:p w14:paraId="2268DF07" w14:textId="77777777" w:rsidR="00264AD4" w:rsidRPr="002B3C24" w:rsidRDefault="00264AD4" w:rsidP="00E52F89">
            <w:pPr>
              <w:spacing w:before="0" w:after="0"/>
            </w:pPr>
            <w:r w:rsidRPr="002B3C24">
              <w:t>Transmission-Distribution Coordination</w:t>
            </w:r>
          </w:p>
        </w:tc>
      </w:tr>
      <w:tr w:rsidR="00264AD4" w:rsidRPr="005D097A" w14:paraId="7F52ED1C" w14:textId="77777777" w:rsidTr="00E52F89">
        <w:trPr>
          <w:trHeight w:val="340"/>
        </w:trPr>
        <w:tc>
          <w:tcPr>
            <w:tcW w:w="1843" w:type="dxa"/>
          </w:tcPr>
          <w:p w14:paraId="4FA55906" w14:textId="77777777" w:rsidR="00264AD4" w:rsidRPr="002B3C24" w:rsidRDefault="00264AD4" w:rsidP="00E52F89">
            <w:pPr>
              <w:spacing w:before="0" w:after="0"/>
            </w:pPr>
            <w:r w:rsidRPr="002B3C24">
              <w:t>TDI</w:t>
            </w:r>
          </w:p>
        </w:tc>
        <w:tc>
          <w:tcPr>
            <w:tcW w:w="6377" w:type="dxa"/>
          </w:tcPr>
          <w:p w14:paraId="15552AAD" w14:textId="77777777" w:rsidR="00264AD4" w:rsidRPr="002B3C24" w:rsidRDefault="00264AD4" w:rsidP="00E52F89">
            <w:pPr>
              <w:spacing w:before="0" w:after="0"/>
            </w:pPr>
            <w:r w:rsidRPr="002B3C24">
              <w:t>Transmission-Distribution Interface</w:t>
            </w:r>
          </w:p>
        </w:tc>
      </w:tr>
      <w:tr w:rsidR="00264AD4" w:rsidRPr="005D097A" w14:paraId="5CF85C29" w14:textId="77777777" w:rsidTr="00E52F89">
        <w:trPr>
          <w:trHeight w:val="340"/>
        </w:trPr>
        <w:tc>
          <w:tcPr>
            <w:tcW w:w="1843" w:type="dxa"/>
          </w:tcPr>
          <w:p w14:paraId="2B5F4934" w14:textId="77777777" w:rsidR="00264AD4" w:rsidRPr="002B3C24" w:rsidRDefault="00264AD4" w:rsidP="00E52F89">
            <w:pPr>
              <w:spacing w:before="0" w:after="0"/>
            </w:pPr>
            <w:r w:rsidRPr="002B3C24">
              <w:t>TNSP</w:t>
            </w:r>
          </w:p>
        </w:tc>
        <w:tc>
          <w:tcPr>
            <w:tcW w:w="6377" w:type="dxa"/>
          </w:tcPr>
          <w:p w14:paraId="01881774" w14:textId="77777777" w:rsidR="00264AD4" w:rsidRPr="002B3C24" w:rsidRDefault="00264AD4" w:rsidP="00E52F89">
            <w:pPr>
              <w:spacing w:before="0" w:after="0"/>
            </w:pPr>
            <w:r w:rsidRPr="002B3C24">
              <w:t>Transmission Network Service Provider</w:t>
            </w:r>
          </w:p>
        </w:tc>
      </w:tr>
      <w:tr w:rsidR="00264AD4" w:rsidRPr="005D097A" w14:paraId="7693238A" w14:textId="77777777" w:rsidTr="00E52F89">
        <w:trPr>
          <w:trHeight w:val="340"/>
        </w:trPr>
        <w:tc>
          <w:tcPr>
            <w:tcW w:w="1843" w:type="dxa"/>
          </w:tcPr>
          <w:p w14:paraId="3EF47261" w14:textId="77777777" w:rsidR="00264AD4" w:rsidRPr="002B3C24" w:rsidRDefault="00264AD4" w:rsidP="00E52F89">
            <w:pPr>
              <w:spacing w:before="0" w:after="0"/>
            </w:pPr>
            <w:r w:rsidRPr="002B3C24">
              <w:t>TOTEX</w:t>
            </w:r>
          </w:p>
        </w:tc>
        <w:tc>
          <w:tcPr>
            <w:tcW w:w="6377" w:type="dxa"/>
          </w:tcPr>
          <w:p w14:paraId="42D4BE3E" w14:textId="77777777" w:rsidR="00264AD4" w:rsidRPr="002B3C24" w:rsidRDefault="00264AD4" w:rsidP="00E52F89">
            <w:pPr>
              <w:spacing w:before="0" w:after="0"/>
            </w:pPr>
            <w:r w:rsidRPr="002B3C24">
              <w:t>Total Expenditure</w:t>
            </w:r>
          </w:p>
        </w:tc>
      </w:tr>
      <w:tr w:rsidR="00264AD4" w:rsidRPr="005D097A" w14:paraId="3AAF14D6" w14:textId="77777777" w:rsidTr="00E52F89">
        <w:trPr>
          <w:trHeight w:val="340"/>
        </w:trPr>
        <w:tc>
          <w:tcPr>
            <w:tcW w:w="1843" w:type="dxa"/>
          </w:tcPr>
          <w:p w14:paraId="05C76F3B" w14:textId="77777777" w:rsidR="00264AD4" w:rsidRPr="002B3C24" w:rsidRDefault="00264AD4" w:rsidP="00E52F89">
            <w:pPr>
              <w:spacing w:before="0" w:after="0"/>
            </w:pPr>
            <w:r w:rsidRPr="002B3C24">
              <w:t>TSO</w:t>
            </w:r>
          </w:p>
        </w:tc>
        <w:tc>
          <w:tcPr>
            <w:tcW w:w="6377" w:type="dxa"/>
          </w:tcPr>
          <w:p w14:paraId="4F02D4EB" w14:textId="77777777" w:rsidR="00264AD4" w:rsidRPr="002B3C24" w:rsidRDefault="00264AD4" w:rsidP="00E52F89">
            <w:pPr>
              <w:spacing w:before="0" w:after="0"/>
            </w:pPr>
            <w:r w:rsidRPr="002B3C24">
              <w:t>Transmission System Operator</w:t>
            </w:r>
          </w:p>
        </w:tc>
      </w:tr>
      <w:tr w:rsidR="00264AD4" w:rsidRPr="005D097A" w14:paraId="372F44A4" w14:textId="77777777" w:rsidTr="00E52F89">
        <w:trPr>
          <w:trHeight w:val="340"/>
        </w:trPr>
        <w:tc>
          <w:tcPr>
            <w:tcW w:w="1843" w:type="dxa"/>
          </w:tcPr>
          <w:p w14:paraId="69BF2AEF" w14:textId="77777777" w:rsidR="00264AD4" w:rsidRPr="002B3C24" w:rsidRDefault="00264AD4" w:rsidP="00E52F89">
            <w:pPr>
              <w:spacing w:before="0" w:after="0"/>
            </w:pPr>
            <w:r w:rsidRPr="002B3C24">
              <w:t>TW</w:t>
            </w:r>
          </w:p>
        </w:tc>
        <w:tc>
          <w:tcPr>
            <w:tcW w:w="6377" w:type="dxa"/>
          </w:tcPr>
          <w:p w14:paraId="65DF00D1" w14:textId="77777777" w:rsidR="00264AD4" w:rsidRPr="002B3C24" w:rsidRDefault="00264AD4" w:rsidP="00E52F89">
            <w:pPr>
              <w:spacing w:before="0" w:after="0"/>
            </w:pPr>
            <w:r w:rsidRPr="002B3C24">
              <w:t>Terawatt</w:t>
            </w:r>
          </w:p>
        </w:tc>
      </w:tr>
      <w:tr w:rsidR="00264AD4" w:rsidRPr="005D097A" w14:paraId="4DCE39BF" w14:textId="77777777" w:rsidTr="00E52F89">
        <w:trPr>
          <w:trHeight w:val="340"/>
        </w:trPr>
        <w:tc>
          <w:tcPr>
            <w:tcW w:w="1843" w:type="dxa"/>
          </w:tcPr>
          <w:p w14:paraId="2B6924F1" w14:textId="77777777" w:rsidR="00264AD4" w:rsidRPr="002B3C24" w:rsidRDefault="00264AD4" w:rsidP="00E52F89">
            <w:pPr>
              <w:spacing w:before="0" w:after="0"/>
            </w:pPr>
            <w:r w:rsidRPr="002B3C24">
              <w:t>TWh</w:t>
            </w:r>
          </w:p>
        </w:tc>
        <w:tc>
          <w:tcPr>
            <w:tcW w:w="6377" w:type="dxa"/>
          </w:tcPr>
          <w:p w14:paraId="7BBAF176" w14:textId="77777777" w:rsidR="00264AD4" w:rsidRPr="002B3C24" w:rsidRDefault="00264AD4" w:rsidP="00E52F89">
            <w:pPr>
              <w:spacing w:before="0" w:after="0"/>
            </w:pPr>
            <w:r w:rsidRPr="002B3C24">
              <w:t>Terawatt Hour</w:t>
            </w:r>
          </w:p>
        </w:tc>
      </w:tr>
      <w:tr w:rsidR="00264AD4" w:rsidRPr="005D097A" w14:paraId="6EBAC1D0" w14:textId="77777777" w:rsidTr="00E52F89">
        <w:trPr>
          <w:trHeight w:val="340"/>
        </w:trPr>
        <w:tc>
          <w:tcPr>
            <w:tcW w:w="1843" w:type="dxa"/>
          </w:tcPr>
          <w:p w14:paraId="7B8A3437" w14:textId="77777777" w:rsidR="00264AD4" w:rsidRPr="002B3C24" w:rsidRDefault="00264AD4" w:rsidP="00E52F89">
            <w:pPr>
              <w:spacing w:before="0" w:after="0"/>
            </w:pPr>
            <w:r w:rsidRPr="002B3C24">
              <w:t>UKPN</w:t>
            </w:r>
          </w:p>
        </w:tc>
        <w:tc>
          <w:tcPr>
            <w:tcW w:w="6377" w:type="dxa"/>
          </w:tcPr>
          <w:p w14:paraId="00022E66" w14:textId="77777777" w:rsidR="00264AD4" w:rsidRPr="002B3C24" w:rsidRDefault="00264AD4" w:rsidP="00E52F89">
            <w:pPr>
              <w:spacing w:before="0" w:after="0"/>
            </w:pPr>
            <w:r w:rsidRPr="002B3C24">
              <w:t>UK Power Networks</w:t>
            </w:r>
          </w:p>
        </w:tc>
      </w:tr>
      <w:tr w:rsidR="00264AD4" w:rsidRPr="005D097A" w14:paraId="044B8992" w14:textId="77777777" w:rsidTr="00E52F89">
        <w:trPr>
          <w:trHeight w:val="340"/>
        </w:trPr>
        <w:tc>
          <w:tcPr>
            <w:tcW w:w="1843" w:type="dxa"/>
          </w:tcPr>
          <w:p w14:paraId="0DAA42B3" w14:textId="77777777" w:rsidR="00264AD4" w:rsidRPr="002B3C24" w:rsidRDefault="00264AD4" w:rsidP="00E52F89">
            <w:pPr>
              <w:spacing w:before="0" w:after="0"/>
            </w:pPr>
            <w:r w:rsidRPr="002B3C24">
              <w:t>ULS</w:t>
            </w:r>
          </w:p>
        </w:tc>
        <w:tc>
          <w:tcPr>
            <w:tcW w:w="6377" w:type="dxa"/>
          </w:tcPr>
          <w:p w14:paraId="57CD9149" w14:textId="77777777" w:rsidR="00264AD4" w:rsidRPr="002B3C24" w:rsidRDefault="00264AD4" w:rsidP="00E52F89">
            <w:pPr>
              <w:spacing w:before="0" w:after="0"/>
            </w:pPr>
            <w:r w:rsidRPr="002B3C24">
              <w:t>Ultra Large Scale</w:t>
            </w:r>
          </w:p>
        </w:tc>
      </w:tr>
      <w:tr w:rsidR="00264AD4" w:rsidRPr="005D097A" w14:paraId="332A91AC" w14:textId="77777777" w:rsidTr="00E52F89">
        <w:trPr>
          <w:trHeight w:val="340"/>
        </w:trPr>
        <w:tc>
          <w:tcPr>
            <w:tcW w:w="1843" w:type="dxa"/>
          </w:tcPr>
          <w:p w14:paraId="60E956AA" w14:textId="77777777" w:rsidR="00264AD4" w:rsidRPr="002B3C24" w:rsidRDefault="00264AD4" w:rsidP="00E52F89">
            <w:pPr>
              <w:spacing w:before="0" w:after="0"/>
            </w:pPr>
            <w:r w:rsidRPr="002B3C24">
              <w:t>USEF</w:t>
            </w:r>
          </w:p>
        </w:tc>
        <w:tc>
          <w:tcPr>
            <w:tcW w:w="6377" w:type="dxa"/>
          </w:tcPr>
          <w:p w14:paraId="72AEB389" w14:textId="77777777" w:rsidR="00264AD4" w:rsidRPr="002B3C24" w:rsidRDefault="00264AD4" w:rsidP="00E52F89">
            <w:pPr>
              <w:spacing w:before="0" w:after="0"/>
            </w:pPr>
            <w:r w:rsidRPr="002B3C24">
              <w:t>Universal Smart Energy Framework</w:t>
            </w:r>
          </w:p>
        </w:tc>
      </w:tr>
      <w:tr w:rsidR="00264AD4" w:rsidRPr="005D097A" w14:paraId="7DF13FA7" w14:textId="77777777" w:rsidTr="00E52F89">
        <w:trPr>
          <w:trHeight w:val="340"/>
        </w:trPr>
        <w:tc>
          <w:tcPr>
            <w:tcW w:w="1843" w:type="dxa"/>
          </w:tcPr>
          <w:p w14:paraId="0323338D" w14:textId="77777777" w:rsidR="00264AD4" w:rsidRPr="002B3C24" w:rsidRDefault="00264AD4" w:rsidP="00E52F89">
            <w:pPr>
              <w:spacing w:before="0" w:after="0"/>
            </w:pPr>
            <w:r w:rsidRPr="002B3C24">
              <w:t>VPP</w:t>
            </w:r>
          </w:p>
        </w:tc>
        <w:tc>
          <w:tcPr>
            <w:tcW w:w="6377" w:type="dxa"/>
          </w:tcPr>
          <w:p w14:paraId="787D674F" w14:textId="77777777" w:rsidR="00264AD4" w:rsidRPr="002B3C24" w:rsidRDefault="00264AD4" w:rsidP="00E52F89">
            <w:pPr>
              <w:spacing w:before="0" w:after="0"/>
            </w:pPr>
            <w:r w:rsidRPr="002B3C24">
              <w:t>Virtual Power Plant</w:t>
            </w:r>
          </w:p>
        </w:tc>
      </w:tr>
      <w:tr w:rsidR="00264AD4" w:rsidRPr="005D097A" w14:paraId="48477355" w14:textId="77777777" w:rsidTr="00E52F89">
        <w:trPr>
          <w:trHeight w:val="340"/>
        </w:trPr>
        <w:tc>
          <w:tcPr>
            <w:tcW w:w="1843" w:type="dxa"/>
          </w:tcPr>
          <w:p w14:paraId="2B23E779" w14:textId="77777777" w:rsidR="00264AD4" w:rsidRPr="002B3C24" w:rsidRDefault="00264AD4" w:rsidP="00E52F89">
            <w:pPr>
              <w:spacing w:before="0" w:after="0"/>
            </w:pPr>
            <w:r w:rsidRPr="002B3C24">
              <w:t>VRE</w:t>
            </w:r>
          </w:p>
        </w:tc>
        <w:tc>
          <w:tcPr>
            <w:tcW w:w="6377" w:type="dxa"/>
          </w:tcPr>
          <w:p w14:paraId="1B73E5E6" w14:textId="77777777" w:rsidR="00264AD4" w:rsidRPr="002B3C24" w:rsidRDefault="00264AD4" w:rsidP="00E52F89">
            <w:pPr>
              <w:spacing w:before="0" w:after="0"/>
            </w:pPr>
            <w:r w:rsidRPr="002B3C24">
              <w:t>Variable Renewable Energy</w:t>
            </w:r>
          </w:p>
        </w:tc>
      </w:tr>
      <w:tr w:rsidR="00264AD4" w:rsidRPr="005D097A" w14:paraId="3BC5B6D1" w14:textId="77777777" w:rsidTr="00E52F89">
        <w:trPr>
          <w:trHeight w:val="340"/>
        </w:trPr>
        <w:tc>
          <w:tcPr>
            <w:tcW w:w="1843" w:type="dxa"/>
          </w:tcPr>
          <w:p w14:paraId="7820685B" w14:textId="77777777" w:rsidR="00264AD4" w:rsidRPr="002B3C24" w:rsidRDefault="00264AD4" w:rsidP="00E52F89">
            <w:pPr>
              <w:spacing w:before="0" w:after="0"/>
            </w:pPr>
            <w:r w:rsidRPr="002B3C24">
              <w:t>WEM</w:t>
            </w:r>
          </w:p>
        </w:tc>
        <w:tc>
          <w:tcPr>
            <w:tcW w:w="6377" w:type="dxa"/>
          </w:tcPr>
          <w:p w14:paraId="0E505B28" w14:textId="77777777" w:rsidR="00264AD4" w:rsidRPr="002B3C24" w:rsidRDefault="00264AD4" w:rsidP="00E52F89">
            <w:pPr>
              <w:spacing w:before="0" w:after="0"/>
            </w:pPr>
            <w:r w:rsidRPr="002B3C24">
              <w:t>Wholesale Energy Market</w:t>
            </w:r>
          </w:p>
        </w:tc>
      </w:tr>
    </w:tbl>
    <w:p w14:paraId="2CE7ABA3" w14:textId="77777777" w:rsidR="00F76249" w:rsidRPr="00F76249" w:rsidRDefault="00F76249" w:rsidP="00F76249">
      <w:pPr>
        <w:rPr>
          <w:lang w:eastAsia="en-US" w:bidi="ar-SA"/>
        </w:rPr>
      </w:pPr>
    </w:p>
    <w:p w14:paraId="328BCA49" w14:textId="77777777" w:rsidR="00F76249" w:rsidRDefault="00F76249">
      <w:pPr>
        <w:spacing w:before="0" w:after="160" w:line="259" w:lineRule="auto"/>
        <w:rPr>
          <w:rFonts w:ascii="PP Mori SemiBold" w:eastAsiaTheme="majorEastAsia" w:hAnsi="PP Mori SemiBold" w:cstheme="majorBidi"/>
          <w:color w:val="013C4C" w:themeColor="text1"/>
          <w:sz w:val="32"/>
          <w:szCs w:val="40"/>
          <w:lang w:eastAsia="en-US" w:bidi="ar-SA"/>
        </w:rPr>
      </w:pPr>
      <w:r>
        <w:rPr>
          <w:lang w:eastAsia="en-US" w:bidi="ar-SA"/>
        </w:rPr>
        <w:br w:type="page"/>
      </w:r>
    </w:p>
    <w:p w14:paraId="6B885D87" w14:textId="6CE88EDC" w:rsidR="00637449" w:rsidRPr="002C72C2" w:rsidRDefault="00637449" w:rsidP="00EB2823">
      <w:pPr>
        <w:pStyle w:val="Heading1"/>
        <w:spacing w:line="264" w:lineRule="auto"/>
        <w:ind w:left="567" w:hanging="567"/>
        <w:rPr>
          <w:lang w:eastAsia="en-US" w:bidi="ar-SA"/>
        </w:rPr>
      </w:pPr>
      <w:bookmarkStart w:id="3" w:name="_Toc205533947"/>
      <w:bookmarkStart w:id="4" w:name="S_1"/>
      <w:r w:rsidRPr="002C72C2">
        <w:rPr>
          <w:lang w:eastAsia="en-US" w:bidi="ar-SA"/>
        </w:rPr>
        <w:t>Report Purpose</w:t>
      </w:r>
      <w:r w:rsidR="0084402C" w:rsidRPr="002C72C2">
        <w:rPr>
          <w:lang w:eastAsia="en-US" w:bidi="ar-SA"/>
        </w:rPr>
        <w:t>, Context &amp; Rationale</w:t>
      </w:r>
      <w:bookmarkEnd w:id="3"/>
    </w:p>
    <w:p w14:paraId="13F2B718" w14:textId="3429E241" w:rsidR="00701318" w:rsidRPr="002C72C2" w:rsidRDefault="00701318" w:rsidP="00EB2823">
      <w:pPr>
        <w:pStyle w:val="Heading2"/>
        <w:spacing w:line="264" w:lineRule="auto"/>
        <w:rPr>
          <w:lang w:eastAsia="en-US" w:bidi="ar-SA"/>
        </w:rPr>
      </w:pPr>
      <w:bookmarkStart w:id="5" w:name="_Toc205533948"/>
      <w:bookmarkEnd w:id="4"/>
      <w:r w:rsidRPr="002C72C2">
        <w:rPr>
          <w:lang w:eastAsia="en-US" w:bidi="ar-SA"/>
        </w:rPr>
        <w:t>Purpose</w:t>
      </w:r>
      <w:bookmarkEnd w:id="5"/>
    </w:p>
    <w:p w14:paraId="47BEE7D8" w14:textId="04B990CE" w:rsidR="002A5DF6" w:rsidRDefault="717B3DA5" w:rsidP="002A5DF6">
      <w:pPr>
        <w:spacing w:before="120" w:after="120" w:line="264" w:lineRule="auto"/>
        <w:rPr>
          <w:szCs w:val="18"/>
          <w:lang w:eastAsia="en-US" w:bidi="ar-SA"/>
        </w:rPr>
      </w:pPr>
      <w:r w:rsidRPr="00E9509E">
        <w:rPr>
          <w:szCs w:val="18"/>
          <w:lang w:eastAsia="en-US" w:bidi="ar-SA"/>
        </w:rPr>
        <w:t xml:space="preserve">As Australia’s </w:t>
      </w:r>
      <w:r w:rsidR="6A337937" w:rsidRPr="00E9509E">
        <w:rPr>
          <w:szCs w:val="18"/>
          <w:lang w:eastAsia="en-US" w:bidi="ar-SA"/>
        </w:rPr>
        <w:t>p</w:t>
      </w:r>
      <w:r w:rsidRPr="00E9509E">
        <w:rPr>
          <w:szCs w:val="18"/>
          <w:lang w:eastAsia="en-US" w:bidi="ar-SA"/>
        </w:rPr>
        <w:t xml:space="preserve">ower </w:t>
      </w:r>
      <w:r w:rsidR="01B0CC9A" w:rsidRPr="00E9509E">
        <w:rPr>
          <w:szCs w:val="18"/>
          <w:lang w:eastAsia="en-US" w:bidi="ar-SA"/>
        </w:rPr>
        <w:t>s</w:t>
      </w:r>
      <w:r w:rsidRPr="00E9509E">
        <w:rPr>
          <w:szCs w:val="18"/>
          <w:lang w:eastAsia="en-US" w:bidi="ar-SA"/>
        </w:rPr>
        <w:t xml:space="preserve">ystems continue to decarbonise, they are becoming orders of magnitude more </w:t>
      </w:r>
      <w:r w:rsidR="008F1C0E">
        <w:rPr>
          <w:szCs w:val="18"/>
          <w:lang w:eastAsia="en-US" w:bidi="ar-SA"/>
        </w:rPr>
        <w:t>volatile</w:t>
      </w:r>
      <w:r w:rsidR="008F1C0E" w:rsidRPr="00E9509E">
        <w:rPr>
          <w:szCs w:val="18"/>
          <w:lang w:eastAsia="en-US" w:bidi="ar-SA"/>
        </w:rPr>
        <w:t xml:space="preserve"> </w:t>
      </w:r>
      <w:r w:rsidRPr="00E9509E">
        <w:rPr>
          <w:szCs w:val="18"/>
          <w:lang w:eastAsia="en-US" w:bidi="ar-SA"/>
        </w:rPr>
        <w:t xml:space="preserve">and </w:t>
      </w:r>
      <w:r w:rsidR="0051289E" w:rsidRPr="00E9509E">
        <w:rPr>
          <w:szCs w:val="18"/>
          <w:lang w:eastAsia="en-US" w:bidi="ar-SA"/>
        </w:rPr>
        <w:t>bidirectional</w:t>
      </w:r>
      <w:r w:rsidR="00374950">
        <w:rPr>
          <w:szCs w:val="18"/>
          <w:lang w:eastAsia="en-US" w:bidi="ar-SA"/>
        </w:rPr>
        <w:t xml:space="preserve">. </w:t>
      </w:r>
      <w:r w:rsidR="0066216C" w:rsidRPr="00E9509E">
        <w:rPr>
          <w:szCs w:val="18"/>
          <w:lang w:eastAsia="en-US" w:bidi="ar-SA"/>
        </w:rPr>
        <w:t xml:space="preserve">The combined impacts of </w:t>
      </w:r>
      <w:r w:rsidR="008F1C0E">
        <w:rPr>
          <w:szCs w:val="18"/>
          <w:lang w:eastAsia="en-US" w:bidi="ar-SA"/>
        </w:rPr>
        <w:t>d</w:t>
      </w:r>
      <w:r w:rsidR="0066216C" w:rsidRPr="00E9509E">
        <w:rPr>
          <w:szCs w:val="18"/>
          <w:lang w:eastAsia="en-US" w:bidi="ar-SA"/>
        </w:rPr>
        <w:t xml:space="preserve">ecarbonisation, </w:t>
      </w:r>
      <w:r w:rsidR="008F1C0E">
        <w:rPr>
          <w:szCs w:val="18"/>
          <w:lang w:eastAsia="en-US" w:bidi="ar-SA"/>
        </w:rPr>
        <w:t>d</w:t>
      </w:r>
      <w:r w:rsidR="0066216C" w:rsidRPr="00E9509E">
        <w:rPr>
          <w:szCs w:val="18"/>
          <w:lang w:eastAsia="en-US" w:bidi="ar-SA"/>
        </w:rPr>
        <w:t xml:space="preserve">emocratisation and </w:t>
      </w:r>
      <w:r w:rsidR="008F1C0E">
        <w:rPr>
          <w:szCs w:val="18"/>
          <w:lang w:eastAsia="en-US" w:bidi="ar-SA"/>
        </w:rPr>
        <w:t>d</w:t>
      </w:r>
      <w:r w:rsidR="0066216C" w:rsidRPr="00E9509E">
        <w:rPr>
          <w:szCs w:val="18"/>
          <w:lang w:eastAsia="en-US" w:bidi="ar-SA"/>
        </w:rPr>
        <w:t xml:space="preserve">ecentralisation are driving </w:t>
      </w:r>
      <w:r w:rsidR="0076175E" w:rsidRPr="00E9509E">
        <w:rPr>
          <w:szCs w:val="18"/>
          <w:lang w:eastAsia="en-US" w:bidi="ar-SA"/>
        </w:rPr>
        <w:t xml:space="preserve">an unprecedented scale and pace of </w:t>
      </w:r>
      <w:r w:rsidR="0066216C" w:rsidRPr="00E9509E">
        <w:rPr>
          <w:szCs w:val="18"/>
          <w:lang w:eastAsia="en-US" w:bidi="ar-SA"/>
        </w:rPr>
        <w:t>transformation</w:t>
      </w:r>
      <w:r w:rsidR="00374950">
        <w:rPr>
          <w:szCs w:val="18"/>
          <w:lang w:eastAsia="en-US" w:bidi="ar-SA"/>
        </w:rPr>
        <w:t xml:space="preserve">. </w:t>
      </w:r>
      <w:r w:rsidR="008F1C0E">
        <w:rPr>
          <w:szCs w:val="18"/>
          <w:lang w:eastAsia="en-US" w:bidi="ar-SA"/>
        </w:rPr>
        <w:t>N</w:t>
      </w:r>
      <w:r w:rsidR="002A5DF6">
        <w:rPr>
          <w:szCs w:val="18"/>
          <w:lang w:eastAsia="en-US" w:bidi="ar-SA"/>
        </w:rPr>
        <w:t xml:space="preserve">otably, these three drivers are </w:t>
      </w:r>
      <w:r w:rsidR="002A5DF6" w:rsidRPr="002310E5">
        <w:rPr>
          <w:szCs w:val="18"/>
          <w:lang w:eastAsia="en-US" w:bidi="ar-SA"/>
        </w:rPr>
        <w:t xml:space="preserve">themselves underpinned by a complex range of societal, technological, economic and commercial shifts, many </w:t>
      </w:r>
      <w:r w:rsidR="002A5DF6">
        <w:rPr>
          <w:szCs w:val="18"/>
          <w:lang w:eastAsia="en-US" w:bidi="ar-SA"/>
        </w:rPr>
        <w:t xml:space="preserve">of which fall </w:t>
      </w:r>
      <w:r w:rsidR="002A5DF6" w:rsidRPr="002310E5">
        <w:rPr>
          <w:szCs w:val="18"/>
          <w:lang w:eastAsia="en-US" w:bidi="ar-SA"/>
        </w:rPr>
        <w:t>outside the direct control of traditional regulatory and governance mechanisms</w:t>
      </w:r>
      <w:r w:rsidR="00374950">
        <w:rPr>
          <w:szCs w:val="18"/>
          <w:lang w:eastAsia="en-US" w:bidi="ar-SA"/>
        </w:rPr>
        <w:t xml:space="preserve">. </w:t>
      </w:r>
    </w:p>
    <w:p w14:paraId="206BF765" w14:textId="77777777" w:rsidR="00930244" w:rsidRPr="002310E5" w:rsidRDefault="00930244" w:rsidP="00930244">
      <w:pPr>
        <w:spacing w:before="180" w:after="60" w:line="264" w:lineRule="auto"/>
        <w:rPr>
          <w:szCs w:val="18"/>
          <w:lang w:eastAsia="en-US" w:bidi="ar-SA"/>
        </w:rPr>
      </w:pPr>
      <w:r w:rsidRPr="002310E5">
        <w:rPr>
          <w:szCs w:val="18"/>
          <w:lang w:eastAsia="en-US" w:bidi="ar-SA"/>
        </w:rPr>
        <w:t xml:space="preserve">The following </w:t>
      </w:r>
      <w:r>
        <w:rPr>
          <w:szCs w:val="18"/>
          <w:lang w:eastAsia="en-US" w:bidi="ar-SA"/>
        </w:rPr>
        <w:t>seven selective</w:t>
      </w:r>
      <w:r>
        <w:t xml:space="preserve"> </w:t>
      </w:r>
      <w:r w:rsidRPr="002310E5">
        <w:rPr>
          <w:szCs w:val="18"/>
          <w:lang w:eastAsia="en-US" w:bidi="ar-SA"/>
        </w:rPr>
        <w:t xml:space="preserve">examples illustrate the scale of transformational change now reshaping Australia’s power systems:  </w:t>
      </w:r>
    </w:p>
    <w:p w14:paraId="68FEB32F" w14:textId="54713300" w:rsidR="00930244" w:rsidRPr="002310E5" w:rsidRDefault="00930244" w:rsidP="00954BAC">
      <w:pPr>
        <w:numPr>
          <w:ilvl w:val="0"/>
          <w:numId w:val="74"/>
        </w:numPr>
        <w:spacing w:before="180" w:after="60" w:line="264" w:lineRule="auto"/>
        <w:rPr>
          <w:lang w:eastAsia="en-AU"/>
        </w:rPr>
      </w:pPr>
      <w:r w:rsidRPr="002310E5">
        <w:rPr>
          <w:lang w:eastAsia="en-AU"/>
        </w:rPr>
        <w:t xml:space="preserve">An escalating </w:t>
      </w:r>
      <w:r w:rsidRPr="002310E5">
        <w:rPr>
          <w:b/>
          <w:i/>
          <w:color w:val="013C4C" w:themeColor="accent1"/>
          <w:szCs w:val="18"/>
        </w:rPr>
        <w:t>locational</w:t>
      </w:r>
      <w:r>
        <w:rPr>
          <w:b/>
          <w:i/>
          <w:color w:val="013C4C" w:themeColor="accent1"/>
          <w:szCs w:val="18"/>
        </w:rPr>
        <w:t xml:space="preserve"> and operational </w:t>
      </w:r>
      <w:r w:rsidRPr="002310E5">
        <w:rPr>
          <w:b/>
          <w:i/>
          <w:color w:val="013C4C" w:themeColor="accent1"/>
          <w:szCs w:val="18"/>
        </w:rPr>
        <w:t>diversity</w:t>
      </w:r>
      <w:r w:rsidRPr="002310E5">
        <w:rPr>
          <w:b/>
          <w:color w:val="013C4C" w:themeColor="accent1"/>
          <w:szCs w:val="18"/>
        </w:rPr>
        <w:t xml:space="preserve"> </w:t>
      </w:r>
      <w:r w:rsidRPr="002310E5">
        <w:rPr>
          <w:lang w:eastAsia="en-AU"/>
        </w:rPr>
        <w:t>of energy resources</w:t>
      </w:r>
      <w:r>
        <w:rPr>
          <w:lang w:eastAsia="en-AU"/>
        </w:rPr>
        <w:t xml:space="preserve"> as the system moves from a</w:t>
      </w:r>
      <w:r w:rsidRPr="002310E5">
        <w:rPr>
          <w:lang w:eastAsia="en-AU"/>
        </w:rPr>
        <w:t xml:space="preserve"> past </w:t>
      </w:r>
      <w:r>
        <w:rPr>
          <w:lang w:eastAsia="en-AU"/>
        </w:rPr>
        <w:t>of</w:t>
      </w:r>
      <w:r w:rsidRPr="002310E5">
        <w:rPr>
          <w:lang w:eastAsia="en-AU"/>
        </w:rPr>
        <w:t xml:space="preserve"> hundreds of large, upstream </w:t>
      </w:r>
      <w:r>
        <w:rPr>
          <w:lang w:eastAsia="en-AU"/>
        </w:rPr>
        <w:t xml:space="preserve">merchant </w:t>
      </w:r>
      <w:r w:rsidRPr="002310E5">
        <w:rPr>
          <w:lang w:eastAsia="en-AU"/>
        </w:rPr>
        <w:t xml:space="preserve">resources to a future </w:t>
      </w:r>
      <w:r>
        <w:rPr>
          <w:lang w:eastAsia="en-AU"/>
        </w:rPr>
        <w:t xml:space="preserve">involving </w:t>
      </w:r>
      <w:r w:rsidRPr="00AD6E4D">
        <w:rPr>
          <w:b/>
          <w:i/>
          <w:color w:val="013C4C" w:themeColor="accent1"/>
          <w:szCs w:val="18"/>
        </w:rPr>
        <w:t>tens of millions of diverse technologies</w:t>
      </w:r>
      <w:r>
        <w:rPr>
          <w:lang w:eastAsia="en-AU"/>
        </w:rPr>
        <w:t xml:space="preserve"> </w:t>
      </w:r>
      <w:r w:rsidRPr="002310E5">
        <w:rPr>
          <w:lang w:eastAsia="en-AU"/>
        </w:rPr>
        <w:t>participating across all tiers/layers of the system</w:t>
      </w:r>
      <w:r w:rsidR="0043750A">
        <w:rPr>
          <w:lang w:eastAsia="en-AU"/>
        </w:rPr>
        <w:t>.</w:t>
      </w:r>
    </w:p>
    <w:p w14:paraId="0E2CF595" w14:textId="15BE6EA1" w:rsidR="00930244" w:rsidRPr="002310E5" w:rsidRDefault="00930244" w:rsidP="00954BAC">
      <w:pPr>
        <w:numPr>
          <w:ilvl w:val="0"/>
          <w:numId w:val="74"/>
        </w:numPr>
        <w:spacing w:before="180" w:after="60" w:line="264" w:lineRule="auto"/>
        <w:rPr>
          <w:lang w:eastAsia="en-AU"/>
        </w:rPr>
      </w:pPr>
      <w:r w:rsidRPr="002310E5">
        <w:rPr>
          <w:szCs w:val="18"/>
        </w:rPr>
        <w:t xml:space="preserve">Increasing </w:t>
      </w:r>
      <w:r w:rsidRPr="00AD6E4D">
        <w:rPr>
          <w:b/>
          <w:i/>
          <w:iCs/>
          <w:color w:val="013C4C" w:themeColor="accent1"/>
          <w:szCs w:val="18"/>
        </w:rPr>
        <w:t>whole-</w:t>
      </w:r>
      <w:r>
        <w:rPr>
          <w:b/>
          <w:i/>
          <w:iCs/>
          <w:color w:val="013C4C" w:themeColor="accent1"/>
          <w:szCs w:val="18"/>
        </w:rPr>
        <w:t xml:space="preserve">system dynamics </w:t>
      </w:r>
      <w:r>
        <w:rPr>
          <w:szCs w:val="18"/>
        </w:rPr>
        <w:t>as dispatchable</w:t>
      </w:r>
      <w:r w:rsidRPr="002310E5">
        <w:rPr>
          <w:szCs w:val="18"/>
        </w:rPr>
        <w:t xml:space="preserve">, synchronous generation is </w:t>
      </w:r>
      <w:r>
        <w:rPr>
          <w:szCs w:val="18"/>
        </w:rPr>
        <w:t xml:space="preserve">progressively </w:t>
      </w:r>
      <w:r w:rsidRPr="002310E5">
        <w:rPr>
          <w:szCs w:val="18"/>
        </w:rPr>
        <w:t>withdrawn</w:t>
      </w:r>
      <w:r>
        <w:rPr>
          <w:szCs w:val="18"/>
        </w:rPr>
        <w:t xml:space="preserve"> and an </w:t>
      </w:r>
      <w:r w:rsidRPr="002310E5">
        <w:rPr>
          <w:szCs w:val="18"/>
        </w:rPr>
        <w:t>ever</w:t>
      </w:r>
      <w:r>
        <w:rPr>
          <w:szCs w:val="18"/>
        </w:rPr>
        <w:t xml:space="preserve">-increasing </w:t>
      </w:r>
      <w:r w:rsidRPr="002310E5">
        <w:rPr>
          <w:szCs w:val="18"/>
        </w:rPr>
        <w:t xml:space="preserve">proportion of </w:t>
      </w:r>
      <w:r>
        <w:rPr>
          <w:szCs w:val="18"/>
        </w:rPr>
        <w:t xml:space="preserve">net </w:t>
      </w:r>
      <w:r w:rsidRPr="002310E5">
        <w:rPr>
          <w:szCs w:val="18"/>
        </w:rPr>
        <w:t>generation</w:t>
      </w:r>
      <w:r>
        <w:rPr>
          <w:szCs w:val="18"/>
        </w:rPr>
        <w:t xml:space="preserve"> capacity is provided by </w:t>
      </w:r>
      <w:r w:rsidRPr="002310E5">
        <w:rPr>
          <w:b/>
          <w:i/>
          <w:iCs/>
          <w:color w:val="013C4C" w:themeColor="accent1"/>
          <w:szCs w:val="18"/>
        </w:rPr>
        <w:t>variable</w:t>
      </w:r>
      <w:r w:rsidRPr="002310E5">
        <w:rPr>
          <w:i/>
          <w:iCs/>
          <w:szCs w:val="18"/>
        </w:rPr>
        <w:t xml:space="preserve">, </w:t>
      </w:r>
      <w:r w:rsidRPr="002310E5">
        <w:rPr>
          <w:b/>
          <w:i/>
          <w:iCs/>
          <w:color w:val="013C4C" w:themeColor="accent1"/>
          <w:szCs w:val="18"/>
        </w:rPr>
        <w:t>inverter-based resources</w:t>
      </w:r>
      <w:r w:rsidR="0043750A">
        <w:rPr>
          <w:b/>
          <w:i/>
          <w:iCs/>
          <w:color w:val="013C4C" w:themeColor="accent1"/>
          <w:szCs w:val="18"/>
        </w:rPr>
        <w:t>.</w:t>
      </w:r>
    </w:p>
    <w:p w14:paraId="6DD610FF" w14:textId="6BB2AB1E" w:rsidR="00930244" w:rsidRPr="002310E5" w:rsidRDefault="00930244" w:rsidP="00954BAC">
      <w:pPr>
        <w:numPr>
          <w:ilvl w:val="0"/>
          <w:numId w:val="74"/>
        </w:numPr>
        <w:spacing w:before="180" w:after="60" w:line="264" w:lineRule="auto"/>
        <w:rPr>
          <w:lang w:eastAsia="en-AU"/>
        </w:rPr>
      </w:pPr>
      <w:r w:rsidRPr="00A62B2E">
        <w:rPr>
          <w:szCs w:val="18"/>
        </w:rPr>
        <w:t>Structural shifts in</w:t>
      </w:r>
      <w:r w:rsidRPr="002310E5">
        <w:rPr>
          <w:b/>
          <w:i/>
          <w:color w:val="013C4C" w:themeColor="accent1"/>
          <w:szCs w:val="18"/>
        </w:rPr>
        <w:t xml:space="preserve"> customer demand</w:t>
      </w:r>
      <w:r>
        <w:rPr>
          <w:b/>
          <w:i/>
          <w:color w:val="013C4C" w:themeColor="accent1"/>
          <w:szCs w:val="18"/>
        </w:rPr>
        <w:t xml:space="preserve">, </w:t>
      </w:r>
      <w:r w:rsidRPr="002310E5">
        <w:rPr>
          <w:b/>
          <w:i/>
          <w:color w:val="013C4C" w:themeColor="accent1"/>
          <w:szCs w:val="18"/>
        </w:rPr>
        <w:t>variability</w:t>
      </w:r>
      <w:r>
        <w:rPr>
          <w:b/>
          <w:i/>
          <w:color w:val="013C4C" w:themeColor="accent1"/>
          <w:szCs w:val="18"/>
        </w:rPr>
        <w:t xml:space="preserve"> and predictability</w:t>
      </w:r>
      <w:r>
        <w:rPr>
          <w:szCs w:val="18"/>
        </w:rPr>
        <w:t xml:space="preserve"> are being driven by</w:t>
      </w:r>
      <w:r w:rsidRPr="002310E5">
        <w:rPr>
          <w:szCs w:val="18"/>
        </w:rPr>
        <w:t xml:space="preserve"> the mass deployment of </w:t>
      </w:r>
      <w:r>
        <w:rPr>
          <w:szCs w:val="18"/>
        </w:rPr>
        <w:t xml:space="preserve">distribution-connected CER/DER and </w:t>
      </w:r>
      <w:r w:rsidRPr="002310E5">
        <w:rPr>
          <w:szCs w:val="18"/>
        </w:rPr>
        <w:t>compounded</w:t>
      </w:r>
      <w:r>
        <w:rPr>
          <w:szCs w:val="18"/>
        </w:rPr>
        <w:t xml:space="preserve"> by the electrification of transport, industrial processes and data centres</w:t>
      </w:r>
      <w:r w:rsidR="0043750A">
        <w:rPr>
          <w:szCs w:val="18"/>
        </w:rPr>
        <w:t>.</w:t>
      </w:r>
    </w:p>
    <w:p w14:paraId="4856E57F" w14:textId="405B96D5" w:rsidR="00930244" w:rsidRPr="002310E5" w:rsidRDefault="00930244" w:rsidP="00954BAC">
      <w:pPr>
        <w:numPr>
          <w:ilvl w:val="0"/>
          <w:numId w:val="74"/>
        </w:numPr>
        <w:spacing w:before="180" w:after="60" w:line="264" w:lineRule="auto"/>
        <w:rPr>
          <w:lang w:eastAsia="en-AU"/>
        </w:rPr>
      </w:pPr>
      <w:r w:rsidRPr="00961A72">
        <w:rPr>
          <w:szCs w:val="18"/>
        </w:rPr>
        <w:t xml:space="preserve">The </w:t>
      </w:r>
      <w:r w:rsidRPr="00653A11">
        <w:rPr>
          <w:b/>
          <w:i/>
          <w:color w:val="013C4C" w:themeColor="accent1"/>
          <w:szCs w:val="18"/>
        </w:rPr>
        <w:t>erosion of</w:t>
      </w:r>
      <w:r w:rsidRPr="00961A72">
        <w:rPr>
          <w:b/>
          <w:i/>
          <w:color w:val="013C4C" w:themeColor="accent1"/>
          <w:szCs w:val="18"/>
        </w:rPr>
        <w:t xml:space="preserve"> once-dominant </w:t>
      </w:r>
      <w:r>
        <w:rPr>
          <w:b/>
          <w:i/>
          <w:color w:val="013C4C" w:themeColor="accent1"/>
          <w:szCs w:val="18"/>
        </w:rPr>
        <w:t xml:space="preserve">operational </w:t>
      </w:r>
      <w:r w:rsidRPr="00961A72">
        <w:rPr>
          <w:b/>
          <w:i/>
          <w:color w:val="013C4C" w:themeColor="accent1"/>
          <w:szCs w:val="18"/>
        </w:rPr>
        <w:t>paradigms</w:t>
      </w:r>
      <w:r w:rsidRPr="00961A72">
        <w:rPr>
          <w:szCs w:val="18"/>
        </w:rPr>
        <w:t xml:space="preserve">, such as </w:t>
      </w:r>
      <w:r>
        <w:rPr>
          <w:szCs w:val="18"/>
        </w:rPr>
        <w:t xml:space="preserve">a strict </w:t>
      </w:r>
      <w:r w:rsidRPr="00961A72">
        <w:rPr>
          <w:szCs w:val="18"/>
        </w:rPr>
        <w:t>‘supply-side/demand-side bifurcation</w:t>
      </w:r>
      <w:r>
        <w:rPr>
          <w:szCs w:val="18"/>
        </w:rPr>
        <w:t>’</w:t>
      </w:r>
      <w:r w:rsidRPr="00961A72">
        <w:rPr>
          <w:szCs w:val="18"/>
        </w:rPr>
        <w:t xml:space="preserve"> and</w:t>
      </w:r>
      <w:r>
        <w:rPr>
          <w:szCs w:val="18"/>
        </w:rPr>
        <w:t xml:space="preserve"> the universal</w:t>
      </w:r>
      <w:r w:rsidRPr="00961A72">
        <w:rPr>
          <w:szCs w:val="18"/>
        </w:rPr>
        <w:t xml:space="preserve"> ‘load-following </w:t>
      </w:r>
      <w:r>
        <w:rPr>
          <w:szCs w:val="18"/>
        </w:rPr>
        <w:t>operational paradigm’</w:t>
      </w:r>
      <w:r w:rsidRPr="00961A72">
        <w:rPr>
          <w:szCs w:val="18"/>
        </w:rPr>
        <w:t xml:space="preserve">, both inherent to the </w:t>
      </w:r>
      <w:r>
        <w:rPr>
          <w:szCs w:val="18"/>
        </w:rPr>
        <w:t xml:space="preserve">functioning of a </w:t>
      </w:r>
      <w:r w:rsidRPr="00961A72">
        <w:rPr>
          <w:szCs w:val="18"/>
        </w:rPr>
        <w:t>unidirectional power system</w:t>
      </w:r>
      <w:r w:rsidR="0043750A">
        <w:rPr>
          <w:szCs w:val="18"/>
        </w:rPr>
        <w:t>.</w:t>
      </w:r>
    </w:p>
    <w:p w14:paraId="48AF117A" w14:textId="4BA3DD89" w:rsidR="00930244" w:rsidRPr="00AD6E4D" w:rsidRDefault="00930244" w:rsidP="00954BAC">
      <w:pPr>
        <w:numPr>
          <w:ilvl w:val="0"/>
          <w:numId w:val="74"/>
        </w:numPr>
        <w:spacing w:before="180" w:after="60" w:line="264" w:lineRule="auto"/>
        <w:rPr>
          <w:lang w:eastAsia="en-AU"/>
        </w:rPr>
      </w:pPr>
      <w:r>
        <w:rPr>
          <w:szCs w:val="18"/>
        </w:rPr>
        <w:t xml:space="preserve">With the progressive withdrawal of </w:t>
      </w:r>
      <w:r w:rsidRPr="008503A7">
        <w:rPr>
          <w:szCs w:val="18"/>
        </w:rPr>
        <w:t>dispatchable, synchronous generation</w:t>
      </w:r>
      <w:r>
        <w:rPr>
          <w:szCs w:val="18"/>
        </w:rPr>
        <w:t xml:space="preserve">, </w:t>
      </w:r>
      <w:r>
        <w:rPr>
          <w:b/>
          <w:i/>
          <w:color w:val="013C4C" w:themeColor="accent1"/>
          <w:szCs w:val="18"/>
        </w:rPr>
        <w:t>coordinated n</w:t>
      </w:r>
      <w:r w:rsidRPr="008503A7">
        <w:rPr>
          <w:b/>
          <w:i/>
          <w:color w:val="013C4C" w:themeColor="accent1"/>
          <w:szCs w:val="18"/>
        </w:rPr>
        <w:t>ew sources of system flexibility, buffering and ancillary services</w:t>
      </w:r>
      <w:r w:rsidRPr="008503A7">
        <w:rPr>
          <w:b/>
          <w:color w:val="013C4C" w:themeColor="accent1"/>
          <w:szCs w:val="18"/>
        </w:rPr>
        <w:t xml:space="preserve"> </w:t>
      </w:r>
      <w:r>
        <w:rPr>
          <w:szCs w:val="18"/>
        </w:rPr>
        <w:t>located o</w:t>
      </w:r>
      <w:r w:rsidRPr="008503A7">
        <w:rPr>
          <w:szCs w:val="18"/>
        </w:rPr>
        <w:t>n both sides of Transmission-Distribution Interface (TDI)</w:t>
      </w:r>
      <w:r>
        <w:rPr>
          <w:szCs w:val="18"/>
        </w:rPr>
        <w:t xml:space="preserve"> are increasingly required</w:t>
      </w:r>
      <w:r w:rsidR="0043750A">
        <w:rPr>
          <w:szCs w:val="18"/>
        </w:rPr>
        <w:t>.</w:t>
      </w:r>
    </w:p>
    <w:p w14:paraId="7F3E5513" w14:textId="19B6265E" w:rsidR="00930244" w:rsidRPr="00AD6E4D" w:rsidRDefault="00930244" w:rsidP="00954BAC">
      <w:pPr>
        <w:numPr>
          <w:ilvl w:val="0"/>
          <w:numId w:val="74"/>
        </w:numPr>
        <w:spacing w:before="180" w:after="60" w:line="264" w:lineRule="auto"/>
        <w:rPr>
          <w:szCs w:val="18"/>
        </w:rPr>
      </w:pPr>
      <w:r>
        <w:rPr>
          <w:szCs w:val="18"/>
        </w:rPr>
        <w:t xml:space="preserve">An </w:t>
      </w:r>
      <w:r w:rsidRPr="00AD6E4D">
        <w:rPr>
          <w:b/>
          <w:i/>
          <w:color w:val="013C4C" w:themeColor="accent1"/>
          <w:szCs w:val="18"/>
        </w:rPr>
        <w:t xml:space="preserve">expanding </w:t>
      </w:r>
      <w:r>
        <w:rPr>
          <w:b/>
          <w:i/>
          <w:color w:val="013C4C" w:themeColor="accent1"/>
          <w:szCs w:val="18"/>
        </w:rPr>
        <w:t>set</w:t>
      </w:r>
      <w:r w:rsidRPr="00AD6E4D">
        <w:rPr>
          <w:b/>
          <w:i/>
          <w:color w:val="013C4C" w:themeColor="accent1"/>
          <w:szCs w:val="18"/>
        </w:rPr>
        <w:t xml:space="preserve"> of operational responsibilities</w:t>
      </w:r>
      <w:r w:rsidRPr="00503421">
        <w:rPr>
          <w:szCs w:val="18"/>
        </w:rPr>
        <w:t xml:space="preserve"> </w:t>
      </w:r>
      <w:r w:rsidRPr="00AD6E4D">
        <w:rPr>
          <w:szCs w:val="18"/>
        </w:rPr>
        <w:t>must be coordinated</w:t>
      </w:r>
      <w:r>
        <w:rPr>
          <w:b/>
          <w:i/>
          <w:color w:val="013C4C" w:themeColor="accent1"/>
          <w:szCs w:val="18"/>
        </w:rPr>
        <w:t xml:space="preserve"> across several </w:t>
      </w:r>
      <w:r w:rsidRPr="00AD6E4D">
        <w:rPr>
          <w:b/>
          <w:i/>
          <w:color w:val="013C4C" w:themeColor="accent1"/>
          <w:szCs w:val="18"/>
        </w:rPr>
        <w:t>different entities</w:t>
      </w:r>
      <w:r>
        <w:rPr>
          <w:szCs w:val="18"/>
        </w:rPr>
        <w:t xml:space="preserve">, including AEMO, TNSPs, DSOs and large </w:t>
      </w:r>
      <w:r w:rsidRPr="00AD6E4D">
        <w:rPr>
          <w:szCs w:val="18"/>
        </w:rPr>
        <w:t>third-parties</w:t>
      </w:r>
      <w:r>
        <w:rPr>
          <w:szCs w:val="18"/>
        </w:rPr>
        <w:t xml:space="preserve"> that are increasingly </w:t>
      </w:r>
      <w:r w:rsidRPr="00AD6E4D">
        <w:rPr>
          <w:szCs w:val="18"/>
        </w:rPr>
        <w:t xml:space="preserve">capable of influencing system </w:t>
      </w:r>
      <w:r>
        <w:rPr>
          <w:szCs w:val="18"/>
        </w:rPr>
        <w:t xml:space="preserve">stability, either </w:t>
      </w:r>
      <w:r w:rsidRPr="00AD6E4D">
        <w:rPr>
          <w:bCs/>
          <w:szCs w:val="18"/>
        </w:rPr>
        <w:t>directly or indirectly</w:t>
      </w:r>
      <w:r w:rsidR="0043750A">
        <w:rPr>
          <w:szCs w:val="18"/>
        </w:rPr>
        <w:t xml:space="preserve">. </w:t>
      </w:r>
    </w:p>
    <w:p w14:paraId="1552BF5A" w14:textId="77777777" w:rsidR="00930244" w:rsidRPr="002310E5" w:rsidRDefault="00930244" w:rsidP="00954BAC">
      <w:pPr>
        <w:numPr>
          <w:ilvl w:val="0"/>
          <w:numId w:val="74"/>
        </w:numPr>
        <w:spacing w:before="180" w:after="60" w:line="264" w:lineRule="auto"/>
        <w:rPr>
          <w:lang w:eastAsia="en-AU"/>
        </w:rPr>
      </w:pPr>
      <w:r>
        <w:rPr>
          <w:lang w:eastAsia="en-AU"/>
        </w:rPr>
        <w:t>An i</w:t>
      </w:r>
      <w:r w:rsidRPr="002310E5">
        <w:rPr>
          <w:lang w:eastAsia="en-AU"/>
        </w:rPr>
        <w:t xml:space="preserve">ncreasing need for </w:t>
      </w:r>
      <w:r>
        <w:rPr>
          <w:b/>
          <w:i/>
          <w:color w:val="013C4C" w:themeColor="accent1"/>
          <w:szCs w:val="18"/>
        </w:rPr>
        <w:t xml:space="preserve">whole-system </w:t>
      </w:r>
      <w:r w:rsidRPr="002310E5">
        <w:rPr>
          <w:b/>
          <w:i/>
          <w:color w:val="013C4C" w:themeColor="accent1"/>
          <w:szCs w:val="18"/>
        </w:rPr>
        <w:t xml:space="preserve">digitalisation </w:t>
      </w:r>
      <w:r w:rsidRPr="00932D24">
        <w:rPr>
          <w:b/>
          <w:i/>
          <w:color w:val="013C4C" w:themeColor="accent1"/>
          <w:szCs w:val="18"/>
        </w:rPr>
        <w:t xml:space="preserve">of </w:t>
      </w:r>
      <w:r>
        <w:rPr>
          <w:b/>
          <w:i/>
          <w:color w:val="013C4C" w:themeColor="accent1"/>
          <w:szCs w:val="18"/>
        </w:rPr>
        <w:t>power system</w:t>
      </w:r>
      <w:r w:rsidRPr="002310E5">
        <w:rPr>
          <w:lang w:eastAsia="en-AU"/>
        </w:rPr>
        <w:t xml:space="preserve"> to enable </w:t>
      </w:r>
      <w:r>
        <w:rPr>
          <w:lang w:eastAsia="en-AU"/>
        </w:rPr>
        <w:t xml:space="preserve">alignment across multiple upstream and downstream entities, enable </w:t>
      </w:r>
      <w:r w:rsidRPr="002310E5">
        <w:rPr>
          <w:lang w:eastAsia="en-AU"/>
        </w:rPr>
        <w:t xml:space="preserve">advanced operational </w:t>
      </w:r>
      <w:r>
        <w:rPr>
          <w:lang w:eastAsia="en-AU"/>
        </w:rPr>
        <w:t>visibility and coordination, and reduce traditional i</w:t>
      </w:r>
      <w:r w:rsidRPr="002310E5">
        <w:rPr>
          <w:lang w:eastAsia="en-AU"/>
        </w:rPr>
        <w:t xml:space="preserve">nfrastructure overbuild risks. </w:t>
      </w:r>
    </w:p>
    <w:p w14:paraId="75608BE3" w14:textId="678E4306" w:rsidR="00314E47" w:rsidRDefault="000946D0" w:rsidP="00930244">
      <w:pPr>
        <w:spacing w:before="120" w:after="120" w:line="264" w:lineRule="auto"/>
        <w:rPr>
          <w:szCs w:val="18"/>
          <w:lang w:eastAsia="en-US" w:bidi="ar-SA"/>
        </w:rPr>
      </w:pPr>
      <w:r>
        <w:rPr>
          <w:szCs w:val="18"/>
          <w:lang w:eastAsia="en-US" w:bidi="ar-SA"/>
        </w:rPr>
        <w:t xml:space="preserve">After </w:t>
      </w:r>
      <w:r w:rsidR="006A668D">
        <w:rPr>
          <w:szCs w:val="18"/>
          <w:lang w:eastAsia="en-US" w:bidi="ar-SA"/>
        </w:rPr>
        <w:t xml:space="preserve">many decades of </w:t>
      </w:r>
      <w:r w:rsidR="00A047A7">
        <w:rPr>
          <w:szCs w:val="18"/>
          <w:lang w:eastAsia="en-US" w:bidi="ar-SA"/>
        </w:rPr>
        <w:t>relatively slow change</w:t>
      </w:r>
      <w:r>
        <w:rPr>
          <w:szCs w:val="18"/>
          <w:lang w:eastAsia="en-US" w:bidi="ar-SA"/>
        </w:rPr>
        <w:t xml:space="preserve">, </w:t>
      </w:r>
      <w:r w:rsidR="00C50B76">
        <w:rPr>
          <w:szCs w:val="18"/>
          <w:lang w:eastAsia="en-US" w:bidi="ar-SA"/>
        </w:rPr>
        <w:t xml:space="preserve">what is now </w:t>
      </w:r>
      <w:r w:rsidR="00054195">
        <w:rPr>
          <w:szCs w:val="18"/>
          <w:lang w:eastAsia="en-US" w:bidi="ar-SA"/>
        </w:rPr>
        <w:t xml:space="preserve">occurring in Australia involves </w:t>
      </w:r>
      <w:r w:rsidR="00B578A3">
        <w:rPr>
          <w:szCs w:val="18"/>
          <w:lang w:eastAsia="en-US" w:bidi="ar-SA"/>
        </w:rPr>
        <w:t>transformative shifts</w:t>
      </w:r>
      <w:r w:rsidR="00054195">
        <w:rPr>
          <w:szCs w:val="18"/>
          <w:lang w:eastAsia="en-US" w:bidi="ar-SA"/>
        </w:rPr>
        <w:t xml:space="preserve"> of a scale impossible for th</w:t>
      </w:r>
      <w:r w:rsidR="006E2131">
        <w:rPr>
          <w:szCs w:val="18"/>
          <w:lang w:eastAsia="en-US" w:bidi="ar-SA"/>
        </w:rPr>
        <w:t xml:space="preserve">e </w:t>
      </w:r>
      <w:r w:rsidR="006E2131" w:rsidRPr="0051289E">
        <w:rPr>
          <w:szCs w:val="18"/>
          <w:lang w:eastAsia="en-US" w:bidi="ar-SA"/>
        </w:rPr>
        <w:t>original</w:t>
      </w:r>
      <w:r w:rsidR="00054195">
        <w:rPr>
          <w:szCs w:val="18"/>
          <w:lang w:eastAsia="en-US" w:bidi="ar-SA"/>
        </w:rPr>
        <w:t xml:space="preserve"> </w:t>
      </w:r>
      <w:r w:rsidR="006E2131" w:rsidRPr="0051289E">
        <w:rPr>
          <w:szCs w:val="18"/>
          <w:lang w:eastAsia="en-US" w:bidi="ar-SA"/>
        </w:rPr>
        <w:t>architects</w:t>
      </w:r>
      <w:r>
        <w:rPr>
          <w:szCs w:val="18"/>
          <w:lang w:eastAsia="en-US" w:bidi="ar-SA"/>
        </w:rPr>
        <w:t xml:space="preserve"> of the system</w:t>
      </w:r>
      <w:r w:rsidR="00054195">
        <w:rPr>
          <w:szCs w:val="18"/>
          <w:lang w:eastAsia="en-US" w:bidi="ar-SA"/>
        </w:rPr>
        <w:t xml:space="preserve"> to anticipate</w:t>
      </w:r>
      <w:r w:rsidR="00374950">
        <w:rPr>
          <w:szCs w:val="18"/>
          <w:lang w:eastAsia="en-US" w:bidi="ar-SA"/>
        </w:rPr>
        <w:t xml:space="preserve">. </w:t>
      </w:r>
      <w:r w:rsidR="00060CE9">
        <w:rPr>
          <w:szCs w:val="18"/>
          <w:lang w:eastAsia="en-US" w:bidi="ar-SA"/>
        </w:rPr>
        <w:t xml:space="preserve">This </w:t>
      </w:r>
      <w:r>
        <w:rPr>
          <w:szCs w:val="18"/>
          <w:lang w:eastAsia="en-US" w:bidi="ar-SA"/>
        </w:rPr>
        <w:t xml:space="preserve">is a </w:t>
      </w:r>
      <w:r w:rsidR="00253E1A">
        <w:rPr>
          <w:szCs w:val="18"/>
          <w:lang w:eastAsia="en-US" w:bidi="ar-SA"/>
        </w:rPr>
        <w:t xml:space="preserve">scale of transformation that </w:t>
      </w:r>
      <w:r w:rsidR="00B52F1E">
        <w:rPr>
          <w:szCs w:val="18"/>
          <w:lang w:eastAsia="en-US" w:bidi="ar-SA"/>
        </w:rPr>
        <w:t>challenges</w:t>
      </w:r>
      <w:r w:rsidR="000678B1">
        <w:rPr>
          <w:szCs w:val="18"/>
          <w:lang w:eastAsia="en-US" w:bidi="ar-SA"/>
        </w:rPr>
        <w:t xml:space="preserve"> </w:t>
      </w:r>
      <w:r w:rsidR="00253E1A">
        <w:rPr>
          <w:szCs w:val="18"/>
          <w:lang w:eastAsia="en-US" w:bidi="ar-SA"/>
        </w:rPr>
        <w:t xml:space="preserve">the structural underpinnings of </w:t>
      </w:r>
      <w:r w:rsidR="00903FD5">
        <w:rPr>
          <w:szCs w:val="18"/>
          <w:lang w:eastAsia="en-US" w:bidi="ar-SA"/>
        </w:rPr>
        <w:t>the system itself.</w:t>
      </w:r>
    </w:p>
    <w:p w14:paraId="0636CF62" w14:textId="4639178F" w:rsidR="00B02FD0" w:rsidRDefault="005F4CC4" w:rsidP="006A03B3">
      <w:pPr>
        <w:spacing w:before="120" w:after="120" w:line="264" w:lineRule="auto"/>
        <w:rPr>
          <w:szCs w:val="18"/>
          <w:lang w:eastAsia="en-US" w:bidi="ar-SA"/>
        </w:rPr>
      </w:pPr>
      <w:r>
        <w:rPr>
          <w:szCs w:val="18"/>
          <w:lang w:eastAsia="en-US" w:bidi="ar-SA"/>
        </w:rPr>
        <w:t xml:space="preserve">The study of emerging trends and development of </w:t>
      </w:r>
      <w:r w:rsidR="00F6050A" w:rsidRPr="006A03B3">
        <w:rPr>
          <w:szCs w:val="18"/>
          <w:lang w:eastAsia="en-US" w:bidi="ar-SA"/>
        </w:rPr>
        <w:t>use case libraries</w:t>
      </w:r>
      <w:r>
        <w:rPr>
          <w:szCs w:val="18"/>
          <w:lang w:eastAsia="en-US" w:bidi="ar-SA"/>
        </w:rPr>
        <w:t xml:space="preserve"> </w:t>
      </w:r>
      <w:r w:rsidR="003109E7">
        <w:rPr>
          <w:szCs w:val="18"/>
          <w:lang w:eastAsia="en-US" w:bidi="ar-SA"/>
        </w:rPr>
        <w:t xml:space="preserve">is </w:t>
      </w:r>
      <w:r>
        <w:rPr>
          <w:szCs w:val="18"/>
          <w:lang w:eastAsia="en-US" w:bidi="ar-SA"/>
        </w:rPr>
        <w:t>useful at such times</w:t>
      </w:r>
      <w:r w:rsidR="00374950">
        <w:rPr>
          <w:szCs w:val="18"/>
          <w:lang w:eastAsia="en-US" w:bidi="ar-SA"/>
        </w:rPr>
        <w:t xml:space="preserve">. </w:t>
      </w:r>
      <w:r w:rsidR="00604A7C">
        <w:rPr>
          <w:szCs w:val="18"/>
          <w:lang w:eastAsia="en-US" w:bidi="ar-SA"/>
        </w:rPr>
        <w:t xml:space="preserve">However, being inherently focused on </w:t>
      </w:r>
      <w:r w:rsidR="003109E7">
        <w:rPr>
          <w:szCs w:val="18"/>
          <w:lang w:eastAsia="en-US" w:bidi="ar-SA"/>
        </w:rPr>
        <w:t xml:space="preserve">specific </w:t>
      </w:r>
      <w:r w:rsidR="00604A7C">
        <w:rPr>
          <w:szCs w:val="18"/>
          <w:lang w:eastAsia="en-US" w:bidi="ar-SA"/>
        </w:rPr>
        <w:t xml:space="preserve">elements of </w:t>
      </w:r>
      <w:r w:rsidR="006028E3">
        <w:rPr>
          <w:szCs w:val="18"/>
          <w:lang w:eastAsia="en-US" w:bidi="ar-SA"/>
        </w:rPr>
        <w:t>the wider</w:t>
      </w:r>
      <w:r w:rsidR="00604A7C">
        <w:rPr>
          <w:szCs w:val="18"/>
          <w:lang w:eastAsia="en-US" w:bidi="ar-SA"/>
        </w:rPr>
        <w:t xml:space="preserve"> transformation, they </w:t>
      </w:r>
      <w:r w:rsidR="00D90AB2">
        <w:rPr>
          <w:szCs w:val="18"/>
          <w:lang w:eastAsia="en-US" w:bidi="ar-SA"/>
        </w:rPr>
        <w:t xml:space="preserve">struggle to encapsulate the </w:t>
      </w:r>
      <w:r w:rsidR="00561DBC">
        <w:rPr>
          <w:szCs w:val="18"/>
          <w:lang w:eastAsia="en-US" w:bidi="ar-SA"/>
        </w:rPr>
        <w:t>overarching c</w:t>
      </w:r>
      <w:r w:rsidR="00D90AB2">
        <w:rPr>
          <w:szCs w:val="18"/>
          <w:lang w:eastAsia="en-US" w:bidi="ar-SA"/>
        </w:rPr>
        <w:t xml:space="preserve">urrents of transformative change </w:t>
      </w:r>
      <w:r w:rsidR="00561DBC">
        <w:rPr>
          <w:szCs w:val="18"/>
          <w:lang w:eastAsia="en-US" w:bidi="ar-SA"/>
        </w:rPr>
        <w:t xml:space="preserve">impacting </w:t>
      </w:r>
      <w:r w:rsidR="00D90AB2">
        <w:rPr>
          <w:szCs w:val="18"/>
          <w:lang w:eastAsia="en-US" w:bidi="ar-SA"/>
        </w:rPr>
        <w:t>such a large, complex system</w:t>
      </w:r>
      <w:r w:rsidR="00374950">
        <w:rPr>
          <w:szCs w:val="18"/>
          <w:lang w:eastAsia="en-US" w:bidi="ar-SA"/>
        </w:rPr>
        <w:t xml:space="preserve">. </w:t>
      </w:r>
      <w:r w:rsidR="00545256">
        <w:rPr>
          <w:szCs w:val="18"/>
          <w:lang w:eastAsia="en-US" w:bidi="ar-SA"/>
        </w:rPr>
        <w:t>By</w:t>
      </w:r>
      <w:r w:rsidR="00561DBC">
        <w:rPr>
          <w:szCs w:val="18"/>
          <w:lang w:eastAsia="en-US" w:bidi="ar-SA"/>
        </w:rPr>
        <w:t xml:space="preserve"> themselves, they tend to inform </w:t>
      </w:r>
      <w:r w:rsidR="00545256">
        <w:rPr>
          <w:szCs w:val="18"/>
          <w:lang w:eastAsia="en-US" w:bidi="ar-SA"/>
        </w:rPr>
        <w:t xml:space="preserve">more ‘issue-in-isolation’ problem solving. </w:t>
      </w:r>
    </w:p>
    <w:p w14:paraId="79F1B336" w14:textId="5DF2984F" w:rsidR="00DE51EC" w:rsidRPr="002D4F43" w:rsidRDefault="00B02FD0" w:rsidP="00904193">
      <w:pPr>
        <w:spacing w:before="120" w:after="120"/>
        <w:rPr>
          <w:szCs w:val="18"/>
          <w:lang w:eastAsia="en-US" w:bidi="ar-SA"/>
        </w:rPr>
      </w:pPr>
      <w:r w:rsidRPr="002D4F43">
        <w:rPr>
          <w:szCs w:val="18"/>
          <w:lang w:eastAsia="en-US" w:bidi="ar-SA"/>
        </w:rPr>
        <w:t>Consistent with</w:t>
      </w:r>
      <w:r w:rsidR="00313D01">
        <w:rPr>
          <w:szCs w:val="18"/>
          <w:lang w:eastAsia="en-US" w:bidi="ar-SA"/>
        </w:rPr>
        <w:t xml:space="preserve"> Systems Engineering</w:t>
      </w:r>
      <w:r w:rsidRPr="002D4F43">
        <w:rPr>
          <w:szCs w:val="18"/>
          <w:lang w:eastAsia="en-US" w:bidi="ar-SA"/>
        </w:rPr>
        <w:t xml:space="preserve"> practice, </w:t>
      </w:r>
      <w:r w:rsidR="00D06AD3" w:rsidRPr="002D4F43">
        <w:rPr>
          <w:szCs w:val="18"/>
          <w:lang w:eastAsia="en-US" w:bidi="ar-SA"/>
        </w:rPr>
        <w:t xml:space="preserve">however, an </w:t>
      </w:r>
      <w:r w:rsidR="00F1785C" w:rsidRPr="002D4F43">
        <w:rPr>
          <w:szCs w:val="18"/>
          <w:lang w:eastAsia="en-US" w:bidi="ar-SA"/>
        </w:rPr>
        <w:t xml:space="preserve">additional step of identifying a </w:t>
      </w:r>
      <w:r w:rsidR="00D03F10">
        <w:rPr>
          <w:szCs w:val="18"/>
          <w:lang w:eastAsia="en-US" w:bidi="ar-SA"/>
        </w:rPr>
        <w:t>limited</w:t>
      </w:r>
      <w:r w:rsidR="00444030" w:rsidRPr="002D4F43">
        <w:rPr>
          <w:szCs w:val="18"/>
          <w:lang w:eastAsia="en-US" w:bidi="ar-SA"/>
        </w:rPr>
        <w:t xml:space="preserve"> set of </w:t>
      </w:r>
      <w:r w:rsidR="006A03B3" w:rsidRPr="002D4F43">
        <w:rPr>
          <w:i/>
          <w:iCs/>
          <w:szCs w:val="18"/>
          <w:lang w:eastAsia="en-US" w:bidi="ar-SA"/>
        </w:rPr>
        <w:t>Systemic Issues</w:t>
      </w:r>
      <w:r w:rsidR="006A03B3" w:rsidRPr="002D4F43">
        <w:rPr>
          <w:szCs w:val="18"/>
          <w:lang w:eastAsia="en-US" w:bidi="ar-SA"/>
        </w:rPr>
        <w:t xml:space="preserve"> </w:t>
      </w:r>
      <w:r w:rsidR="00444030" w:rsidRPr="002D4F43">
        <w:rPr>
          <w:szCs w:val="18"/>
          <w:lang w:eastAsia="en-US" w:bidi="ar-SA"/>
        </w:rPr>
        <w:t xml:space="preserve">provides a </w:t>
      </w:r>
      <w:r w:rsidR="006A03B3" w:rsidRPr="002D4F43">
        <w:rPr>
          <w:szCs w:val="18"/>
          <w:lang w:eastAsia="en-US" w:bidi="ar-SA"/>
        </w:rPr>
        <w:t>powerful</w:t>
      </w:r>
      <w:r w:rsidR="00D06AD3" w:rsidRPr="002D4F43">
        <w:rPr>
          <w:szCs w:val="18"/>
          <w:lang w:eastAsia="en-US" w:bidi="ar-SA"/>
        </w:rPr>
        <w:t xml:space="preserve"> and </w:t>
      </w:r>
      <w:r w:rsidR="006A03B3" w:rsidRPr="002D4F43">
        <w:rPr>
          <w:szCs w:val="18"/>
          <w:lang w:eastAsia="en-US" w:bidi="ar-SA"/>
        </w:rPr>
        <w:t xml:space="preserve">holistic approach to problem definition in </w:t>
      </w:r>
      <w:r w:rsidR="001149BA" w:rsidRPr="002D4F43">
        <w:rPr>
          <w:szCs w:val="18"/>
          <w:lang w:eastAsia="en-US" w:bidi="ar-SA"/>
        </w:rPr>
        <w:t xml:space="preserve">a </w:t>
      </w:r>
      <w:r w:rsidR="006A03B3" w:rsidRPr="002D4F43">
        <w:rPr>
          <w:szCs w:val="18"/>
          <w:lang w:eastAsia="en-US" w:bidi="ar-SA"/>
        </w:rPr>
        <w:t xml:space="preserve">complex, </w:t>
      </w:r>
      <w:r w:rsidR="001149BA" w:rsidRPr="002D4F43">
        <w:rPr>
          <w:szCs w:val="18"/>
          <w:lang w:eastAsia="en-US" w:bidi="ar-SA"/>
        </w:rPr>
        <w:t>transforming system</w:t>
      </w:r>
      <w:r w:rsidR="00374950">
        <w:rPr>
          <w:szCs w:val="18"/>
          <w:lang w:eastAsia="en-US" w:bidi="ar-SA"/>
        </w:rPr>
        <w:t xml:space="preserve">. </w:t>
      </w:r>
      <w:r w:rsidR="007D218A" w:rsidRPr="002D4F43">
        <w:rPr>
          <w:szCs w:val="18"/>
          <w:lang w:eastAsia="en-US" w:bidi="ar-SA"/>
        </w:rPr>
        <w:t xml:space="preserve">It enables </w:t>
      </w:r>
      <w:r w:rsidR="00385EC6" w:rsidRPr="002D4F43">
        <w:rPr>
          <w:szCs w:val="18"/>
          <w:lang w:eastAsia="en-US" w:bidi="ar-SA"/>
        </w:rPr>
        <w:t xml:space="preserve">stakeholders to move from dozens of </w:t>
      </w:r>
      <w:r w:rsidR="001149BA" w:rsidRPr="002D4F43">
        <w:rPr>
          <w:szCs w:val="18"/>
          <w:lang w:eastAsia="en-US" w:bidi="ar-SA"/>
        </w:rPr>
        <w:t xml:space="preserve">individual </w:t>
      </w:r>
      <w:r w:rsidR="00385EC6" w:rsidRPr="002D4F43">
        <w:rPr>
          <w:szCs w:val="18"/>
          <w:lang w:eastAsia="en-US" w:bidi="ar-SA"/>
        </w:rPr>
        <w:t>drivers of change</w:t>
      </w:r>
      <w:r w:rsidR="001149BA" w:rsidRPr="002D4F43">
        <w:rPr>
          <w:szCs w:val="18"/>
          <w:lang w:eastAsia="en-US" w:bidi="ar-SA"/>
        </w:rPr>
        <w:t>,</w:t>
      </w:r>
      <w:r w:rsidR="00D208FA" w:rsidRPr="002D4F43">
        <w:rPr>
          <w:szCs w:val="18"/>
          <w:lang w:eastAsia="en-US" w:bidi="ar-SA"/>
        </w:rPr>
        <w:t xml:space="preserve"> which </w:t>
      </w:r>
      <w:r w:rsidR="00D06AD3" w:rsidRPr="002D4F43">
        <w:rPr>
          <w:szCs w:val="18"/>
          <w:lang w:eastAsia="en-US" w:bidi="ar-SA"/>
        </w:rPr>
        <w:t xml:space="preserve">fast </w:t>
      </w:r>
      <w:r w:rsidR="00D208FA" w:rsidRPr="002D4F43">
        <w:rPr>
          <w:szCs w:val="18"/>
          <w:lang w:eastAsia="en-US" w:bidi="ar-SA"/>
        </w:rPr>
        <w:t xml:space="preserve">become unwieldy and impractical, </w:t>
      </w:r>
      <w:r w:rsidR="00385EC6" w:rsidRPr="002D4F43">
        <w:rPr>
          <w:szCs w:val="18"/>
          <w:lang w:eastAsia="en-US" w:bidi="ar-SA"/>
        </w:rPr>
        <w:t>to a mor</w:t>
      </w:r>
      <w:r w:rsidR="00D9769D" w:rsidRPr="002D4F43">
        <w:rPr>
          <w:szCs w:val="18"/>
          <w:lang w:eastAsia="en-US" w:bidi="ar-SA"/>
        </w:rPr>
        <w:t xml:space="preserve">e </w:t>
      </w:r>
      <w:r w:rsidR="00D03F10">
        <w:rPr>
          <w:szCs w:val="18"/>
          <w:lang w:eastAsia="en-US" w:bidi="ar-SA"/>
        </w:rPr>
        <w:t>finite</w:t>
      </w:r>
      <w:r w:rsidR="006A03B3" w:rsidRPr="002D4F43">
        <w:rPr>
          <w:szCs w:val="18"/>
          <w:lang w:eastAsia="en-US" w:bidi="ar-SA"/>
        </w:rPr>
        <w:t xml:space="preserve"> set of </w:t>
      </w:r>
      <w:r w:rsidR="00D208FA" w:rsidRPr="002D4F43">
        <w:rPr>
          <w:szCs w:val="18"/>
          <w:lang w:eastAsia="en-US" w:bidi="ar-SA"/>
        </w:rPr>
        <w:t>cross-cutting</w:t>
      </w:r>
      <w:r w:rsidR="00D06AD3" w:rsidRPr="002D4F43">
        <w:rPr>
          <w:szCs w:val="18"/>
          <w:lang w:eastAsia="en-US" w:bidi="ar-SA"/>
        </w:rPr>
        <w:t xml:space="preserve"> issues </w:t>
      </w:r>
      <w:r w:rsidR="00351B14">
        <w:rPr>
          <w:szCs w:val="18"/>
          <w:lang w:eastAsia="en-US" w:bidi="ar-SA"/>
        </w:rPr>
        <w:t xml:space="preserve">requiring </w:t>
      </w:r>
      <w:r w:rsidR="00115094" w:rsidRPr="002D4F43">
        <w:rPr>
          <w:szCs w:val="18"/>
          <w:lang w:eastAsia="en-US" w:bidi="ar-SA"/>
        </w:rPr>
        <w:t>attention</w:t>
      </w:r>
      <w:r w:rsidR="00374950">
        <w:rPr>
          <w:szCs w:val="18"/>
          <w:lang w:eastAsia="en-US" w:bidi="ar-SA"/>
        </w:rPr>
        <w:t xml:space="preserve">. </w:t>
      </w:r>
    </w:p>
    <w:p w14:paraId="6DC84214" w14:textId="656BCAF7" w:rsidR="00174965" w:rsidRDefault="008D2D96" w:rsidP="00904193">
      <w:pPr>
        <w:spacing w:before="120" w:after="0"/>
        <w:rPr>
          <w:rFonts w:eastAsia="DengXian"/>
          <w:kern w:val="24"/>
          <w:szCs w:val="18"/>
          <w:lang w:eastAsia="en-AU"/>
        </w:rPr>
      </w:pPr>
      <w:r>
        <w:rPr>
          <w:szCs w:val="18"/>
          <w:lang w:eastAsia="en-US" w:bidi="ar-SA"/>
        </w:rPr>
        <w:t>B</w:t>
      </w:r>
      <w:r w:rsidR="001C02DA" w:rsidRPr="002D4F43">
        <w:rPr>
          <w:szCs w:val="18"/>
          <w:lang w:eastAsia="en-US" w:bidi="ar-SA"/>
        </w:rPr>
        <w:t xml:space="preserve">y </w:t>
      </w:r>
      <w:r w:rsidR="0049035C">
        <w:rPr>
          <w:szCs w:val="18"/>
          <w:lang w:eastAsia="en-US" w:bidi="ar-SA"/>
        </w:rPr>
        <w:t>highlighting</w:t>
      </w:r>
      <w:r w:rsidR="001C02DA" w:rsidRPr="002D4F43">
        <w:rPr>
          <w:szCs w:val="18"/>
          <w:lang w:eastAsia="en-US" w:bidi="ar-SA"/>
        </w:rPr>
        <w:t xml:space="preserve"> key points of leverage, </w:t>
      </w:r>
      <w:r w:rsidR="00DE51EC" w:rsidRPr="002D4F43">
        <w:rPr>
          <w:szCs w:val="18"/>
          <w:lang w:eastAsia="en-US" w:bidi="ar-SA"/>
        </w:rPr>
        <w:t xml:space="preserve">the Systemic Issues </w:t>
      </w:r>
      <w:r w:rsidR="00115094" w:rsidRPr="002D4F43">
        <w:rPr>
          <w:szCs w:val="18"/>
          <w:lang w:eastAsia="en-US" w:bidi="ar-SA"/>
        </w:rPr>
        <w:t xml:space="preserve">enable </w:t>
      </w:r>
      <w:r w:rsidR="006A03B3" w:rsidRPr="002D4F43">
        <w:rPr>
          <w:szCs w:val="18"/>
          <w:lang w:eastAsia="en-US" w:bidi="ar-SA"/>
        </w:rPr>
        <w:t>targeted structural interventions</w:t>
      </w:r>
      <w:r w:rsidR="0031039C" w:rsidRPr="002D4F43">
        <w:rPr>
          <w:szCs w:val="18"/>
          <w:lang w:eastAsia="en-US" w:bidi="ar-SA"/>
        </w:rPr>
        <w:t xml:space="preserve"> </w:t>
      </w:r>
      <w:r w:rsidR="000B3841">
        <w:rPr>
          <w:szCs w:val="18"/>
          <w:lang w:eastAsia="en-US" w:bidi="ar-SA"/>
        </w:rPr>
        <w:t xml:space="preserve">that </w:t>
      </w:r>
      <w:r w:rsidR="00971A3F" w:rsidRPr="002D4F43">
        <w:rPr>
          <w:szCs w:val="18"/>
          <w:lang w:eastAsia="en-US" w:bidi="ar-SA"/>
        </w:rPr>
        <w:t>can deliver</w:t>
      </w:r>
      <w:r w:rsidR="0017302A" w:rsidRPr="002D4F43">
        <w:rPr>
          <w:szCs w:val="18"/>
          <w:lang w:eastAsia="en-US" w:bidi="ar-SA"/>
        </w:rPr>
        <w:t xml:space="preserve"> transformative, </w:t>
      </w:r>
      <w:r w:rsidR="00931A6E">
        <w:rPr>
          <w:szCs w:val="18"/>
          <w:lang w:eastAsia="en-US" w:bidi="ar-SA"/>
        </w:rPr>
        <w:t>whole-system</w:t>
      </w:r>
      <w:r w:rsidR="0017302A" w:rsidRPr="002D4F43">
        <w:rPr>
          <w:szCs w:val="18"/>
          <w:lang w:eastAsia="en-US" w:bidi="ar-SA"/>
        </w:rPr>
        <w:t xml:space="preserve"> </w:t>
      </w:r>
      <w:r w:rsidR="00D76812" w:rsidRPr="002D4F43">
        <w:rPr>
          <w:szCs w:val="18"/>
          <w:lang w:eastAsia="en-US" w:bidi="ar-SA"/>
        </w:rPr>
        <w:t>benefits</w:t>
      </w:r>
      <w:r w:rsidR="00F25576">
        <w:rPr>
          <w:szCs w:val="18"/>
          <w:lang w:eastAsia="en-US" w:bidi="ar-SA"/>
        </w:rPr>
        <w:t xml:space="preserve"> </w:t>
      </w:r>
      <w:r w:rsidR="00931A6E">
        <w:rPr>
          <w:szCs w:val="18"/>
          <w:lang w:eastAsia="en-US" w:bidi="ar-SA"/>
        </w:rPr>
        <w:t>any number of individual changes never can</w:t>
      </w:r>
      <w:r w:rsidR="00374950">
        <w:rPr>
          <w:szCs w:val="18"/>
          <w:lang w:eastAsia="en-US" w:bidi="ar-SA"/>
        </w:rPr>
        <w:t xml:space="preserve">. </w:t>
      </w:r>
      <w:r w:rsidR="00BA1F98">
        <w:rPr>
          <w:rFonts w:eastAsia="DengXian"/>
          <w:kern w:val="24"/>
          <w:szCs w:val="18"/>
          <w:lang w:eastAsia="en-AU"/>
        </w:rPr>
        <w:t>As such, they</w:t>
      </w:r>
      <w:r w:rsidR="00971A3F" w:rsidRPr="002D4F43">
        <w:rPr>
          <w:rFonts w:eastAsia="DengXian"/>
          <w:kern w:val="24"/>
          <w:szCs w:val="18"/>
          <w:lang w:eastAsia="en-AU"/>
        </w:rPr>
        <w:t xml:space="preserve"> provide the next </w:t>
      </w:r>
      <w:r w:rsidR="002D4F43">
        <w:rPr>
          <w:rFonts w:eastAsia="DengXian"/>
          <w:kern w:val="24"/>
          <w:szCs w:val="18"/>
          <w:lang w:eastAsia="en-AU"/>
        </w:rPr>
        <w:t xml:space="preserve">critical </w:t>
      </w:r>
      <w:r w:rsidR="00971A3F" w:rsidRPr="002D4F43">
        <w:rPr>
          <w:rFonts w:eastAsia="DengXian"/>
          <w:kern w:val="24"/>
          <w:szCs w:val="18"/>
          <w:lang w:eastAsia="en-AU"/>
        </w:rPr>
        <w:t>step in answering the question</w:t>
      </w:r>
      <w:r w:rsidR="006028E3" w:rsidRPr="002D4F43">
        <w:rPr>
          <w:rFonts w:eastAsia="DengXian"/>
          <w:kern w:val="24"/>
          <w:szCs w:val="18"/>
          <w:lang w:eastAsia="en-AU"/>
        </w:rPr>
        <w:t xml:space="preserve">: </w:t>
      </w:r>
    </w:p>
    <w:p w14:paraId="2753C505" w14:textId="77777777" w:rsidR="00C65D49" w:rsidRPr="00C65D49" w:rsidRDefault="00C65D49" w:rsidP="00904193">
      <w:pPr>
        <w:spacing w:before="120" w:after="0"/>
        <w:rPr>
          <w:rFonts w:eastAsia="DengXian"/>
          <w:kern w:val="24"/>
          <w:sz w:val="6"/>
          <w:szCs w:val="6"/>
          <w:lang w:eastAsia="en-AU"/>
        </w:rPr>
      </w:pPr>
    </w:p>
    <w:tbl>
      <w:tblPr>
        <w:tblStyle w:val="TableGrid"/>
        <w:tblW w:w="0" w:type="auto"/>
        <w:tblLook w:val="04A0" w:firstRow="1" w:lastRow="0" w:firstColumn="1" w:lastColumn="0" w:noHBand="0" w:noVBand="1"/>
      </w:tblPr>
      <w:tblGrid>
        <w:gridCol w:w="8210"/>
      </w:tblGrid>
      <w:tr w:rsidR="00C65D49" w:rsidRPr="00D6257A" w14:paraId="6FFE948C" w14:textId="77777777" w:rsidTr="00E52F89">
        <w:tc>
          <w:tcPr>
            <w:tcW w:w="8493" w:type="dxa"/>
            <w:shd w:val="clear" w:color="auto" w:fill="013C4C" w:themeFill="text1"/>
          </w:tcPr>
          <w:p w14:paraId="3B8B746F" w14:textId="7289C3A5" w:rsidR="00C65D49" w:rsidRPr="00C65D49" w:rsidRDefault="00C65D49" w:rsidP="00351B38">
            <w:pPr>
              <w:snapToGrid w:val="0"/>
              <w:spacing w:line="264" w:lineRule="auto"/>
              <w:jc w:val="center"/>
              <w:rPr>
                <w:rFonts w:ascii="PP Mori SemiBold" w:eastAsia="DengXian" w:hAnsi="PP Mori SemiBold"/>
                <w:i/>
                <w:kern w:val="24"/>
                <w:szCs w:val="18"/>
                <w:lang w:eastAsia="en-AU"/>
              </w:rPr>
            </w:pPr>
            <w:r w:rsidRPr="00C65D49">
              <w:rPr>
                <w:rFonts w:ascii="PP Mori SemiBold" w:eastAsia="DengXian" w:hAnsi="PP Mori SemiBold"/>
                <w:i/>
                <w:kern w:val="24"/>
                <w:szCs w:val="18"/>
                <w:lang w:eastAsia="en-AU"/>
              </w:rPr>
              <w:t>After mapping dozens of emerging trend</w:t>
            </w:r>
            <w:r w:rsidR="00351B38">
              <w:rPr>
                <w:rFonts w:ascii="PP Mori SemiBold" w:eastAsia="DengXian" w:hAnsi="PP Mori SemiBold"/>
                <w:i/>
                <w:kern w:val="24"/>
                <w:szCs w:val="18"/>
                <w:lang w:eastAsia="en-AU"/>
              </w:rPr>
              <w:t>s (Report 2)</w:t>
            </w:r>
            <w:r w:rsidRPr="00C65D49">
              <w:rPr>
                <w:rFonts w:ascii="PP Mori SemiBold" w:eastAsia="DengXian" w:hAnsi="PP Mori SemiBold"/>
                <w:i/>
                <w:kern w:val="24"/>
                <w:szCs w:val="18"/>
                <w:lang w:eastAsia="en-AU"/>
              </w:rPr>
              <w:t>, how do we shortlist the priority issues that, if addressed effectively, will accelerate transformative change and underpin many of the new whole-system capabilities that decarbonising power systems require?</w:t>
            </w:r>
          </w:p>
        </w:tc>
      </w:tr>
    </w:tbl>
    <w:p w14:paraId="437865B7" w14:textId="1F239117" w:rsidR="008D2D96" w:rsidRPr="008D2D96" w:rsidRDefault="008D2D96" w:rsidP="00351B38">
      <w:pPr>
        <w:spacing w:after="120"/>
        <w:rPr>
          <w:szCs w:val="18"/>
          <w:lang w:eastAsia="en-US" w:bidi="ar-SA"/>
        </w:rPr>
      </w:pPr>
      <w:r w:rsidRPr="008D2D96">
        <w:rPr>
          <w:szCs w:val="18"/>
          <w:lang w:eastAsia="en-US" w:bidi="ar-SA"/>
        </w:rPr>
        <w:t>It is expected that the topics of Distribution System Operator (DSO) and Transmission-Distribution Coordination (TDC) models in this series will receive particular attention</w:t>
      </w:r>
      <w:r w:rsidR="00CF0928">
        <w:rPr>
          <w:szCs w:val="18"/>
          <w:lang w:eastAsia="en-US" w:bidi="ar-SA"/>
        </w:rPr>
        <w:t xml:space="preserve"> </w:t>
      </w:r>
      <w:r w:rsidR="00CF0928" w:rsidRPr="008D2D96">
        <w:rPr>
          <w:szCs w:val="18"/>
          <w:lang w:eastAsia="en-US" w:bidi="ar-SA"/>
        </w:rPr>
        <w:t>(Reports 4 &amp; 5 respectively)</w:t>
      </w:r>
      <w:r w:rsidR="00374950">
        <w:rPr>
          <w:szCs w:val="18"/>
          <w:lang w:eastAsia="en-US" w:bidi="ar-SA"/>
        </w:rPr>
        <w:t xml:space="preserve">. </w:t>
      </w:r>
      <w:r w:rsidRPr="008D2D96">
        <w:rPr>
          <w:szCs w:val="18"/>
          <w:lang w:eastAsia="en-US" w:bidi="ar-SA"/>
        </w:rPr>
        <w:t xml:space="preserve">Whether fully appreciated or not, however, all DSO and TDC models </w:t>
      </w:r>
      <w:r w:rsidR="005A5154">
        <w:rPr>
          <w:szCs w:val="18"/>
          <w:lang w:eastAsia="en-US" w:bidi="ar-SA"/>
        </w:rPr>
        <w:t xml:space="preserve">are ultimately </w:t>
      </w:r>
      <w:r w:rsidRPr="008D2D96">
        <w:rPr>
          <w:szCs w:val="18"/>
          <w:lang w:eastAsia="en-US" w:bidi="ar-SA"/>
        </w:rPr>
        <w:t xml:space="preserve">structural </w:t>
      </w:r>
      <w:r w:rsidRPr="00431145">
        <w:rPr>
          <w:szCs w:val="18"/>
          <w:lang w:eastAsia="en-US" w:bidi="ar-SA"/>
        </w:rPr>
        <w:t xml:space="preserve">interventions </w:t>
      </w:r>
      <w:r w:rsidR="00431145" w:rsidRPr="00431145">
        <w:t>seeking</w:t>
      </w:r>
      <w:r w:rsidR="00431145" w:rsidRPr="00431145">
        <w:rPr>
          <w:color w:val="000000"/>
        </w:rPr>
        <w:t xml:space="preserve"> to address </w:t>
      </w:r>
      <w:r w:rsidR="00710336">
        <w:rPr>
          <w:szCs w:val="18"/>
          <w:lang w:eastAsia="en-US" w:bidi="ar-SA"/>
        </w:rPr>
        <w:t>the i</w:t>
      </w:r>
      <w:r w:rsidRPr="00431145">
        <w:rPr>
          <w:szCs w:val="18"/>
          <w:lang w:eastAsia="en-US" w:bidi="ar-SA"/>
        </w:rPr>
        <w:t>mpacts</w:t>
      </w:r>
      <w:r w:rsidRPr="008D2D96">
        <w:rPr>
          <w:szCs w:val="18"/>
          <w:lang w:eastAsia="en-US" w:bidi="ar-SA"/>
        </w:rPr>
        <w:t xml:space="preserve"> of many Systemic Issues </w:t>
      </w:r>
      <w:r w:rsidR="0046641E">
        <w:rPr>
          <w:szCs w:val="18"/>
          <w:lang w:eastAsia="en-US" w:bidi="ar-SA"/>
        </w:rPr>
        <w:t>analysed</w:t>
      </w:r>
      <w:r w:rsidRPr="008D2D96">
        <w:rPr>
          <w:szCs w:val="18"/>
          <w:lang w:eastAsia="en-US" w:bidi="ar-SA"/>
        </w:rPr>
        <w:t xml:space="preserve"> here</w:t>
      </w:r>
      <w:r w:rsidR="00374950">
        <w:rPr>
          <w:szCs w:val="18"/>
          <w:lang w:eastAsia="en-US" w:bidi="ar-SA"/>
        </w:rPr>
        <w:t xml:space="preserve">. </w:t>
      </w:r>
    </w:p>
    <w:p w14:paraId="0F3693E2" w14:textId="67530BC4" w:rsidR="00441FCA" w:rsidRPr="002C72C2" w:rsidRDefault="000857FA" w:rsidP="00072A51">
      <w:pPr>
        <w:pStyle w:val="Heading2"/>
        <w:spacing w:before="240" w:line="264" w:lineRule="auto"/>
        <w:ind w:left="578" w:hanging="578"/>
        <w:rPr>
          <w:lang w:eastAsia="en-US" w:bidi="ar-SA"/>
        </w:rPr>
      </w:pPr>
      <w:bookmarkStart w:id="6" w:name="_Toc195105608"/>
      <w:bookmarkStart w:id="7" w:name="_Toc195205473"/>
      <w:bookmarkStart w:id="8" w:name="_Toc205533949"/>
      <w:r>
        <w:rPr>
          <w:lang w:eastAsia="en-US" w:bidi="ar-SA"/>
        </w:rPr>
        <w:t xml:space="preserve">National </w:t>
      </w:r>
      <w:r w:rsidR="00441FCA" w:rsidRPr="002C72C2">
        <w:rPr>
          <w:lang w:eastAsia="en-US" w:bidi="ar-SA"/>
        </w:rPr>
        <w:t>Context</w:t>
      </w:r>
      <w:bookmarkEnd w:id="6"/>
      <w:bookmarkEnd w:id="7"/>
      <w:bookmarkEnd w:id="8"/>
    </w:p>
    <w:p w14:paraId="112D1454" w14:textId="77777777" w:rsidR="005007D5" w:rsidRDefault="005007D5" w:rsidP="005007D5">
      <w:pPr>
        <w:snapToGrid w:val="0"/>
        <w:spacing w:before="120" w:after="120" w:line="264" w:lineRule="auto"/>
        <w:rPr>
          <w:rFonts w:eastAsia="DengXian"/>
          <w:kern w:val="24"/>
          <w:szCs w:val="18"/>
          <w:lang w:eastAsia="en-AU"/>
        </w:rPr>
      </w:pPr>
      <w:r>
        <w:rPr>
          <w:rFonts w:eastAsia="DengXian"/>
          <w:kern w:val="24"/>
          <w:szCs w:val="18"/>
          <w:lang w:eastAsia="en-AU"/>
        </w:rPr>
        <w:t xml:space="preserve">Electricity systems are some of the largest and most complex systems ever created by humans. Following </w:t>
      </w:r>
      <w:r w:rsidRPr="0032016A">
        <w:rPr>
          <w:rFonts w:eastAsia="DengXian"/>
          <w:kern w:val="24"/>
          <w:szCs w:val="18"/>
          <w:lang w:eastAsia="en-AU"/>
        </w:rPr>
        <w:t xml:space="preserve">decades of comparatively slow change, </w:t>
      </w:r>
      <w:r>
        <w:rPr>
          <w:rFonts w:eastAsia="DengXian"/>
          <w:kern w:val="24"/>
          <w:szCs w:val="18"/>
          <w:lang w:eastAsia="en-AU"/>
        </w:rPr>
        <w:t xml:space="preserve">these critical societal systems are now experiencing a </w:t>
      </w:r>
      <w:r w:rsidRPr="0032016A">
        <w:rPr>
          <w:rFonts w:eastAsia="DengXian"/>
          <w:kern w:val="24"/>
          <w:szCs w:val="18"/>
          <w:lang w:eastAsia="en-AU"/>
        </w:rPr>
        <w:t>scale of structural transformation not seen since the dawn of electrification</w:t>
      </w:r>
      <w:r>
        <w:rPr>
          <w:rFonts w:eastAsia="DengXian"/>
          <w:kern w:val="24"/>
          <w:szCs w:val="18"/>
          <w:lang w:eastAsia="en-AU"/>
        </w:rPr>
        <w:t xml:space="preserve">. </w:t>
      </w:r>
    </w:p>
    <w:p w14:paraId="09718381" w14:textId="77777777" w:rsidR="005007D5" w:rsidRDefault="005007D5" w:rsidP="005007D5">
      <w:pPr>
        <w:snapToGrid w:val="0"/>
        <w:spacing w:before="180" w:after="0" w:line="264" w:lineRule="auto"/>
        <w:rPr>
          <w:rFonts w:eastAsia="DengXian"/>
          <w:kern w:val="24"/>
          <w:szCs w:val="18"/>
          <w:lang w:eastAsia="en-AU"/>
        </w:rPr>
      </w:pPr>
      <w:r>
        <w:rPr>
          <w:rFonts w:eastAsia="DengXian"/>
          <w:kern w:val="24"/>
          <w:szCs w:val="18"/>
          <w:lang w:eastAsia="en-AU"/>
        </w:rPr>
        <w:t xml:space="preserve">On numerous metrics </w:t>
      </w:r>
      <w:r w:rsidRPr="0032016A">
        <w:rPr>
          <w:rFonts w:eastAsia="DengXian"/>
          <w:kern w:val="24"/>
          <w:szCs w:val="18"/>
          <w:lang w:eastAsia="en-AU"/>
        </w:rPr>
        <w:t xml:space="preserve">Australia’s NEM is leading the way in navigating </w:t>
      </w:r>
      <w:r>
        <w:rPr>
          <w:rFonts w:eastAsia="DengXian"/>
          <w:kern w:val="24"/>
          <w:szCs w:val="18"/>
          <w:lang w:eastAsia="en-AU"/>
        </w:rPr>
        <w:t xml:space="preserve">this </w:t>
      </w:r>
      <w:r w:rsidRPr="0032016A">
        <w:rPr>
          <w:rFonts w:eastAsia="DengXian"/>
          <w:kern w:val="24"/>
          <w:szCs w:val="18"/>
          <w:lang w:eastAsia="en-AU"/>
        </w:rPr>
        <w:t>complex and multi-faceted transformation</w:t>
      </w:r>
      <w:r>
        <w:rPr>
          <w:rFonts w:eastAsia="DengXian"/>
          <w:kern w:val="24"/>
          <w:szCs w:val="18"/>
          <w:lang w:eastAsia="en-AU"/>
        </w:rPr>
        <w:t xml:space="preserve">. </w:t>
      </w:r>
      <w:r w:rsidRPr="0032016A">
        <w:rPr>
          <w:rFonts w:eastAsia="DengXian"/>
          <w:kern w:val="24"/>
          <w:szCs w:val="18"/>
          <w:lang w:eastAsia="en-AU"/>
        </w:rPr>
        <w:t xml:space="preserve">In this </w:t>
      </w:r>
      <w:r>
        <w:rPr>
          <w:rFonts w:eastAsia="DengXian"/>
          <w:kern w:val="24"/>
          <w:szCs w:val="18"/>
          <w:lang w:eastAsia="en-AU"/>
        </w:rPr>
        <w:t>context</w:t>
      </w:r>
      <w:r w:rsidRPr="0032016A">
        <w:rPr>
          <w:rFonts w:eastAsia="DengXian"/>
          <w:kern w:val="24"/>
          <w:szCs w:val="18"/>
          <w:lang w:eastAsia="en-AU"/>
        </w:rPr>
        <w:t xml:space="preserve">, </w:t>
      </w:r>
      <w:r>
        <w:rPr>
          <w:rFonts w:eastAsia="DengXian"/>
          <w:kern w:val="24"/>
          <w:szCs w:val="18"/>
          <w:lang w:eastAsia="en-AU"/>
        </w:rPr>
        <w:t>several</w:t>
      </w:r>
      <w:r w:rsidRPr="0032016A">
        <w:rPr>
          <w:rFonts w:eastAsia="DengXian"/>
          <w:kern w:val="24"/>
          <w:szCs w:val="18"/>
          <w:lang w:eastAsia="en-AU"/>
        </w:rPr>
        <w:t xml:space="preserve"> formal initiatives</w:t>
      </w:r>
      <w:r>
        <w:rPr>
          <w:rStyle w:val="FootnoteReference"/>
          <w:rFonts w:eastAsia="DengXian"/>
          <w:kern w:val="24"/>
          <w:szCs w:val="18"/>
          <w:lang w:eastAsia="en-AU"/>
        </w:rPr>
        <w:footnoteReference w:id="3"/>
      </w:r>
      <w:r>
        <w:rPr>
          <w:rFonts w:eastAsia="DengXian"/>
          <w:kern w:val="24"/>
          <w:szCs w:val="18"/>
          <w:lang w:eastAsia="en-AU"/>
        </w:rPr>
        <w:t xml:space="preserve">  </w:t>
      </w:r>
      <w:r w:rsidRPr="0032016A">
        <w:rPr>
          <w:rFonts w:eastAsia="DengXian"/>
          <w:kern w:val="24"/>
          <w:szCs w:val="18"/>
          <w:lang w:eastAsia="en-AU"/>
        </w:rPr>
        <w:t xml:space="preserve">are currently reviewing </w:t>
      </w:r>
      <w:r>
        <w:rPr>
          <w:rFonts w:eastAsia="DengXian"/>
          <w:kern w:val="24"/>
          <w:szCs w:val="18"/>
          <w:lang w:eastAsia="en-AU"/>
        </w:rPr>
        <w:t xml:space="preserve">key </w:t>
      </w:r>
      <w:r w:rsidRPr="0032016A">
        <w:rPr>
          <w:rFonts w:eastAsia="DengXian"/>
          <w:kern w:val="24"/>
          <w:szCs w:val="18"/>
          <w:lang w:eastAsia="en-AU"/>
        </w:rPr>
        <w:t>elements of the ‘as built’ NEM and each of these processes are expected to add value within their respective remits in the near to medium-term</w:t>
      </w:r>
      <w:r>
        <w:rPr>
          <w:rFonts w:eastAsia="DengXian"/>
          <w:kern w:val="24"/>
          <w:szCs w:val="18"/>
          <w:lang w:eastAsia="en-AU"/>
        </w:rPr>
        <w:t>. It is likely that the recommendations of each of these in</w:t>
      </w:r>
      <w:r w:rsidRPr="0032016A">
        <w:rPr>
          <w:rFonts w:eastAsia="DengXian"/>
          <w:kern w:val="24"/>
          <w:szCs w:val="18"/>
          <w:lang w:eastAsia="en-AU"/>
        </w:rPr>
        <w:t>itiative</w:t>
      </w:r>
      <w:r>
        <w:rPr>
          <w:rFonts w:eastAsia="DengXian"/>
          <w:kern w:val="24"/>
          <w:szCs w:val="18"/>
          <w:lang w:eastAsia="en-AU"/>
        </w:rPr>
        <w:t>s</w:t>
      </w:r>
      <w:r w:rsidRPr="0032016A">
        <w:rPr>
          <w:rFonts w:eastAsia="DengXian"/>
          <w:kern w:val="24"/>
          <w:szCs w:val="18"/>
          <w:lang w:eastAsia="en-AU"/>
        </w:rPr>
        <w:t xml:space="preserve"> </w:t>
      </w:r>
      <w:r>
        <w:rPr>
          <w:rFonts w:eastAsia="DengXian"/>
          <w:kern w:val="24"/>
          <w:szCs w:val="18"/>
          <w:lang w:eastAsia="en-AU"/>
        </w:rPr>
        <w:t xml:space="preserve">will also have </w:t>
      </w:r>
      <w:r w:rsidRPr="0032016A">
        <w:rPr>
          <w:rFonts w:eastAsia="DengXian"/>
          <w:kern w:val="24"/>
          <w:szCs w:val="18"/>
          <w:lang w:eastAsia="en-AU"/>
        </w:rPr>
        <w:t>near, medium and long-term structural or ‘architectural’ implications that may benefit from a common set of reference materials</w:t>
      </w:r>
      <w:r>
        <w:rPr>
          <w:rFonts w:eastAsia="DengXian"/>
          <w:kern w:val="24"/>
          <w:szCs w:val="18"/>
          <w:lang w:eastAsia="en-AU"/>
        </w:rPr>
        <w:t xml:space="preserve">. </w:t>
      </w:r>
    </w:p>
    <w:p w14:paraId="41B4CDB4" w14:textId="6237D670" w:rsidR="00072A51" w:rsidRPr="00441FCA" w:rsidRDefault="00B3704D" w:rsidP="00072A51">
      <w:pPr>
        <w:spacing w:before="120" w:after="0" w:line="264" w:lineRule="auto"/>
        <w:rPr>
          <w:rFonts w:eastAsia="DengXian"/>
          <w:kern w:val="24"/>
          <w:szCs w:val="18"/>
          <w:lang w:eastAsia="en-AU"/>
        </w:rPr>
      </w:pPr>
      <w:r w:rsidRPr="00B3704D">
        <w:rPr>
          <w:rFonts w:eastAsia="DengXian"/>
          <w:noProof/>
          <w:kern w:val="24"/>
          <w:szCs w:val="18"/>
          <w:lang w:eastAsia="en-AU"/>
        </w:rPr>
        <w:drawing>
          <wp:inline distT="0" distB="0" distL="0" distR="0" wp14:anchorId="132A70F0" wp14:editId="0CB7B280">
            <wp:extent cx="5219700" cy="2474595"/>
            <wp:effectExtent l="0" t="0" r="0" b="1905"/>
            <wp:docPr id="176426469"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6469" name="Picture 1" descr="A diagram of a system&#10;&#10;AI-generated content may be incorrect."/>
                    <pic:cNvPicPr/>
                  </pic:nvPicPr>
                  <pic:blipFill>
                    <a:blip r:embed="rId14"/>
                    <a:stretch>
                      <a:fillRect/>
                    </a:stretch>
                  </pic:blipFill>
                  <pic:spPr>
                    <a:xfrm>
                      <a:off x="0" y="0"/>
                      <a:ext cx="5219700" cy="2474595"/>
                    </a:xfrm>
                    <a:prstGeom prst="rect">
                      <a:avLst/>
                    </a:prstGeom>
                  </pic:spPr>
                </pic:pic>
              </a:graphicData>
            </a:graphic>
          </wp:inline>
        </w:drawing>
      </w:r>
    </w:p>
    <w:p w14:paraId="504454D9" w14:textId="737AAC94" w:rsidR="00072A51" w:rsidRPr="00441FCA" w:rsidRDefault="00072A51" w:rsidP="000857FA">
      <w:pPr>
        <w:spacing w:before="120" w:line="264" w:lineRule="auto"/>
        <w:jc w:val="center"/>
        <w:rPr>
          <w:i/>
          <w:iCs/>
          <w:color w:val="013C4C" w:themeColor="text1"/>
          <w:szCs w:val="22"/>
        </w:rPr>
      </w:pPr>
      <w:bookmarkStart w:id="9" w:name="Figure_1"/>
      <w:bookmarkStart w:id="10" w:name="_Toc205365726"/>
      <w:r w:rsidRPr="00441FCA">
        <w:rPr>
          <w:i/>
          <w:iCs/>
          <w:color w:val="013C4C" w:themeColor="text1"/>
          <w:szCs w:val="22"/>
        </w:rPr>
        <w:t xml:space="preserve">Figure </w:t>
      </w:r>
      <w:r w:rsidRPr="00441FCA">
        <w:rPr>
          <w:i/>
          <w:iCs/>
          <w:color w:val="013C4C" w:themeColor="text1"/>
          <w:szCs w:val="22"/>
        </w:rPr>
        <w:fldChar w:fldCharType="begin"/>
      </w:r>
      <w:r w:rsidRPr="00441FCA">
        <w:rPr>
          <w:i/>
          <w:iCs/>
          <w:color w:val="013C4C" w:themeColor="text1"/>
          <w:szCs w:val="22"/>
        </w:rPr>
        <w:instrText xml:space="preserve"> SEQ Figure \* ARABIC </w:instrText>
      </w:r>
      <w:r w:rsidRPr="00441FCA">
        <w:rPr>
          <w:i/>
          <w:iCs/>
          <w:color w:val="013C4C" w:themeColor="text1"/>
          <w:szCs w:val="22"/>
        </w:rPr>
        <w:fldChar w:fldCharType="separate"/>
      </w:r>
      <w:r w:rsidR="009F382F">
        <w:rPr>
          <w:i/>
          <w:iCs/>
          <w:noProof/>
          <w:color w:val="013C4C" w:themeColor="text1"/>
          <w:szCs w:val="22"/>
        </w:rPr>
        <w:t>1</w:t>
      </w:r>
      <w:r w:rsidRPr="00441FCA">
        <w:rPr>
          <w:i/>
          <w:iCs/>
          <w:color w:val="013C4C" w:themeColor="text1"/>
          <w:szCs w:val="22"/>
        </w:rPr>
        <w:fldChar w:fldCharType="end"/>
      </w:r>
      <w:r w:rsidRPr="00441FCA">
        <w:rPr>
          <w:i/>
          <w:iCs/>
          <w:color w:val="013C4C" w:themeColor="text1"/>
          <w:szCs w:val="22"/>
        </w:rPr>
        <w:t xml:space="preserve">: </w:t>
      </w:r>
      <w:bookmarkEnd w:id="9"/>
      <w:r w:rsidR="00766A12" w:rsidRPr="00027900">
        <w:rPr>
          <w:i/>
          <w:iCs/>
          <w:color w:val="013C4C" w:themeColor="text1"/>
          <w:szCs w:val="22"/>
        </w:rPr>
        <w:t>This report is one of five which, as a reference set, are designed to support an integrative approach to Australia’s power system transformation</w:t>
      </w:r>
      <w:bookmarkEnd w:id="10"/>
    </w:p>
    <w:p w14:paraId="56F403DF" w14:textId="77777777" w:rsidR="000857FA" w:rsidRDefault="000857FA" w:rsidP="000857FA">
      <w:pPr>
        <w:snapToGrid w:val="0"/>
        <w:spacing w:before="180" w:after="120" w:line="264" w:lineRule="auto"/>
        <w:rPr>
          <w:rFonts w:eastAsia="DengXian"/>
          <w:kern w:val="24"/>
          <w:szCs w:val="18"/>
          <w:lang w:eastAsia="en-AU"/>
        </w:rPr>
      </w:pPr>
      <w:bookmarkStart w:id="11" w:name="_Toc195105609"/>
      <w:bookmarkStart w:id="12" w:name="_Toc195205474"/>
      <w:r w:rsidRPr="00555C78">
        <w:rPr>
          <w:rFonts w:eastAsia="DengXian"/>
          <w:kern w:val="24"/>
          <w:szCs w:val="18"/>
          <w:lang w:eastAsia="en-AU"/>
        </w:rPr>
        <w:t xml:space="preserve">To help support such a foundation, this document is part </w:t>
      </w:r>
      <w:r>
        <w:rPr>
          <w:rFonts w:eastAsia="DengXian"/>
          <w:kern w:val="24"/>
          <w:szCs w:val="18"/>
          <w:lang w:eastAsia="en-AU"/>
        </w:rPr>
        <w:t xml:space="preserve">of an </w:t>
      </w:r>
      <w:r w:rsidRPr="00555C78">
        <w:rPr>
          <w:rFonts w:eastAsia="DengXian"/>
          <w:kern w:val="24"/>
          <w:szCs w:val="18"/>
          <w:lang w:eastAsia="en-AU"/>
        </w:rPr>
        <w:t xml:space="preserve">integrated set of five reports developed under </w:t>
      </w:r>
      <w:r>
        <w:rPr>
          <w:rFonts w:eastAsia="DengXian"/>
          <w:kern w:val="24"/>
          <w:szCs w:val="18"/>
          <w:lang w:eastAsia="en-AU"/>
        </w:rPr>
        <w:t xml:space="preserve">the Australian Research – Power System Transformation (AR-PST) initiative sponsored by Australia’s national science agency CSIRO and in collaboration with the Australian Energy Market Operator (AEMO). This reference set consists of the following reports: </w:t>
      </w:r>
    </w:p>
    <w:p w14:paraId="6A4559AD" w14:textId="77777777" w:rsidR="000857FA" w:rsidRPr="00555C78" w:rsidRDefault="000857FA" w:rsidP="00954BAC">
      <w:pPr>
        <w:numPr>
          <w:ilvl w:val="0"/>
          <w:numId w:val="38"/>
        </w:numPr>
        <w:spacing w:before="180" w:after="120" w:line="264" w:lineRule="auto"/>
        <w:ind w:left="714" w:hanging="357"/>
        <w:rPr>
          <w:lang w:eastAsia="en-AU"/>
        </w:rPr>
      </w:pPr>
      <w:r w:rsidRPr="00E14CF8">
        <w:rPr>
          <w:rFonts w:ascii="PP Mori SemiBold" w:hAnsi="PP Mori SemiBold"/>
          <w:color w:val="013C4C" w:themeColor="text1"/>
          <w:lang w:eastAsia="en-AU"/>
        </w:rPr>
        <w:t>Report 1:</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Future Customer &amp; Societal Objectives </w:t>
      </w:r>
    </w:p>
    <w:p w14:paraId="018E2F9F" w14:textId="77777777" w:rsidR="000857FA" w:rsidRPr="00555C78" w:rsidRDefault="000857FA" w:rsidP="00954BAC">
      <w:pPr>
        <w:numPr>
          <w:ilvl w:val="0"/>
          <w:numId w:val="38"/>
        </w:numPr>
        <w:spacing w:before="120" w:after="120" w:line="264" w:lineRule="auto"/>
        <w:ind w:left="714" w:hanging="357"/>
        <w:rPr>
          <w:lang w:eastAsia="en-AU"/>
        </w:rPr>
      </w:pPr>
      <w:r w:rsidRPr="00E14CF8">
        <w:rPr>
          <w:rFonts w:ascii="PP Mori SemiBold" w:hAnsi="PP Mori SemiBold"/>
          <w:color w:val="013C4C" w:themeColor="text1"/>
          <w:lang w:eastAsia="en-AU"/>
        </w:rPr>
        <w:t>Report 2:</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Emerging Trends Driving Transformation </w:t>
      </w:r>
    </w:p>
    <w:p w14:paraId="46C59E35" w14:textId="77777777" w:rsidR="000857FA" w:rsidRPr="00555C78" w:rsidRDefault="000857FA" w:rsidP="00954BAC">
      <w:pPr>
        <w:numPr>
          <w:ilvl w:val="0"/>
          <w:numId w:val="38"/>
        </w:numPr>
        <w:spacing w:before="120" w:after="120" w:line="264" w:lineRule="auto"/>
        <w:ind w:left="714" w:hanging="357"/>
        <w:rPr>
          <w:lang w:eastAsia="en-AU"/>
        </w:rPr>
      </w:pPr>
      <w:r w:rsidRPr="00E14CF8">
        <w:rPr>
          <w:rFonts w:ascii="PP Mori SemiBold" w:hAnsi="PP Mori SemiBold"/>
          <w:color w:val="013C4C" w:themeColor="text1"/>
          <w:lang w:eastAsia="en-AU"/>
        </w:rPr>
        <w:t>Report 3:</w:t>
      </w:r>
      <w:r w:rsidRPr="00E14CF8">
        <w:rPr>
          <w:color w:val="013C4C" w:themeColor="text1"/>
          <w:lang w:eastAsia="en-AU"/>
        </w:rPr>
        <w:t xml:space="preserve"> </w:t>
      </w:r>
      <w:r>
        <w:rPr>
          <w:color w:val="013C4C" w:themeColor="text1"/>
          <w:lang w:eastAsia="en-AU"/>
        </w:rPr>
        <w:t xml:space="preserve"> </w:t>
      </w:r>
      <w:r w:rsidRPr="00555C78">
        <w:rPr>
          <w:lang w:eastAsia="en-AU"/>
        </w:rPr>
        <w:t>Systemic Issues &amp; Transformation Risks</w:t>
      </w:r>
    </w:p>
    <w:p w14:paraId="265340FB" w14:textId="77777777" w:rsidR="000857FA" w:rsidRPr="00555C78" w:rsidRDefault="000857FA" w:rsidP="00954BAC">
      <w:pPr>
        <w:numPr>
          <w:ilvl w:val="0"/>
          <w:numId w:val="38"/>
        </w:numPr>
        <w:spacing w:before="120" w:after="120" w:line="264" w:lineRule="auto"/>
        <w:ind w:left="714" w:hanging="357"/>
        <w:rPr>
          <w:lang w:eastAsia="en-AU"/>
        </w:rPr>
      </w:pPr>
      <w:r w:rsidRPr="00E14CF8">
        <w:rPr>
          <w:rFonts w:ascii="PP Mori SemiBold" w:hAnsi="PP Mori SemiBold"/>
          <w:color w:val="013C4C" w:themeColor="text1"/>
          <w:lang w:eastAsia="en-AU"/>
        </w:rPr>
        <w:t>Report 4:</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Distribution System Operator (DSO) Models </w:t>
      </w:r>
    </w:p>
    <w:p w14:paraId="62F0A770" w14:textId="77777777" w:rsidR="000857FA" w:rsidRPr="00555C78" w:rsidRDefault="000857FA" w:rsidP="00954BAC">
      <w:pPr>
        <w:numPr>
          <w:ilvl w:val="0"/>
          <w:numId w:val="38"/>
        </w:numPr>
        <w:spacing w:before="120" w:after="0" w:line="264" w:lineRule="auto"/>
        <w:ind w:left="714" w:hanging="357"/>
        <w:rPr>
          <w:lang w:eastAsia="en-AU"/>
        </w:rPr>
      </w:pPr>
      <w:r w:rsidRPr="00E14CF8">
        <w:rPr>
          <w:rFonts w:ascii="PP Mori SemiBold" w:hAnsi="PP Mori SemiBold"/>
          <w:color w:val="013C4C" w:themeColor="text1"/>
          <w:lang w:eastAsia="en-AU"/>
        </w:rPr>
        <w:t>Report 5:</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Transmission-Distribution Coordination (TDC) </w:t>
      </w:r>
    </w:p>
    <w:p w14:paraId="7837745A" w14:textId="03EE575A" w:rsidR="00441FCA" w:rsidRPr="002C72C2" w:rsidRDefault="000857FA" w:rsidP="00EB2823">
      <w:pPr>
        <w:pStyle w:val="Heading2"/>
        <w:spacing w:line="264" w:lineRule="auto"/>
        <w:rPr>
          <w:lang w:eastAsia="en-US" w:bidi="ar-SA"/>
        </w:rPr>
      </w:pPr>
      <w:bookmarkStart w:id="13" w:name="_Toc205533950"/>
      <w:r>
        <w:rPr>
          <w:lang w:eastAsia="en-US" w:bidi="ar-SA"/>
        </w:rPr>
        <w:t xml:space="preserve">Practical </w:t>
      </w:r>
      <w:r w:rsidR="00441FCA" w:rsidRPr="002C72C2">
        <w:rPr>
          <w:lang w:eastAsia="en-US" w:bidi="ar-SA"/>
        </w:rPr>
        <w:t>Rationale</w:t>
      </w:r>
      <w:bookmarkEnd w:id="11"/>
      <w:bookmarkEnd w:id="12"/>
      <w:bookmarkEnd w:id="13"/>
      <w:r w:rsidR="00441FCA" w:rsidRPr="002C72C2">
        <w:rPr>
          <w:lang w:eastAsia="en-US" w:bidi="ar-SA"/>
        </w:rPr>
        <w:t xml:space="preserve"> </w:t>
      </w:r>
    </w:p>
    <w:p w14:paraId="06EC0CD4" w14:textId="53092757" w:rsidR="00265E66" w:rsidRPr="00265E66" w:rsidRDefault="00265E66" w:rsidP="00265E66">
      <w:pPr>
        <w:snapToGrid w:val="0"/>
        <w:spacing w:before="120" w:after="120" w:line="264" w:lineRule="auto"/>
        <w:rPr>
          <w:rFonts w:eastAsia="DengXian"/>
          <w:kern w:val="24"/>
          <w:szCs w:val="18"/>
          <w:lang w:eastAsia="en-AU"/>
        </w:rPr>
      </w:pPr>
      <w:r w:rsidRPr="00265E66">
        <w:rPr>
          <w:rFonts w:eastAsia="DengXian"/>
          <w:kern w:val="24"/>
          <w:szCs w:val="18"/>
          <w:lang w:eastAsia="en-AU"/>
        </w:rPr>
        <w:t xml:space="preserve">In </w:t>
      </w:r>
      <w:r w:rsidR="00904193">
        <w:rPr>
          <w:rFonts w:eastAsia="DengXian"/>
          <w:kern w:val="24"/>
          <w:szCs w:val="18"/>
          <w:lang w:eastAsia="en-AU"/>
        </w:rPr>
        <w:t xml:space="preserve">the </w:t>
      </w:r>
      <w:r w:rsidR="00C818DD">
        <w:rPr>
          <w:rFonts w:eastAsia="DengXian"/>
          <w:kern w:val="24"/>
          <w:szCs w:val="18"/>
          <w:lang w:eastAsia="en-AU"/>
        </w:rPr>
        <w:t xml:space="preserve">formal </w:t>
      </w:r>
      <w:r w:rsidR="00FE0D59">
        <w:rPr>
          <w:rFonts w:eastAsia="DengXian"/>
          <w:kern w:val="24"/>
          <w:szCs w:val="18"/>
          <w:lang w:eastAsia="en-AU"/>
        </w:rPr>
        <w:t>S</w:t>
      </w:r>
      <w:r w:rsidRPr="00265E66">
        <w:rPr>
          <w:rFonts w:eastAsia="DengXian"/>
          <w:kern w:val="24"/>
          <w:szCs w:val="18"/>
          <w:lang w:eastAsia="en-AU"/>
        </w:rPr>
        <w:t xml:space="preserve">ystems </w:t>
      </w:r>
      <w:r w:rsidR="00FE0D59">
        <w:rPr>
          <w:rFonts w:eastAsia="DengXian"/>
          <w:kern w:val="24"/>
          <w:szCs w:val="18"/>
          <w:lang w:eastAsia="en-AU"/>
        </w:rPr>
        <w:t>E</w:t>
      </w:r>
      <w:r w:rsidRPr="00265E66">
        <w:rPr>
          <w:rFonts w:eastAsia="DengXian"/>
          <w:kern w:val="24"/>
          <w:szCs w:val="18"/>
          <w:lang w:eastAsia="en-AU"/>
        </w:rPr>
        <w:t xml:space="preserve">ngineering and </w:t>
      </w:r>
      <w:r w:rsidR="00FE0D59">
        <w:rPr>
          <w:rFonts w:eastAsia="DengXian"/>
          <w:kern w:val="24"/>
          <w:szCs w:val="18"/>
          <w:lang w:eastAsia="en-AU"/>
        </w:rPr>
        <w:t>S</w:t>
      </w:r>
      <w:r w:rsidRPr="00265E66">
        <w:rPr>
          <w:rFonts w:eastAsia="DengXian"/>
          <w:kern w:val="24"/>
          <w:szCs w:val="18"/>
          <w:lang w:eastAsia="en-AU"/>
        </w:rPr>
        <w:t xml:space="preserve">ystems </w:t>
      </w:r>
      <w:r w:rsidR="003D68AA">
        <w:rPr>
          <w:rFonts w:eastAsia="DengXian"/>
          <w:kern w:val="24"/>
          <w:szCs w:val="18"/>
          <w:lang w:eastAsia="en-AU"/>
        </w:rPr>
        <w:t>A</w:t>
      </w:r>
      <w:r w:rsidRPr="00265E66">
        <w:rPr>
          <w:rFonts w:eastAsia="DengXian"/>
          <w:kern w:val="24"/>
          <w:szCs w:val="18"/>
          <w:lang w:eastAsia="en-AU"/>
        </w:rPr>
        <w:t>rchitecture</w:t>
      </w:r>
      <w:r w:rsidR="0061721A" w:rsidRPr="00DB04A5">
        <w:rPr>
          <w:rStyle w:val="FootnoteReference"/>
        </w:rPr>
        <w:footnoteReference w:id="4"/>
      </w:r>
      <w:r w:rsidR="00C818DD">
        <w:rPr>
          <w:rFonts w:eastAsia="DengXian"/>
          <w:kern w:val="24"/>
          <w:szCs w:val="18"/>
          <w:lang w:eastAsia="en-AU"/>
        </w:rPr>
        <w:t xml:space="preserve"> disciplines</w:t>
      </w:r>
      <w:r w:rsidRPr="00265E66">
        <w:rPr>
          <w:rFonts w:eastAsia="DengXian"/>
          <w:kern w:val="24"/>
          <w:szCs w:val="18"/>
          <w:lang w:eastAsia="en-AU"/>
        </w:rPr>
        <w:t>, a cross-cutting problem that stems from the fundamental structure</w:t>
      </w:r>
      <w:r w:rsidR="006D6009">
        <w:rPr>
          <w:rFonts w:eastAsia="DengXian"/>
          <w:kern w:val="24"/>
          <w:szCs w:val="18"/>
          <w:lang w:eastAsia="en-AU"/>
        </w:rPr>
        <w:t xml:space="preserve"> </w:t>
      </w:r>
      <w:r w:rsidR="00C818DD">
        <w:rPr>
          <w:rFonts w:eastAsia="DengXian"/>
          <w:kern w:val="24"/>
          <w:szCs w:val="18"/>
          <w:lang w:eastAsia="en-AU"/>
        </w:rPr>
        <w:t xml:space="preserve">of </w:t>
      </w:r>
      <w:r w:rsidR="004F550A">
        <w:rPr>
          <w:rFonts w:eastAsia="DengXian"/>
          <w:kern w:val="24"/>
          <w:szCs w:val="18"/>
          <w:lang w:eastAsia="en-AU"/>
        </w:rPr>
        <w:t>a complex</w:t>
      </w:r>
      <w:r w:rsidR="00C818DD">
        <w:rPr>
          <w:rFonts w:eastAsia="DengXian"/>
          <w:kern w:val="24"/>
          <w:szCs w:val="18"/>
          <w:lang w:eastAsia="en-AU"/>
        </w:rPr>
        <w:t xml:space="preserve"> system</w:t>
      </w:r>
      <w:r w:rsidR="00EB473D">
        <w:rPr>
          <w:rFonts w:eastAsia="DengXian"/>
          <w:kern w:val="24"/>
          <w:szCs w:val="18"/>
          <w:lang w:eastAsia="en-AU"/>
        </w:rPr>
        <w:t xml:space="preserve"> and/or </w:t>
      </w:r>
      <w:r w:rsidR="00D96CF0">
        <w:rPr>
          <w:rFonts w:eastAsia="DengXian"/>
          <w:kern w:val="24"/>
          <w:szCs w:val="18"/>
          <w:lang w:eastAsia="en-AU"/>
        </w:rPr>
        <w:t xml:space="preserve">impedes efforts to </w:t>
      </w:r>
      <w:r w:rsidR="00EB473D">
        <w:rPr>
          <w:rFonts w:eastAsia="DengXian"/>
          <w:kern w:val="24"/>
          <w:szCs w:val="18"/>
          <w:lang w:eastAsia="en-AU"/>
        </w:rPr>
        <w:t xml:space="preserve">holistically transform </w:t>
      </w:r>
      <w:r w:rsidR="00220921">
        <w:rPr>
          <w:rFonts w:eastAsia="DengXian"/>
          <w:kern w:val="24"/>
          <w:szCs w:val="18"/>
          <w:lang w:eastAsia="en-AU"/>
        </w:rPr>
        <w:t xml:space="preserve">the </w:t>
      </w:r>
      <w:r w:rsidR="00EB473D">
        <w:rPr>
          <w:rFonts w:eastAsia="DengXian"/>
          <w:kern w:val="24"/>
          <w:szCs w:val="18"/>
          <w:lang w:eastAsia="en-AU"/>
        </w:rPr>
        <w:t xml:space="preserve">system </w:t>
      </w:r>
      <w:r w:rsidR="00C02534">
        <w:rPr>
          <w:rFonts w:eastAsia="DengXian"/>
          <w:kern w:val="24"/>
          <w:szCs w:val="18"/>
          <w:lang w:eastAsia="en-AU"/>
        </w:rPr>
        <w:t>is</w:t>
      </w:r>
      <w:r w:rsidR="006D6009">
        <w:rPr>
          <w:rFonts w:eastAsia="DengXian"/>
          <w:kern w:val="24"/>
          <w:szCs w:val="18"/>
          <w:lang w:eastAsia="en-AU"/>
        </w:rPr>
        <w:t xml:space="preserve"> referred to </w:t>
      </w:r>
      <w:r w:rsidR="004F550A">
        <w:rPr>
          <w:rFonts w:eastAsia="DengXian"/>
          <w:kern w:val="24"/>
          <w:szCs w:val="18"/>
          <w:lang w:eastAsia="en-AU"/>
        </w:rPr>
        <w:t xml:space="preserve">as </w:t>
      </w:r>
      <w:r w:rsidR="00C02534">
        <w:rPr>
          <w:rFonts w:eastAsia="DengXian"/>
          <w:kern w:val="24"/>
          <w:szCs w:val="18"/>
          <w:lang w:eastAsia="en-AU"/>
        </w:rPr>
        <w:t xml:space="preserve">a </w:t>
      </w:r>
      <w:r w:rsidR="006D6009">
        <w:rPr>
          <w:rFonts w:eastAsia="DengXian"/>
          <w:kern w:val="24"/>
          <w:szCs w:val="18"/>
          <w:lang w:eastAsia="en-AU"/>
        </w:rPr>
        <w:t>Systemic Issue</w:t>
      </w:r>
      <w:r w:rsidR="00374950">
        <w:rPr>
          <w:rFonts w:eastAsia="DengXian"/>
          <w:kern w:val="24"/>
          <w:szCs w:val="18"/>
          <w:lang w:eastAsia="en-AU"/>
        </w:rPr>
        <w:t xml:space="preserve">. </w:t>
      </w:r>
      <w:r w:rsidRPr="00265E66">
        <w:rPr>
          <w:rFonts w:eastAsia="DengXian"/>
          <w:kern w:val="24"/>
          <w:szCs w:val="18"/>
          <w:lang w:eastAsia="en-AU"/>
        </w:rPr>
        <w:t>These issues emerge from the way the</w:t>
      </w:r>
      <w:r w:rsidR="00967E7B">
        <w:rPr>
          <w:rFonts w:eastAsia="DengXian"/>
          <w:kern w:val="24"/>
          <w:szCs w:val="18"/>
          <w:lang w:eastAsia="en-AU"/>
        </w:rPr>
        <w:t xml:space="preserve"> entire</w:t>
      </w:r>
      <w:r w:rsidRPr="00265E66">
        <w:rPr>
          <w:rFonts w:eastAsia="DengXian"/>
          <w:kern w:val="24"/>
          <w:szCs w:val="18"/>
          <w:lang w:eastAsia="en-AU"/>
        </w:rPr>
        <w:t xml:space="preserve"> system</w:t>
      </w:r>
      <w:r w:rsidR="003E18C8">
        <w:rPr>
          <w:rFonts w:eastAsia="DengXian"/>
          <w:kern w:val="24"/>
          <w:szCs w:val="18"/>
          <w:lang w:eastAsia="en-AU"/>
        </w:rPr>
        <w:t xml:space="preserve"> </w:t>
      </w:r>
      <w:r w:rsidR="00967E7B">
        <w:rPr>
          <w:rFonts w:eastAsia="DengXian"/>
          <w:kern w:val="24"/>
          <w:szCs w:val="18"/>
          <w:lang w:eastAsia="en-AU"/>
        </w:rPr>
        <w:t xml:space="preserve">is </w:t>
      </w:r>
      <w:r w:rsidR="00565A01">
        <w:rPr>
          <w:rFonts w:eastAsia="DengXian"/>
          <w:kern w:val="24"/>
          <w:szCs w:val="18"/>
          <w:lang w:eastAsia="en-AU"/>
        </w:rPr>
        <w:t>structured</w:t>
      </w:r>
      <w:r w:rsidR="006D6009">
        <w:rPr>
          <w:rFonts w:eastAsia="DengXian"/>
          <w:kern w:val="24"/>
          <w:szCs w:val="18"/>
          <w:lang w:eastAsia="en-AU"/>
        </w:rPr>
        <w:t xml:space="preserve">, </w:t>
      </w:r>
      <w:r w:rsidR="006D6009" w:rsidRPr="00265E66">
        <w:rPr>
          <w:rFonts w:eastAsia="DengXian"/>
          <w:kern w:val="24"/>
          <w:szCs w:val="18"/>
          <w:lang w:eastAsia="en-AU"/>
        </w:rPr>
        <w:t>rather than from isolated component failures or random anomalies.</w:t>
      </w:r>
    </w:p>
    <w:p w14:paraId="28B4E1AE" w14:textId="1BE45CC4" w:rsidR="00265E66" w:rsidRPr="00265E66" w:rsidRDefault="00265E66" w:rsidP="00265E66">
      <w:pPr>
        <w:snapToGrid w:val="0"/>
        <w:spacing w:before="120" w:after="120" w:line="264" w:lineRule="auto"/>
        <w:rPr>
          <w:rFonts w:eastAsia="DengXian"/>
          <w:kern w:val="24"/>
          <w:szCs w:val="18"/>
          <w:lang w:eastAsia="en-AU"/>
        </w:rPr>
      </w:pPr>
      <w:r w:rsidRPr="00265E66">
        <w:rPr>
          <w:rFonts w:eastAsia="DengXian"/>
          <w:kern w:val="24"/>
          <w:szCs w:val="18"/>
          <w:lang w:eastAsia="en-AU"/>
        </w:rPr>
        <w:t xml:space="preserve">In the context of system transformation, Systemic Issues typically surface when the cumulative impact of </w:t>
      </w:r>
      <w:r w:rsidR="00180527">
        <w:rPr>
          <w:rFonts w:eastAsia="DengXian"/>
          <w:kern w:val="24"/>
          <w:szCs w:val="18"/>
          <w:lang w:eastAsia="en-AU"/>
        </w:rPr>
        <w:t xml:space="preserve">diverse </w:t>
      </w:r>
      <w:r w:rsidRPr="00265E66">
        <w:rPr>
          <w:rFonts w:eastAsia="DengXian"/>
          <w:kern w:val="24"/>
          <w:szCs w:val="18"/>
          <w:lang w:eastAsia="en-AU"/>
        </w:rPr>
        <w:t xml:space="preserve">Emerging </w:t>
      </w:r>
      <w:r w:rsidR="008516D6" w:rsidRPr="00265E66">
        <w:rPr>
          <w:rFonts w:eastAsia="DengXian"/>
          <w:kern w:val="24"/>
          <w:szCs w:val="18"/>
          <w:lang w:eastAsia="en-AU"/>
        </w:rPr>
        <w:t>Trends (</w:t>
      </w:r>
      <w:r w:rsidR="00180527">
        <w:rPr>
          <w:rFonts w:eastAsia="DengXian"/>
          <w:kern w:val="24"/>
          <w:szCs w:val="18"/>
          <w:lang w:eastAsia="en-AU"/>
        </w:rPr>
        <w:t xml:space="preserve">refer Report 2) </w:t>
      </w:r>
      <w:r w:rsidR="001B2F66">
        <w:rPr>
          <w:rFonts w:eastAsia="DengXian"/>
          <w:kern w:val="24"/>
          <w:szCs w:val="18"/>
          <w:lang w:eastAsia="en-AU"/>
        </w:rPr>
        <w:t>intersects</w:t>
      </w:r>
      <w:r w:rsidR="00AD0AE5">
        <w:rPr>
          <w:rFonts w:eastAsia="DengXian"/>
          <w:kern w:val="24"/>
          <w:szCs w:val="18"/>
          <w:lang w:eastAsia="en-AU"/>
        </w:rPr>
        <w:t xml:space="preserve"> with </w:t>
      </w:r>
      <w:r w:rsidR="008516D6">
        <w:rPr>
          <w:rFonts w:eastAsia="DengXian"/>
          <w:kern w:val="24"/>
          <w:szCs w:val="18"/>
          <w:lang w:eastAsia="en-AU"/>
        </w:rPr>
        <w:t>the system</w:t>
      </w:r>
      <w:r w:rsidR="001B2F66">
        <w:rPr>
          <w:rFonts w:eastAsia="DengXian"/>
          <w:kern w:val="24"/>
          <w:szCs w:val="18"/>
          <w:lang w:eastAsia="en-AU"/>
        </w:rPr>
        <w:t>s</w:t>
      </w:r>
      <w:r w:rsidR="00AD0AE5">
        <w:rPr>
          <w:rFonts w:eastAsia="DengXian"/>
          <w:kern w:val="24"/>
          <w:szCs w:val="18"/>
          <w:lang w:eastAsia="en-AU"/>
        </w:rPr>
        <w:t xml:space="preserve"> legacy structural </w:t>
      </w:r>
      <w:r w:rsidR="001B2F66">
        <w:rPr>
          <w:rFonts w:eastAsia="DengXian"/>
          <w:kern w:val="24"/>
          <w:szCs w:val="18"/>
          <w:lang w:eastAsia="en-AU"/>
        </w:rPr>
        <w:t xml:space="preserve">arrangements and </w:t>
      </w:r>
      <w:r w:rsidR="0002384B">
        <w:rPr>
          <w:rFonts w:eastAsia="DengXian"/>
          <w:kern w:val="24"/>
          <w:szCs w:val="18"/>
          <w:lang w:eastAsia="en-AU"/>
        </w:rPr>
        <w:t>constraints</w:t>
      </w:r>
      <w:r w:rsidRPr="00265E66">
        <w:rPr>
          <w:rFonts w:eastAsia="DengXian"/>
          <w:kern w:val="24"/>
          <w:szCs w:val="18"/>
          <w:lang w:eastAsia="en-AU"/>
        </w:rPr>
        <w:t xml:space="preserve">. </w:t>
      </w:r>
      <w:r w:rsidR="008516D6">
        <w:rPr>
          <w:rFonts w:eastAsia="DengXian"/>
          <w:kern w:val="24"/>
          <w:szCs w:val="18"/>
          <w:lang w:eastAsia="en-AU"/>
        </w:rPr>
        <w:t xml:space="preserve">In the case of </w:t>
      </w:r>
      <w:r w:rsidRPr="00265E66">
        <w:rPr>
          <w:rFonts w:eastAsia="DengXian"/>
          <w:kern w:val="24"/>
          <w:szCs w:val="18"/>
          <w:lang w:eastAsia="en-AU"/>
        </w:rPr>
        <w:t>electric</w:t>
      </w:r>
      <w:r w:rsidR="00A1363E">
        <w:rPr>
          <w:rFonts w:eastAsia="DengXian"/>
          <w:kern w:val="24"/>
          <w:szCs w:val="18"/>
          <w:lang w:eastAsia="en-AU"/>
        </w:rPr>
        <w:t xml:space="preserve">ity </w:t>
      </w:r>
      <w:r w:rsidRPr="00265E66">
        <w:rPr>
          <w:rFonts w:eastAsia="DengXian"/>
          <w:kern w:val="24"/>
          <w:szCs w:val="18"/>
          <w:lang w:eastAsia="en-AU"/>
        </w:rPr>
        <w:t xml:space="preserve">systems, Systemic Issues often </w:t>
      </w:r>
      <w:r w:rsidR="0002384B">
        <w:rPr>
          <w:rFonts w:eastAsia="DengXian"/>
          <w:kern w:val="24"/>
          <w:szCs w:val="18"/>
          <w:lang w:eastAsia="en-AU"/>
        </w:rPr>
        <w:t xml:space="preserve">simultaneously </w:t>
      </w:r>
      <w:r w:rsidR="008516D6">
        <w:rPr>
          <w:rFonts w:eastAsia="DengXian"/>
          <w:kern w:val="24"/>
          <w:szCs w:val="18"/>
          <w:lang w:eastAsia="en-AU"/>
        </w:rPr>
        <w:t xml:space="preserve">impact </w:t>
      </w:r>
      <w:r w:rsidR="0002384B">
        <w:rPr>
          <w:rFonts w:eastAsia="DengXian"/>
          <w:kern w:val="24"/>
          <w:szCs w:val="18"/>
          <w:lang w:eastAsia="en-AU"/>
        </w:rPr>
        <w:t>several o</w:t>
      </w:r>
      <w:r w:rsidRPr="00265E66">
        <w:rPr>
          <w:rFonts w:eastAsia="DengXian"/>
          <w:kern w:val="24"/>
          <w:szCs w:val="18"/>
          <w:lang w:eastAsia="en-AU"/>
        </w:rPr>
        <w:t>f the seven interdependent technological, market, and regulatory structures</w:t>
      </w:r>
      <w:r w:rsidR="000F1D86">
        <w:rPr>
          <w:rFonts w:eastAsia="DengXian"/>
          <w:kern w:val="24"/>
          <w:szCs w:val="18"/>
          <w:lang w:eastAsia="en-AU"/>
        </w:rPr>
        <w:t xml:space="preserve"> </w:t>
      </w:r>
      <w:r w:rsidR="0002384B">
        <w:rPr>
          <w:rFonts w:eastAsia="DengXian"/>
          <w:kern w:val="24"/>
          <w:szCs w:val="18"/>
          <w:lang w:eastAsia="en-AU"/>
        </w:rPr>
        <w:t xml:space="preserve">that </w:t>
      </w:r>
      <w:r w:rsidR="008377ED">
        <w:rPr>
          <w:rFonts w:eastAsia="DengXian"/>
          <w:kern w:val="24"/>
          <w:szCs w:val="18"/>
          <w:lang w:eastAsia="en-AU"/>
        </w:rPr>
        <w:t>make up a</w:t>
      </w:r>
      <w:r w:rsidR="000F1D86">
        <w:rPr>
          <w:rFonts w:eastAsia="DengXian"/>
          <w:kern w:val="24"/>
          <w:szCs w:val="18"/>
          <w:lang w:eastAsia="en-AU"/>
        </w:rPr>
        <w:t xml:space="preserve"> modern grid</w:t>
      </w:r>
      <w:r w:rsidRPr="00265E66">
        <w:rPr>
          <w:rFonts w:eastAsia="DengXian"/>
          <w:kern w:val="24"/>
          <w:szCs w:val="18"/>
          <w:lang w:eastAsia="en-AU"/>
        </w:rPr>
        <w:t>.</w:t>
      </w:r>
    </w:p>
    <w:p w14:paraId="2887D927" w14:textId="6A33A98C" w:rsidR="00F60E21" w:rsidRDefault="00265E66" w:rsidP="00020D27">
      <w:pPr>
        <w:snapToGrid w:val="0"/>
        <w:spacing w:before="120" w:after="120" w:line="264" w:lineRule="auto"/>
        <w:rPr>
          <w:rFonts w:eastAsia="DengXian"/>
          <w:kern w:val="24"/>
          <w:szCs w:val="18"/>
          <w:lang w:eastAsia="en-AU"/>
        </w:rPr>
      </w:pPr>
      <w:r w:rsidRPr="00265E66">
        <w:rPr>
          <w:rFonts w:eastAsia="DengXian"/>
          <w:kern w:val="24"/>
          <w:szCs w:val="18"/>
          <w:lang w:eastAsia="en-AU"/>
        </w:rPr>
        <w:t>Identifying, analysing, and documenting Systemic Issues is a powerful</w:t>
      </w:r>
      <w:r w:rsidR="00254D90">
        <w:rPr>
          <w:rFonts w:eastAsia="DengXian"/>
          <w:kern w:val="24"/>
          <w:szCs w:val="18"/>
          <w:lang w:eastAsia="en-AU"/>
        </w:rPr>
        <w:t xml:space="preserve">, </w:t>
      </w:r>
      <w:r w:rsidRPr="00265E66">
        <w:rPr>
          <w:rFonts w:eastAsia="DengXian"/>
          <w:kern w:val="24"/>
          <w:szCs w:val="18"/>
          <w:lang w:eastAsia="en-AU"/>
        </w:rPr>
        <w:t xml:space="preserve">holistic </w:t>
      </w:r>
      <w:r w:rsidR="00876A4A">
        <w:rPr>
          <w:rFonts w:eastAsia="DengXian"/>
          <w:kern w:val="24"/>
          <w:szCs w:val="18"/>
          <w:lang w:eastAsia="en-AU"/>
        </w:rPr>
        <w:t xml:space="preserve">means of </w:t>
      </w:r>
      <w:r w:rsidR="00A45CA7">
        <w:rPr>
          <w:rFonts w:eastAsia="DengXian"/>
          <w:kern w:val="24"/>
          <w:szCs w:val="18"/>
          <w:lang w:eastAsia="en-AU"/>
        </w:rPr>
        <w:t>p</w:t>
      </w:r>
      <w:r w:rsidRPr="00265E66">
        <w:rPr>
          <w:rFonts w:eastAsia="DengXian"/>
          <w:kern w:val="24"/>
          <w:szCs w:val="18"/>
          <w:lang w:eastAsia="en-AU"/>
        </w:rPr>
        <w:t xml:space="preserve">roblem definition </w:t>
      </w:r>
      <w:r w:rsidR="00254D90">
        <w:rPr>
          <w:rFonts w:eastAsia="DengXian"/>
          <w:kern w:val="24"/>
          <w:szCs w:val="18"/>
          <w:lang w:eastAsia="en-AU"/>
        </w:rPr>
        <w:t>for</w:t>
      </w:r>
      <w:r w:rsidRPr="00265E66">
        <w:rPr>
          <w:rFonts w:eastAsia="DengXian"/>
          <w:kern w:val="24"/>
          <w:szCs w:val="18"/>
          <w:lang w:eastAsia="en-AU"/>
        </w:rPr>
        <w:t xml:space="preserve"> complex, evolving systems. </w:t>
      </w:r>
      <w:r w:rsidR="00BB7C32">
        <w:rPr>
          <w:rFonts w:eastAsia="DengXian"/>
          <w:kern w:val="24"/>
          <w:szCs w:val="18"/>
          <w:lang w:eastAsia="en-AU"/>
        </w:rPr>
        <w:t>F</w:t>
      </w:r>
      <w:r w:rsidRPr="00265E66">
        <w:rPr>
          <w:rFonts w:eastAsia="DengXian"/>
          <w:kern w:val="24"/>
          <w:szCs w:val="18"/>
          <w:lang w:eastAsia="en-AU"/>
        </w:rPr>
        <w:t xml:space="preserve">ocusing on Systemic Issues enables </w:t>
      </w:r>
      <w:r w:rsidR="00A45CA7">
        <w:rPr>
          <w:rFonts w:eastAsia="DengXian"/>
          <w:kern w:val="24"/>
          <w:szCs w:val="18"/>
          <w:lang w:eastAsia="en-AU"/>
        </w:rPr>
        <w:t xml:space="preserve">collaborating stakeholders </w:t>
      </w:r>
      <w:r w:rsidRPr="00265E66">
        <w:rPr>
          <w:rFonts w:eastAsia="DengXian"/>
          <w:kern w:val="24"/>
          <w:szCs w:val="18"/>
          <w:lang w:eastAsia="en-AU"/>
        </w:rPr>
        <w:t xml:space="preserve">to distil a </w:t>
      </w:r>
      <w:r w:rsidR="00A45CA7">
        <w:rPr>
          <w:rFonts w:eastAsia="DengXian"/>
          <w:kern w:val="24"/>
          <w:szCs w:val="18"/>
          <w:lang w:eastAsia="en-AU"/>
        </w:rPr>
        <w:t>finite</w:t>
      </w:r>
      <w:r w:rsidRPr="00265E66">
        <w:rPr>
          <w:rFonts w:eastAsia="DengXian"/>
          <w:kern w:val="24"/>
          <w:szCs w:val="18"/>
          <w:lang w:eastAsia="en-AU"/>
        </w:rPr>
        <w:t xml:space="preserve"> set of</w:t>
      </w:r>
      <w:r w:rsidR="00254D90">
        <w:rPr>
          <w:rFonts w:eastAsia="DengXian"/>
          <w:kern w:val="24"/>
          <w:szCs w:val="18"/>
          <w:lang w:eastAsia="en-AU"/>
        </w:rPr>
        <w:t xml:space="preserve"> </w:t>
      </w:r>
      <w:r w:rsidR="00466AC0">
        <w:rPr>
          <w:rFonts w:eastAsia="DengXian"/>
          <w:kern w:val="24"/>
          <w:szCs w:val="18"/>
          <w:lang w:eastAsia="en-AU"/>
        </w:rPr>
        <w:t>cross-cutting problems</w:t>
      </w:r>
      <w:r w:rsidR="002B2BA8">
        <w:rPr>
          <w:rFonts w:eastAsia="DengXian"/>
          <w:kern w:val="24"/>
          <w:szCs w:val="18"/>
          <w:lang w:eastAsia="en-AU"/>
        </w:rPr>
        <w:t xml:space="preserve"> that are strategic points of leverage</w:t>
      </w:r>
      <w:r w:rsidR="00374950">
        <w:rPr>
          <w:rFonts w:eastAsia="DengXian"/>
          <w:kern w:val="24"/>
          <w:szCs w:val="18"/>
          <w:lang w:eastAsia="en-AU"/>
        </w:rPr>
        <w:t xml:space="preserve">. </w:t>
      </w:r>
      <w:r w:rsidR="00691C3A">
        <w:rPr>
          <w:rFonts w:eastAsia="DengXian"/>
          <w:kern w:val="24"/>
          <w:szCs w:val="18"/>
          <w:lang w:eastAsia="en-AU"/>
        </w:rPr>
        <w:t xml:space="preserve">In </w:t>
      </w:r>
      <w:r w:rsidR="002042A7">
        <w:rPr>
          <w:rFonts w:eastAsia="DengXian"/>
          <w:kern w:val="24"/>
          <w:szCs w:val="18"/>
          <w:lang w:eastAsia="en-AU"/>
        </w:rPr>
        <w:t xml:space="preserve">an </w:t>
      </w:r>
      <w:r w:rsidR="00691C3A">
        <w:rPr>
          <w:rFonts w:eastAsia="DengXian"/>
          <w:kern w:val="24"/>
          <w:szCs w:val="18"/>
          <w:lang w:eastAsia="en-AU"/>
        </w:rPr>
        <w:t xml:space="preserve">ultra-complex system, </w:t>
      </w:r>
      <w:r w:rsidR="002042A7">
        <w:rPr>
          <w:rFonts w:eastAsia="DengXian"/>
          <w:kern w:val="24"/>
          <w:szCs w:val="18"/>
          <w:lang w:eastAsia="en-AU"/>
        </w:rPr>
        <w:t xml:space="preserve">this uniquely enables </w:t>
      </w:r>
      <w:r w:rsidRPr="00265E66">
        <w:rPr>
          <w:rFonts w:eastAsia="DengXian"/>
          <w:kern w:val="24"/>
          <w:szCs w:val="18"/>
          <w:lang w:eastAsia="en-AU"/>
        </w:rPr>
        <w:t xml:space="preserve">targeted structural interventions </w:t>
      </w:r>
      <w:r w:rsidR="005460D4">
        <w:rPr>
          <w:rFonts w:eastAsia="DengXian"/>
          <w:kern w:val="24"/>
          <w:szCs w:val="18"/>
          <w:lang w:eastAsia="en-AU"/>
        </w:rPr>
        <w:t xml:space="preserve">capable of delivering </w:t>
      </w:r>
      <w:r w:rsidR="00B2750E">
        <w:rPr>
          <w:rFonts w:eastAsia="DengXian"/>
          <w:kern w:val="24"/>
          <w:szCs w:val="18"/>
          <w:lang w:eastAsia="en-AU"/>
        </w:rPr>
        <w:t xml:space="preserve">enduring </w:t>
      </w:r>
      <w:r w:rsidRPr="00265E66">
        <w:rPr>
          <w:rFonts w:eastAsia="DengXian"/>
          <w:kern w:val="24"/>
          <w:szCs w:val="18"/>
          <w:lang w:eastAsia="en-AU"/>
        </w:rPr>
        <w:t>system-wide benefit</w:t>
      </w:r>
      <w:r w:rsidR="00E9375E">
        <w:rPr>
          <w:rFonts w:eastAsia="DengXian"/>
          <w:kern w:val="24"/>
          <w:szCs w:val="18"/>
          <w:lang w:eastAsia="en-AU"/>
        </w:rPr>
        <w:t>s</w:t>
      </w:r>
      <w:r w:rsidR="00324CE5">
        <w:rPr>
          <w:rFonts w:eastAsia="DengXian"/>
          <w:kern w:val="24"/>
          <w:szCs w:val="18"/>
          <w:lang w:eastAsia="en-AU"/>
        </w:rPr>
        <w:t xml:space="preserve"> at least cost. </w:t>
      </w:r>
    </w:p>
    <w:p w14:paraId="4F5CE9F6" w14:textId="77777777" w:rsidR="00020D27" w:rsidRDefault="00020D27" w:rsidP="00020D27">
      <w:pPr>
        <w:snapToGrid w:val="0"/>
        <w:spacing w:before="120" w:after="120" w:line="264" w:lineRule="auto"/>
        <w:rPr>
          <w:rFonts w:eastAsia="DengXian"/>
          <w:kern w:val="24"/>
          <w:szCs w:val="18"/>
          <w:lang w:eastAsia="en-AU"/>
        </w:rPr>
        <w:sectPr w:rsidR="00020D27" w:rsidSect="00C20AD9">
          <w:headerReference w:type="default" r:id="rId15"/>
          <w:footerReference w:type="default" r:id="rId16"/>
          <w:pgSz w:w="11906" w:h="16838"/>
          <w:pgMar w:top="2552" w:right="1134" w:bottom="851" w:left="2552" w:header="709" w:footer="709" w:gutter="0"/>
          <w:cols w:space="708"/>
          <w:docGrid w:linePitch="360"/>
        </w:sectPr>
      </w:pPr>
    </w:p>
    <w:p w14:paraId="719549F6" w14:textId="78801883" w:rsidR="00E04D13" w:rsidRPr="00E04D13" w:rsidRDefault="00E04D13" w:rsidP="00E04D13">
      <w:pPr>
        <w:keepNext/>
        <w:spacing w:before="0" w:after="120" w:line="240" w:lineRule="auto"/>
        <w:ind w:left="1134"/>
        <w:jc w:val="center"/>
        <w:rPr>
          <w:i/>
          <w:iCs/>
          <w:color w:val="013C4C" w:themeColor="text1"/>
          <w:szCs w:val="22"/>
        </w:rPr>
      </w:pPr>
      <w:bookmarkStart w:id="14" w:name="_Toc204877194"/>
      <w:r w:rsidRPr="00275613">
        <w:rPr>
          <w:i/>
          <w:iCs/>
          <w:color w:val="013C4C" w:themeColor="text1"/>
          <w:szCs w:val="22"/>
        </w:rPr>
        <w:t xml:space="preserve">Table </w:t>
      </w:r>
      <w:r w:rsidRPr="00275613">
        <w:rPr>
          <w:i/>
          <w:iCs/>
          <w:color w:val="013C4C" w:themeColor="text1"/>
          <w:szCs w:val="22"/>
        </w:rPr>
        <w:fldChar w:fldCharType="begin"/>
      </w:r>
      <w:r w:rsidRPr="00275613">
        <w:rPr>
          <w:i/>
          <w:iCs/>
          <w:color w:val="013C4C" w:themeColor="text1"/>
          <w:szCs w:val="22"/>
        </w:rPr>
        <w:instrText xml:space="preserve"> SEQ Table \* ARABIC </w:instrText>
      </w:r>
      <w:r w:rsidRPr="00275613">
        <w:rPr>
          <w:i/>
          <w:iCs/>
          <w:color w:val="013C4C" w:themeColor="text1"/>
          <w:szCs w:val="22"/>
        </w:rPr>
        <w:fldChar w:fldCharType="separate"/>
      </w:r>
      <w:r w:rsidR="009F382F">
        <w:rPr>
          <w:i/>
          <w:iCs/>
          <w:noProof/>
          <w:color w:val="013C4C" w:themeColor="text1"/>
          <w:szCs w:val="22"/>
        </w:rPr>
        <w:t>1</w:t>
      </w:r>
      <w:r w:rsidRPr="00275613">
        <w:rPr>
          <w:i/>
          <w:iCs/>
          <w:color w:val="013C4C" w:themeColor="text1"/>
          <w:szCs w:val="22"/>
        </w:rPr>
        <w:fldChar w:fldCharType="end"/>
      </w:r>
      <w:r w:rsidRPr="00275613">
        <w:rPr>
          <w:i/>
          <w:iCs/>
          <w:color w:val="013C4C" w:themeColor="text1"/>
          <w:szCs w:val="22"/>
        </w:rPr>
        <w:t>:</w:t>
      </w:r>
      <w:r w:rsidRPr="00E04D13">
        <w:rPr>
          <w:i/>
          <w:iCs/>
          <w:color w:val="013C4C" w:themeColor="text1"/>
          <w:szCs w:val="22"/>
        </w:rPr>
        <w:t xml:space="preserve"> An illustrative comparison of the scale of change impacting many GW-scale power systems</w:t>
      </w:r>
      <w:bookmarkEnd w:id="14"/>
      <w:r w:rsidRPr="00E04D13">
        <w:rPr>
          <w:i/>
          <w:iCs/>
          <w:color w:val="013C4C" w:themeColor="text1"/>
          <w:szCs w:val="22"/>
        </w:rPr>
        <w:t xml:space="preserve"> globally</w:t>
      </w:r>
    </w:p>
    <w:p w14:paraId="074362B9" w14:textId="77777777" w:rsidR="00E04D13" w:rsidRPr="00E04D13" w:rsidRDefault="00E04D13" w:rsidP="00E04D13">
      <w:pPr>
        <w:snapToGrid w:val="0"/>
        <w:spacing w:before="180" w:after="120" w:line="264" w:lineRule="auto"/>
        <w:ind w:right="-1449"/>
        <w:jc w:val="center"/>
        <w:rPr>
          <w:rFonts w:eastAsia="DengXian"/>
          <w:kern w:val="24"/>
          <w:szCs w:val="18"/>
          <w:lang w:eastAsia="en-AU"/>
        </w:rPr>
        <w:sectPr w:rsidR="00E04D13" w:rsidRPr="00E04D13" w:rsidSect="00E04D13">
          <w:pgSz w:w="16838" w:h="11906" w:orient="landscape" w:code="9"/>
          <w:pgMar w:top="2552" w:right="2552" w:bottom="851" w:left="1134" w:header="709" w:footer="709" w:gutter="0"/>
          <w:cols w:space="708"/>
          <w:docGrid w:linePitch="360"/>
        </w:sectPr>
      </w:pPr>
      <w:r w:rsidRPr="00E04D13">
        <w:rPr>
          <w:rFonts w:eastAsia="DengXian"/>
          <w:noProof/>
          <w:kern w:val="24"/>
          <w:szCs w:val="18"/>
          <w:lang w:eastAsia="en-AU"/>
        </w:rPr>
        <w:drawing>
          <wp:inline distT="0" distB="0" distL="0" distR="0" wp14:anchorId="3F2F0C87" wp14:editId="4F14DA0A">
            <wp:extent cx="8341743" cy="4520474"/>
            <wp:effectExtent l="0" t="0" r="2540" b="0"/>
            <wp:docPr id="3322302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14271" cy="4559778"/>
                    </a:xfrm>
                    <a:prstGeom prst="rect">
                      <a:avLst/>
                    </a:prstGeom>
                    <a:noFill/>
                  </pic:spPr>
                </pic:pic>
              </a:graphicData>
            </a:graphic>
          </wp:inline>
        </w:drawing>
      </w:r>
    </w:p>
    <w:p w14:paraId="3777DE92" w14:textId="3C588429" w:rsidR="00637449" w:rsidRPr="002C72C2" w:rsidRDefault="00637449" w:rsidP="00EB2823">
      <w:pPr>
        <w:pStyle w:val="Heading1"/>
        <w:spacing w:before="0" w:line="264" w:lineRule="auto"/>
        <w:ind w:left="567" w:hanging="567"/>
        <w:rPr>
          <w:lang w:eastAsia="en-US" w:bidi="ar-SA"/>
        </w:rPr>
      </w:pPr>
      <w:bookmarkStart w:id="15" w:name="_Toc205533951"/>
      <w:bookmarkStart w:id="16" w:name="S_2"/>
      <w:r w:rsidRPr="002C72C2">
        <w:rPr>
          <w:lang w:eastAsia="en-US" w:bidi="ar-SA"/>
        </w:rPr>
        <w:t>Report Development Approach</w:t>
      </w:r>
      <w:bookmarkEnd w:id="15"/>
      <w:r w:rsidRPr="002C72C2">
        <w:rPr>
          <w:lang w:eastAsia="en-US" w:bidi="ar-SA"/>
        </w:rPr>
        <w:t xml:space="preserve"> </w:t>
      </w:r>
    </w:p>
    <w:bookmarkEnd w:id="16"/>
    <w:p w14:paraId="6F80E56C" w14:textId="2E483425" w:rsidR="00BF6899" w:rsidRDefault="00BF6899" w:rsidP="00EB2823">
      <w:pPr>
        <w:spacing w:before="180" w:after="0" w:line="264" w:lineRule="auto"/>
        <w:rPr>
          <w:rFonts w:cs="Calibri"/>
          <w:szCs w:val="18"/>
        </w:rPr>
      </w:pPr>
      <w:r>
        <w:rPr>
          <w:rFonts w:cs="Calibri"/>
          <w:szCs w:val="18"/>
        </w:rPr>
        <w:t xml:space="preserve">As illustrated in </w:t>
      </w:r>
      <w:hyperlink w:anchor="Figure_1" w:history="1">
        <w:r w:rsidRPr="00125D6E">
          <w:rPr>
            <w:rStyle w:val="Hyperlink"/>
            <w:rFonts w:cs="Calibri"/>
            <w:szCs w:val="18"/>
          </w:rPr>
          <w:t>Figure 1</w:t>
        </w:r>
      </w:hyperlink>
      <w:r>
        <w:rPr>
          <w:rFonts w:cs="Calibri"/>
          <w:szCs w:val="18"/>
        </w:rPr>
        <w:t xml:space="preserve"> (above), </w:t>
      </w:r>
      <w:r w:rsidR="005B2D0B">
        <w:rPr>
          <w:rFonts w:cs="Calibri"/>
          <w:szCs w:val="18"/>
        </w:rPr>
        <w:t xml:space="preserve">the </w:t>
      </w:r>
      <w:r>
        <w:rPr>
          <w:rFonts w:cs="Calibri"/>
          <w:szCs w:val="18"/>
        </w:rPr>
        <w:t xml:space="preserve">analysis of </w:t>
      </w:r>
      <w:r w:rsidR="00DD29C3">
        <w:rPr>
          <w:rFonts w:cs="Calibri"/>
          <w:szCs w:val="18"/>
        </w:rPr>
        <w:t xml:space="preserve">Systemic Issues &amp; Transformation Risks </w:t>
      </w:r>
      <w:r w:rsidR="00E252E2">
        <w:rPr>
          <w:rFonts w:cs="Calibri"/>
          <w:szCs w:val="18"/>
        </w:rPr>
        <w:t xml:space="preserve">is a critical input to </w:t>
      </w:r>
      <w:r w:rsidR="00F33B27">
        <w:rPr>
          <w:rFonts w:cs="Calibri"/>
          <w:szCs w:val="18"/>
        </w:rPr>
        <w:t xml:space="preserve">holistic </w:t>
      </w:r>
      <w:r w:rsidRPr="00E35565">
        <w:rPr>
          <w:rFonts w:cs="Calibri"/>
          <w:szCs w:val="18"/>
        </w:rPr>
        <w:t>transformation</w:t>
      </w:r>
      <w:r>
        <w:rPr>
          <w:rFonts w:cs="Calibri"/>
          <w:szCs w:val="18"/>
        </w:rPr>
        <w:t xml:space="preserve"> </w:t>
      </w:r>
      <w:r w:rsidR="00F33B27">
        <w:rPr>
          <w:rFonts w:cs="Calibri"/>
          <w:szCs w:val="18"/>
        </w:rPr>
        <w:t xml:space="preserve">design </w:t>
      </w:r>
      <w:r>
        <w:rPr>
          <w:rFonts w:cs="Calibri"/>
          <w:szCs w:val="18"/>
        </w:rPr>
        <w:t xml:space="preserve">model </w:t>
      </w:r>
      <w:r w:rsidR="00F33B27">
        <w:rPr>
          <w:rFonts w:cs="Calibri"/>
          <w:szCs w:val="18"/>
        </w:rPr>
        <w:t xml:space="preserve">provided </w:t>
      </w:r>
      <w:r w:rsidR="0009369A">
        <w:rPr>
          <w:rFonts w:cs="Calibri"/>
          <w:szCs w:val="18"/>
        </w:rPr>
        <w:t>S</w:t>
      </w:r>
      <w:r w:rsidR="00BC7781">
        <w:rPr>
          <w:rFonts w:cs="Calibri"/>
          <w:szCs w:val="18"/>
        </w:rPr>
        <w:t xml:space="preserve">ystems </w:t>
      </w:r>
      <w:r w:rsidR="0009369A">
        <w:rPr>
          <w:rFonts w:cs="Calibri"/>
          <w:szCs w:val="18"/>
        </w:rPr>
        <w:t>A</w:t>
      </w:r>
      <w:r w:rsidR="00BC7781">
        <w:rPr>
          <w:rFonts w:cs="Calibri"/>
          <w:szCs w:val="18"/>
        </w:rPr>
        <w:t>rchitecture</w:t>
      </w:r>
      <w:r>
        <w:rPr>
          <w:rFonts w:cs="Calibri"/>
          <w:szCs w:val="18"/>
        </w:rPr>
        <w:t xml:space="preserve"> disciplines</w:t>
      </w:r>
      <w:r w:rsidR="00374950">
        <w:rPr>
          <w:rFonts w:cs="Calibri"/>
          <w:szCs w:val="18"/>
        </w:rPr>
        <w:t xml:space="preserve">. </w:t>
      </w:r>
      <w:r>
        <w:rPr>
          <w:rFonts w:cs="Calibri"/>
          <w:szCs w:val="18"/>
        </w:rPr>
        <w:t xml:space="preserve">The </w:t>
      </w:r>
      <w:r w:rsidR="00F33B27">
        <w:rPr>
          <w:rFonts w:cs="Calibri"/>
          <w:szCs w:val="18"/>
        </w:rPr>
        <w:t xml:space="preserve">approach to developing this </w:t>
      </w:r>
      <w:r>
        <w:rPr>
          <w:rFonts w:cs="Calibri"/>
          <w:szCs w:val="18"/>
        </w:rPr>
        <w:t xml:space="preserve">report is outlined below. </w:t>
      </w:r>
    </w:p>
    <w:p w14:paraId="73DF67A4" w14:textId="77777777" w:rsidR="00E4374A" w:rsidRPr="004802F9" w:rsidRDefault="00E4374A" w:rsidP="00E4374A">
      <w:pPr>
        <w:pStyle w:val="11Heading"/>
        <w:numPr>
          <w:ilvl w:val="0"/>
          <w:numId w:val="0"/>
        </w:numPr>
        <w:rPr>
          <w:lang w:val="en-US" w:eastAsia="en-US" w:bidi="ar-SA"/>
        </w:rPr>
      </w:pPr>
      <w:bookmarkStart w:id="17" w:name="_Toc205243836"/>
      <w:bookmarkStart w:id="18" w:name="_Toc205533952"/>
      <w:r>
        <w:rPr>
          <w:lang w:val="en-US" w:eastAsia="en-US" w:bidi="ar-SA"/>
        </w:rPr>
        <w:t>2.1</w:t>
      </w:r>
      <w:r>
        <w:rPr>
          <w:lang w:val="en-US" w:eastAsia="en-US" w:bidi="ar-SA"/>
        </w:rPr>
        <w:tab/>
      </w:r>
      <w:bookmarkEnd w:id="17"/>
      <w:r>
        <w:rPr>
          <w:lang w:val="en-US" w:eastAsia="en-US" w:bidi="ar-SA"/>
        </w:rPr>
        <w:t>Philosophy</w:t>
      </w:r>
      <w:bookmarkEnd w:id="18"/>
    </w:p>
    <w:p w14:paraId="5C97E527" w14:textId="77777777" w:rsidR="00E4374A" w:rsidRDefault="00E4374A" w:rsidP="00E4374A">
      <w:pPr>
        <w:spacing w:before="120" w:after="120"/>
      </w:pPr>
      <w:r w:rsidRPr="00853247">
        <w:t>The set of reports has been developed through the lens of Design Thinking</w:t>
      </w:r>
      <w:r>
        <w:t xml:space="preserve"> and u</w:t>
      </w:r>
      <w:r w:rsidRPr="00853247">
        <w:t>nderpinned by Systems Engineering</w:t>
      </w:r>
      <w:r>
        <w:t xml:space="preserve">, </w:t>
      </w:r>
      <w:r w:rsidRPr="00853247">
        <w:t>Systems Architecture</w:t>
      </w:r>
      <w:r>
        <w:t xml:space="preserve"> and related </w:t>
      </w:r>
      <w:r w:rsidRPr="00853247">
        <w:t>disciplines</w:t>
      </w:r>
      <w:r>
        <w:t>.  I</w:t>
      </w:r>
      <w:r w:rsidRPr="00853247">
        <w:t>n doing</w:t>
      </w:r>
      <w:r>
        <w:t xml:space="preserve"> so</w:t>
      </w:r>
      <w:r w:rsidRPr="00853247">
        <w:t xml:space="preserve">, it attempts to take a longer </w:t>
      </w:r>
      <w:r>
        <w:t xml:space="preserve">view of whole-system transformation relevant to the NEM and the increasingly critical role of DSO models for achieving the key objective of the federal </w:t>
      </w:r>
      <w:r w:rsidRPr="00853247">
        <w:t>National CER Roadmap</w:t>
      </w:r>
      <w:r>
        <w:t xml:space="preserve"> initiative </w:t>
      </w:r>
      <w:hyperlink w:anchor="R_1" w:history="1">
        <w:r w:rsidRPr="0029430E">
          <w:rPr>
            <w:rStyle w:val="Hyperlink"/>
          </w:rPr>
          <w:fldChar w:fldCharType="begin"/>
        </w:r>
        <w:r w:rsidRPr="0029430E">
          <w:rPr>
            <w:rStyle w:val="Hyperlink"/>
          </w:rPr>
          <w:instrText xml:space="preserve"> ADDIN ZOTERO_ITEM CSL_CITATION {"citationID":"a1j96m64us6","properties":{"formattedCitation":"[1]","plainCitation":"[1]","noteIndex":0},"citationItems":[{"id":655,"uris":["http://zotero.org/users/local/2mgdH29P/items/6LVNU7TB"],"itemData":{"id":655,"type":"report","event-place":"GPO Box 3090 Canberra ACT 2601","publisher-place":"GPO Box 3090 Canberra ACT 2601","title":"National Consumer Energy Resources Roadmap - Powering Decarbonised Homes and Communities","URL":"https://www.energy.gov.au/sites/default/files/2024-07/national-consumer-energy-resources-roadmap.pdf","author":[{"literal":"Department of Climate Change, Energy, the Environment and Water (DCCEEW)"}],"issued":{"date-parts":[["2024",7]]}}}],"schema":"https://github.com/citation-style-language/schema/raw/master/csl-citation.json"} </w:instrText>
        </w:r>
        <w:r w:rsidRPr="0029430E">
          <w:rPr>
            <w:rStyle w:val="Hyperlink"/>
          </w:rPr>
          <w:fldChar w:fldCharType="separate"/>
        </w:r>
        <w:r w:rsidRPr="0029430E">
          <w:rPr>
            <w:rStyle w:val="Hyperlink"/>
            <w:rFonts w:cs="Times New Roman"/>
            <w:kern w:val="0"/>
          </w:rPr>
          <w:t>[1]</w:t>
        </w:r>
        <w:r w:rsidRPr="0029430E">
          <w:rPr>
            <w:rStyle w:val="Hyperlink"/>
          </w:rPr>
          <w:fldChar w:fldCharType="end"/>
        </w:r>
      </w:hyperlink>
      <w:r w:rsidRPr="00853247">
        <w:t xml:space="preserve">. </w:t>
      </w:r>
    </w:p>
    <w:p w14:paraId="4A3EFCA2" w14:textId="7A0EBA97" w:rsidR="00E4374A" w:rsidRPr="00593AE7" w:rsidRDefault="00E4374A" w:rsidP="00E4374A">
      <w:pPr>
        <w:spacing w:before="0" w:after="0"/>
        <w:jc w:val="center"/>
        <w:rPr>
          <w:i/>
          <w:iCs/>
          <w:color w:val="013C4C" w:themeColor="text1"/>
          <w:szCs w:val="22"/>
        </w:rPr>
      </w:pPr>
      <w:bookmarkStart w:id="19" w:name="F_2"/>
      <w:bookmarkStart w:id="20" w:name="_Toc205365727"/>
      <w:r>
        <w:rPr>
          <w:noProof/>
        </w:rPr>
        <w:drawing>
          <wp:inline distT="0" distB="0" distL="0" distR="0" wp14:anchorId="495CBA0D" wp14:editId="111B6DEF">
            <wp:extent cx="5399405" cy="2641854"/>
            <wp:effectExtent l="0" t="0" r="0" b="6350"/>
            <wp:docPr id="1739618245" name="Picture 25" descr="A diagram of a pro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18245" name="Picture 25" descr="A diagram of a problem&#10;&#10;AI-generated content may be incorrect."/>
                    <pic:cNvPicPr/>
                  </pic:nvPicPr>
                  <pic:blipFill rotWithShape="1">
                    <a:blip r:embed="rId18" cstate="print">
                      <a:extLst>
                        <a:ext uri="{28A0092B-C50C-407E-A947-70E740481C1C}">
                          <a14:useLocalDpi xmlns:a14="http://schemas.microsoft.com/office/drawing/2010/main" val="0"/>
                        </a:ext>
                      </a:extLst>
                    </a:blip>
                    <a:srcRect t="5854" b="7171"/>
                    <a:stretch/>
                  </pic:blipFill>
                  <pic:spPr bwMode="auto">
                    <a:xfrm>
                      <a:off x="0" y="0"/>
                      <a:ext cx="5399405" cy="2641854"/>
                    </a:xfrm>
                    <a:prstGeom prst="rect">
                      <a:avLst/>
                    </a:prstGeom>
                    <a:ln>
                      <a:noFill/>
                    </a:ln>
                    <a:extLst>
                      <a:ext uri="{53640926-AAD7-44D8-BBD7-CCE9431645EC}">
                        <a14:shadowObscured xmlns:a14="http://schemas.microsoft.com/office/drawing/2010/main"/>
                      </a:ext>
                    </a:extLst>
                  </pic:spPr>
                </pic:pic>
              </a:graphicData>
            </a:graphic>
          </wp:inline>
        </w:drawing>
      </w:r>
      <w:bookmarkEnd w:id="19"/>
      <w:r>
        <w:br/>
      </w:r>
      <w:bookmarkStart w:id="21" w:name="_Ref204848292"/>
      <w:bookmarkStart w:id="22" w:name="_Toc205313100"/>
      <w:r w:rsidRPr="005511E0">
        <w:rPr>
          <w:i/>
          <w:iCs/>
          <w:color w:val="013C4C" w:themeColor="text1"/>
          <w:szCs w:val="22"/>
        </w:rPr>
        <w:t xml:space="preserve">Figure </w:t>
      </w:r>
      <w:r w:rsidRPr="005511E0">
        <w:rPr>
          <w:i/>
          <w:iCs/>
          <w:color w:val="013C4C" w:themeColor="text1"/>
          <w:szCs w:val="22"/>
        </w:rPr>
        <w:fldChar w:fldCharType="begin"/>
      </w:r>
      <w:r w:rsidRPr="005511E0">
        <w:rPr>
          <w:i/>
          <w:iCs/>
          <w:color w:val="013C4C" w:themeColor="text1"/>
          <w:szCs w:val="22"/>
        </w:rPr>
        <w:instrText xml:space="preserve"> SEQ Figure \* ARABIC </w:instrText>
      </w:r>
      <w:r w:rsidRPr="005511E0">
        <w:rPr>
          <w:i/>
          <w:iCs/>
          <w:color w:val="013C4C" w:themeColor="text1"/>
          <w:szCs w:val="22"/>
        </w:rPr>
        <w:fldChar w:fldCharType="separate"/>
      </w:r>
      <w:r w:rsidR="009F382F">
        <w:rPr>
          <w:i/>
          <w:iCs/>
          <w:noProof/>
          <w:color w:val="013C4C" w:themeColor="text1"/>
          <w:szCs w:val="22"/>
        </w:rPr>
        <w:t>2</w:t>
      </w:r>
      <w:r w:rsidRPr="005511E0">
        <w:rPr>
          <w:i/>
          <w:iCs/>
          <w:color w:val="013C4C" w:themeColor="text1"/>
          <w:szCs w:val="22"/>
        </w:rPr>
        <w:fldChar w:fldCharType="end"/>
      </w:r>
      <w:bookmarkEnd w:id="21"/>
      <w:r w:rsidRPr="005511E0">
        <w:rPr>
          <w:i/>
          <w:iCs/>
          <w:color w:val="013C4C" w:themeColor="text1"/>
          <w:szCs w:val="22"/>
        </w:rPr>
        <w:t>:</w:t>
      </w:r>
      <w:r w:rsidRPr="00555C78">
        <w:rPr>
          <w:i/>
          <w:iCs/>
          <w:color w:val="013C4C" w:themeColor="text1"/>
          <w:szCs w:val="22"/>
        </w:rPr>
        <w:t xml:space="preserve"> </w:t>
      </w:r>
      <w:r>
        <w:rPr>
          <w:i/>
          <w:iCs/>
          <w:color w:val="013C4C" w:themeColor="text1"/>
          <w:szCs w:val="22"/>
        </w:rPr>
        <w:t>The reference set of five reports applies a Design Thinking approach to whole-system tr</w:t>
      </w:r>
      <w:r w:rsidRPr="00555C78">
        <w:rPr>
          <w:i/>
          <w:iCs/>
          <w:color w:val="013C4C" w:themeColor="text1"/>
          <w:szCs w:val="22"/>
        </w:rPr>
        <w:t>ansformation</w:t>
      </w:r>
      <w:r>
        <w:rPr>
          <w:i/>
          <w:iCs/>
          <w:color w:val="013C4C" w:themeColor="text1"/>
          <w:szCs w:val="22"/>
        </w:rPr>
        <w:t xml:space="preserve"> underpinned by </w:t>
      </w:r>
      <w:r w:rsidRPr="00D82255">
        <w:rPr>
          <w:i/>
          <w:iCs/>
          <w:color w:val="013C4C" w:themeColor="text1"/>
          <w:szCs w:val="22"/>
        </w:rPr>
        <w:t>Systems Engineering</w:t>
      </w:r>
      <w:r>
        <w:rPr>
          <w:i/>
          <w:iCs/>
          <w:color w:val="013C4C" w:themeColor="text1"/>
          <w:szCs w:val="22"/>
        </w:rPr>
        <w:t xml:space="preserve"> and </w:t>
      </w:r>
      <w:r w:rsidRPr="00D82255">
        <w:rPr>
          <w:i/>
          <w:iCs/>
          <w:color w:val="013C4C" w:themeColor="text1"/>
          <w:szCs w:val="22"/>
        </w:rPr>
        <w:t>related disciplines</w:t>
      </w:r>
      <w:bookmarkEnd w:id="20"/>
      <w:bookmarkEnd w:id="22"/>
    </w:p>
    <w:p w14:paraId="6D6EA92B" w14:textId="02C01713" w:rsidR="00E4374A" w:rsidRPr="00C14B3C" w:rsidRDefault="00E4374A" w:rsidP="00E4374A">
      <w:pPr>
        <w:snapToGrid w:val="0"/>
        <w:spacing w:after="120" w:line="264" w:lineRule="auto"/>
        <w:rPr>
          <w:rFonts w:eastAsia="DengXian"/>
          <w:kern w:val="24"/>
          <w:szCs w:val="18"/>
          <w:lang w:eastAsia="en-AU"/>
        </w:rPr>
      </w:pPr>
      <w:r>
        <w:rPr>
          <w:rFonts w:eastAsia="DengXian"/>
          <w:kern w:val="24"/>
          <w:szCs w:val="18"/>
          <w:lang w:eastAsia="en-AU"/>
        </w:rPr>
        <w:t xml:space="preserve">As noted previously, the reference set is </w:t>
      </w:r>
      <w:r w:rsidRPr="00E24697">
        <w:rPr>
          <w:rFonts w:eastAsia="DengXian"/>
          <w:kern w:val="24"/>
          <w:szCs w:val="18"/>
          <w:lang w:eastAsia="en-AU"/>
        </w:rPr>
        <w:t xml:space="preserve">designed to underpin a </w:t>
      </w:r>
      <w:r>
        <w:rPr>
          <w:rFonts w:eastAsia="DengXian"/>
          <w:kern w:val="24"/>
          <w:szCs w:val="18"/>
          <w:lang w:eastAsia="en-AU"/>
        </w:rPr>
        <w:t xml:space="preserve">subsequent </w:t>
      </w:r>
      <w:r w:rsidRPr="00E24697">
        <w:rPr>
          <w:rFonts w:eastAsia="DengXian"/>
          <w:kern w:val="24"/>
          <w:szCs w:val="18"/>
          <w:lang w:eastAsia="en-AU"/>
        </w:rPr>
        <w:t>Detailed Architecture process</w:t>
      </w:r>
      <w:r>
        <w:rPr>
          <w:rFonts w:eastAsia="DengXian"/>
          <w:kern w:val="24"/>
          <w:szCs w:val="18"/>
          <w:lang w:eastAsia="en-AU"/>
        </w:rPr>
        <w:t xml:space="preserve"> that provides an integrated approach for navigating Australia’s timely and efficient deployment of DSO and TDC models (i.e. ‘solution space’). As illustrated in </w:t>
      </w:r>
      <w:hyperlink w:anchor="F_2" w:history="1">
        <w:r w:rsidRPr="005511E0">
          <w:rPr>
            <w:rStyle w:val="Hyperlink"/>
          </w:rPr>
          <w:t>Figure 2</w:t>
        </w:r>
      </w:hyperlink>
      <w:r>
        <w:rPr>
          <w:rFonts w:eastAsia="DengXian"/>
          <w:kern w:val="24"/>
          <w:szCs w:val="18"/>
          <w:lang w:eastAsia="en-AU"/>
        </w:rPr>
        <w:t xml:space="preserve"> </w:t>
      </w:r>
      <w:r>
        <w:rPr>
          <w:rFonts w:eastAsia="DengXian"/>
          <w:kern w:val="24"/>
          <w:szCs w:val="18"/>
          <w:lang w:eastAsia="en-AU"/>
        </w:rPr>
        <w:fldChar w:fldCharType="begin"/>
      </w:r>
      <w:r>
        <w:rPr>
          <w:rFonts w:eastAsia="DengXian"/>
          <w:kern w:val="24"/>
          <w:szCs w:val="18"/>
          <w:lang w:eastAsia="en-AU"/>
        </w:rPr>
        <w:instrText xml:space="preserve"> REF _Ref204782959 \p \h </w:instrText>
      </w:r>
      <w:r>
        <w:rPr>
          <w:rFonts w:eastAsia="DengXian"/>
          <w:kern w:val="24"/>
          <w:szCs w:val="18"/>
          <w:lang w:eastAsia="en-AU"/>
        </w:rPr>
        <w:fldChar w:fldCharType="separate"/>
      </w:r>
      <w:r w:rsidR="009F382F">
        <w:rPr>
          <w:rFonts w:eastAsia="DengXian"/>
          <w:b/>
          <w:bCs/>
          <w:kern w:val="24"/>
          <w:szCs w:val="18"/>
          <w:lang w:val="en-US" w:eastAsia="en-AU"/>
        </w:rPr>
        <w:t>Error! Reference source not found.</w:t>
      </w:r>
      <w:r>
        <w:rPr>
          <w:rFonts w:eastAsia="DengXian"/>
          <w:kern w:val="24"/>
          <w:szCs w:val="18"/>
          <w:lang w:eastAsia="en-AU"/>
        </w:rPr>
        <w:fldChar w:fldCharType="end"/>
      </w:r>
      <w:r>
        <w:rPr>
          <w:rFonts w:eastAsia="DengXian"/>
          <w:kern w:val="24"/>
          <w:szCs w:val="18"/>
          <w:lang w:eastAsia="en-AU"/>
        </w:rPr>
        <w:t xml:space="preserve">, the five reports developed in AR-PST Stage 4 evaluate the divergent global and Australian content relevant to each of the topics covered (i.e. ‘problem space’). This enables a rigorous, objective and traceable means for reporting and converging on the most critical issues that must be addressed to develop future-ready solutions enabled by constructive multi-stakeholder collaboration. </w:t>
      </w:r>
    </w:p>
    <w:p w14:paraId="4845AFF4" w14:textId="77777777" w:rsidR="00E4374A" w:rsidRDefault="00E4374A" w:rsidP="00EB2823">
      <w:pPr>
        <w:spacing w:before="180" w:after="0" w:line="264" w:lineRule="auto"/>
        <w:rPr>
          <w:rFonts w:cs="Calibri"/>
          <w:szCs w:val="18"/>
        </w:rPr>
      </w:pPr>
    </w:p>
    <w:p w14:paraId="12F66655" w14:textId="1CFA9737" w:rsidR="006307F5" w:rsidRPr="002C72C2" w:rsidRDefault="006E3A66" w:rsidP="00FE6F4E">
      <w:pPr>
        <w:pStyle w:val="Heading2"/>
        <w:ind w:left="578" w:hanging="578"/>
        <w:rPr>
          <w:lang w:eastAsia="en-US" w:bidi="ar-SA"/>
        </w:rPr>
      </w:pPr>
      <w:bookmarkStart w:id="23" w:name="_Toc195205477"/>
      <w:bookmarkStart w:id="24" w:name="_Toc205533953"/>
      <w:bookmarkStart w:id="25" w:name="_Toc195205476"/>
      <w:r>
        <w:rPr>
          <w:lang w:eastAsia="en-US" w:bidi="ar-SA"/>
        </w:rPr>
        <w:t xml:space="preserve">Working </w:t>
      </w:r>
      <w:r w:rsidR="006307F5" w:rsidRPr="002C72C2">
        <w:rPr>
          <w:lang w:eastAsia="en-US" w:bidi="ar-SA"/>
        </w:rPr>
        <w:t>Definition</w:t>
      </w:r>
      <w:bookmarkEnd w:id="23"/>
      <w:bookmarkEnd w:id="24"/>
    </w:p>
    <w:p w14:paraId="11C087E0" w14:textId="27E2F2AE" w:rsidR="006307F5" w:rsidRPr="00DE4096" w:rsidRDefault="006307F5" w:rsidP="006307F5">
      <w:pPr>
        <w:spacing w:before="180" w:after="120" w:line="264" w:lineRule="auto"/>
        <w:rPr>
          <w:rFonts w:cs="Calibri"/>
          <w:szCs w:val="18"/>
        </w:rPr>
      </w:pPr>
      <w:r w:rsidRPr="00880E19">
        <w:rPr>
          <w:rFonts w:cs="Calibri"/>
          <w:szCs w:val="18"/>
        </w:rPr>
        <w:t>Identifying, analysing, and documenting</w:t>
      </w:r>
      <w:r>
        <w:rPr>
          <w:rFonts w:cs="Calibri"/>
          <w:szCs w:val="18"/>
        </w:rPr>
        <w:t xml:space="preserve"> </w:t>
      </w:r>
      <w:r w:rsidRPr="00880E19">
        <w:rPr>
          <w:rFonts w:cs="Calibri"/>
          <w:szCs w:val="18"/>
        </w:rPr>
        <w:t xml:space="preserve">Systemic Issues </w:t>
      </w:r>
      <w:r>
        <w:rPr>
          <w:rFonts w:cs="Calibri"/>
          <w:szCs w:val="18"/>
        </w:rPr>
        <w:t xml:space="preserve">provides </w:t>
      </w:r>
      <w:r w:rsidRPr="00880E19">
        <w:rPr>
          <w:rFonts w:cs="Calibri"/>
          <w:szCs w:val="18"/>
        </w:rPr>
        <w:t>a</w:t>
      </w:r>
      <w:r>
        <w:rPr>
          <w:rFonts w:cs="Calibri"/>
          <w:szCs w:val="18"/>
        </w:rPr>
        <w:t xml:space="preserve"> powerful</w:t>
      </w:r>
      <w:r w:rsidR="00A511DC">
        <w:rPr>
          <w:rFonts w:cs="Calibri"/>
          <w:szCs w:val="18"/>
        </w:rPr>
        <w:t xml:space="preserve">, </w:t>
      </w:r>
      <w:r>
        <w:rPr>
          <w:rFonts w:cs="Calibri"/>
          <w:szCs w:val="18"/>
        </w:rPr>
        <w:t>holistic means of p</w:t>
      </w:r>
      <w:r w:rsidRPr="00880E19">
        <w:rPr>
          <w:rFonts w:cs="Calibri"/>
          <w:szCs w:val="18"/>
        </w:rPr>
        <w:t xml:space="preserve">roblem definition in </w:t>
      </w:r>
      <w:r>
        <w:rPr>
          <w:rFonts w:cs="Calibri"/>
          <w:szCs w:val="18"/>
        </w:rPr>
        <w:t xml:space="preserve">a </w:t>
      </w:r>
      <w:r w:rsidRPr="00880E19">
        <w:rPr>
          <w:rFonts w:cs="Calibri"/>
          <w:szCs w:val="18"/>
        </w:rPr>
        <w:t xml:space="preserve">complex, </w:t>
      </w:r>
      <w:r>
        <w:rPr>
          <w:rFonts w:cs="Calibri"/>
          <w:szCs w:val="18"/>
        </w:rPr>
        <w:t>transforming s</w:t>
      </w:r>
      <w:r w:rsidRPr="00880E19">
        <w:rPr>
          <w:rFonts w:cs="Calibri"/>
          <w:szCs w:val="18"/>
        </w:rPr>
        <w:t>ystem</w:t>
      </w:r>
      <w:r w:rsidR="00374950">
        <w:rPr>
          <w:rFonts w:cs="Calibri"/>
          <w:szCs w:val="18"/>
        </w:rPr>
        <w:t xml:space="preserve">. </w:t>
      </w:r>
      <w:r w:rsidRPr="00DE4096">
        <w:rPr>
          <w:rFonts w:cs="Calibri"/>
          <w:szCs w:val="18"/>
        </w:rPr>
        <w:t>In developing th</w:t>
      </w:r>
      <w:r>
        <w:rPr>
          <w:rFonts w:cs="Calibri"/>
          <w:szCs w:val="18"/>
        </w:rPr>
        <w:t>is</w:t>
      </w:r>
      <w:r w:rsidRPr="00DE4096">
        <w:rPr>
          <w:rFonts w:cs="Calibri"/>
          <w:szCs w:val="18"/>
        </w:rPr>
        <w:t xml:space="preserve"> report, the following definition of a Systemic Issue was </w:t>
      </w:r>
      <w:r w:rsidR="003179A0">
        <w:rPr>
          <w:rFonts w:cs="Calibri"/>
          <w:szCs w:val="18"/>
        </w:rPr>
        <w:t xml:space="preserve">formulated informed by Systems Engineering </w:t>
      </w:r>
      <w:r w:rsidR="00BF68D2">
        <w:rPr>
          <w:rFonts w:cs="Calibri"/>
          <w:szCs w:val="18"/>
        </w:rPr>
        <w:t>practice</w:t>
      </w:r>
      <w:r w:rsidRPr="00DE4096">
        <w:rPr>
          <w:rFonts w:cs="Calibri"/>
          <w:szCs w:val="18"/>
        </w:rPr>
        <w:t xml:space="preserve">: </w:t>
      </w:r>
    </w:p>
    <w:p w14:paraId="6A2BBE43" w14:textId="79CCB6ED" w:rsidR="00693A59" w:rsidRPr="00E04D13" w:rsidRDefault="006307F5" w:rsidP="003F410B">
      <w:pPr>
        <w:spacing w:before="180" w:after="120" w:line="264" w:lineRule="auto"/>
        <w:ind w:left="426" w:right="282"/>
        <w:rPr>
          <w:rFonts w:ascii="PP Mori SemiBold" w:eastAsia="DengXian" w:hAnsi="PP Mori SemiBold"/>
          <w:i/>
          <w:iCs/>
          <w:kern w:val="24"/>
          <w:szCs w:val="18"/>
          <w:lang w:eastAsia="en-AU"/>
        </w:rPr>
      </w:pPr>
      <w:r w:rsidRPr="00E04D13">
        <w:rPr>
          <w:rFonts w:ascii="PP Mori SemiBold" w:eastAsia="DengXian" w:hAnsi="PP Mori SemiBold"/>
          <w:i/>
          <w:iCs/>
          <w:kern w:val="24"/>
          <w:szCs w:val="18"/>
          <w:lang w:eastAsia="en-AU"/>
        </w:rPr>
        <w:t>A cross-cutting problem that stems from the fundamental structure of a complex system and/or impedes efforts to holistically transform the system.</w:t>
      </w:r>
    </w:p>
    <w:p w14:paraId="5BFCEBDA" w14:textId="174E074C" w:rsidR="006307F5" w:rsidRPr="00E04D13" w:rsidRDefault="00693A59" w:rsidP="003F410B">
      <w:pPr>
        <w:spacing w:before="180" w:after="120" w:line="264" w:lineRule="auto"/>
        <w:ind w:left="426" w:right="282"/>
        <w:rPr>
          <w:rFonts w:ascii="PP Mori SemiBold" w:eastAsia="DengXian" w:hAnsi="PP Mori SemiBold"/>
          <w:i/>
          <w:iCs/>
          <w:kern w:val="24"/>
          <w:szCs w:val="18"/>
          <w:lang w:eastAsia="en-AU"/>
        </w:rPr>
      </w:pPr>
      <w:r w:rsidRPr="00E04D13">
        <w:rPr>
          <w:rFonts w:ascii="PP Mori SemiBold" w:eastAsia="DengXian" w:hAnsi="PP Mori SemiBold"/>
          <w:i/>
          <w:iCs/>
          <w:kern w:val="24"/>
          <w:szCs w:val="18"/>
          <w:lang w:eastAsia="en-AU"/>
        </w:rPr>
        <w:t>Systemic Issues are</w:t>
      </w:r>
      <w:r w:rsidR="00046125" w:rsidRPr="00E04D13">
        <w:rPr>
          <w:rFonts w:ascii="PP Mori SemiBold" w:eastAsia="DengXian" w:hAnsi="PP Mori SemiBold"/>
          <w:i/>
          <w:iCs/>
          <w:kern w:val="24"/>
          <w:szCs w:val="18"/>
          <w:lang w:eastAsia="en-AU"/>
        </w:rPr>
        <w:t xml:space="preserve"> uniquely</w:t>
      </w:r>
      <w:r w:rsidRPr="00E04D13">
        <w:rPr>
          <w:rFonts w:ascii="PP Mori SemiBold" w:eastAsia="DengXian" w:hAnsi="PP Mori SemiBold"/>
          <w:i/>
          <w:iCs/>
          <w:kern w:val="24"/>
          <w:szCs w:val="18"/>
          <w:lang w:eastAsia="en-AU"/>
        </w:rPr>
        <w:t xml:space="preserve"> </w:t>
      </w:r>
      <w:r w:rsidR="00E01D61" w:rsidRPr="00E04D13">
        <w:rPr>
          <w:rFonts w:ascii="PP Mori SemiBold" w:eastAsia="DengXian" w:hAnsi="PP Mori SemiBold"/>
          <w:i/>
          <w:iCs/>
          <w:kern w:val="24"/>
          <w:szCs w:val="18"/>
          <w:lang w:eastAsia="en-AU"/>
        </w:rPr>
        <w:t xml:space="preserve">distinguished </w:t>
      </w:r>
      <w:r w:rsidRPr="00E04D13">
        <w:rPr>
          <w:rFonts w:ascii="PP Mori SemiBold" w:eastAsia="DengXian" w:hAnsi="PP Mori SemiBold"/>
          <w:i/>
          <w:iCs/>
          <w:kern w:val="24"/>
          <w:szCs w:val="18"/>
          <w:lang w:eastAsia="en-AU"/>
        </w:rPr>
        <w:t xml:space="preserve">as follows: </w:t>
      </w:r>
    </w:p>
    <w:p w14:paraId="2DA4D2E3" w14:textId="397C0C42" w:rsidR="00E01D61" w:rsidRPr="00E04D13" w:rsidRDefault="000779B9" w:rsidP="00954BAC">
      <w:pPr>
        <w:pStyle w:val="ListParagraph"/>
        <w:numPr>
          <w:ilvl w:val="0"/>
          <w:numId w:val="75"/>
        </w:numPr>
        <w:tabs>
          <w:tab w:val="num" w:pos="993"/>
        </w:tabs>
        <w:spacing w:before="180" w:line="264" w:lineRule="auto"/>
        <w:ind w:left="993" w:right="282" w:hanging="284"/>
        <w:rPr>
          <w:rFonts w:cs="Calibri"/>
          <w:i/>
          <w:iCs/>
          <w:szCs w:val="18"/>
        </w:rPr>
      </w:pPr>
      <w:r w:rsidRPr="00E04D13">
        <w:rPr>
          <w:rFonts w:ascii="PP Mori SemiBold" w:hAnsi="PP Mori SemiBold" w:cs="Calibri"/>
          <w:i/>
          <w:iCs/>
          <w:szCs w:val="18"/>
        </w:rPr>
        <w:t>Multi</w:t>
      </w:r>
      <w:r w:rsidR="00D0630D" w:rsidRPr="00E04D13">
        <w:rPr>
          <w:rFonts w:ascii="PP Mori SemiBold" w:hAnsi="PP Mori SemiBold" w:cs="Calibri"/>
          <w:i/>
          <w:iCs/>
          <w:szCs w:val="18"/>
        </w:rPr>
        <w:t>ple S</w:t>
      </w:r>
      <w:r w:rsidRPr="00E04D13">
        <w:rPr>
          <w:rFonts w:ascii="PP Mori SemiBold" w:hAnsi="PP Mori SemiBold" w:cs="Calibri"/>
          <w:i/>
          <w:iCs/>
          <w:szCs w:val="18"/>
        </w:rPr>
        <w:t>ystem</w:t>
      </w:r>
      <w:r w:rsidR="00D0630D" w:rsidRPr="00E04D13">
        <w:rPr>
          <w:rFonts w:ascii="PP Mori SemiBold" w:hAnsi="PP Mori SemiBold" w:cs="Calibri"/>
          <w:i/>
          <w:iCs/>
          <w:szCs w:val="18"/>
        </w:rPr>
        <w:t>s/disciplines</w:t>
      </w:r>
      <w:r w:rsidR="00E01D61" w:rsidRPr="00E04D13">
        <w:rPr>
          <w:rFonts w:ascii="PP Mori SemiBold" w:hAnsi="PP Mori SemiBold" w:cs="Calibri"/>
          <w:i/>
          <w:iCs/>
          <w:szCs w:val="18"/>
        </w:rPr>
        <w:t>:</w:t>
      </w:r>
      <w:r w:rsidR="00E01D61" w:rsidRPr="00E04D13">
        <w:rPr>
          <w:rFonts w:ascii="PP Mori SemiBold" w:hAnsi="PP Mori SemiBold" w:cs="Calibri"/>
          <w:i/>
          <w:szCs w:val="18"/>
        </w:rPr>
        <w:t xml:space="preserve"> </w:t>
      </w:r>
      <w:r w:rsidR="00CC5390" w:rsidRPr="00E04D13">
        <w:rPr>
          <w:rFonts w:cs="Calibri"/>
          <w:i/>
          <w:iCs/>
          <w:szCs w:val="18"/>
        </w:rPr>
        <w:t>Systemic I</w:t>
      </w:r>
      <w:r w:rsidR="00E01D61" w:rsidRPr="00E04D13">
        <w:rPr>
          <w:rFonts w:cs="Calibri"/>
          <w:i/>
          <w:iCs/>
          <w:szCs w:val="18"/>
        </w:rPr>
        <w:t xml:space="preserve">ssues </w:t>
      </w:r>
      <w:r w:rsidRPr="00E04D13">
        <w:rPr>
          <w:rFonts w:cs="Calibri"/>
          <w:i/>
          <w:iCs/>
          <w:szCs w:val="18"/>
        </w:rPr>
        <w:t xml:space="preserve">are cross-cutting in that they </w:t>
      </w:r>
      <w:r w:rsidR="00E01D61" w:rsidRPr="00E04D13">
        <w:rPr>
          <w:rFonts w:cs="Calibri"/>
          <w:i/>
          <w:iCs/>
          <w:szCs w:val="18"/>
        </w:rPr>
        <w:t xml:space="preserve">span multiple subsystems </w:t>
      </w:r>
      <w:r w:rsidRPr="00E04D13">
        <w:rPr>
          <w:rFonts w:cs="Calibri"/>
          <w:i/>
          <w:iCs/>
          <w:szCs w:val="18"/>
        </w:rPr>
        <w:t>and/</w:t>
      </w:r>
      <w:r w:rsidR="00E01D61" w:rsidRPr="00E04D13">
        <w:rPr>
          <w:rFonts w:cs="Calibri"/>
          <w:i/>
          <w:iCs/>
          <w:szCs w:val="18"/>
        </w:rPr>
        <w:t xml:space="preserve">or disciplines, making them challenging to isolate and address through traditional, </w:t>
      </w:r>
      <w:r w:rsidR="00510920" w:rsidRPr="00E04D13">
        <w:rPr>
          <w:rFonts w:cs="Calibri"/>
          <w:i/>
          <w:iCs/>
          <w:szCs w:val="18"/>
        </w:rPr>
        <w:t xml:space="preserve">topic-specific </w:t>
      </w:r>
      <w:r w:rsidR="00E01D61" w:rsidRPr="00E04D13">
        <w:rPr>
          <w:rFonts w:cs="Calibri"/>
          <w:i/>
          <w:iCs/>
          <w:szCs w:val="18"/>
        </w:rPr>
        <w:t>approaches.</w:t>
      </w:r>
    </w:p>
    <w:p w14:paraId="10F0F45F" w14:textId="7FD6E335" w:rsidR="006307F5" w:rsidRPr="00E04D13" w:rsidRDefault="006307F5" w:rsidP="00954BAC">
      <w:pPr>
        <w:pStyle w:val="ListParagraph"/>
        <w:numPr>
          <w:ilvl w:val="0"/>
          <w:numId w:val="75"/>
        </w:numPr>
        <w:tabs>
          <w:tab w:val="num" w:pos="993"/>
        </w:tabs>
        <w:spacing w:before="180" w:line="264" w:lineRule="auto"/>
        <w:ind w:left="993" w:right="282" w:hanging="284"/>
        <w:rPr>
          <w:rFonts w:cs="Calibri"/>
          <w:i/>
          <w:iCs/>
          <w:szCs w:val="18"/>
        </w:rPr>
      </w:pPr>
      <w:r w:rsidRPr="00E04D13">
        <w:rPr>
          <w:rFonts w:ascii="PP Mori SemiBold" w:hAnsi="PP Mori SemiBold" w:cs="Calibri"/>
          <w:i/>
          <w:iCs/>
          <w:szCs w:val="18"/>
        </w:rPr>
        <w:t>Emergent Behavio</w:t>
      </w:r>
      <w:r w:rsidR="0097255E" w:rsidRPr="00E04D13">
        <w:rPr>
          <w:rFonts w:ascii="PP Mori SemiBold" w:hAnsi="PP Mori SemiBold" w:cs="Calibri"/>
          <w:i/>
          <w:iCs/>
          <w:szCs w:val="18"/>
        </w:rPr>
        <w:t>urs</w:t>
      </w:r>
      <w:r w:rsidRPr="00E04D13">
        <w:rPr>
          <w:rFonts w:ascii="PP Mori SemiBold" w:hAnsi="PP Mori SemiBold" w:cs="Calibri"/>
          <w:i/>
          <w:iCs/>
          <w:szCs w:val="18"/>
        </w:rPr>
        <w:t>:</w:t>
      </w:r>
      <w:r w:rsidRPr="00E04D13">
        <w:rPr>
          <w:rFonts w:cs="Calibri"/>
          <w:i/>
          <w:iCs/>
          <w:szCs w:val="18"/>
        </w:rPr>
        <w:t xml:space="preserve"> </w:t>
      </w:r>
      <w:r w:rsidR="00CC5390" w:rsidRPr="00E04D13">
        <w:rPr>
          <w:rFonts w:cs="Calibri"/>
          <w:i/>
          <w:iCs/>
          <w:szCs w:val="18"/>
        </w:rPr>
        <w:t xml:space="preserve">Systemic Issues </w:t>
      </w:r>
      <w:r w:rsidRPr="00E04D13">
        <w:rPr>
          <w:rFonts w:cs="Calibri"/>
          <w:i/>
          <w:iCs/>
          <w:szCs w:val="18"/>
        </w:rPr>
        <w:t xml:space="preserve">often lead to </w:t>
      </w:r>
      <w:r w:rsidR="00510920" w:rsidRPr="00E04D13">
        <w:rPr>
          <w:rFonts w:cs="Calibri"/>
          <w:i/>
          <w:iCs/>
          <w:szCs w:val="18"/>
        </w:rPr>
        <w:t xml:space="preserve">system </w:t>
      </w:r>
      <w:r w:rsidR="00CC36B4" w:rsidRPr="00E04D13">
        <w:rPr>
          <w:rFonts w:cs="Calibri"/>
          <w:i/>
          <w:iCs/>
          <w:szCs w:val="18"/>
        </w:rPr>
        <w:t>behaviours</w:t>
      </w:r>
      <w:r w:rsidRPr="00E04D13">
        <w:rPr>
          <w:rFonts w:cs="Calibri"/>
          <w:i/>
          <w:iCs/>
          <w:szCs w:val="18"/>
        </w:rPr>
        <w:t xml:space="preserve"> that are not predictable by </w:t>
      </w:r>
      <w:r w:rsidR="00CC36B4" w:rsidRPr="00E04D13">
        <w:rPr>
          <w:rFonts w:cs="Calibri"/>
          <w:i/>
          <w:iCs/>
          <w:szCs w:val="18"/>
        </w:rPr>
        <w:t>analysing</w:t>
      </w:r>
      <w:r w:rsidRPr="00E04D13">
        <w:rPr>
          <w:rFonts w:cs="Calibri"/>
          <w:i/>
          <w:iCs/>
          <w:szCs w:val="18"/>
        </w:rPr>
        <w:t xml:space="preserve"> individual components alone</w:t>
      </w:r>
      <w:r w:rsidR="00CC36B4" w:rsidRPr="00E04D13">
        <w:rPr>
          <w:rFonts w:cs="Calibri"/>
          <w:i/>
          <w:iCs/>
          <w:szCs w:val="18"/>
        </w:rPr>
        <w:t xml:space="preserve">, </w:t>
      </w:r>
      <w:r w:rsidR="00416CA1" w:rsidRPr="00E04D13">
        <w:rPr>
          <w:rFonts w:cs="Calibri"/>
          <w:i/>
          <w:iCs/>
          <w:szCs w:val="18"/>
        </w:rPr>
        <w:t>as</w:t>
      </w:r>
      <w:r w:rsidR="00CC36B4" w:rsidRPr="00E04D13">
        <w:rPr>
          <w:rFonts w:cs="Calibri"/>
          <w:i/>
          <w:iCs/>
          <w:szCs w:val="18"/>
        </w:rPr>
        <w:t xml:space="preserve"> their </w:t>
      </w:r>
      <w:r w:rsidRPr="00E04D13">
        <w:rPr>
          <w:rFonts w:cs="Calibri"/>
          <w:i/>
          <w:iCs/>
          <w:szCs w:val="18"/>
        </w:rPr>
        <w:t>emergent behavio</w:t>
      </w:r>
      <w:r w:rsidR="00CC36B4" w:rsidRPr="00E04D13">
        <w:rPr>
          <w:rFonts w:cs="Calibri"/>
          <w:i/>
          <w:iCs/>
          <w:szCs w:val="18"/>
        </w:rPr>
        <w:t>u</w:t>
      </w:r>
      <w:r w:rsidRPr="00E04D13">
        <w:rPr>
          <w:rFonts w:cs="Calibri"/>
          <w:i/>
          <w:iCs/>
          <w:szCs w:val="18"/>
        </w:rPr>
        <w:t xml:space="preserve">rs </w:t>
      </w:r>
      <w:r w:rsidR="00416CA1" w:rsidRPr="00E04D13">
        <w:rPr>
          <w:rFonts w:cs="Calibri"/>
          <w:i/>
          <w:iCs/>
          <w:szCs w:val="18"/>
        </w:rPr>
        <w:t>result</w:t>
      </w:r>
      <w:r w:rsidRPr="00E04D13">
        <w:rPr>
          <w:rFonts w:cs="Calibri"/>
          <w:i/>
          <w:iCs/>
          <w:szCs w:val="18"/>
        </w:rPr>
        <w:t xml:space="preserve"> from complex interactions within </w:t>
      </w:r>
      <w:r w:rsidR="008408EA" w:rsidRPr="00E04D13">
        <w:rPr>
          <w:rFonts w:cs="Calibri"/>
          <w:i/>
          <w:iCs/>
          <w:szCs w:val="18"/>
        </w:rPr>
        <w:t xml:space="preserve">and across </w:t>
      </w:r>
      <w:r w:rsidRPr="00E04D13">
        <w:rPr>
          <w:rFonts w:cs="Calibri"/>
          <w:i/>
          <w:iCs/>
          <w:szCs w:val="18"/>
        </w:rPr>
        <w:t>the system.</w:t>
      </w:r>
    </w:p>
    <w:p w14:paraId="32FF691B" w14:textId="4D00886C" w:rsidR="006307F5" w:rsidRPr="00E04D13" w:rsidRDefault="006307F5" w:rsidP="00954BAC">
      <w:pPr>
        <w:pStyle w:val="ListParagraph"/>
        <w:numPr>
          <w:ilvl w:val="0"/>
          <w:numId w:val="75"/>
        </w:numPr>
        <w:tabs>
          <w:tab w:val="num" w:pos="993"/>
        </w:tabs>
        <w:spacing w:before="180" w:line="264" w:lineRule="auto"/>
        <w:ind w:left="993" w:right="282" w:hanging="284"/>
        <w:rPr>
          <w:rFonts w:cs="Calibri"/>
          <w:i/>
          <w:iCs/>
          <w:szCs w:val="18"/>
        </w:rPr>
      </w:pPr>
      <w:r w:rsidRPr="00E04D13">
        <w:rPr>
          <w:rFonts w:ascii="PP Mori SemiBold" w:hAnsi="PP Mori SemiBold" w:cs="Calibri"/>
          <w:i/>
          <w:iCs/>
          <w:szCs w:val="18"/>
        </w:rPr>
        <w:t>Structural Root Causes:</w:t>
      </w:r>
      <w:r w:rsidRPr="00E04D13">
        <w:rPr>
          <w:rFonts w:cs="Calibri"/>
          <w:i/>
          <w:iCs/>
          <w:szCs w:val="18"/>
        </w:rPr>
        <w:t xml:space="preserve"> </w:t>
      </w:r>
      <w:r w:rsidR="00CC5390" w:rsidRPr="00E04D13">
        <w:rPr>
          <w:rFonts w:cs="Calibri"/>
          <w:i/>
          <w:iCs/>
          <w:szCs w:val="18"/>
        </w:rPr>
        <w:t xml:space="preserve">Systemic Issues </w:t>
      </w:r>
      <w:r w:rsidR="009D777D" w:rsidRPr="00E04D13">
        <w:rPr>
          <w:rFonts w:cs="Calibri"/>
          <w:i/>
          <w:iCs/>
          <w:szCs w:val="18"/>
        </w:rPr>
        <w:t xml:space="preserve">are commonly </w:t>
      </w:r>
      <w:r w:rsidRPr="00E04D13">
        <w:rPr>
          <w:rFonts w:cs="Calibri"/>
          <w:i/>
          <w:iCs/>
          <w:szCs w:val="18"/>
        </w:rPr>
        <w:t>embedded in the architecture</w:t>
      </w:r>
      <w:r w:rsidR="00416CA1" w:rsidRPr="00E04D13">
        <w:rPr>
          <w:rFonts w:cs="Calibri"/>
          <w:i/>
          <w:iCs/>
          <w:szCs w:val="18"/>
        </w:rPr>
        <w:t xml:space="preserve"> of the system </w:t>
      </w:r>
      <w:r w:rsidR="001D5A70" w:rsidRPr="00E04D13">
        <w:rPr>
          <w:rFonts w:cs="Calibri"/>
          <w:i/>
          <w:iCs/>
          <w:szCs w:val="18"/>
        </w:rPr>
        <w:t xml:space="preserve">– </w:t>
      </w:r>
      <w:r w:rsidR="005350DE" w:rsidRPr="00E04D13">
        <w:rPr>
          <w:rFonts w:cs="Calibri"/>
          <w:i/>
          <w:iCs/>
          <w:szCs w:val="18"/>
        </w:rPr>
        <w:t>s</w:t>
      </w:r>
      <w:r w:rsidRPr="00E04D13">
        <w:rPr>
          <w:rFonts w:cs="Calibri"/>
          <w:i/>
          <w:iCs/>
          <w:szCs w:val="18"/>
        </w:rPr>
        <w:t>uch as its topology, contro</w:t>
      </w:r>
      <w:r w:rsidR="00866749" w:rsidRPr="00E04D13">
        <w:rPr>
          <w:rFonts w:cs="Calibri"/>
          <w:i/>
          <w:iCs/>
          <w:szCs w:val="18"/>
        </w:rPr>
        <w:t>l</w:t>
      </w:r>
      <w:r w:rsidRPr="00E04D13">
        <w:rPr>
          <w:rFonts w:cs="Calibri"/>
          <w:i/>
          <w:iCs/>
          <w:szCs w:val="18"/>
        </w:rPr>
        <w:t xml:space="preserve"> mechanisms,</w:t>
      </w:r>
      <w:r w:rsidR="00866749" w:rsidRPr="00E04D13">
        <w:rPr>
          <w:rFonts w:cs="Calibri"/>
          <w:i/>
          <w:iCs/>
          <w:szCs w:val="18"/>
        </w:rPr>
        <w:t xml:space="preserve"> </w:t>
      </w:r>
      <w:r w:rsidRPr="00E04D13">
        <w:rPr>
          <w:rFonts w:cs="Calibri"/>
          <w:i/>
          <w:iCs/>
          <w:szCs w:val="18"/>
        </w:rPr>
        <w:t>information flow</w:t>
      </w:r>
      <w:r w:rsidR="005350DE" w:rsidRPr="00E04D13">
        <w:rPr>
          <w:rFonts w:cs="Calibri"/>
          <w:i/>
          <w:iCs/>
          <w:szCs w:val="18"/>
        </w:rPr>
        <w:t>s</w:t>
      </w:r>
      <w:r w:rsidR="00866749" w:rsidRPr="00E04D13">
        <w:rPr>
          <w:rFonts w:cs="Calibri"/>
          <w:i/>
          <w:iCs/>
          <w:szCs w:val="18"/>
        </w:rPr>
        <w:t xml:space="preserve">, governance models – </w:t>
      </w:r>
      <w:r w:rsidRPr="00E04D13">
        <w:rPr>
          <w:rFonts w:cs="Calibri"/>
          <w:i/>
          <w:iCs/>
          <w:szCs w:val="18"/>
        </w:rPr>
        <w:t xml:space="preserve">rather than </w:t>
      </w:r>
      <w:r w:rsidR="00AA7A9C" w:rsidRPr="00E04D13">
        <w:rPr>
          <w:rFonts w:cs="Calibri"/>
          <w:i/>
          <w:iCs/>
          <w:szCs w:val="18"/>
        </w:rPr>
        <w:t>individual constraints</w:t>
      </w:r>
      <w:r w:rsidR="001D5A70" w:rsidRPr="00E04D13">
        <w:rPr>
          <w:rFonts w:cs="Calibri"/>
          <w:i/>
          <w:iCs/>
          <w:szCs w:val="18"/>
        </w:rPr>
        <w:t xml:space="preserve">, </w:t>
      </w:r>
      <w:r w:rsidR="00FE6FB4" w:rsidRPr="00E04D13">
        <w:rPr>
          <w:rFonts w:cs="Calibri"/>
          <w:i/>
          <w:iCs/>
          <w:szCs w:val="18"/>
        </w:rPr>
        <w:t xml:space="preserve">elements or </w:t>
      </w:r>
      <w:r w:rsidR="001D5A70" w:rsidRPr="00E04D13">
        <w:rPr>
          <w:rFonts w:cs="Calibri"/>
          <w:i/>
          <w:iCs/>
          <w:szCs w:val="18"/>
        </w:rPr>
        <w:t>mechanisms</w:t>
      </w:r>
      <w:r w:rsidRPr="00E04D13">
        <w:rPr>
          <w:rFonts w:cs="Calibri"/>
          <w:i/>
          <w:iCs/>
          <w:szCs w:val="18"/>
        </w:rPr>
        <w:t>.</w:t>
      </w:r>
    </w:p>
    <w:p w14:paraId="0B7003FC" w14:textId="51495B45" w:rsidR="006307F5" w:rsidRPr="00E04D13" w:rsidRDefault="006307F5" w:rsidP="00954BAC">
      <w:pPr>
        <w:pStyle w:val="ListParagraph"/>
        <w:numPr>
          <w:ilvl w:val="0"/>
          <w:numId w:val="75"/>
        </w:numPr>
        <w:tabs>
          <w:tab w:val="num" w:pos="993"/>
        </w:tabs>
        <w:spacing w:before="180" w:line="264" w:lineRule="auto"/>
        <w:ind w:left="993" w:right="282" w:hanging="284"/>
        <w:rPr>
          <w:rFonts w:cs="Calibri"/>
          <w:i/>
          <w:iCs/>
          <w:szCs w:val="18"/>
        </w:rPr>
      </w:pPr>
      <w:r w:rsidRPr="00E04D13">
        <w:rPr>
          <w:rFonts w:ascii="PP Mori SemiBold" w:hAnsi="PP Mori SemiBold" w:cs="Calibri"/>
          <w:i/>
          <w:iCs/>
          <w:szCs w:val="18"/>
        </w:rPr>
        <w:t>Resistan</w:t>
      </w:r>
      <w:r w:rsidR="00AA7A9C" w:rsidRPr="00E04D13">
        <w:rPr>
          <w:rFonts w:ascii="PP Mori SemiBold" w:hAnsi="PP Mori SemiBold" w:cs="Calibri"/>
          <w:i/>
          <w:iCs/>
          <w:szCs w:val="18"/>
        </w:rPr>
        <w:t>t</w:t>
      </w:r>
      <w:r w:rsidRPr="00E04D13">
        <w:rPr>
          <w:rFonts w:ascii="PP Mori SemiBold" w:hAnsi="PP Mori SemiBold" w:cs="Calibri"/>
          <w:i/>
          <w:iCs/>
          <w:szCs w:val="18"/>
        </w:rPr>
        <w:t xml:space="preserve"> to Local Fixes:</w:t>
      </w:r>
      <w:r w:rsidRPr="00E04D13">
        <w:rPr>
          <w:rFonts w:cs="Calibri"/>
          <w:i/>
          <w:iCs/>
          <w:szCs w:val="18"/>
        </w:rPr>
        <w:t xml:space="preserve"> Addressing </w:t>
      </w:r>
      <w:r w:rsidR="009D777D" w:rsidRPr="00E04D13">
        <w:rPr>
          <w:rFonts w:cs="Calibri"/>
          <w:i/>
          <w:iCs/>
          <w:szCs w:val="18"/>
        </w:rPr>
        <w:t xml:space="preserve">Systemic Issues </w:t>
      </w:r>
      <w:r w:rsidR="009404C1" w:rsidRPr="00E04D13">
        <w:rPr>
          <w:rFonts w:cs="Calibri"/>
          <w:i/>
          <w:iCs/>
          <w:szCs w:val="18"/>
        </w:rPr>
        <w:t xml:space="preserve">will </w:t>
      </w:r>
      <w:r w:rsidR="00FE6FB4" w:rsidRPr="00E04D13">
        <w:rPr>
          <w:rFonts w:cs="Calibri"/>
          <w:i/>
          <w:iCs/>
          <w:szCs w:val="18"/>
        </w:rPr>
        <w:t>typically</w:t>
      </w:r>
      <w:r w:rsidR="009404C1" w:rsidRPr="00E04D13">
        <w:rPr>
          <w:rFonts w:cs="Calibri"/>
          <w:i/>
          <w:iCs/>
          <w:szCs w:val="18"/>
        </w:rPr>
        <w:t xml:space="preserve"> require targeted structural interventions</w:t>
      </w:r>
      <w:r w:rsidR="00F82C9D" w:rsidRPr="00E04D13">
        <w:rPr>
          <w:rFonts w:cs="Calibri"/>
          <w:i/>
          <w:iCs/>
          <w:szCs w:val="18"/>
        </w:rPr>
        <w:t xml:space="preserve"> –</w:t>
      </w:r>
      <w:r w:rsidRPr="00E04D13">
        <w:rPr>
          <w:rFonts w:cs="Calibri"/>
          <w:i/>
          <w:iCs/>
          <w:szCs w:val="18"/>
        </w:rPr>
        <w:t xml:space="preserve"> locali</w:t>
      </w:r>
      <w:r w:rsidR="00AA7A9C" w:rsidRPr="00E04D13">
        <w:rPr>
          <w:rFonts w:cs="Calibri"/>
          <w:i/>
          <w:iCs/>
          <w:szCs w:val="18"/>
        </w:rPr>
        <w:t>s</w:t>
      </w:r>
      <w:r w:rsidRPr="00E04D13">
        <w:rPr>
          <w:rFonts w:cs="Calibri"/>
          <w:i/>
          <w:iCs/>
          <w:szCs w:val="18"/>
        </w:rPr>
        <w:t xml:space="preserve">ed </w:t>
      </w:r>
      <w:r w:rsidR="00AA7A9C" w:rsidRPr="00E04D13">
        <w:rPr>
          <w:rFonts w:cs="Calibri"/>
          <w:i/>
          <w:iCs/>
          <w:szCs w:val="18"/>
        </w:rPr>
        <w:t>treatment</w:t>
      </w:r>
      <w:r w:rsidR="005C38A3" w:rsidRPr="00E04D13">
        <w:rPr>
          <w:rFonts w:cs="Calibri"/>
          <w:i/>
          <w:iCs/>
          <w:szCs w:val="18"/>
        </w:rPr>
        <w:t>s</w:t>
      </w:r>
      <w:r w:rsidR="00AA7A9C" w:rsidRPr="00E04D13">
        <w:rPr>
          <w:rFonts w:cs="Calibri"/>
          <w:i/>
          <w:iCs/>
          <w:szCs w:val="18"/>
        </w:rPr>
        <w:t xml:space="preserve"> </w:t>
      </w:r>
      <w:r w:rsidR="00F82C9D" w:rsidRPr="00E04D13">
        <w:rPr>
          <w:rFonts w:cs="Calibri"/>
          <w:i/>
          <w:iCs/>
          <w:szCs w:val="18"/>
        </w:rPr>
        <w:t xml:space="preserve">alone are incapable of resolving </w:t>
      </w:r>
      <w:r w:rsidRPr="00E04D13">
        <w:rPr>
          <w:rFonts w:cs="Calibri"/>
          <w:i/>
          <w:iCs/>
          <w:szCs w:val="18"/>
        </w:rPr>
        <w:t>the underlying problem and can sometimes exacerbate it.</w:t>
      </w:r>
    </w:p>
    <w:p w14:paraId="61C3176A" w14:textId="77777777" w:rsidR="00A242DB" w:rsidRPr="002C72C2" w:rsidRDefault="00A242DB" w:rsidP="00931EFC">
      <w:pPr>
        <w:pStyle w:val="Heading2"/>
        <w:spacing w:before="240"/>
        <w:ind w:left="578" w:hanging="578"/>
        <w:rPr>
          <w:lang w:eastAsia="en-US" w:bidi="ar-SA"/>
        </w:rPr>
      </w:pPr>
      <w:bookmarkStart w:id="26" w:name="_Toc205533954"/>
      <w:r w:rsidRPr="002C72C2">
        <w:rPr>
          <w:lang w:eastAsia="en-US" w:bidi="ar-SA"/>
        </w:rPr>
        <w:t>Development Approach</w:t>
      </w:r>
      <w:bookmarkEnd w:id="26"/>
    </w:p>
    <w:p w14:paraId="7C8D29B8" w14:textId="7A1E28E2" w:rsidR="0063379B" w:rsidRPr="00F16DE2" w:rsidRDefault="007C4AC4" w:rsidP="0063379B">
      <w:pPr>
        <w:spacing w:before="180" w:after="120" w:line="288" w:lineRule="auto"/>
        <w:rPr>
          <w:rFonts w:cs="Calibri"/>
          <w:szCs w:val="18"/>
        </w:rPr>
      </w:pPr>
      <w:r w:rsidRPr="007C4AC4">
        <w:rPr>
          <w:rFonts w:cs="Calibri"/>
          <w:szCs w:val="18"/>
        </w:rPr>
        <w:t xml:space="preserve">As noted above, identifying and shortlisting Systemic Issues in </w:t>
      </w:r>
      <w:r w:rsidR="006843E5">
        <w:rPr>
          <w:rFonts w:cs="Calibri"/>
          <w:szCs w:val="18"/>
        </w:rPr>
        <w:t xml:space="preserve">a </w:t>
      </w:r>
      <w:r w:rsidRPr="007C4AC4">
        <w:rPr>
          <w:rFonts w:cs="Calibri"/>
          <w:szCs w:val="18"/>
        </w:rPr>
        <w:t xml:space="preserve">complex system is a </w:t>
      </w:r>
      <w:r w:rsidR="006843E5">
        <w:rPr>
          <w:rFonts w:cs="Calibri"/>
          <w:szCs w:val="18"/>
        </w:rPr>
        <w:t xml:space="preserve">cornerstone </w:t>
      </w:r>
      <w:r w:rsidRPr="007C4AC4">
        <w:rPr>
          <w:rFonts w:cs="Calibri"/>
          <w:szCs w:val="18"/>
        </w:rPr>
        <w:t>of Systems Engineering and Systems Architecture</w:t>
      </w:r>
      <w:r w:rsidR="006843E5">
        <w:rPr>
          <w:rFonts w:cs="Calibri"/>
          <w:szCs w:val="18"/>
        </w:rPr>
        <w:t xml:space="preserve"> disciplines</w:t>
      </w:r>
      <w:r w:rsidR="009412D4">
        <w:rPr>
          <w:rFonts w:cs="Calibri"/>
          <w:szCs w:val="18"/>
        </w:rPr>
        <w:t xml:space="preserve"> and underpins robust problem definition and </w:t>
      </w:r>
      <w:r w:rsidR="00FE6F4E">
        <w:rPr>
          <w:rFonts w:cs="Calibri"/>
          <w:szCs w:val="18"/>
        </w:rPr>
        <w:t>solution ideation</w:t>
      </w:r>
      <w:r w:rsidR="00374950">
        <w:rPr>
          <w:rFonts w:cs="Calibri"/>
          <w:szCs w:val="18"/>
        </w:rPr>
        <w:t xml:space="preserve">. </w:t>
      </w:r>
      <w:r w:rsidR="0063379B">
        <w:rPr>
          <w:rFonts w:cs="Calibri"/>
          <w:szCs w:val="18"/>
        </w:rPr>
        <w:t xml:space="preserve">Guided by the principles and methodologies outlined in </w:t>
      </w:r>
      <w:hyperlink w:anchor="Appendix_A" w:history="1">
        <w:r w:rsidR="0063379B" w:rsidRPr="008A2311">
          <w:rPr>
            <w:rStyle w:val="Hyperlink"/>
          </w:rPr>
          <w:t>Appendix A</w:t>
        </w:r>
      </w:hyperlink>
      <w:r w:rsidR="0063379B">
        <w:t>,</w:t>
      </w:r>
      <w:r w:rsidR="0063379B">
        <w:rPr>
          <w:rFonts w:cs="Calibri"/>
          <w:szCs w:val="18"/>
        </w:rPr>
        <w:t xml:space="preserve"> the process moved </w:t>
      </w:r>
      <w:r w:rsidR="0063379B" w:rsidRPr="00F16DE2">
        <w:rPr>
          <w:rFonts w:cs="Calibri"/>
          <w:szCs w:val="18"/>
        </w:rPr>
        <w:t>through the following steps:</w:t>
      </w:r>
    </w:p>
    <w:p w14:paraId="5B70EF60" w14:textId="4E866AB5" w:rsidR="009C443E" w:rsidRPr="009474EC" w:rsidRDefault="00DF2A2E" w:rsidP="0063379B">
      <w:pPr>
        <w:spacing w:before="120" w:after="120" w:line="264" w:lineRule="auto"/>
        <w:rPr>
          <w:i/>
          <w:iCs/>
        </w:rPr>
      </w:pPr>
      <w:r w:rsidRPr="009474EC">
        <w:t>Review</w:t>
      </w:r>
      <w:r w:rsidR="00EB78D9" w:rsidRPr="009474EC">
        <w:t xml:space="preserve"> </w:t>
      </w:r>
      <w:r w:rsidR="003B6B68" w:rsidRPr="009474EC">
        <w:t xml:space="preserve">and Synthesise </w:t>
      </w:r>
      <w:r w:rsidR="009C443E" w:rsidRPr="009474EC">
        <w:t xml:space="preserve">Key Inputs </w:t>
      </w:r>
    </w:p>
    <w:p w14:paraId="7D162E5D" w14:textId="7C5890F4" w:rsidR="00EB78D9" w:rsidRPr="00AD314E" w:rsidRDefault="00464DE4" w:rsidP="00C1418F">
      <w:pPr>
        <w:spacing w:before="120" w:after="120" w:line="264" w:lineRule="auto"/>
        <w:ind w:firstLine="357"/>
        <w:rPr>
          <w:rFonts w:cs="Calibri"/>
          <w:szCs w:val="18"/>
        </w:rPr>
      </w:pPr>
      <w:r w:rsidRPr="00AD314E">
        <w:rPr>
          <w:rFonts w:cs="Calibri"/>
          <w:szCs w:val="18"/>
        </w:rPr>
        <w:t>Review</w:t>
      </w:r>
      <w:r w:rsidR="000875A5">
        <w:rPr>
          <w:rFonts w:cs="Calibri"/>
          <w:szCs w:val="18"/>
        </w:rPr>
        <w:t xml:space="preserve"> </w:t>
      </w:r>
      <w:r w:rsidR="00B70769">
        <w:rPr>
          <w:rFonts w:cs="Calibri"/>
          <w:szCs w:val="18"/>
        </w:rPr>
        <w:t xml:space="preserve">the </w:t>
      </w:r>
      <w:r w:rsidR="008A37C3">
        <w:rPr>
          <w:rFonts w:cs="Calibri"/>
          <w:szCs w:val="18"/>
        </w:rPr>
        <w:t xml:space="preserve">range of </w:t>
      </w:r>
      <w:r w:rsidR="0018318B" w:rsidRPr="00AD314E">
        <w:rPr>
          <w:rFonts w:cs="Calibri"/>
          <w:szCs w:val="18"/>
        </w:rPr>
        <w:t xml:space="preserve">inputs </w:t>
      </w:r>
      <w:r w:rsidR="00B70769">
        <w:rPr>
          <w:rFonts w:cs="Calibri"/>
          <w:szCs w:val="18"/>
        </w:rPr>
        <w:t xml:space="preserve">required </w:t>
      </w:r>
      <w:r w:rsidR="00006BC5" w:rsidRPr="00AD314E">
        <w:rPr>
          <w:rFonts w:cs="Calibri"/>
          <w:szCs w:val="18"/>
        </w:rPr>
        <w:t xml:space="preserve">to </w:t>
      </w:r>
      <w:r w:rsidR="00561DDA" w:rsidRPr="00AD314E">
        <w:rPr>
          <w:rFonts w:cs="Calibri"/>
          <w:szCs w:val="18"/>
        </w:rPr>
        <w:t xml:space="preserve">inform </w:t>
      </w:r>
      <w:r w:rsidR="0018318B" w:rsidRPr="00AD314E">
        <w:rPr>
          <w:rFonts w:cs="Calibri"/>
          <w:szCs w:val="18"/>
        </w:rPr>
        <w:t>the architectural methodology</w:t>
      </w:r>
      <w:r w:rsidR="00EB78D9" w:rsidRPr="00AD314E">
        <w:rPr>
          <w:rFonts w:cs="Calibri"/>
          <w:szCs w:val="18"/>
        </w:rPr>
        <w:t>, including:</w:t>
      </w:r>
    </w:p>
    <w:p w14:paraId="5DCDA7A4" w14:textId="49B2A3DF" w:rsidR="00EC2EFB" w:rsidRPr="00AD314E" w:rsidRDefault="00A22A02" w:rsidP="00954BAC">
      <w:pPr>
        <w:numPr>
          <w:ilvl w:val="0"/>
          <w:numId w:val="39"/>
        </w:numPr>
        <w:spacing w:before="120" w:after="120" w:line="264" w:lineRule="auto"/>
        <w:rPr>
          <w:rFonts w:cs="Calibri"/>
          <w:szCs w:val="18"/>
        </w:rPr>
      </w:pPr>
      <w:r w:rsidRPr="00AD314E">
        <w:rPr>
          <w:rFonts w:cs="Calibri"/>
          <w:szCs w:val="18"/>
        </w:rPr>
        <w:t>The range and diversity of f</w:t>
      </w:r>
      <w:r w:rsidR="00561DDA" w:rsidRPr="00AD314E">
        <w:rPr>
          <w:rFonts w:cs="Calibri"/>
          <w:szCs w:val="18"/>
        </w:rPr>
        <w:t xml:space="preserve">uture </w:t>
      </w:r>
      <w:r w:rsidR="003328C8" w:rsidRPr="00AD314E">
        <w:rPr>
          <w:rFonts w:cs="Calibri"/>
          <w:szCs w:val="18"/>
        </w:rPr>
        <w:t>c</w:t>
      </w:r>
      <w:r w:rsidR="00561DDA" w:rsidRPr="00AD314E">
        <w:rPr>
          <w:rFonts w:cs="Calibri"/>
          <w:szCs w:val="18"/>
        </w:rPr>
        <w:t xml:space="preserve">ustomer </w:t>
      </w:r>
      <w:r w:rsidR="003328C8" w:rsidRPr="00AD314E">
        <w:rPr>
          <w:rFonts w:cs="Calibri"/>
          <w:szCs w:val="18"/>
        </w:rPr>
        <w:t>and s</w:t>
      </w:r>
      <w:r w:rsidR="00561DDA" w:rsidRPr="00AD314E">
        <w:rPr>
          <w:rFonts w:cs="Calibri"/>
          <w:szCs w:val="18"/>
        </w:rPr>
        <w:t>ocietal</w:t>
      </w:r>
      <w:r w:rsidR="003328C8" w:rsidRPr="00AD314E">
        <w:rPr>
          <w:rFonts w:cs="Calibri"/>
          <w:szCs w:val="18"/>
        </w:rPr>
        <w:t xml:space="preserve"> o</w:t>
      </w:r>
      <w:r w:rsidR="00561DDA" w:rsidRPr="00AD314E">
        <w:rPr>
          <w:rFonts w:cs="Calibri"/>
          <w:szCs w:val="18"/>
        </w:rPr>
        <w:t xml:space="preserve">bjectives </w:t>
      </w:r>
      <w:r w:rsidRPr="00AD314E">
        <w:rPr>
          <w:rFonts w:cs="Calibri"/>
          <w:szCs w:val="18"/>
        </w:rPr>
        <w:t xml:space="preserve">that </w:t>
      </w:r>
      <w:r w:rsidR="009360EC" w:rsidRPr="00AD314E">
        <w:rPr>
          <w:rFonts w:cs="Calibri"/>
          <w:szCs w:val="18"/>
        </w:rPr>
        <w:t>i</w:t>
      </w:r>
      <w:r w:rsidR="009A5358" w:rsidRPr="00AD314E">
        <w:rPr>
          <w:rFonts w:cs="Calibri"/>
          <w:szCs w:val="18"/>
        </w:rPr>
        <w:t>nform</w:t>
      </w:r>
      <w:r w:rsidR="009360EC" w:rsidRPr="00AD314E">
        <w:rPr>
          <w:rFonts w:cs="Calibri"/>
          <w:szCs w:val="18"/>
        </w:rPr>
        <w:t xml:space="preserve"> </w:t>
      </w:r>
      <w:r w:rsidR="00EC2EFB" w:rsidRPr="00AD314E">
        <w:rPr>
          <w:rFonts w:cs="Calibri"/>
          <w:szCs w:val="18"/>
        </w:rPr>
        <w:t xml:space="preserve">the </w:t>
      </w:r>
      <w:r w:rsidR="009360EC" w:rsidRPr="00AD314E">
        <w:rPr>
          <w:rFonts w:cs="Calibri"/>
          <w:szCs w:val="18"/>
        </w:rPr>
        <w:t>capabilities</w:t>
      </w:r>
      <w:r w:rsidR="00EC2EFB" w:rsidRPr="00AD314E">
        <w:rPr>
          <w:rFonts w:cs="Calibri"/>
          <w:szCs w:val="18"/>
        </w:rPr>
        <w:t xml:space="preserve"> </w:t>
      </w:r>
      <w:r w:rsidR="008A37C3">
        <w:rPr>
          <w:rFonts w:cs="Calibri"/>
          <w:szCs w:val="18"/>
        </w:rPr>
        <w:t>needed</w:t>
      </w:r>
      <w:r w:rsidR="00EC2EFB" w:rsidRPr="00AD314E">
        <w:rPr>
          <w:rFonts w:cs="Calibri"/>
          <w:szCs w:val="18"/>
        </w:rPr>
        <w:t xml:space="preserve"> by </w:t>
      </w:r>
      <w:r w:rsidR="00466EEB" w:rsidRPr="00AD314E">
        <w:rPr>
          <w:rFonts w:cs="Calibri"/>
          <w:szCs w:val="18"/>
        </w:rPr>
        <w:t xml:space="preserve">future power </w:t>
      </w:r>
      <w:r w:rsidR="00EC2EFB" w:rsidRPr="00AD314E">
        <w:rPr>
          <w:rFonts w:cs="Calibri"/>
          <w:szCs w:val="18"/>
        </w:rPr>
        <w:t>system</w:t>
      </w:r>
      <w:r w:rsidR="008A37C3">
        <w:rPr>
          <w:rFonts w:cs="Calibri"/>
          <w:szCs w:val="18"/>
        </w:rPr>
        <w:t>s</w:t>
      </w:r>
      <w:r w:rsidR="00466EEB" w:rsidRPr="00AD314E">
        <w:rPr>
          <w:rFonts w:cs="Calibri"/>
          <w:szCs w:val="18"/>
        </w:rPr>
        <w:t xml:space="preserve"> (Report 1)</w:t>
      </w:r>
      <w:r w:rsidR="00C73DAE">
        <w:rPr>
          <w:rFonts w:cs="Calibri"/>
          <w:szCs w:val="18"/>
        </w:rPr>
        <w:t>.</w:t>
      </w:r>
    </w:p>
    <w:p w14:paraId="3EA99C81" w14:textId="15E2A10D" w:rsidR="00DC7E30" w:rsidRPr="00AD314E" w:rsidRDefault="00466EEB" w:rsidP="00954BAC">
      <w:pPr>
        <w:numPr>
          <w:ilvl w:val="0"/>
          <w:numId w:val="39"/>
        </w:numPr>
        <w:spacing w:before="120" w:after="120" w:line="264" w:lineRule="auto"/>
        <w:rPr>
          <w:rFonts w:cs="Calibri"/>
          <w:szCs w:val="18"/>
        </w:rPr>
      </w:pPr>
      <w:r w:rsidRPr="00AD314E">
        <w:rPr>
          <w:rFonts w:cs="Calibri"/>
          <w:szCs w:val="18"/>
        </w:rPr>
        <w:t xml:space="preserve">The </w:t>
      </w:r>
      <w:r w:rsidR="007E508E" w:rsidRPr="00AD314E">
        <w:rPr>
          <w:rFonts w:cs="Calibri"/>
          <w:szCs w:val="18"/>
        </w:rPr>
        <w:t xml:space="preserve">extensive range </w:t>
      </w:r>
      <w:r w:rsidRPr="00AD314E">
        <w:rPr>
          <w:rFonts w:cs="Calibri"/>
          <w:szCs w:val="18"/>
        </w:rPr>
        <w:t>of e</w:t>
      </w:r>
      <w:r w:rsidR="00561DDA" w:rsidRPr="00AD314E">
        <w:rPr>
          <w:rFonts w:cs="Calibri"/>
          <w:szCs w:val="18"/>
        </w:rPr>
        <w:t xml:space="preserve">merging </w:t>
      </w:r>
      <w:r w:rsidRPr="00AD314E">
        <w:rPr>
          <w:rFonts w:cs="Calibri"/>
          <w:szCs w:val="18"/>
        </w:rPr>
        <w:t>t</w:t>
      </w:r>
      <w:r w:rsidR="00561DDA" w:rsidRPr="00AD314E">
        <w:rPr>
          <w:rFonts w:cs="Calibri"/>
          <w:szCs w:val="18"/>
        </w:rPr>
        <w:t xml:space="preserve">rends </w:t>
      </w:r>
      <w:r w:rsidRPr="00AD314E">
        <w:rPr>
          <w:rFonts w:cs="Calibri"/>
          <w:szCs w:val="18"/>
        </w:rPr>
        <w:t xml:space="preserve">that are driving </w:t>
      </w:r>
      <w:r w:rsidR="00F11464" w:rsidRPr="00AD314E">
        <w:rPr>
          <w:rFonts w:cs="Calibri"/>
          <w:szCs w:val="18"/>
        </w:rPr>
        <w:t xml:space="preserve">the </w:t>
      </w:r>
      <w:r w:rsidRPr="00AD314E">
        <w:rPr>
          <w:rFonts w:cs="Calibri"/>
          <w:szCs w:val="18"/>
        </w:rPr>
        <w:t>t</w:t>
      </w:r>
      <w:r w:rsidR="00561DDA" w:rsidRPr="00AD314E">
        <w:rPr>
          <w:rFonts w:cs="Calibri"/>
          <w:szCs w:val="18"/>
        </w:rPr>
        <w:t>ransformation</w:t>
      </w:r>
      <w:r w:rsidRPr="00AD314E">
        <w:rPr>
          <w:rFonts w:cs="Calibri"/>
          <w:szCs w:val="18"/>
        </w:rPr>
        <w:t xml:space="preserve"> of </w:t>
      </w:r>
      <w:r w:rsidR="00F11464" w:rsidRPr="00AD314E">
        <w:rPr>
          <w:rFonts w:cs="Calibri"/>
          <w:szCs w:val="18"/>
        </w:rPr>
        <w:t xml:space="preserve">existing power systems </w:t>
      </w:r>
      <w:r w:rsidR="00561DDA" w:rsidRPr="00AD314E">
        <w:rPr>
          <w:rFonts w:cs="Calibri"/>
          <w:szCs w:val="18"/>
        </w:rPr>
        <w:t>(Report 2)</w:t>
      </w:r>
      <w:r w:rsidR="00C73DAE">
        <w:rPr>
          <w:rFonts w:cs="Calibri"/>
          <w:szCs w:val="18"/>
        </w:rPr>
        <w:t>.</w:t>
      </w:r>
    </w:p>
    <w:p w14:paraId="6CBDF7A9" w14:textId="14129DE0" w:rsidR="00291066" w:rsidRDefault="008A37C3" w:rsidP="00954BAC">
      <w:pPr>
        <w:numPr>
          <w:ilvl w:val="0"/>
          <w:numId w:val="39"/>
        </w:numPr>
        <w:spacing w:before="120" w:after="120" w:line="264" w:lineRule="auto"/>
        <w:rPr>
          <w:rFonts w:cs="Calibri"/>
          <w:szCs w:val="18"/>
        </w:rPr>
      </w:pPr>
      <w:r>
        <w:rPr>
          <w:rFonts w:cs="Calibri"/>
          <w:szCs w:val="18"/>
        </w:rPr>
        <w:t xml:space="preserve">Interrogation </w:t>
      </w:r>
      <w:r w:rsidR="00863713" w:rsidRPr="00AD314E">
        <w:rPr>
          <w:rFonts w:cs="Calibri"/>
          <w:szCs w:val="18"/>
        </w:rPr>
        <w:t xml:space="preserve">of the </w:t>
      </w:r>
      <w:r w:rsidR="00561DDA" w:rsidRPr="00AD314E">
        <w:rPr>
          <w:rFonts w:cs="Calibri"/>
          <w:szCs w:val="18"/>
        </w:rPr>
        <w:t>underpinning legacy structure or ‘architecture’</w:t>
      </w:r>
      <w:r w:rsidR="001F662A" w:rsidRPr="00A20532">
        <w:rPr>
          <w:rStyle w:val="FootnoteReference"/>
        </w:rPr>
        <w:footnoteReference w:id="5"/>
      </w:r>
      <w:r w:rsidR="009E74B0" w:rsidRPr="00AD314E">
        <w:rPr>
          <w:rFonts w:cs="Calibri"/>
          <w:szCs w:val="18"/>
        </w:rPr>
        <w:t xml:space="preserve"> </w:t>
      </w:r>
      <w:r w:rsidR="007575BF" w:rsidRPr="00AD314E">
        <w:rPr>
          <w:rFonts w:cs="Calibri"/>
          <w:szCs w:val="18"/>
        </w:rPr>
        <w:t>of the NEM</w:t>
      </w:r>
      <w:r w:rsidR="00863713" w:rsidRPr="00AD314E">
        <w:rPr>
          <w:rFonts w:cs="Calibri"/>
          <w:szCs w:val="18"/>
        </w:rPr>
        <w:t xml:space="preserve"> </w:t>
      </w:r>
      <w:r>
        <w:rPr>
          <w:rFonts w:cs="Calibri"/>
          <w:szCs w:val="18"/>
        </w:rPr>
        <w:t>to identify e</w:t>
      </w:r>
      <w:r w:rsidR="00863713" w:rsidRPr="00AD314E">
        <w:rPr>
          <w:rFonts w:cs="Calibri"/>
          <w:szCs w:val="18"/>
        </w:rPr>
        <w:t xml:space="preserve">mbedded constraints </w:t>
      </w:r>
      <w:r>
        <w:rPr>
          <w:rFonts w:cs="Calibri"/>
          <w:szCs w:val="18"/>
        </w:rPr>
        <w:t>that</w:t>
      </w:r>
      <w:r w:rsidR="00B80E00" w:rsidRPr="00AD314E">
        <w:rPr>
          <w:rFonts w:cs="Calibri"/>
          <w:szCs w:val="18"/>
        </w:rPr>
        <w:t xml:space="preserve"> present </w:t>
      </w:r>
      <w:r w:rsidR="00C35530" w:rsidRPr="00AD314E">
        <w:rPr>
          <w:rFonts w:cs="Calibri"/>
          <w:szCs w:val="18"/>
        </w:rPr>
        <w:t xml:space="preserve">future scalability </w:t>
      </w:r>
      <w:r w:rsidR="00B80E00" w:rsidRPr="00AD314E">
        <w:rPr>
          <w:rFonts w:cs="Calibri"/>
          <w:szCs w:val="18"/>
        </w:rPr>
        <w:t>risks (</w:t>
      </w:r>
      <w:r w:rsidR="00EE188F" w:rsidRPr="00AD314E">
        <w:rPr>
          <w:rFonts w:cs="Calibri"/>
          <w:szCs w:val="18"/>
        </w:rPr>
        <w:t>Stage 2, Section 4)</w:t>
      </w:r>
      <w:r w:rsidR="00C73DAE">
        <w:rPr>
          <w:rFonts w:cs="Calibri"/>
          <w:szCs w:val="18"/>
        </w:rPr>
        <w:t>.</w:t>
      </w:r>
    </w:p>
    <w:p w14:paraId="7025D1AE" w14:textId="131E4663" w:rsidR="00561DDA" w:rsidRPr="00AD314E" w:rsidRDefault="00F50D3B" w:rsidP="00954BAC">
      <w:pPr>
        <w:numPr>
          <w:ilvl w:val="0"/>
          <w:numId w:val="39"/>
        </w:numPr>
        <w:spacing w:before="120" w:after="120" w:line="264" w:lineRule="auto"/>
        <w:rPr>
          <w:rFonts w:cs="Calibri"/>
          <w:szCs w:val="18"/>
        </w:rPr>
      </w:pPr>
      <w:r>
        <w:rPr>
          <w:rFonts w:cs="Calibri"/>
          <w:szCs w:val="18"/>
        </w:rPr>
        <w:t xml:space="preserve">Continued reference </w:t>
      </w:r>
      <w:r w:rsidR="00573311">
        <w:rPr>
          <w:rFonts w:cs="Calibri"/>
          <w:szCs w:val="18"/>
        </w:rPr>
        <w:t>to the scale of medium and long-term change anticipated by AEMO’s Integrated System Plan (ISP) scenarios</w:t>
      </w:r>
      <w:r w:rsidR="005B62A7">
        <w:rPr>
          <w:rFonts w:cs="Calibri"/>
          <w:szCs w:val="18"/>
        </w:rPr>
        <w:t>.</w:t>
      </w:r>
    </w:p>
    <w:p w14:paraId="362747A4" w14:textId="41CE05C4" w:rsidR="00ED4A8E" w:rsidRPr="00AD314E" w:rsidRDefault="00ED4A8E" w:rsidP="00954BAC">
      <w:pPr>
        <w:numPr>
          <w:ilvl w:val="0"/>
          <w:numId w:val="38"/>
        </w:numPr>
        <w:spacing w:before="120" w:after="120" w:line="264" w:lineRule="auto"/>
        <w:ind w:left="714" w:hanging="357"/>
        <w:rPr>
          <w:lang w:eastAsia="en-AU"/>
        </w:rPr>
      </w:pPr>
      <w:r w:rsidRPr="00AD314E">
        <w:rPr>
          <w:rFonts w:cs="Calibri"/>
          <w:szCs w:val="18"/>
        </w:rPr>
        <w:t xml:space="preserve">Evaluation of </w:t>
      </w:r>
      <w:r w:rsidR="00C00F67" w:rsidRPr="00AD314E">
        <w:rPr>
          <w:rFonts w:cs="Calibri"/>
          <w:szCs w:val="18"/>
        </w:rPr>
        <w:t xml:space="preserve">the </w:t>
      </w:r>
      <w:r w:rsidR="002953AB">
        <w:rPr>
          <w:rFonts w:cs="Calibri"/>
          <w:szCs w:val="18"/>
        </w:rPr>
        <w:t>architecturally informed</w:t>
      </w:r>
      <w:r w:rsidR="00A95DB5" w:rsidRPr="00AD314E">
        <w:rPr>
          <w:rFonts w:cs="Calibri"/>
          <w:szCs w:val="18"/>
        </w:rPr>
        <w:t xml:space="preserve"> </w:t>
      </w:r>
      <w:r w:rsidR="000C0D3F" w:rsidRPr="00AD314E">
        <w:rPr>
          <w:rFonts w:cs="Calibri"/>
          <w:szCs w:val="18"/>
        </w:rPr>
        <w:t xml:space="preserve">inputs </w:t>
      </w:r>
      <w:r w:rsidR="00D83E57">
        <w:rPr>
          <w:rFonts w:cs="Calibri"/>
          <w:szCs w:val="18"/>
        </w:rPr>
        <w:t xml:space="preserve">needed </w:t>
      </w:r>
      <w:r w:rsidR="00A95DB5" w:rsidRPr="00AD314E">
        <w:rPr>
          <w:rFonts w:cs="Calibri"/>
          <w:szCs w:val="18"/>
        </w:rPr>
        <w:t xml:space="preserve">to inform </w:t>
      </w:r>
      <w:r w:rsidR="000C0D3F" w:rsidRPr="00AD314E">
        <w:rPr>
          <w:rFonts w:cs="Calibri"/>
          <w:szCs w:val="18"/>
        </w:rPr>
        <w:t xml:space="preserve">examination of </w:t>
      </w:r>
      <w:r w:rsidR="000C0D3F" w:rsidRPr="00AD314E">
        <w:rPr>
          <w:lang w:eastAsia="en-AU"/>
        </w:rPr>
        <w:t xml:space="preserve">Distribution System Operator (DSO) and Transmission-Distribution Coordination (TDC) models </w:t>
      </w:r>
      <w:r w:rsidR="00A95DB5" w:rsidRPr="00AD314E">
        <w:rPr>
          <w:lang w:eastAsia="en-AU"/>
        </w:rPr>
        <w:t>(Reports 4 &amp; 5)</w:t>
      </w:r>
      <w:r w:rsidR="00374950">
        <w:rPr>
          <w:lang w:eastAsia="en-AU"/>
        </w:rPr>
        <w:t xml:space="preserve">. </w:t>
      </w:r>
    </w:p>
    <w:p w14:paraId="5D737D12" w14:textId="414003E3" w:rsidR="00FB7084" w:rsidRPr="00FB7084" w:rsidRDefault="007B23F5" w:rsidP="00954BAC">
      <w:pPr>
        <w:pStyle w:val="Heading4"/>
        <w:numPr>
          <w:ilvl w:val="0"/>
          <w:numId w:val="50"/>
        </w:numPr>
        <w:spacing w:before="120" w:after="120" w:line="264" w:lineRule="auto"/>
        <w:ind w:left="357" w:hanging="357"/>
        <w:rPr>
          <w:i w:val="0"/>
          <w:iCs w:val="0"/>
        </w:rPr>
      </w:pPr>
      <w:r>
        <w:rPr>
          <w:i w:val="0"/>
          <w:iCs w:val="0"/>
        </w:rPr>
        <w:t xml:space="preserve">Identification of Potential </w:t>
      </w:r>
      <w:r w:rsidR="00FB7084" w:rsidRPr="00FB7084">
        <w:rPr>
          <w:i w:val="0"/>
          <w:iCs w:val="0"/>
        </w:rPr>
        <w:t>Systemic Issues</w:t>
      </w:r>
    </w:p>
    <w:p w14:paraId="2B33B858" w14:textId="0EC546AD" w:rsidR="000875A5" w:rsidRDefault="002953AB" w:rsidP="00C73DAE">
      <w:pPr>
        <w:spacing w:before="120" w:after="120" w:line="264" w:lineRule="auto"/>
        <w:ind w:left="357"/>
        <w:rPr>
          <w:rFonts w:cs="Calibri"/>
          <w:szCs w:val="18"/>
        </w:rPr>
      </w:pPr>
      <w:r>
        <w:rPr>
          <w:rFonts w:cs="Calibri"/>
          <w:szCs w:val="18"/>
        </w:rPr>
        <w:t xml:space="preserve">Recognising </w:t>
      </w:r>
      <w:r w:rsidR="0022582B">
        <w:rPr>
          <w:rFonts w:cs="Calibri"/>
          <w:szCs w:val="18"/>
        </w:rPr>
        <w:t>t</w:t>
      </w:r>
      <w:r w:rsidR="001B1830">
        <w:rPr>
          <w:rFonts w:cs="Calibri"/>
          <w:szCs w:val="18"/>
        </w:rPr>
        <w:t xml:space="preserve">he </w:t>
      </w:r>
      <w:r w:rsidR="00A17CE5">
        <w:rPr>
          <w:rFonts w:cs="Calibri"/>
          <w:szCs w:val="18"/>
        </w:rPr>
        <w:t>diverse</w:t>
      </w:r>
      <w:r>
        <w:rPr>
          <w:rFonts w:cs="Calibri"/>
          <w:szCs w:val="18"/>
        </w:rPr>
        <w:t xml:space="preserve">, </w:t>
      </w:r>
      <w:r w:rsidR="00422E53">
        <w:rPr>
          <w:rFonts w:cs="Calibri"/>
          <w:szCs w:val="18"/>
        </w:rPr>
        <w:t>wide-ranging</w:t>
      </w:r>
      <w:r w:rsidR="009D7646">
        <w:rPr>
          <w:rFonts w:cs="Calibri"/>
          <w:szCs w:val="18"/>
        </w:rPr>
        <w:t xml:space="preserve"> </w:t>
      </w:r>
      <w:r w:rsidR="00246BC5">
        <w:rPr>
          <w:rFonts w:cs="Calibri"/>
          <w:szCs w:val="18"/>
        </w:rPr>
        <w:t xml:space="preserve">nature of </w:t>
      </w:r>
      <w:r w:rsidR="00A17CE5">
        <w:rPr>
          <w:rFonts w:cs="Calibri"/>
          <w:szCs w:val="18"/>
        </w:rPr>
        <w:t>the above</w:t>
      </w:r>
      <w:r w:rsidR="00246BC5">
        <w:rPr>
          <w:rFonts w:cs="Calibri"/>
          <w:szCs w:val="18"/>
        </w:rPr>
        <w:t xml:space="preserve"> topics, </w:t>
      </w:r>
      <w:r w:rsidR="009D7646">
        <w:rPr>
          <w:rFonts w:cs="Calibri"/>
          <w:szCs w:val="18"/>
        </w:rPr>
        <w:t xml:space="preserve">progressively evolve </w:t>
      </w:r>
      <w:r w:rsidR="00B768D9">
        <w:rPr>
          <w:rFonts w:cs="Calibri"/>
          <w:szCs w:val="18"/>
        </w:rPr>
        <w:t xml:space="preserve">a </w:t>
      </w:r>
      <w:r w:rsidR="00EB28DF">
        <w:rPr>
          <w:rFonts w:cs="Calibri"/>
          <w:szCs w:val="18"/>
        </w:rPr>
        <w:t xml:space="preserve">concise set of potential Systemic Issues </w:t>
      </w:r>
      <w:r w:rsidR="007828D9">
        <w:rPr>
          <w:rFonts w:cs="Calibri"/>
          <w:szCs w:val="18"/>
        </w:rPr>
        <w:t xml:space="preserve">identified by key indicators, including: </w:t>
      </w:r>
    </w:p>
    <w:p w14:paraId="0B0433FD" w14:textId="4B9EA34B" w:rsidR="00AF7AA8" w:rsidRDefault="00481490" w:rsidP="00954BAC">
      <w:pPr>
        <w:numPr>
          <w:ilvl w:val="0"/>
          <w:numId w:val="39"/>
        </w:numPr>
        <w:spacing w:before="120" w:after="120" w:line="264" w:lineRule="auto"/>
        <w:rPr>
          <w:rFonts w:cs="Calibri"/>
          <w:szCs w:val="18"/>
        </w:rPr>
      </w:pPr>
      <w:r>
        <w:rPr>
          <w:rFonts w:cs="Calibri"/>
          <w:szCs w:val="18"/>
        </w:rPr>
        <w:t xml:space="preserve">New </w:t>
      </w:r>
      <w:r w:rsidR="00E55B7D">
        <w:rPr>
          <w:rFonts w:cs="Calibri"/>
          <w:szCs w:val="18"/>
        </w:rPr>
        <w:t>and/</w:t>
      </w:r>
      <w:r w:rsidR="009214AE">
        <w:rPr>
          <w:rFonts w:cs="Calibri"/>
          <w:szCs w:val="18"/>
        </w:rPr>
        <w:t xml:space="preserve">or changing </w:t>
      </w:r>
      <w:r>
        <w:rPr>
          <w:rFonts w:cs="Calibri"/>
          <w:szCs w:val="18"/>
        </w:rPr>
        <w:t xml:space="preserve">system </w:t>
      </w:r>
      <w:r w:rsidRPr="00A17CE5">
        <w:rPr>
          <w:rFonts w:cs="Calibri"/>
          <w:szCs w:val="18"/>
        </w:rPr>
        <w:t>behaviour</w:t>
      </w:r>
      <w:r>
        <w:rPr>
          <w:rFonts w:cs="Calibri"/>
          <w:szCs w:val="18"/>
        </w:rPr>
        <w:t xml:space="preserve">s </w:t>
      </w:r>
      <w:r w:rsidR="006755BF">
        <w:rPr>
          <w:rFonts w:cs="Calibri"/>
          <w:szCs w:val="18"/>
        </w:rPr>
        <w:t xml:space="preserve">which </w:t>
      </w:r>
      <w:r w:rsidR="003D6462">
        <w:rPr>
          <w:rFonts w:cs="Calibri"/>
          <w:szCs w:val="18"/>
        </w:rPr>
        <w:t xml:space="preserve">present growing </w:t>
      </w:r>
      <w:r w:rsidR="00E55B7D">
        <w:rPr>
          <w:rFonts w:cs="Calibri"/>
          <w:szCs w:val="18"/>
        </w:rPr>
        <w:t xml:space="preserve">operational </w:t>
      </w:r>
      <w:r w:rsidR="00AF7AA8">
        <w:rPr>
          <w:rFonts w:cs="Calibri"/>
          <w:szCs w:val="18"/>
        </w:rPr>
        <w:t xml:space="preserve">challenges for </w:t>
      </w:r>
      <w:r w:rsidR="00E55B7D">
        <w:rPr>
          <w:rFonts w:cs="Calibri"/>
          <w:szCs w:val="18"/>
        </w:rPr>
        <w:t xml:space="preserve">the </w:t>
      </w:r>
      <w:r w:rsidR="002F7F13">
        <w:rPr>
          <w:rFonts w:cs="Calibri"/>
          <w:szCs w:val="18"/>
        </w:rPr>
        <w:t>power</w:t>
      </w:r>
      <w:r w:rsidR="00AF7AA8">
        <w:rPr>
          <w:rFonts w:cs="Calibri"/>
          <w:szCs w:val="18"/>
        </w:rPr>
        <w:t xml:space="preserve"> system</w:t>
      </w:r>
      <w:r w:rsidR="002F7F13">
        <w:rPr>
          <w:rFonts w:cs="Calibri"/>
          <w:szCs w:val="18"/>
        </w:rPr>
        <w:t xml:space="preserve"> as a whole</w:t>
      </w:r>
      <w:r w:rsidR="005B62A7">
        <w:rPr>
          <w:rFonts w:cs="Calibri"/>
          <w:szCs w:val="18"/>
        </w:rPr>
        <w:t>.</w:t>
      </w:r>
    </w:p>
    <w:p w14:paraId="5FC85ED4" w14:textId="228321CB" w:rsidR="009214AE" w:rsidRDefault="00072D43" w:rsidP="00954BAC">
      <w:pPr>
        <w:numPr>
          <w:ilvl w:val="0"/>
          <w:numId w:val="39"/>
        </w:numPr>
        <w:spacing w:before="120" w:after="120" w:line="264" w:lineRule="auto"/>
        <w:rPr>
          <w:rFonts w:cs="Calibri"/>
          <w:szCs w:val="18"/>
        </w:rPr>
      </w:pPr>
      <w:r>
        <w:rPr>
          <w:rFonts w:cs="Calibri"/>
          <w:szCs w:val="18"/>
        </w:rPr>
        <w:t>Structural</w:t>
      </w:r>
      <w:r w:rsidR="009214AE">
        <w:rPr>
          <w:rFonts w:cs="Calibri"/>
          <w:szCs w:val="18"/>
        </w:rPr>
        <w:t xml:space="preserve"> constraints </w:t>
      </w:r>
      <w:r w:rsidR="009214AE" w:rsidRPr="00A17CE5">
        <w:rPr>
          <w:rFonts w:cs="Calibri"/>
          <w:szCs w:val="18"/>
        </w:rPr>
        <w:t xml:space="preserve">embedded in the </w:t>
      </w:r>
      <w:r>
        <w:rPr>
          <w:rFonts w:cs="Calibri"/>
          <w:szCs w:val="18"/>
        </w:rPr>
        <w:t>legacy a</w:t>
      </w:r>
      <w:r w:rsidR="009214AE" w:rsidRPr="00A17CE5">
        <w:rPr>
          <w:rFonts w:cs="Calibri"/>
          <w:szCs w:val="18"/>
        </w:rPr>
        <w:t>rchitectur</w:t>
      </w:r>
      <w:r w:rsidR="00AF7AA8">
        <w:rPr>
          <w:rFonts w:cs="Calibri"/>
          <w:szCs w:val="18"/>
        </w:rPr>
        <w:t>al arrangements</w:t>
      </w:r>
      <w:r w:rsidR="009214AE" w:rsidRPr="00A17CE5">
        <w:rPr>
          <w:rFonts w:cs="Calibri"/>
          <w:szCs w:val="18"/>
        </w:rPr>
        <w:t xml:space="preserve"> of the </w:t>
      </w:r>
      <w:r w:rsidR="002F7F13">
        <w:rPr>
          <w:rFonts w:cs="Calibri"/>
          <w:szCs w:val="18"/>
        </w:rPr>
        <w:t xml:space="preserve">end-to-end </w:t>
      </w:r>
      <w:r w:rsidR="00E44D8A">
        <w:rPr>
          <w:rFonts w:cs="Calibri"/>
          <w:szCs w:val="18"/>
        </w:rPr>
        <w:t xml:space="preserve">NEM that </w:t>
      </w:r>
      <w:r w:rsidR="00600457">
        <w:rPr>
          <w:rFonts w:cs="Calibri"/>
          <w:szCs w:val="18"/>
        </w:rPr>
        <w:t>impact future scalability and extensibility</w:t>
      </w:r>
      <w:r w:rsidR="005B62A7">
        <w:rPr>
          <w:rFonts w:cs="Calibri"/>
          <w:szCs w:val="18"/>
        </w:rPr>
        <w:t>.</w:t>
      </w:r>
    </w:p>
    <w:p w14:paraId="29346455" w14:textId="40161D16" w:rsidR="00FD5F54" w:rsidRPr="00FD5F54" w:rsidRDefault="00FD5F54" w:rsidP="00954BAC">
      <w:pPr>
        <w:numPr>
          <w:ilvl w:val="0"/>
          <w:numId w:val="39"/>
        </w:numPr>
        <w:spacing w:before="120" w:after="120" w:line="264" w:lineRule="auto"/>
        <w:rPr>
          <w:rFonts w:cs="Calibri"/>
          <w:szCs w:val="18"/>
        </w:rPr>
      </w:pPr>
      <w:r w:rsidRPr="00FD5F54">
        <w:rPr>
          <w:rFonts w:cs="Calibri"/>
          <w:szCs w:val="18"/>
        </w:rPr>
        <w:t xml:space="preserve">Cross-cutting issues </w:t>
      </w:r>
      <w:r w:rsidR="004F4D21">
        <w:rPr>
          <w:rFonts w:cs="Calibri"/>
          <w:szCs w:val="18"/>
        </w:rPr>
        <w:t>that</w:t>
      </w:r>
      <w:r w:rsidR="00600457">
        <w:rPr>
          <w:rFonts w:cs="Calibri"/>
          <w:szCs w:val="18"/>
        </w:rPr>
        <w:t xml:space="preserve"> </w:t>
      </w:r>
      <w:r w:rsidRPr="00FD5F54">
        <w:rPr>
          <w:rFonts w:cs="Calibri"/>
          <w:szCs w:val="18"/>
        </w:rPr>
        <w:t xml:space="preserve">span multiple subsystems and drive </w:t>
      </w:r>
      <w:r>
        <w:rPr>
          <w:rFonts w:cs="Calibri"/>
          <w:szCs w:val="18"/>
        </w:rPr>
        <w:t>c</w:t>
      </w:r>
      <w:r w:rsidRPr="00FD5F54">
        <w:rPr>
          <w:rFonts w:cs="Calibri"/>
          <w:szCs w:val="18"/>
        </w:rPr>
        <w:t>omplex interactions within and across the system</w:t>
      </w:r>
      <w:r w:rsidR="005B62A7">
        <w:rPr>
          <w:rFonts w:cs="Calibri"/>
          <w:szCs w:val="18"/>
        </w:rPr>
        <w:t>.</w:t>
      </w:r>
    </w:p>
    <w:p w14:paraId="0C0A3553" w14:textId="2B66A29F" w:rsidR="00FB7084" w:rsidRPr="00E55B7D" w:rsidRDefault="002D141B" w:rsidP="00954BAC">
      <w:pPr>
        <w:numPr>
          <w:ilvl w:val="0"/>
          <w:numId w:val="39"/>
        </w:numPr>
        <w:spacing w:before="120" w:after="120" w:line="264" w:lineRule="auto"/>
        <w:rPr>
          <w:rFonts w:cs="Calibri"/>
          <w:szCs w:val="18"/>
        </w:rPr>
      </w:pPr>
      <w:r>
        <w:rPr>
          <w:rFonts w:cs="Calibri"/>
          <w:szCs w:val="18"/>
        </w:rPr>
        <w:t>K</w:t>
      </w:r>
      <w:r w:rsidR="004F4D21">
        <w:rPr>
          <w:rFonts w:cs="Calibri"/>
          <w:szCs w:val="18"/>
        </w:rPr>
        <w:t>ey</w:t>
      </w:r>
      <w:r w:rsidR="00223A98">
        <w:rPr>
          <w:rFonts w:cs="Calibri"/>
          <w:szCs w:val="18"/>
        </w:rPr>
        <w:t xml:space="preserve"> issues</w:t>
      </w:r>
      <w:r w:rsidR="00207883">
        <w:rPr>
          <w:rFonts w:cs="Calibri"/>
          <w:szCs w:val="18"/>
        </w:rPr>
        <w:t xml:space="preserve"> that are resistant to localised treatments and will re</w:t>
      </w:r>
      <w:r w:rsidR="00207883" w:rsidRPr="00A17CE5">
        <w:rPr>
          <w:rFonts w:cs="Calibri"/>
          <w:szCs w:val="18"/>
        </w:rPr>
        <w:t>quire targeted structural interventions</w:t>
      </w:r>
      <w:r w:rsidR="00207883">
        <w:rPr>
          <w:rFonts w:cs="Calibri"/>
          <w:szCs w:val="18"/>
        </w:rPr>
        <w:t xml:space="preserve"> to resolve</w:t>
      </w:r>
      <w:r w:rsidR="00374950">
        <w:rPr>
          <w:rFonts w:cs="Calibri"/>
          <w:szCs w:val="18"/>
        </w:rPr>
        <w:t>.</w:t>
      </w:r>
    </w:p>
    <w:p w14:paraId="338F6797" w14:textId="430015BB" w:rsidR="00D826A3" w:rsidRPr="00D826A3" w:rsidRDefault="00D826A3" w:rsidP="00954BAC">
      <w:pPr>
        <w:pStyle w:val="Heading4"/>
        <w:numPr>
          <w:ilvl w:val="0"/>
          <w:numId w:val="50"/>
        </w:numPr>
        <w:spacing w:before="120" w:after="120" w:line="264" w:lineRule="auto"/>
        <w:ind w:left="357" w:hanging="357"/>
        <w:rPr>
          <w:i w:val="0"/>
          <w:iCs w:val="0"/>
        </w:rPr>
      </w:pPr>
      <w:r w:rsidRPr="00D826A3">
        <w:rPr>
          <w:i w:val="0"/>
          <w:iCs w:val="0"/>
        </w:rPr>
        <w:t>Refinement of Priority Systemic Issues</w:t>
      </w:r>
    </w:p>
    <w:p w14:paraId="05FAE788" w14:textId="40D18798" w:rsidR="007828D9" w:rsidRDefault="0050562D" w:rsidP="00491C00">
      <w:pPr>
        <w:spacing w:before="120" w:after="120" w:line="264" w:lineRule="auto"/>
        <w:ind w:left="357"/>
        <w:rPr>
          <w:rFonts w:cs="Calibri"/>
          <w:szCs w:val="18"/>
        </w:rPr>
      </w:pPr>
      <w:r>
        <w:rPr>
          <w:rFonts w:cs="Calibri"/>
          <w:szCs w:val="18"/>
        </w:rPr>
        <w:t xml:space="preserve">Refine the </w:t>
      </w:r>
      <w:r w:rsidR="00D02F2A">
        <w:rPr>
          <w:rFonts w:cs="Calibri"/>
          <w:szCs w:val="18"/>
        </w:rPr>
        <w:t xml:space="preserve">final set of Systemic Issues </w:t>
      </w:r>
      <w:r>
        <w:rPr>
          <w:rFonts w:cs="Calibri"/>
          <w:szCs w:val="18"/>
        </w:rPr>
        <w:t xml:space="preserve">through </w:t>
      </w:r>
      <w:r w:rsidR="002B32DE">
        <w:rPr>
          <w:rFonts w:cs="Calibri"/>
          <w:szCs w:val="18"/>
        </w:rPr>
        <w:t>several</w:t>
      </w:r>
      <w:r w:rsidR="007828D9" w:rsidRPr="007828D9">
        <w:rPr>
          <w:rFonts w:cs="Calibri"/>
          <w:szCs w:val="18"/>
        </w:rPr>
        <w:t xml:space="preserve"> loops of iterative review</w:t>
      </w:r>
      <w:r w:rsidR="008834E8">
        <w:rPr>
          <w:rFonts w:cs="Calibri"/>
          <w:szCs w:val="18"/>
        </w:rPr>
        <w:t xml:space="preserve"> to </w:t>
      </w:r>
      <w:r w:rsidR="00433EA5">
        <w:rPr>
          <w:rFonts w:cs="Calibri"/>
          <w:szCs w:val="18"/>
        </w:rPr>
        <w:t xml:space="preserve">identify </w:t>
      </w:r>
      <w:r w:rsidR="008834E8">
        <w:rPr>
          <w:rFonts w:cs="Calibri"/>
          <w:szCs w:val="18"/>
        </w:rPr>
        <w:t xml:space="preserve">those </w:t>
      </w:r>
      <w:r w:rsidR="0015313D">
        <w:rPr>
          <w:rFonts w:cs="Calibri"/>
          <w:szCs w:val="18"/>
        </w:rPr>
        <w:t>most</w:t>
      </w:r>
      <w:r w:rsidR="002D141B">
        <w:rPr>
          <w:rFonts w:cs="Calibri"/>
          <w:szCs w:val="18"/>
        </w:rPr>
        <w:t xml:space="preserve"> </w:t>
      </w:r>
      <w:r w:rsidR="008834E8">
        <w:rPr>
          <w:rFonts w:cs="Calibri"/>
          <w:szCs w:val="18"/>
        </w:rPr>
        <w:t xml:space="preserve">directly relevant to the </w:t>
      </w:r>
      <w:r w:rsidR="002B32DE">
        <w:rPr>
          <w:rFonts w:cs="Calibri"/>
          <w:szCs w:val="18"/>
        </w:rPr>
        <w:t>consideration</w:t>
      </w:r>
      <w:r w:rsidR="008834E8" w:rsidRPr="00B728B2">
        <w:rPr>
          <w:rFonts w:cs="Calibri"/>
          <w:szCs w:val="18"/>
        </w:rPr>
        <w:t xml:space="preserve"> of </w:t>
      </w:r>
      <w:r w:rsidR="002D141B">
        <w:rPr>
          <w:rFonts w:cs="Calibri"/>
          <w:szCs w:val="18"/>
        </w:rPr>
        <w:t xml:space="preserve">future </w:t>
      </w:r>
      <w:r w:rsidR="008834E8">
        <w:rPr>
          <w:lang w:eastAsia="en-AU"/>
        </w:rPr>
        <w:t>DSO and TDC models</w:t>
      </w:r>
      <w:r w:rsidR="00374950">
        <w:rPr>
          <w:lang w:eastAsia="en-AU"/>
        </w:rPr>
        <w:t xml:space="preserve">. </w:t>
      </w:r>
      <w:r w:rsidR="001920E8">
        <w:rPr>
          <w:lang w:eastAsia="en-AU"/>
        </w:rPr>
        <w:t>This has included:</w:t>
      </w:r>
    </w:p>
    <w:p w14:paraId="24208182" w14:textId="0C516CF0" w:rsidR="002D141B" w:rsidRPr="00B90EB2" w:rsidRDefault="002D141B" w:rsidP="00954BAC">
      <w:pPr>
        <w:numPr>
          <w:ilvl w:val="0"/>
          <w:numId w:val="38"/>
        </w:numPr>
        <w:spacing w:before="120" w:after="120" w:line="264" w:lineRule="auto"/>
        <w:ind w:left="714" w:hanging="357"/>
        <w:rPr>
          <w:lang w:eastAsia="en-AU"/>
        </w:rPr>
      </w:pPr>
      <w:r>
        <w:rPr>
          <w:rFonts w:cs="Calibri"/>
          <w:szCs w:val="18"/>
        </w:rPr>
        <w:t>Ongoing calibration with the above range of</w:t>
      </w:r>
      <w:r w:rsidRPr="00AD314E">
        <w:rPr>
          <w:rFonts w:cs="Calibri"/>
          <w:szCs w:val="18"/>
        </w:rPr>
        <w:t xml:space="preserve"> inputs </w:t>
      </w:r>
      <w:r>
        <w:rPr>
          <w:rFonts w:cs="Calibri"/>
          <w:szCs w:val="18"/>
        </w:rPr>
        <w:t xml:space="preserve">needed </w:t>
      </w:r>
      <w:r w:rsidRPr="00AD314E">
        <w:rPr>
          <w:rFonts w:cs="Calibri"/>
          <w:szCs w:val="18"/>
        </w:rPr>
        <w:t>to inform the architectural methodology</w:t>
      </w:r>
      <w:r>
        <w:rPr>
          <w:rFonts w:cs="Calibri"/>
          <w:szCs w:val="18"/>
        </w:rPr>
        <w:t xml:space="preserve"> that underpins DSO and TDC evaluation</w:t>
      </w:r>
      <w:r w:rsidR="00491C00">
        <w:rPr>
          <w:rFonts w:cs="Calibri"/>
          <w:szCs w:val="18"/>
        </w:rPr>
        <w:t>.</w:t>
      </w:r>
    </w:p>
    <w:p w14:paraId="42E43D94" w14:textId="4FE8C30C" w:rsidR="001920E8" w:rsidRDefault="001920E8" w:rsidP="00954BAC">
      <w:pPr>
        <w:numPr>
          <w:ilvl w:val="0"/>
          <w:numId w:val="38"/>
        </w:numPr>
        <w:spacing w:before="120" w:after="120" w:line="264" w:lineRule="auto"/>
        <w:ind w:left="714" w:hanging="357"/>
        <w:rPr>
          <w:lang w:eastAsia="en-AU"/>
        </w:rPr>
      </w:pPr>
      <w:r>
        <w:rPr>
          <w:lang w:eastAsia="en-AU"/>
        </w:rPr>
        <w:t xml:space="preserve">Identification of </w:t>
      </w:r>
      <w:r w:rsidR="003C3316">
        <w:rPr>
          <w:lang w:eastAsia="en-AU"/>
        </w:rPr>
        <w:t xml:space="preserve">the specific </w:t>
      </w:r>
      <w:r>
        <w:rPr>
          <w:lang w:eastAsia="en-AU"/>
        </w:rPr>
        <w:t xml:space="preserve">issues </w:t>
      </w:r>
      <w:r w:rsidR="00A679B4">
        <w:rPr>
          <w:lang w:eastAsia="en-AU"/>
        </w:rPr>
        <w:t xml:space="preserve">most </w:t>
      </w:r>
      <w:r w:rsidR="00FD360D">
        <w:rPr>
          <w:lang w:eastAsia="en-AU"/>
        </w:rPr>
        <w:t>likely to require</w:t>
      </w:r>
      <w:r w:rsidR="00A679B4">
        <w:rPr>
          <w:lang w:eastAsia="en-AU"/>
        </w:rPr>
        <w:t xml:space="preserve"> targeted</w:t>
      </w:r>
      <w:r w:rsidR="00FD360D">
        <w:rPr>
          <w:lang w:eastAsia="en-AU"/>
        </w:rPr>
        <w:t xml:space="preserve"> structural interventions to address which </w:t>
      </w:r>
      <w:r>
        <w:rPr>
          <w:lang w:eastAsia="en-AU"/>
        </w:rPr>
        <w:t xml:space="preserve">Systems Architecture methodologies and tools </w:t>
      </w:r>
      <w:r w:rsidR="00FD360D">
        <w:rPr>
          <w:lang w:eastAsia="en-AU"/>
        </w:rPr>
        <w:t xml:space="preserve">are most suitable </w:t>
      </w:r>
      <w:r w:rsidR="00902D6A">
        <w:rPr>
          <w:lang w:eastAsia="en-AU"/>
        </w:rPr>
        <w:t>to help r</w:t>
      </w:r>
      <w:r w:rsidR="00FD360D">
        <w:rPr>
          <w:lang w:eastAsia="en-AU"/>
        </w:rPr>
        <w:t>esolv</w:t>
      </w:r>
      <w:r w:rsidR="002B32DE">
        <w:rPr>
          <w:lang w:eastAsia="en-AU"/>
        </w:rPr>
        <w:t>e</w:t>
      </w:r>
      <w:r w:rsidR="00491C00">
        <w:rPr>
          <w:lang w:eastAsia="en-AU"/>
        </w:rPr>
        <w:t>.</w:t>
      </w:r>
    </w:p>
    <w:p w14:paraId="66E3B6AC" w14:textId="6C618949" w:rsidR="002B32DE" w:rsidRPr="002D141B" w:rsidRDefault="002B32DE" w:rsidP="00954BAC">
      <w:pPr>
        <w:numPr>
          <w:ilvl w:val="0"/>
          <w:numId w:val="38"/>
        </w:numPr>
        <w:spacing w:before="120" w:after="120" w:line="264" w:lineRule="auto"/>
        <w:ind w:left="714" w:hanging="357"/>
        <w:rPr>
          <w:lang w:eastAsia="en-AU"/>
        </w:rPr>
      </w:pPr>
      <w:r>
        <w:rPr>
          <w:lang w:eastAsia="en-AU"/>
        </w:rPr>
        <w:t xml:space="preserve">Examination of </w:t>
      </w:r>
      <w:r w:rsidR="00C11FA4">
        <w:rPr>
          <w:lang w:eastAsia="en-AU"/>
        </w:rPr>
        <w:t xml:space="preserve">each of the shortlisted Systemic Issues to provide analysis of </w:t>
      </w:r>
      <w:r w:rsidR="00931EFC">
        <w:rPr>
          <w:lang w:eastAsia="en-AU"/>
        </w:rPr>
        <w:t xml:space="preserve">relevant </w:t>
      </w:r>
      <w:r w:rsidR="00C11FA4">
        <w:rPr>
          <w:lang w:eastAsia="en-AU"/>
        </w:rPr>
        <w:t xml:space="preserve">cross-cutting issue, </w:t>
      </w:r>
      <w:r w:rsidR="00931EFC">
        <w:rPr>
          <w:lang w:eastAsia="en-AU"/>
        </w:rPr>
        <w:t>contributing factor and solution requirements</w:t>
      </w:r>
      <w:r w:rsidR="00374950">
        <w:rPr>
          <w:lang w:eastAsia="en-AU"/>
        </w:rPr>
        <w:t xml:space="preserve">. </w:t>
      </w:r>
    </w:p>
    <w:p w14:paraId="59C850AB" w14:textId="77777777" w:rsidR="00A40DD8" w:rsidRPr="0036260D" w:rsidRDefault="00A40DD8" w:rsidP="00A40DD8">
      <w:pPr>
        <w:keepNext/>
        <w:keepLines/>
        <w:numPr>
          <w:ilvl w:val="1"/>
          <w:numId w:val="0"/>
        </w:numPr>
        <w:spacing w:after="120" w:line="264" w:lineRule="auto"/>
        <w:ind w:left="578" w:hanging="578"/>
        <w:outlineLvl w:val="1"/>
        <w:rPr>
          <w:rFonts w:ascii="PP Mori SemiBold" w:eastAsiaTheme="majorEastAsia" w:hAnsi="PP Mori SemiBold" w:cstheme="majorBidi"/>
          <w:color w:val="002C38" w:themeColor="accent1" w:themeShade="BF"/>
          <w:sz w:val="26"/>
          <w:szCs w:val="33"/>
          <w:lang w:val="en-US" w:eastAsia="en-US" w:bidi="ar-SA"/>
        </w:rPr>
      </w:pPr>
      <w:bookmarkStart w:id="27" w:name="_Toc205533955"/>
      <w:bookmarkEnd w:id="25"/>
      <w:r>
        <w:rPr>
          <w:rFonts w:ascii="PP Mori SemiBold" w:eastAsiaTheme="majorEastAsia" w:hAnsi="PP Mori SemiBold" w:cstheme="majorBidi"/>
          <w:color w:val="002C38" w:themeColor="accent1" w:themeShade="BF"/>
          <w:sz w:val="26"/>
          <w:szCs w:val="33"/>
          <w:lang w:val="en-US" w:eastAsia="en-US" w:bidi="ar-SA"/>
        </w:rPr>
        <w:t>2.4</w:t>
      </w:r>
      <w:r>
        <w:rPr>
          <w:rFonts w:ascii="PP Mori SemiBold" w:eastAsiaTheme="majorEastAsia" w:hAnsi="PP Mori SemiBold" w:cstheme="majorBidi"/>
          <w:color w:val="002C38" w:themeColor="accent1" w:themeShade="BF"/>
          <w:sz w:val="26"/>
          <w:szCs w:val="33"/>
          <w:lang w:val="en-US" w:eastAsia="en-US" w:bidi="ar-SA"/>
        </w:rPr>
        <w:tab/>
      </w:r>
      <w:bookmarkStart w:id="28" w:name="S_2_4_Inh_Lim_Constraints"/>
      <w:r w:rsidRPr="0036260D">
        <w:rPr>
          <w:rFonts w:ascii="PP Mori SemiBold" w:eastAsiaTheme="majorEastAsia" w:hAnsi="PP Mori SemiBold" w:cstheme="majorBidi"/>
          <w:color w:val="002C38" w:themeColor="accent1" w:themeShade="BF"/>
          <w:sz w:val="26"/>
          <w:szCs w:val="33"/>
          <w:lang w:val="en-US" w:eastAsia="en-US" w:bidi="ar-SA"/>
        </w:rPr>
        <w:t>Inherent Limitations</w:t>
      </w:r>
      <w:r>
        <w:rPr>
          <w:rFonts w:ascii="PP Mori SemiBold" w:eastAsiaTheme="majorEastAsia" w:hAnsi="PP Mori SemiBold" w:cstheme="majorBidi"/>
          <w:color w:val="002C38" w:themeColor="accent1" w:themeShade="BF"/>
          <w:sz w:val="26"/>
          <w:szCs w:val="33"/>
          <w:lang w:val="en-US" w:eastAsia="en-US" w:bidi="ar-SA"/>
        </w:rPr>
        <w:t xml:space="preserve"> &amp; Constraints</w:t>
      </w:r>
      <w:bookmarkEnd w:id="27"/>
      <w:bookmarkEnd w:id="28"/>
    </w:p>
    <w:p w14:paraId="74CB9845" w14:textId="77777777" w:rsidR="00A40DD8" w:rsidRPr="0009083D" w:rsidRDefault="00A40DD8" w:rsidP="00A40DD8">
      <w:pPr>
        <w:spacing w:after="120"/>
      </w:pPr>
      <w:r w:rsidRPr="0009083D">
        <w:t xml:space="preserve">Given the wide-ranging nature of </w:t>
      </w:r>
      <w:r>
        <w:t>the reference set</w:t>
      </w:r>
      <w:r w:rsidRPr="0009083D">
        <w:t>, the following points highlight limitations that are inherent to any such analysis</w:t>
      </w:r>
      <w:r>
        <w:t xml:space="preserve">.  They </w:t>
      </w:r>
      <w:r w:rsidRPr="0009083D">
        <w:t xml:space="preserve">should </w:t>
      </w:r>
      <w:r>
        <w:t xml:space="preserve">therefore </w:t>
      </w:r>
      <w:r w:rsidRPr="0009083D">
        <w:t xml:space="preserve">be noted in the interpretation </w:t>
      </w:r>
      <w:r>
        <w:t>and application o</w:t>
      </w:r>
      <w:r w:rsidRPr="0009083D">
        <w:t xml:space="preserve">f </w:t>
      </w:r>
      <w:r>
        <w:t xml:space="preserve">this </w:t>
      </w:r>
      <w:r w:rsidRPr="0009083D">
        <w:t>report</w:t>
      </w:r>
      <w:r>
        <w:t xml:space="preserve"> subject to the formal disclaimers provided above</w:t>
      </w:r>
      <w:r w:rsidRPr="0009083D">
        <w:t xml:space="preserve">. </w:t>
      </w:r>
    </w:p>
    <w:p w14:paraId="419D7B57" w14:textId="77777777" w:rsidR="00A40DD8" w:rsidRDefault="00A40DD8" w:rsidP="00954BAC">
      <w:pPr>
        <w:pStyle w:val="ListParagraph"/>
        <w:numPr>
          <w:ilvl w:val="0"/>
          <w:numId w:val="39"/>
        </w:numPr>
        <w:spacing w:line="252" w:lineRule="auto"/>
      </w:pPr>
      <w:r w:rsidRPr="0009083D">
        <w:t xml:space="preserve">The five reports </w:t>
      </w:r>
      <w:r>
        <w:t>have</w:t>
      </w:r>
      <w:r w:rsidRPr="0009083D">
        <w:t xml:space="preserve"> been developed as</w:t>
      </w:r>
      <w:r>
        <w:t xml:space="preserve"> an integrated </w:t>
      </w:r>
      <w:r w:rsidRPr="0009083D">
        <w:t>reference set</w:t>
      </w:r>
      <w:r>
        <w:t xml:space="preserve"> which, by definition, covers an extremely wide range of complex topics.  This necessarily </w:t>
      </w:r>
      <w:r w:rsidRPr="00602CD3">
        <w:rPr>
          <w:rFonts w:cs="Calibri"/>
          <w:szCs w:val="18"/>
        </w:rPr>
        <w:t>means that none of the</w:t>
      </w:r>
      <w:r>
        <w:rPr>
          <w:rFonts w:cs="Calibri"/>
          <w:szCs w:val="18"/>
        </w:rPr>
        <w:t>se</w:t>
      </w:r>
      <w:r w:rsidRPr="00602CD3">
        <w:rPr>
          <w:rFonts w:cs="Calibri"/>
          <w:szCs w:val="18"/>
        </w:rPr>
        <w:t xml:space="preserve"> topics </w:t>
      </w:r>
      <w:r>
        <w:rPr>
          <w:rFonts w:cs="Calibri"/>
          <w:szCs w:val="18"/>
        </w:rPr>
        <w:t xml:space="preserve">have been </w:t>
      </w:r>
      <w:r w:rsidRPr="00602CD3">
        <w:rPr>
          <w:rFonts w:cs="Calibri"/>
          <w:szCs w:val="18"/>
        </w:rPr>
        <w:t>treated exhaustively.</w:t>
      </w:r>
    </w:p>
    <w:p w14:paraId="51917E37" w14:textId="77777777" w:rsidR="00A40DD8" w:rsidRDefault="00A40DD8" w:rsidP="00954BAC">
      <w:pPr>
        <w:pStyle w:val="ListParagraph"/>
        <w:numPr>
          <w:ilvl w:val="0"/>
          <w:numId w:val="39"/>
        </w:numPr>
        <w:spacing w:line="252" w:lineRule="auto"/>
      </w:pPr>
      <w:r>
        <w:t xml:space="preserve">As a reference set, it is anticipated that most </w:t>
      </w:r>
      <w:r w:rsidRPr="0009083D">
        <w:t xml:space="preserve">readers will refer to </w:t>
      </w:r>
      <w:r>
        <w:t>particular</w:t>
      </w:r>
      <w:r w:rsidRPr="0009083D">
        <w:t xml:space="preserve"> </w:t>
      </w:r>
      <w:r>
        <w:t xml:space="preserve">content on an ‘as needs’ basis.  Therefore, each of the five reports is designed to stand alone which has required some repetition of key unifying themes and concepts. </w:t>
      </w:r>
    </w:p>
    <w:p w14:paraId="55A3D401" w14:textId="1619D61D" w:rsidR="00A40DD8" w:rsidRPr="008A2311" w:rsidRDefault="00A40DD8" w:rsidP="00954BAC">
      <w:pPr>
        <w:numPr>
          <w:ilvl w:val="0"/>
          <w:numId w:val="39"/>
        </w:numPr>
        <w:spacing w:before="120" w:after="120" w:line="288" w:lineRule="auto"/>
        <w:ind w:left="714" w:hanging="357"/>
        <w:rPr>
          <w:rFonts w:cs="Calibri"/>
          <w:szCs w:val="18"/>
        </w:rPr>
      </w:pPr>
      <w:r w:rsidRPr="003136E1">
        <w:rPr>
          <w:rFonts w:cs="Calibri"/>
          <w:szCs w:val="18"/>
        </w:rPr>
        <w:t xml:space="preserve">While a </w:t>
      </w:r>
      <w:r w:rsidRPr="008A2311">
        <w:rPr>
          <w:rFonts w:cs="Calibri"/>
          <w:szCs w:val="18"/>
        </w:rPr>
        <w:t xml:space="preserve">modern GW-scale power system involves a complex overlay of technological, market, regulatory, economic and policy dimensions, the key principles and disciplinary perspectives applied in developing this series are outlined in </w:t>
      </w:r>
      <w:hyperlink w:anchor="Appendix_A" w:history="1">
        <w:r w:rsidRPr="008A2311">
          <w:rPr>
            <w:rStyle w:val="Hyperlink"/>
          </w:rPr>
          <w:t>Appendix A</w:t>
        </w:r>
      </w:hyperlink>
      <w:r w:rsidRPr="008A2311">
        <w:t xml:space="preserve">. </w:t>
      </w:r>
    </w:p>
    <w:p w14:paraId="39E79115" w14:textId="4A5C4E77" w:rsidR="00A40DD8" w:rsidRPr="008A2311" w:rsidRDefault="00A40DD8" w:rsidP="00954BAC">
      <w:pPr>
        <w:numPr>
          <w:ilvl w:val="0"/>
          <w:numId w:val="39"/>
        </w:numPr>
        <w:spacing w:before="120" w:after="120" w:line="288" w:lineRule="auto"/>
        <w:ind w:left="714" w:hanging="357"/>
        <w:rPr>
          <w:rFonts w:cs="Calibri"/>
          <w:szCs w:val="18"/>
        </w:rPr>
      </w:pPr>
      <w:r w:rsidRPr="008A2311">
        <w:t xml:space="preserve">Many of the topics covered by the reference set are inherently complex and some are hotly contested.  This is necessary and appropriate in an evolving sector but can often be less productive than it may otherwise be due to a lack of shared concepts and language. Therefore, the development team has firstly attempted to maintain an objective and evidence-based approach. Further, to support the most informed debate, a glossary of key terms is provided in </w:t>
      </w:r>
      <w:hyperlink w:anchor="Appendix_B" w:history="1">
        <w:r w:rsidRPr="008A2311">
          <w:rPr>
            <w:rStyle w:val="Hyperlink"/>
          </w:rPr>
          <w:t xml:space="preserve">Appendix </w:t>
        </w:r>
        <w:r w:rsidR="003745ED" w:rsidRPr="008A2311">
          <w:rPr>
            <w:rStyle w:val="Hyperlink"/>
          </w:rPr>
          <w:t>B</w:t>
        </w:r>
      </w:hyperlink>
      <w:r w:rsidRPr="008A2311">
        <w:t xml:space="preserve"> and many report sections contain Key Concept breakouts designed to support clarity of communication.  </w:t>
      </w:r>
    </w:p>
    <w:p w14:paraId="03B59625" w14:textId="77777777" w:rsidR="00A40DD8" w:rsidRDefault="00A40DD8" w:rsidP="00954BAC">
      <w:pPr>
        <w:numPr>
          <w:ilvl w:val="0"/>
          <w:numId w:val="39"/>
        </w:numPr>
        <w:spacing w:before="120" w:after="120" w:line="288" w:lineRule="auto"/>
        <w:ind w:left="714" w:hanging="357"/>
        <w:rPr>
          <w:rFonts w:cs="Calibri"/>
          <w:szCs w:val="18"/>
        </w:rPr>
      </w:pPr>
      <w:r w:rsidRPr="008A2311">
        <w:rPr>
          <w:rFonts w:cs="Calibri"/>
          <w:szCs w:val="18"/>
        </w:rPr>
        <w:t>The reference set focuses on several emerging</w:t>
      </w:r>
      <w:r w:rsidRPr="00B05E38">
        <w:rPr>
          <w:rFonts w:cs="Calibri"/>
          <w:szCs w:val="18"/>
        </w:rPr>
        <w:t xml:space="preserve"> area</w:t>
      </w:r>
      <w:r>
        <w:rPr>
          <w:rFonts w:cs="Calibri"/>
          <w:szCs w:val="18"/>
        </w:rPr>
        <w:t>s</w:t>
      </w:r>
      <w:r w:rsidRPr="00B05E38">
        <w:rPr>
          <w:rFonts w:cs="Calibri"/>
          <w:szCs w:val="18"/>
        </w:rPr>
        <w:t xml:space="preserve"> of consideration</w:t>
      </w:r>
      <w:r>
        <w:rPr>
          <w:rFonts w:cs="Calibri"/>
          <w:szCs w:val="18"/>
        </w:rPr>
        <w:t xml:space="preserve"> and is designed to assist navigation of the ‘emerging future’ over the next decade and beyond.  It is therefore a consolidation of the development team’s understanding at the time of publishing and will likely benefit from a comprehensive update on at least a bi-annual basis. </w:t>
      </w:r>
    </w:p>
    <w:p w14:paraId="684DAFCD" w14:textId="77777777" w:rsidR="00A40DD8" w:rsidRPr="00BE7959" w:rsidRDefault="00A40DD8" w:rsidP="00954BAC">
      <w:pPr>
        <w:numPr>
          <w:ilvl w:val="0"/>
          <w:numId w:val="39"/>
        </w:numPr>
        <w:spacing w:before="120" w:after="120" w:line="288" w:lineRule="auto"/>
        <w:ind w:left="714" w:hanging="357"/>
        <w:rPr>
          <w:rFonts w:cs="Calibri"/>
          <w:szCs w:val="18"/>
        </w:rPr>
      </w:pPr>
      <w:r w:rsidRPr="00BE7959">
        <w:rPr>
          <w:rFonts w:cs="Calibri"/>
          <w:szCs w:val="18"/>
        </w:rPr>
        <w:t xml:space="preserve">While a range of </w:t>
      </w:r>
      <w:r>
        <w:rPr>
          <w:rFonts w:cs="Calibri"/>
          <w:szCs w:val="18"/>
        </w:rPr>
        <w:t xml:space="preserve">tools and </w:t>
      </w:r>
      <w:r w:rsidRPr="00BE7959">
        <w:rPr>
          <w:rFonts w:cs="Calibri"/>
          <w:szCs w:val="18"/>
        </w:rPr>
        <w:t xml:space="preserve">models are employed as a basis for reasoning about how the power system and its wider societal context may evolve, </w:t>
      </w:r>
      <w:r>
        <w:rPr>
          <w:rFonts w:cs="Calibri"/>
          <w:szCs w:val="18"/>
        </w:rPr>
        <w:t xml:space="preserve">it is </w:t>
      </w:r>
      <w:r w:rsidRPr="00BE7959">
        <w:rPr>
          <w:rFonts w:cs="Calibri"/>
          <w:szCs w:val="18"/>
        </w:rPr>
        <w:t>re</w:t>
      </w:r>
      <w:r>
        <w:rPr>
          <w:rFonts w:cs="Calibri"/>
          <w:szCs w:val="18"/>
        </w:rPr>
        <w:t xml:space="preserve">cognised that </w:t>
      </w:r>
      <w:r w:rsidRPr="00BE7959">
        <w:rPr>
          <w:rFonts w:cs="Calibri"/>
          <w:szCs w:val="18"/>
        </w:rPr>
        <w:t xml:space="preserve">reality is </w:t>
      </w:r>
      <w:r>
        <w:rPr>
          <w:rFonts w:cs="Calibri"/>
          <w:szCs w:val="18"/>
        </w:rPr>
        <w:t xml:space="preserve">far </w:t>
      </w:r>
      <w:r w:rsidRPr="00BE7959">
        <w:rPr>
          <w:rFonts w:cs="Calibri"/>
          <w:szCs w:val="18"/>
        </w:rPr>
        <w:t xml:space="preserve">more complex than any model </w:t>
      </w:r>
      <w:r>
        <w:rPr>
          <w:rFonts w:cs="Calibri"/>
          <w:szCs w:val="18"/>
        </w:rPr>
        <w:t xml:space="preserve">or archetype </w:t>
      </w:r>
      <w:r w:rsidRPr="00BE7959">
        <w:rPr>
          <w:rFonts w:cs="Calibri"/>
          <w:szCs w:val="18"/>
        </w:rPr>
        <w:t xml:space="preserve">can </w:t>
      </w:r>
      <w:r>
        <w:rPr>
          <w:rFonts w:cs="Calibri"/>
          <w:szCs w:val="18"/>
        </w:rPr>
        <w:t xml:space="preserve">ultimately </w:t>
      </w:r>
      <w:r w:rsidRPr="00BE7959">
        <w:rPr>
          <w:rFonts w:cs="Calibri"/>
          <w:szCs w:val="18"/>
        </w:rPr>
        <w:t xml:space="preserve">represent. </w:t>
      </w:r>
    </w:p>
    <w:p w14:paraId="075E4BAE" w14:textId="77777777" w:rsidR="00A40DD8" w:rsidRDefault="00A40DD8" w:rsidP="00954BAC">
      <w:pPr>
        <w:numPr>
          <w:ilvl w:val="0"/>
          <w:numId w:val="39"/>
        </w:numPr>
        <w:spacing w:before="120" w:after="120" w:line="288" w:lineRule="auto"/>
        <w:ind w:left="714" w:hanging="357"/>
        <w:rPr>
          <w:rFonts w:cs="Calibri"/>
          <w:szCs w:val="18"/>
        </w:rPr>
      </w:pPr>
      <w:r>
        <w:rPr>
          <w:rFonts w:cs="Calibri"/>
          <w:szCs w:val="18"/>
        </w:rPr>
        <w:t>Recognising</w:t>
      </w:r>
      <w:r w:rsidRPr="00B05E38">
        <w:rPr>
          <w:rFonts w:cs="Calibri"/>
          <w:szCs w:val="18"/>
        </w:rPr>
        <w:t xml:space="preserve"> th</w:t>
      </w:r>
      <w:r>
        <w:rPr>
          <w:rFonts w:cs="Calibri"/>
          <w:szCs w:val="18"/>
        </w:rPr>
        <w:t>e</w:t>
      </w:r>
      <w:r w:rsidRPr="00B05E38">
        <w:rPr>
          <w:rFonts w:cs="Calibri"/>
          <w:szCs w:val="18"/>
        </w:rPr>
        <w:t xml:space="preserve"> </w:t>
      </w:r>
      <w:r>
        <w:rPr>
          <w:rFonts w:cs="Calibri"/>
          <w:szCs w:val="18"/>
        </w:rPr>
        <w:t xml:space="preserve">inherent </w:t>
      </w:r>
      <w:r w:rsidRPr="00B05E38">
        <w:rPr>
          <w:rFonts w:cs="Calibri"/>
          <w:szCs w:val="18"/>
        </w:rPr>
        <w:t>complexity</w:t>
      </w:r>
      <w:r>
        <w:rPr>
          <w:rFonts w:cs="Calibri"/>
          <w:szCs w:val="18"/>
        </w:rPr>
        <w:t xml:space="preserve"> of the topics explored, the diversity of perspectives and terminology, </w:t>
      </w:r>
      <w:r w:rsidRPr="00B05E38">
        <w:rPr>
          <w:rFonts w:cs="Calibri"/>
          <w:szCs w:val="18"/>
        </w:rPr>
        <w:t xml:space="preserve">and the </w:t>
      </w:r>
      <w:r>
        <w:rPr>
          <w:rFonts w:cs="Calibri"/>
          <w:szCs w:val="18"/>
        </w:rPr>
        <w:t xml:space="preserve">many </w:t>
      </w:r>
      <w:r w:rsidRPr="00B05E38">
        <w:rPr>
          <w:rFonts w:cs="Calibri"/>
          <w:szCs w:val="18"/>
        </w:rPr>
        <w:t>thousands of pages of globa</w:t>
      </w:r>
      <w:r>
        <w:rPr>
          <w:rFonts w:cs="Calibri"/>
          <w:szCs w:val="18"/>
        </w:rPr>
        <w:t>l</w:t>
      </w:r>
      <w:r w:rsidRPr="00B05E38">
        <w:rPr>
          <w:rFonts w:cs="Calibri"/>
          <w:szCs w:val="18"/>
        </w:rPr>
        <w:t xml:space="preserve"> content</w:t>
      </w:r>
      <w:r>
        <w:rPr>
          <w:rFonts w:cs="Calibri"/>
          <w:szCs w:val="18"/>
        </w:rPr>
        <w:t xml:space="preserve"> that is more or less relevant, the following points should be noted: </w:t>
      </w:r>
    </w:p>
    <w:p w14:paraId="4789FD85" w14:textId="77777777" w:rsidR="00A40DD8" w:rsidRDefault="00A40DD8" w:rsidP="00954BAC">
      <w:pPr>
        <w:numPr>
          <w:ilvl w:val="1"/>
          <w:numId w:val="39"/>
        </w:numPr>
        <w:spacing w:before="120" w:after="120" w:line="288" w:lineRule="auto"/>
        <w:rPr>
          <w:rFonts w:cs="Calibri"/>
          <w:szCs w:val="18"/>
        </w:rPr>
      </w:pPr>
      <w:r>
        <w:rPr>
          <w:rFonts w:cs="Calibri"/>
          <w:szCs w:val="18"/>
        </w:rPr>
        <w:t xml:space="preserve">The reference set is </w:t>
      </w:r>
      <w:r w:rsidRPr="00B05E38">
        <w:rPr>
          <w:rFonts w:cs="Calibri"/>
          <w:szCs w:val="18"/>
        </w:rPr>
        <w:t>inherently explorative and span</w:t>
      </w:r>
      <w:r>
        <w:rPr>
          <w:rFonts w:cs="Calibri"/>
          <w:szCs w:val="18"/>
        </w:rPr>
        <w:t>s</w:t>
      </w:r>
      <w:r w:rsidRPr="00B05E38">
        <w:rPr>
          <w:rFonts w:cs="Calibri"/>
          <w:szCs w:val="18"/>
        </w:rPr>
        <w:t xml:space="preserve"> numerous overlapping topics and developments, many of which are yet to mature to a point of industry consensus</w:t>
      </w:r>
      <w:r>
        <w:rPr>
          <w:rFonts w:cs="Calibri"/>
          <w:szCs w:val="18"/>
        </w:rPr>
        <w:t xml:space="preserve">, either in Australia or globally. </w:t>
      </w:r>
    </w:p>
    <w:p w14:paraId="13CFB0B5" w14:textId="77777777" w:rsidR="00A40DD8" w:rsidRDefault="00A40DD8" w:rsidP="00954BAC">
      <w:pPr>
        <w:numPr>
          <w:ilvl w:val="1"/>
          <w:numId w:val="39"/>
        </w:numPr>
        <w:spacing w:before="120" w:after="120" w:line="288" w:lineRule="auto"/>
        <w:rPr>
          <w:rFonts w:cs="Calibri"/>
          <w:szCs w:val="18"/>
        </w:rPr>
      </w:pPr>
      <w:r>
        <w:rPr>
          <w:rFonts w:cs="Calibri"/>
          <w:szCs w:val="18"/>
        </w:rPr>
        <w:t>Therefore, i</w:t>
      </w:r>
      <w:r w:rsidRPr="00B05E38">
        <w:rPr>
          <w:rFonts w:cs="Calibri"/>
          <w:szCs w:val="18"/>
        </w:rPr>
        <w:t>t is inevitable</w:t>
      </w:r>
      <w:r>
        <w:rPr>
          <w:rFonts w:cs="Calibri"/>
          <w:szCs w:val="18"/>
        </w:rPr>
        <w:t xml:space="preserve">, expected and healthy that different readers will </w:t>
      </w:r>
      <w:r w:rsidRPr="00B05E38">
        <w:rPr>
          <w:rFonts w:cs="Calibri"/>
          <w:szCs w:val="18"/>
        </w:rPr>
        <w:t>draw different conclusions</w:t>
      </w:r>
      <w:r>
        <w:rPr>
          <w:rFonts w:cs="Calibri"/>
          <w:szCs w:val="18"/>
        </w:rPr>
        <w:t xml:space="preserve"> </w:t>
      </w:r>
      <w:r w:rsidRPr="00B05E38">
        <w:rPr>
          <w:rFonts w:cs="Calibri"/>
          <w:szCs w:val="18"/>
        </w:rPr>
        <w:t xml:space="preserve">on </w:t>
      </w:r>
      <w:r>
        <w:rPr>
          <w:rFonts w:cs="Calibri"/>
          <w:szCs w:val="18"/>
        </w:rPr>
        <w:t xml:space="preserve">some or several of the </w:t>
      </w:r>
      <w:r w:rsidRPr="00B05E38">
        <w:rPr>
          <w:rFonts w:cs="Calibri"/>
          <w:szCs w:val="18"/>
        </w:rPr>
        <w:t>topics</w:t>
      </w:r>
      <w:r>
        <w:rPr>
          <w:rFonts w:cs="Calibri"/>
          <w:szCs w:val="18"/>
        </w:rPr>
        <w:t xml:space="preserve"> addressed. </w:t>
      </w:r>
    </w:p>
    <w:p w14:paraId="21BADDFB" w14:textId="77777777" w:rsidR="00A40DD8" w:rsidRPr="00DE4E02" w:rsidRDefault="00A40DD8" w:rsidP="00954BAC">
      <w:pPr>
        <w:numPr>
          <w:ilvl w:val="1"/>
          <w:numId w:val="39"/>
        </w:numPr>
        <w:spacing w:before="120" w:after="120" w:line="288" w:lineRule="auto"/>
        <w:rPr>
          <w:rFonts w:cs="Calibri"/>
          <w:szCs w:val="18"/>
        </w:rPr>
      </w:pPr>
      <w:r>
        <w:rPr>
          <w:rFonts w:eastAsia="Times New Roman"/>
        </w:rPr>
        <w:t xml:space="preserve">Particular content </w:t>
      </w:r>
      <w:r w:rsidRPr="00573296">
        <w:rPr>
          <w:rFonts w:eastAsia="Times New Roman"/>
        </w:rPr>
        <w:t xml:space="preserve">will mean more to </w:t>
      </w:r>
      <w:r>
        <w:rPr>
          <w:rFonts w:eastAsia="Times New Roman"/>
        </w:rPr>
        <w:t>some system actors</w:t>
      </w:r>
      <w:r w:rsidRPr="00573296">
        <w:rPr>
          <w:rFonts w:eastAsia="Times New Roman"/>
        </w:rPr>
        <w:t xml:space="preserve"> </w:t>
      </w:r>
      <w:r>
        <w:rPr>
          <w:rFonts w:eastAsia="Times New Roman"/>
        </w:rPr>
        <w:t xml:space="preserve">and/or those with particular discipline expertise </w:t>
      </w:r>
      <w:r w:rsidRPr="00573296">
        <w:rPr>
          <w:rFonts w:eastAsia="Times New Roman"/>
        </w:rPr>
        <w:t>than others</w:t>
      </w:r>
      <w:r>
        <w:rPr>
          <w:rFonts w:eastAsia="Times New Roman"/>
        </w:rPr>
        <w:t>.  The</w:t>
      </w:r>
      <w:r w:rsidRPr="00DE4E02">
        <w:rPr>
          <w:rFonts w:eastAsia="Times New Roman"/>
        </w:rPr>
        <w:t xml:space="preserve"> standpoint of the reader </w:t>
      </w:r>
      <w:r>
        <w:rPr>
          <w:rFonts w:eastAsia="Times New Roman"/>
        </w:rPr>
        <w:t xml:space="preserve">and the </w:t>
      </w:r>
      <w:r w:rsidRPr="00DE4E02">
        <w:rPr>
          <w:rFonts w:eastAsia="Times New Roman"/>
        </w:rPr>
        <w:t>time horizon they are</w:t>
      </w:r>
      <w:r>
        <w:rPr>
          <w:rFonts w:eastAsia="Times New Roman"/>
        </w:rPr>
        <w:t xml:space="preserve"> primarily </w:t>
      </w:r>
      <w:r w:rsidRPr="00DE4E02">
        <w:rPr>
          <w:rFonts w:eastAsia="Times New Roman"/>
        </w:rPr>
        <w:t>focused on</w:t>
      </w:r>
      <w:r>
        <w:rPr>
          <w:rFonts w:eastAsia="Times New Roman"/>
        </w:rPr>
        <w:t xml:space="preserve"> will likely i</w:t>
      </w:r>
      <w:r w:rsidRPr="00DE4E02">
        <w:rPr>
          <w:rFonts w:eastAsia="Times New Roman"/>
        </w:rPr>
        <w:t>nfluence how the desirability or otherwise of particular content is evaluated</w:t>
      </w:r>
      <w:r>
        <w:rPr>
          <w:rFonts w:eastAsia="Times New Roman"/>
        </w:rPr>
        <w:t xml:space="preserve">. </w:t>
      </w:r>
    </w:p>
    <w:p w14:paraId="18E2B1F0" w14:textId="77777777" w:rsidR="00A40DD8" w:rsidRPr="008638F2" w:rsidRDefault="00A40DD8" w:rsidP="00954BAC">
      <w:pPr>
        <w:numPr>
          <w:ilvl w:val="1"/>
          <w:numId w:val="39"/>
        </w:numPr>
        <w:spacing w:before="120" w:after="120" w:line="288" w:lineRule="auto"/>
        <w:rPr>
          <w:rFonts w:cs="Calibri"/>
          <w:szCs w:val="18"/>
        </w:rPr>
      </w:pPr>
      <w:r>
        <w:rPr>
          <w:rFonts w:eastAsia="Times New Roman"/>
        </w:rPr>
        <w:t xml:space="preserve">Accurately predicting the future and/or foreseeing all eventualities is impossible.  Therefore, it is anticipated that some of the content contained in this reference set will prove to be incorrect.  For that reason, stakeholder feedback is strongly encouraged and a formal mechanism to do so is provided below. </w:t>
      </w:r>
    </w:p>
    <w:p w14:paraId="4BD1102A" w14:textId="77777777" w:rsidR="00A40DD8" w:rsidRPr="001528ED" w:rsidRDefault="00A40DD8" w:rsidP="00954BAC">
      <w:pPr>
        <w:numPr>
          <w:ilvl w:val="1"/>
          <w:numId w:val="39"/>
        </w:numPr>
        <w:spacing w:before="120" w:after="120" w:line="288" w:lineRule="auto"/>
        <w:rPr>
          <w:rFonts w:cs="Calibri"/>
          <w:szCs w:val="18"/>
        </w:rPr>
      </w:pPr>
      <w:r>
        <w:rPr>
          <w:szCs w:val="18"/>
        </w:rPr>
        <w:t>In summary, t</w:t>
      </w:r>
      <w:r w:rsidRPr="00527C82">
        <w:rPr>
          <w:szCs w:val="18"/>
        </w:rPr>
        <w:t xml:space="preserve">he information contained </w:t>
      </w:r>
      <w:r>
        <w:rPr>
          <w:szCs w:val="18"/>
        </w:rPr>
        <w:t>in the reference set</w:t>
      </w:r>
      <w:r w:rsidRPr="00527C82">
        <w:rPr>
          <w:szCs w:val="18"/>
        </w:rPr>
        <w:t xml:space="preserve"> comprises general statements</w:t>
      </w:r>
      <w:r>
        <w:rPr>
          <w:szCs w:val="18"/>
        </w:rPr>
        <w:t xml:space="preserve"> based on research.  No claim to represent the official policy of CSIRO, AEMO or any other third party is made</w:t>
      </w:r>
      <w:r w:rsidRPr="00527C82">
        <w:rPr>
          <w:szCs w:val="18"/>
        </w:rPr>
        <w:t>.</w:t>
      </w:r>
    </w:p>
    <w:p w14:paraId="2E65FC24" w14:textId="77777777" w:rsidR="00A40DD8" w:rsidRPr="00BE7959" w:rsidRDefault="00A40DD8" w:rsidP="00954BAC">
      <w:pPr>
        <w:numPr>
          <w:ilvl w:val="0"/>
          <w:numId w:val="39"/>
        </w:numPr>
        <w:spacing w:before="120" w:after="120" w:line="288" w:lineRule="auto"/>
        <w:ind w:left="714" w:hanging="357"/>
        <w:rPr>
          <w:rFonts w:cs="Calibri"/>
          <w:szCs w:val="18"/>
        </w:rPr>
      </w:pPr>
      <w:r>
        <w:rPr>
          <w:rFonts w:cs="Calibri"/>
          <w:szCs w:val="18"/>
        </w:rPr>
        <w:t>Finally, w</w:t>
      </w:r>
      <w:r w:rsidRPr="00BE7959">
        <w:rPr>
          <w:rFonts w:cs="Calibri"/>
          <w:szCs w:val="18"/>
        </w:rPr>
        <w:t xml:space="preserve">hile each of the five reports are designed to stand alone, they </w:t>
      </w:r>
      <w:r>
        <w:rPr>
          <w:rFonts w:cs="Calibri"/>
          <w:szCs w:val="18"/>
        </w:rPr>
        <w:t>are best employed a</w:t>
      </w:r>
      <w:r w:rsidRPr="00BE7959">
        <w:rPr>
          <w:rFonts w:cs="Calibri"/>
          <w:szCs w:val="18"/>
        </w:rPr>
        <w:t>s an integrated set of reference material</w:t>
      </w:r>
      <w:r>
        <w:rPr>
          <w:rFonts w:cs="Calibri"/>
          <w:szCs w:val="18"/>
        </w:rPr>
        <w:t xml:space="preserve">. </w:t>
      </w:r>
      <w:r w:rsidRPr="00BE7959">
        <w:rPr>
          <w:rFonts w:cs="Calibri"/>
          <w:szCs w:val="18"/>
        </w:rPr>
        <w:t xml:space="preserve">Reports 3, 4 &amp; 5 in particular should be read with reference to each other. </w:t>
      </w:r>
    </w:p>
    <w:p w14:paraId="1986C59A" w14:textId="77777777" w:rsidR="00A40DD8" w:rsidRPr="0036260D" w:rsidRDefault="00A40DD8" w:rsidP="00A40DD8">
      <w:pPr>
        <w:keepNext/>
        <w:keepLines/>
        <w:numPr>
          <w:ilvl w:val="1"/>
          <w:numId w:val="0"/>
        </w:numPr>
        <w:spacing w:after="120" w:line="264" w:lineRule="auto"/>
        <w:ind w:left="578" w:hanging="578"/>
        <w:outlineLvl w:val="1"/>
        <w:rPr>
          <w:rFonts w:ascii="PP Mori SemiBold" w:eastAsiaTheme="majorEastAsia" w:hAnsi="PP Mori SemiBold" w:cstheme="majorBidi"/>
          <w:color w:val="002C38" w:themeColor="accent1" w:themeShade="BF"/>
          <w:sz w:val="26"/>
          <w:szCs w:val="33"/>
          <w:lang w:val="en-US" w:eastAsia="en-US" w:bidi="ar-SA"/>
        </w:rPr>
      </w:pPr>
      <w:bookmarkStart w:id="29" w:name="_Toc205533956"/>
      <w:r>
        <w:rPr>
          <w:rFonts w:ascii="PP Mori SemiBold" w:eastAsiaTheme="majorEastAsia" w:hAnsi="PP Mori SemiBold" w:cstheme="majorBidi"/>
          <w:color w:val="002C38" w:themeColor="accent1" w:themeShade="BF"/>
          <w:sz w:val="26"/>
          <w:szCs w:val="33"/>
          <w:lang w:val="en-US" w:eastAsia="en-US" w:bidi="ar-SA"/>
        </w:rPr>
        <w:t>2.5</w:t>
      </w:r>
      <w:r>
        <w:rPr>
          <w:rFonts w:ascii="PP Mori SemiBold" w:eastAsiaTheme="majorEastAsia" w:hAnsi="PP Mori SemiBold" w:cstheme="majorBidi"/>
          <w:color w:val="002C38" w:themeColor="accent1" w:themeShade="BF"/>
          <w:sz w:val="26"/>
          <w:szCs w:val="33"/>
          <w:lang w:val="en-US" w:eastAsia="en-US" w:bidi="ar-SA"/>
        </w:rPr>
        <w:tab/>
        <w:t>Accessing the Reference Set &amp; Providing Feedback</w:t>
      </w:r>
      <w:bookmarkEnd w:id="29"/>
      <w:r>
        <w:rPr>
          <w:rFonts w:ascii="PP Mori SemiBold" w:eastAsiaTheme="majorEastAsia" w:hAnsi="PP Mori SemiBold" w:cstheme="majorBidi"/>
          <w:color w:val="002C38" w:themeColor="accent1" w:themeShade="BF"/>
          <w:sz w:val="26"/>
          <w:szCs w:val="33"/>
          <w:lang w:val="en-US" w:eastAsia="en-US" w:bidi="ar-SA"/>
        </w:rPr>
        <w:t xml:space="preserve"> </w:t>
      </w:r>
    </w:p>
    <w:p w14:paraId="62575439" w14:textId="77777777" w:rsidR="00A40DD8" w:rsidRPr="00274080" w:rsidRDefault="00A40DD8" w:rsidP="00A40DD8">
      <w:pPr>
        <w:snapToGrid w:val="0"/>
        <w:spacing w:before="180" w:after="120" w:line="264" w:lineRule="auto"/>
        <w:rPr>
          <w:rFonts w:cs="Calibri"/>
          <w:szCs w:val="18"/>
        </w:rPr>
      </w:pPr>
      <w:r w:rsidRPr="00274080">
        <w:rPr>
          <w:rFonts w:cs="Calibri"/>
          <w:szCs w:val="18"/>
        </w:rPr>
        <w:t xml:space="preserve">The Energy Catalyst team deeply values excellence and humility.  We believe that true leaders in times of transformational change do not overestimate their own knowledge.  On the contrary, they </w:t>
      </w:r>
      <w:r>
        <w:rPr>
          <w:rFonts w:cs="Calibri"/>
          <w:szCs w:val="18"/>
        </w:rPr>
        <w:t xml:space="preserve">foster </w:t>
      </w:r>
      <w:r w:rsidRPr="00274080">
        <w:rPr>
          <w:rFonts w:cs="Calibri"/>
          <w:szCs w:val="18"/>
        </w:rPr>
        <w:t xml:space="preserve">and contribute to an ecosystem of diverse perspectives </w:t>
      </w:r>
      <w:r>
        <w:rPr>
          <w:rFonts w:cs="Calibri"/>
          <w:szCs w:val="18"/>
        </w:rPr>
        <w:t>which</w:t>
      </w:r>
      <w:r w:rsidRPr="00274080">
        <w:rPr>
          <w:rFonts w:cs="Calibri"/>
          <w:szCs w:val="18"/>
        </w:rPr>
        <w:t xml:space="preserve"> enables shared understanding and mutual progress</w:t>
      </w:r>
      <w:r>
        <w:rPr>
          <w:rFonts w:cs="Calibri"/>
          <w:szCs w:val="18"/>
        </w:rPr>
        <w:t xml:space="preserve"> – even where differences remain. </w:t>
      </w:r>
    </w:p>
    <w:p w14:paraId="4B470026" w14:textId="77777777" w:rsidR="00A40DD8" w:rsidRPr="00274080" w:rsidRDefault="00A40DD8" w:rsidP="00A40DD8">
      <w:pPr>
        <w:snapToGrid w:val="0"/>
        <w:spacing w:before="180" w:after="120" w:line="264" w:lineRule="auto"/>
        <w:rPr>
          <w:rFonts w:eastAsia="Times New Roman"/>
        </w:rPr>
      </w:pPr>
      <w:r w:rsidRPr="00274080">
        <w:rPr>
          <w:rFonts w:cs="Calibri"/>
          <w:szCs w:val="18"/>
        </w:rPr>
        <w:t xml:space="preserve">This reference set is developed from </w:t>
      </w:r>
      <w:r>
        <w:rPr>
          <w:rFonts w:cs="Calibri"/>
          <w:szCs w:val="18"/>
        </w:rPr>
        <w:t>a</w:t>
      </w:r>
      <w:r w:rsidRPr="00274080">
        <w:rPr>
          <w:rFonts w:cs="Calibri"/>
          <w:szCs w:val="18"/>
        </w:rPr>
        <w:t xml:space="preserve"> perspective</w:t>
      </w:r>
      <w:r>
        <w:rPr>
          <w:rFonts w:cs="Calibri"/>
          <w:szCs w:val="18"/>
        </w:rPr>
        <w:t xml:space="preserve"> that values exploration, discovery and convergence based on shared learning</w:t>
      </w:r>
      <w:r w:rsidRPr="00274080">
        <w:rPr>
          <w:rFonts w:cs="Calibri"/>
          <w:szCs w:val="18"/>
        </w:rPr>
        <w:t xml:space="preserve">.  </w:t>
      </w:r>
      <w:r>
        <w:rPr>
          <w:rFonts w:cs="Calibri"/>
          <w:szCs w:val="18"/>
        </w:rPr>
        <w:t>O</w:t>
      </w:r>
      <w:r w:rsidRPr="00274080">
        <w:rPr>
          <w:rFonts w:cs="Calibri"/>
          <w:szCs w:val="18"/>
        </w:rPr>
        <w:t>thers will have important insights that the development team has not considered,</w:t>
      </w:r>
      <w:r>
        <w:rPr>
          <w:rFonts w:cs="Calibri"/>
          <w:szCs w:val="18"/>
        </w:rPr>
        <w:t xml:space="preserve"> and we would like to hear them</w:t>
      </w:r>
      <w:r w:rsidRPr="00274080">
        <w:rPr>
          <w:rFonts w:cs="Calibri"/>
          <w:szCs w:val="18"/>
        </w:rPr>
        <w:t xml:space="preserve">.  As noted </w:t>
      </w:r>
      <w:r>
        <w:rPr>
          <w:rFonts w:cs="Calibri"/>
          <w:szCs w:val="18"/>
        </w:rPr>
        <w:t xml:space="preserve">earlier, as realists </w:t>
      </w:r>
      <w:r w:rsidRPr="00274080">
        <w:rPr>
          <w:rFonts w:cs="Calibri"/>
          <w:szCs w:val="18"/>
        </w:rPr>
        <w:t>we also anticipate that some o</w:t>
      </w:r>
      <w:r w:rsidRPr="00274080">
        <w:rPr>
          <w:rFonts w:eastAsia="Times New Roman"/>
        </w:rPr>
        <w:t xml:space="preserve">f the content contained will ultimately prove to be incorrect.  </w:t>
      </w:r>
    </w:p>
    <w:p w14:paraId="7DDD8BCA" w14:textId="77777777" w:rsidR="00A40DD8" w:rsidRPr="00274080" w:rsidRDefault="00A40DD8" w:rsidP="00A40DD8">
      <w:pPr>
        <w:snapToGrid w:val="0"/>
        <w:spacing w:before="180" w:after="120" w:line="264" w:lineRule="auto"/>
      </w:pPr>
      <w:r w:rsidRPr="00274080">
        <w:rPr>
          <w:rFonts w:eastAsia="Times New Roman"/>
        </w:rPr>
        <w:t xml:space="preserve">The full reference set of reports is available </w:t>
      </w:r>
      <w:r>
        <w:rPr>
          <w:rFonts w:eastAsia="Times New Roman"/>
        </w:rPr>
        <w:t xml:space="preserve">free </w:t>
      </w:r>
      <w:r w:rsidRPr="00274080">
        <w:rPr>
          <w:rFonts w:eastAsia="Times New Roman"/>
        </w:rPr>
        <w:t xml:space="preserve">for download at </w:t>
      </w:r>
      <w:hyperlink r:id="rId19" w:history="1">
        <w:r w:rsidRPr="00D27673">
          <w:rPr>
            <w:color w:val="F85C5D" w:themeColor="hyperlink"/>
            <w:u w:val="single"/>
            <w:lang w:eastAsia="en-US" w:bidi="ar-SA"/>
          </w:rPr>
          <w:t>energycatalyst.au/futuregrid</w:t>
        </w:r>
      </w:hyperlink>
      <w:r w:rsidRPr="00274080">
        <w:t xml:space="preserve"> or by scanning the following QR code.  </w:t>
      </w:r>
    </w:p>
    <w:p w14:paraId="3748CA5B" w14:textId="77777777" w:rsidR="00A40DD8" w:rsidRDefault="00A40DD8" w:rsidP="00A40DD8">
      <w:pPr>
        <w:snapToGrid w:val="0"/>
        <w:spacing w:before="180" w:after="120" w:line="264" w:lineRule="auto"/>
      </w:pPr>
      <w:r w:rsidRPr="00274080">
        <w:rPr>
          <w:rFonts w:eastAsia="Times New Roman"/>
        </w:rPr>
        <w:t xml:space="preserve">Constructive stakeholder feedback is also strongly encouraged, and a formal mechanism </w:t>
      </w:r>
      <w:r w:rsidRPr="00274080">
        <w:t>is also provided for each report at the same location.</w:t>
      </w:r>
      <w:r>
        <w:t xml:space="preserve">  Thank you in advance for your collaboration. </w:t>
      </w:r>
    </w:p>
    <w:p w14:paraId="7E87D634" w14:textId="77777777" w:rsidR="00A40DD8" w:rsidRDefault="00A40DD8" w:rsidP="00A40DD8">
      <w:pPr>
        <w:snapToGrid w:val="0"/>
        <w:spacing w:before="180" w:after="120" w:line="264" w:lineRule="auto"/>
      </w:pPr>
      <w:r w:rsidRPr="00D27673">
        <w:rPr>
          <w:i/>
          <w:iCs/>
          <w:noProof/>
          <w:color w:val="013C4C" w:themeColor="accent1"/>
          <w:szCs w:val="18"/>
        </w:rPr>
        <w:drawing>
          <wp:inline distT="0" distB="0" distL="0" distR="0" wp14:anchorId="3C317E3B" wp14:editId="51C4624B">
            <wp:extent cx="1250950" cy="1250950"/>
            <wp:effectExtent l="0" t="0" r="6350" b="6350"/>
            <wp:docPr id="739541584" name="Picture 15"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1584" name="Picture 15" descr="A qr code with a white backgroun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51692" cy="1251692"/>
                    </a:xfrm>
                    <a:prstGeom prst="rect">
                      <a:avLst/>
                    </a:prstGeom>
                    <a:noFill/>
                    <a:ln>
                      <a:noFill/>
                    </a:ln>
                  </pic:spPr>
                </pic:pic>
              </a:graphicData>
            </a:graphic>
          </wp:inline>
        </w:drawing>
      </w:r>
    </w:p>
    <w:p w14:paraId="69AB27A4" w14:textId="77777777" w:rsidR="004F6ECD" w:rsidRDefault="004F6ECD">
      <w:pPr>
        <w:spacing w:before="0" w:after="160" w:line="259" w:lineRule="auto"/>
        <w:rPr>
          <w:lang w:eastAsia="en-US" w:bidi="ar-SA"/>
        </w:rPr>
      </w:pPr>
      <w:r>
        <w:rPr>
          <w:lang w:eastAsia="en-US" w:bidi="ar-SA"/>
        </w:rPr>
        <w:br w:type="page"/>
      </w:r>
    </w:p>
    <w:tbl>
      <w:tblPr>
        <w:tblStyle w:val="GridTable4"/>
        <w:tblW w:w="8217" w:type="dxa"/>
        <w:tblLook w:val="04A0" w:firstRow="1" w:lastRow="0" w:firstColumn="1" w:lastColumn="0" w:noHBand="0" w:noVBand="1"/>
      </w:tblPr>
      <w:tblGrid>
        <w:gridCol w:w="8217"/>
      </w:tblGrid>
      <w:tr w:rsidR="004F6ECD" w:rsidRPr="004336B1" w14:paraId="09572B92" w14:textId="77777777">
        <w:trPr>
          <w:cnfStyle w:val="100000000000" w:firstRow="1" w:lastRow="0" w:firstColumn="0" w:lastColumn="0" w:oddVBand="0" w:evenVBand="0" w:oddHBand="0" w:evenHBand="0" w:firstRowFirstColumn="0" w:firstRowLastColumn="0" w:lastRowFirstColumn="0" w:lastRowLastColumn="0"/>
          <w:trHeight w:val="7935"/>
        </w:trPr>
        <w:tc>
          <w:tcPr>
            <w:cnfStyle w:val="001000000000" w:firstRow="0" w:lastRow="0" w:firstColumn="1" w:lastColumn="0" w:oddVBand="0" w:evenVBand="0" w:oddHBand="0" w:evenHBand="0" w:firstRowFirstColumn="0" w:firstRowLastColumn="0" w:lastRowFirstColumn="0" w:lastRowLastColumn="0"/>
            <w:tcW w:w="8217" w:type="dxa"/>
          </w:tcPr>
          <w:p w14:paraId="661CB257" w14:textId="361E2810" w:rsidR="004F6ECD" w:rsidRPr="004336B1" w:rsidRDefault="004F6ECD" w:rsidP="00E52F89">
            <w:pPr>
              <w:spacing w:before="120" w:after="0" w:line="264" w:lineRule="auto"/>
              <w:ind w:left="175"/>
              <w:rPr>
                <w:rFonts w:ascii="PP Mori SemiBold" w:hAnsi="PP Mori SemiBold"/>
                <w:sz w:val="28"/>
              </w:rPr>
            </w:pPr>
            <w:r w:rsidRPr="00CC4DB9">
              <w:rPr>
                <w:rFonts w:ascii="PP Mori SemiBold" w:hAnsi="PP Mori SemiBold"/>
                <w:b w:val="0"/>
                <w:bCs w:val="0"/>
                <w:sz w:val="28"/>
              </w:rPr>
              <w:t xml:space="preserve">Key Concepts </w:t>
            </w:r>
            <w:r w:rsidR="00CC4DB9" w:rsidRPr="00CC4DB9">
              <w:rPr>
                <w:rFonts w:ascii="PP Mori SemiBold" w:hAnsi="PP Mori SemiBold"/>
                <w:b w:val="0"/>
                <w:bCs w:val="0"/>
                <w:sz w:val="28"/>
              </w:rPr>
              <w:t>A</w:t>
            </w:r>
            <w:r w:rsidRPr="00CC4DB9">
              <w:rPr>
                <w:rFonts w:ascii="PP Mori SemiBold" w:hAnsi="PP Mori SemiBold"/>
                <w:b w:val="0"/>
                <w:bCs w:val="0"/>
                <w:sz w:val="28"/>
              </w:rPr>
              <w:t xml:space="preserve"> </w:t>
            </w:r>
            <w:r w:rsidRPr="00CC4DB9">
              <w:rPr>
                <w:rFonts w:ascii="PP Mori SemiBold" w:hAnsi="PP Mori SemiBold"/>
                <w:noProof/>
                <w:sz w:val="20"/>
                <w:szCs w:val="20"/>
              </w:rPr>
              <w:drawing>
                <wp:inline distT="0" distB="0" distL="0" distR="0" wp14:anchorId="702F3CA7" wp14:editId="5F36D0D8">
                  <wp:extent cx="272006" cy="272006"/>
                  <wp:effectExtent l="0" t="0" r="6350" b="6350"/>
                  <wp:docPr id="1172599719"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272006" cy="272006"/>
                          </a:xfrm>
                          <a:prstGeom prst="rect">
                            <a:avLst/>
                          </a:prstGeom>
                        </pic:spPr>
                      </pic:pic>
                    </a:graphicData>
                  </a:graphic>
                </wp:inline>
              </w:drawing>
            </w:r>
            <w:r w:rsidRPr="004336B1">
              <w:rPr>
                <w:rFonts w:ascii="PP Mori SemiBold" w:hAnsi="PP Mori SemiBold"/>
                <w:b w:val="0"/>
                <w:bCs w:val="0"/>
                <w:sz w:val="28"/>
              </w:rPr>
              <w:t xml:space="preserve"> </w:t>
            </w:r>
          </w:p>
          <w:p w14:paraId="75F2A5CB" w14:textId="77777777" w:rsidR="004F6ECD" w:rsidRPr="004336B1" w:rsidRDefault="004F6ECD" w:rsidP="00E52F89">
            <w:pPr>
              <w:spacing w:before="180" w:after="80" w:line="264" w:lineRule="auto"/>
              <w:ind w:left="176" w:right="170"/>
              <w:rPr>
                <w:rFonts w:ascii="PP Mori SemiBold" w:hAnsi="PP Mori SemiBold"/>
                <w:i/>
                <w:iCs/>
                <w:sz w:val="24"/>
                <w:szCs w:val="40"/>
              </w:rPr>
            </w:pPr>
            <w:r>
              <w:rPr>
                <w:rFonts w:ascii="PP Mori SemiBold" w:hAnsi="PP Mori SemiBold"/>
                <w:i/>
                <w:iCs/>
                <w:sz w:val="24"/>
                <w:szCs w:val="40"/>
              </w:rPr>
              <w:t>Structural Analysis</w:t>
            </w:r>
          </w:p>
          <w:p w14:paraId="78CF560D" w14:textId="77777777" w:rsidR="004F6ECD" w:rsidRPr="00E63D64" w:rsidRDefault="004F6ECD" w:rsidP="00E52F89">
            <w:pPr>
              <w:spacing w:before="0" w:after="120" w:line="264" w:lineRule="auto"/>
              <w:ind w:left="176" w:right="170"/>
              <w:rPr>
                <w:b w:val="0"/>
                <w:lang w:eastAsia="en-US" w:bidi="ar-SA"/>
              </w:rPr>
            </w:pPr>
            <w:r w:rsidRPr="00E63D64">
              <w:rPr>
                <w:b w:val="0"/>
                <w:lang w:eastAsia="en-US" w:bidi="ar-SA"/>
              </w:rPr>
              <w:t>In the context of electricity system transformation, structural analysis refers to the systematic evaluation of the physical, operational, and organi</w:t>
            </w:r>
            <w:r>
              <w:rPr>
                <w:b w:val="0"/>
                <w:lang w:eastAsia="en-US" w:bidi="ar-SA"/>
              </w:rPr>
              <w:t>s</w:t>
            </w:r>
            <w:r w:rsidRPr="00E63D64">
              <w:rPr>
                <w:b w:val="0"/>
                <w:lang w:eastAsia="en-US" w:bidi="ar-SA"/>
              </w:rPr>
              <w:t>ational structures of the power system to determine the changes necessary to transition from a conventional, fossil-fuel-based, unidirectional grid to a decarbonised, distributed, and bidirectional grid.</w:t>
            </w:r>
          </w:p>
          <w:p w14:paraId="452533EC" w14:textId="77777777" w:rsidR="004F6ECD" w:rsidRPr="00E63D64" w:rsidRDefault="004F6ECD" w:rsidP="00E52F89">
            <w:pPr>
              <w:spacing w:before="180" w:after="80" w:line="264" w:lineRule="auto"/>
              <w:ind w:left="176" w:right="170"/>
              <w:rPr>
                <w:b w:val="0"/>
                <w:lang w:eastAsia="en-US" w:bidi="ar-SA"/>
              </w:rPr>
            </w:pPr>
            <w:r w:rsidRPr="00E63D64">
              <w:rPr>
                <w:b w:val="0"/>
                <w:lang w:eastAsia="en-US" w:bidi="ar-SA"/>
              </w:rPr>
              <w:t xml:space="preserve">This process involves assessing how new technologies (such as distributed energy resources, storage, and electric vehicles), market mechanisms, and control strategies will alter the system’s topology, power flows, stability characteristics, and resilience requirements. The goal is to ensure that the restructured grid can accommodate variable renewable energy sources, enable two-way energy and information flows, and maintain security, reliability, and affordability under future scenarios.  Key components of structural analysis include: </w:t>
            </w:r>
          </w:p>
          <w:p w14:paraId="3F45C0AC" w14:textId="77777777" w:rsidR="004F6ECD" w:rsidRPr="00E63D64" w:rsidRDefault="004F6ECD" w:rsidP="00954BAC">
            <w:pPr>
              <w:pStyle w:val="ListParagraph"/>
              <w:numPr>
                <w:ilvl w:val="0"/>
                <w:numId w:val="85"/>
              </w:numPr>
              <w:spacing w:before="80" w:after="0" w:line="252" w:lineRule="auto"/>
              <w:ind w:left="890" w:right="176" w:hanging="357"/>
              <w:rPr>
                <w:b w:val="0"/>
                <w:lang w:eastAsia="en-US" w:bidi="ar-SA"/>
              </w:rPr>
            </w:pPr>
            <w:r w:rsidRPr="00E63D64">
              <w:rPr>
                <w:b w:val="0"/>
                <w:lang w:eastAsia="en-US" w:bidi="ar-SA"/>
              </w:rPr>
              <w:t>Physical Structure: Reconfiguration of transmission and distribution networks for bidirectional flows.</w:t>
            </w:r>
          </w:p>
          <w:p w14:paraId="71FD5B73" w14:textId="77777777" w:rsidR="004F6ECD" w:rsidRPr="00E63D64" w:rsidRDefault="004F6ECD" w:rsidP="00954BAC">
            <w:pPr>
              <w:pStyle w:val="ListParagraph"/>
              <w:numPr>
                <w:ilvl w:val="0"/>
                <w:numId w:val="85"/>
              </w:numPr>
              <w:spacing w:before="80" w:after="0" w:line="252" w:lineRule="auto"/>
              <w:ind w:left="890" w:right="176" w:hanging="357"/>
              <w:rPr>
                <w:b w:val="0"/>
                <w:lang w:eastAsia="en-US" w:bidi="ar-SA"/>
              </w:rPr>
            </w:pPr>
            <w:r w:rsidRPr="00E63D64">
              <w:rPr>
                <w:b w:val="0"/>
                <w:lang w:eastAsia="en-US" w:bidi="ar-SA"/>
              </w:rPr>
              <w:t>Operational Structure: Adaptation of protection systems, frequency control, and flexibility measures.</w:t>
            </w:r>
          </w:p>
          <w:p w14:paraId="1FAA4A3C" w14:textId="77777777" w:rsidR="004F6ECD" w:rsidRPr="00E63D64" w:rsidRDefault="004F6ECD" w:rsidP="00954BAC">
            <w:pPr>
              <w:pStyle w:val="ListParagraph"/>
              <w:numPr>
                <w:ilvl w:val="0"/>
                <w:numId w:val="85"/>
              </w:numPr>
              <w:spacing w:before="80" w:after="0" w:line="252" w:lineRule="auto"/>
              <w:ind w:left="890" w:right="176" w:hanging="357"/>
              <w:rPr>
                <w:b w:val="0"/>
                <w:lang w:eastAsia="en-US" w:bidi="ar-SA"/>
              </w:rPr>
            </w:pPr>
            <w:r w:rsidRPr="00E63D64">
              <w:rPr>
                <w:b w:val="0"/>
                <w:lang w:eastAsia="en-US" w:bidi="ar-SA"/>
              </w:rPr>
              <w:t>Institutional/Market Structure: Integration of distributed generation, demand-side participation, and new pricing models.</w:t>
            </w:r>
          </w:p>
          <w:p w14:paraId="62EE9239" w14:textId="77777777" w:rsidR="004F6ECD" w:rsidRPr="00E63D64" w:rsidRDefault="004F6ECD" w:rsidP="00954BAC">
            <w:pPr>
              <w:pStyle w:val="ListParagraph"/>
              <w:numPr>
                <w:ilvl w:val="0"/>
                <w:numId w:val="85"/>
              </w:numPr>
              <w:spacing w:before="80" w:after="0" w:line="252" w:lineRule="auto"/>
              <w:ind w:left="890" w:right="176" w:hanging="357"/>
              <w:rPr>
                <w:b w:val="0"/>
                <w:lang w:eastAsia="en-US" w:bidi="ar-SA"/>
              </w:rPr>
            </w:pPr>
            <w:r w:rsidRPr="00E63D64">
              <w:rPr>
                <w:b w:val="0"/>
                <w:lang w:eastAsia="en-US" w:bidi="ar-SA"/>
              </w:rPr>
              <w:t>Resilience and Stability: Ensuring robust system performance under uncertainty and high penetration of renewables.</w:t>
            </w:r>
          </w:p>
          <w:p w14:paraId="756C77E9" w14:textId="77777777" w:rsidR="004F6ECD" w:rsidRPr="004336B1" w:rsidRDefault="004F6ECD" w:rsidP="00E52F89">
            <w:pPr>
              <w:spacing w:before="180" w:after="80" w:line="264" w:lineRule="auto"/>
              <w:ind w:left="176" w:right="170"/>
              <w:rPr>
                <w:rFonts w:ascii="PP Mori SemiBold" w:hAnsi="PP Mori SemiBold"/>
                <w:i/>
                <w:iCs/>
                <w:sz w:val="24"/>
                <w:szCs w:val="40"/>
              </w:rPr>
            </w:pPr>
            <w:r>
              <w:rPr>
                <w:rFonts w:ascii="PP Mori SemiBold" w:hAnsi="PP Mori SemiBold"/>
                <w:i/>
                <w:iCs/>
                <w:sz w:val="24"/>
                <w:szCs w:val="40"/>
              </w:rPr>
              <w:t>Structural Intervention</w:t>
            </w:r>
          </w:p>
          <w:p w14:paraId="5D41125D" w14:textId="77777777" w:rsidR="004F6ECD" w:rsidRPr="00D70C1A" w:rsidRDefault="004F6ECD" w:rsidP="00E52F89">
            <w:pPr>
              <w:spacing w:before="0" w:after="120" w:line="264" w:lineRule="auto"/>
              <w:ind w:left="176" w:right="170"/>
              <w:rPr>
                <w:b w:val="0"/>
                <w:lang w:eastAsia="en-US" w:bidi="ar-SA"/>
              </w:rPr>
            </w:pPr>
            <w:r w:rsidRPr="00D70C1A">
              <w:rPr>
                <w:b w:val="0"/>
                <w:lang w:eastAsia="en-US" w:bidi="ar-SA"/>
              </w:rPr>
              <w:t>In the context of power system transformation, a structural intervention refers to the deliberate modification or redesign of the physical, operational, and institutional components of the system to enable, for example, the transition from a centralised, fossil-fuel-based, unidirectional grid to a decarbonised, distributed, and bidirectional grid.</w:t>
            </w:r>
          </w:p>
          <w:p w14:paraId="246A6935" w14:textId="77777777" w:rsidR="004F6ECD" w:rsidRPr="00D70C1A" w:rsidRDefault="004F6ECD" w:rsidP="00E52F89">
            <w:pPr>
              <w:spacing w:before="0" w:after="120" w:line="264" w:lineRule="auto"/>
              <w:ind w:left="176" w:right="170"/>
              <w:rPr>
                <w:b w:val="0"/>
                <w:lang w:eastAsia="en-US" w:bidi="ar-SA"/>
              </w:rPr>
            </w:pPr>
            <w:r w:rsidRPr="00D70C1A">
              <w:rPr>
                <w:b w:val="0"/>
                <w:lang w:eastAsia="en-US" w:bidi="ar-SA"/>
              </w:rPr>
              <w:t>Structural interventions go beyond incremental operational adjustments; they involve fundamental changes to the system’s architecture and governance to ensure it can support</w:t>
            </w:r>
            <w:r>
              <w:rPr>
                <w:b w:val="0"/>
                <w:lang w:eastAsia="en-US" w:bidi="ar-SA"/>
              </w:rPr>
              <w:t xml:space="preserve"> developments such as:</w:t>
            </w:r>
          </w:p>
          <w:p w14:paraId="2152CD8E" w14:textId="77777777" w:rsidR="004F6ECD" w:rsidRPr="00D70C1A" w:rsidRDefault="004F6ECD" w:rsidP="00954BAC">
            <w:pPr>
              <w:pStyle w:val="ListParagraph"/>
              <w:numPr>
                <w:ilvl w:val="0"/>
                <w:numId w:val="85"/>
              </w:numPr>
              <w:spacing w:before="80" w:after="0" w:line="252" w:lineRule="auto"/>
              <w:ind w:left="890" w:right="176" w:hanging="357"/>
              <w:rPr>
                <w:b w:val="0"/>
                <w:lang w:eastAsia="en-US" w:bidi="ar-SA"/>
              </w:rPr>
            </w:pPr>
            <w:r w:rsidRPr="00D70C1A">
              <w:rPr>
                <w:b w:val="0"/>
                <w:lang w:eastAsia="en-US" w:bidi="ar-SA"/>
              </w:rPr>
              <w:t>High penetration of renewable energy sources.</w:t>
            </w:r>
          </w:p>
          <w:p w14:paraId="00A47604" w14:textId="77777777" w:rsidR="004F6ECD" w:rsidRPr="00D70C1A" w:rsidRDefault="004F6ECD" w:rsidP="00954BAC">
            <w:pPr>
              <w:pStyle w:val="ListParagraph"/>
              <w:numPr>
                <w:ilvl w:val="0"/>
                <w:numId w:val="85"/>
              </w:numPr>
              <w:spacing w:before="80" w:after="0" w:line="252" w:lineRule="auto"/>
              <w:ind w:left="890" w:right="176" w:hanging="357"/>
              <w:rPr>
                <w:b w:val="0"/>
                <w:lang w:eastAsia="en-US" w:bidi="ar-SA"/>
              </w:rPr>
            </w:pPr>
            <w:r w:rsidRPr="00D70C1A">
              <w:rPr>
                <w:b w:val="0"/>
                <w:lang w:eastAsia="en-US" w:bidi="ar-SA"/>
              </w:rPr>
              <w:t>Two-way energy and information flows.</w:t>
            </w:r>
          </w:p>
          <w:p w14:paraId="4050181F" w14:textId="77777777" w:rsidR="004F6ECD" w:rsidRPr="00D70C1A" w:rsidRDefault="004F6ECD" w:rsidP="00954BAC">
            <w:pPr>
              <w:pStyle w:val="ListParagraph"/>
              <w:numPr>
                <w:ilvl w:val="0"/>
                <w:numId w:val="85"/>
              </w:numPr>
              <w:spacing w:before="80" w:after="0" w:line="252" w:lineRule="auto"/>
              <w:ind w:left="890" w:right="176" w:hanging="357"/>
              <w:rPr>
                <w:b w:val="0"/>
                <w:lang w:eastAsia="en-US" w:bidi="ar-SA"/>
              </w:rPr>
            </w:pPr>
            <w:r w:rsidRPr="00D70C1A">
              <w:rPr>
                <w:b w:val="0"/>
                <w:lang w:eastAsia="en-US" w:bidi="ar-SA"/>
              </w:rPr>
              <w:t>Distributed generation, storage, and flexible demand.</w:t>
            </w:r>
          </w:p>
          <w:p w14:paraId="5BBA3E98" w14:textId="77777777" w:rsidR="004F6ECD" w:rsidRPr="00D70C1A" w:rsidRDefault="004F6ECD" w:rsidP="00954BAC">
            <w:pPr>
              <w:pStyle w:val="ListParagraph"/>
              <w:numPr>
                <w:ilvl w:val="0"/>
                <w:numId w:val="85"/>
              </w:numPr>
              <w:spacing w:before="80" w:after="0" w:line="252" w:lineRule="auto"/>
              <w:ind w:left="890" w:right="176" w:hanging="357"/>
              <w:rPr>
                <w:b w:val="0"/>
                <w:lang w:eastAsia="en-US" w:bidi="ar-SA"/>
              </w:rPr>
            </w:pPr>
            <w:r w:rsidRPr="00D70C1A">
              <w:rPr>
                <w:b w:val="0"/>
                <w:lang w:eastAsia="en-US" w:bidi="ar-SA"/>
              </w:rPr>
              <w:t>New market structures and regulatory frameworks.</w:t>
            </w:r>
          </w:p>
          <w:p w14:paraId="130030A7" w14:textId="77777777" w:rsidR="004F6ECD" w:rsidRPr="004336B1" w:rsidRDefault="004F6ECD" w:rsidP="00E52F89">
            <w:pPr>
              <w:spacing w:before="120" w:after="120" w:line="264" w:lineRule="auto"/>
              <w:ind w:left="176" w:right="170"/>
              <w:rPr>
                <w:b w:val="0"/>
                <w:lang w:eastAsia="en-US" w:bidi="ar-SA"/>
              </w:rPr>
            </w:pPr>
            <w:r w:rsidRPr="00E63D64">
              <w:rPr>
                <w:b w:val="0"/>
                <w:lang w:eastAsia="en-US" w:bidi="ar-SA"/>
              </w:rPr>
              <w:t>These interventions may include network reinforcement and reconfiguration, deployment of advanced digital infrastructure, implementation of new control and protection schemes, and policy and market redesign to maintain reliability, resilience, and economic efficiency in the evolving energy ecosystem.</w:t>
            </w:r>
          </w:p>
        </w:tc>
      </w:tr>
    </w:tbl>
    <w:p w14:paraId="0CA25C3C" w14:textId="1B2D299D" w:rsidR="00637449" w:rsidRPr="002C72C2" w:rsidRDefault="00637449" w:rsidP="00EB2823">
      <w:pPr>
        <w:pStyle w:val="Heading1"/>
        <w:spacing w:before="0" w:line="264" w:lineRule="auto"/>
        <w:ind w:left="567" w:hanging="567"/>
        <w:rPr>
          <w:lang w:eastAsia="en-US" w:bidi="ar-SA"/>
        </w:rPr>
      </w:pPr>
      <w:bookmarkStart w:id="30" w:name="_Toc205533957"/>
      <w:bookmarkStart w:id="31" w:name="S_3_RS"/>
      <w:r w:rsidRPr="002C72C2">
        <w:rPr>
          <w:lang w:eastAsia="en-US" w:bidi="ar-SA"/>
        </w:rPr>
        <w:t>Report Structure</w:t>
      </w:r>
      <w:bookmarkEnd w:id="30"/>
      <w:r w:rsidRPr="002C72C2">
        <w:rPr>
          <w:lang w:eastAsia="en-US" w:bidi="ar-SA"/>
        </w:rPr>
        <w:t xml:space="preserve"> </w:t>
      </w:r>
    </w:p>
    <w:bookmarkEnd w:id="31"/>
    <w:p w14:paraId="32FAEABF" w14:textId="3D0F621B" w:rsidR="001E50CD" w:rsidRDefault="001E50CD" w:rsidP="00EB2823">
      <w:pPr>
        <w:spacing w:line="264" w:lineRule="auto"/>
        <w:rPr>
          <w:lang w:eastAsia="en-US" w:bidi="ar-SA"/>
        </w:rPr>
      </w:pPr>
      <w:r w:rsidRPr="007144B3">
        <w:rPr>
          <w:lang w:eastAsia="en-US" w:bidi="ar-SA"/>
        </w:rPr>
        <w:t xml:space="preserve">In this report, </w:t>
      </w:r>
      <w:r w:rsidR="00FE2422" w:rsidRPr="007144B3">
        <w:rPr>
          <w:lang w:eastAsia="en-US" w:bidi="ar-SA"/>
        </w:rPr>
        <w:t xml:space="preserve">fifteen </w:t>
      </w:r>
      <w:r w:rsidRPr="007144B3">
        <w:rPr>
          <w:lang w:eastAsia="en-US" w:bidi="ar-SA"/>
        </w:rPr>
        <w:t xml:space="preserve">Systemic Issues </w:t>
      </w:r>
      <w:r w:rsidR="00B4752D" w:rsidRPr="007144B3">
        <w:rPr>
          <w:lang w:eastAsia="en-US" w:bidi="ar-SA"/>
        </w:rPr>
        <w:t xml:space="preserve">are </w:t>
      </w:r>
      <w:r w:rsidR="00604E29">
        <w:rPr>
          <w:lang w:eastAsia="en-US" w:bidi="ar-SA"/>
        </w:rPr>
        <w:t>identified and g</w:t>
      </w:r>
      <w:r w:rsidR="00B4752D" w:rsidRPr="007144B3">
        <w:rPr>
          <w:lang w:eastAsia="en-US" w:bidi="ar-SA"/>
        </w:rPr>
        <w:t xml:space="preserve">rouped under the </w:t>
      </w:r>
      <w:r w:rsidRPr="007144B3">
        <w:rPr>
          <w:lang w:eastAsia="en-US" w:bidi="ar-SA"/>
        </w:rPr>
        <w:t>following four categories</w:t>
      </w:r>
      <w:r w:rsidR="00604E29">
        <w:rPr>
          <w:lang w:eastAsia="en-US" w:bidi="ar-SA"/>
        </w:rPr>
        <w:t xml:space="preserve"> for further </w:t>
      </w:r>
      <w:r w:rsidR="008350DA">
        <w:rPr>
          <w:lang w:eastAsia="en-US" w:bidi="ar-SA"/>
        </w:rPr>
        <w:t>consideration</w:t>
      </w:r>
      <w:r w:rsidR="00374950">
        <w:rPr>
          <w:lang w:eastAsia="en-US" w:bidi="ar-SA"/>
        </w:rPr>
        <w:t xml:space="preserve">. </w:t>
      </w:r>
    </w:p>
    <w:tbl>
      <w:tblPr>
        <w:tblStyle w:val="TableGrid"/>
        <w:tblW w:w="8217" w:type="dxa"/>
        <w:tblLook w:val="04A0" w:firstRow="1" w:lastRow="0" w:firstColumn="1" w:lastColumn="0" w:noHBand="0" w:noVBand="1"/>
      </w:tblPr>
      <w:tblGrid>
        <w:gridCol w:w="2689"/>
        <w:gridCol w:w="5528"/>
      </w:tblGrid>
      <w:tr w:rsidR="00DA19A6" w14:paraId="3F7ED488" w14:textId="77777777" w:rsidTr="008F2E81">
        <w:tc>
          <w:tcPr>
            <w:tcW w:w="8217" w:type="dxa"/>
            <w:gridSpan w:val="2"/>
            <w:tcBorders>
              <w:top w:val="single" w:sz="4" w:space="0" w:color="auto"/>
              <w:left w:val="single" w:sz="4" w:space="0" w:color="auto"/>
              <w:bottom w:val="single" w:sz="4" w:space="0" w:color="FAFAFA" w:themeColor="background1"/>
              <w:right w:val="single" w:sz="4" w:space="0" w:color="auto"/>
            </w:tcBorders>
            <w:shd w:val="clear" w:color="auto" w:fill="013C4C" w:themeFill="text1"/>
          </w:tcPr>
          <w:p w14:paraId="3F9B2FA0" w14:textId="77777777" w:rsidR="00DA19A6" w:rsidRPr="00764F0F" w:rsidRDefault="00DA19A6" w:rsidP="00EB2823">
            <w:pPr>
              <w:spacing w:before="120" w:after="120" w:line="264" w:lineRule="auto"/>
              <w:jc w:val="center"/>
              <w:rPr>
                <w:rFonts w:ascii="PP Mori SemiBold" w:hAnsi="PP Mori SemiBold"/>
                <w:color w:val="E7E6E6" w:themeColor="background2"/>
                <w:sz w:val="20"/>
                <w:szCs w:val="20"/>
              </w:rPr>
            </w:pPr>
            <w:r>
              <w:rPr>
                <w:rFonts w:ascii="PP Mori SemiBold" w:hAnsi="PP Mori SemiBold"/>
                <w:color w:val="E7E6E6" w:themeColor="background2"/>
                <w:sz w:val="22"/>
                <w:szCs w:val="22"/>
              </w:rPr>
              <w:t>Systemic Issue</w:t>
            </w:r>
            <w:r w:rsidRPr="0026264B">
              <w:rPr>
                <w:rFonts w:ascii="PP Mori SemiBold" w:hAnsi="PP Mori SemiBold"/>
                <w:color w:val="E7E6E6" w:themeColor="background2"/>
                <w:sz w:val="22"/>
                <w:szCs w:val="22"/>
              </w:rPr>
              <w:t xml:space="preserve"> Categories &amp; Definitions</w:t>
            </w:r>
          </w:p>
        </w:tc>
      </w:tr>
      <w:tr w:rsidR="008B2BA6" w14:paraId="7E58A49E" w14:textId="77777777" w:rsidTr="00FC5E50">
        <w:tc>
          <w:tcPr>
            <w:tcW w:w="2689" w:type="dxa"/>
            <w:tcBorders>
              <w:top w:val="single" w:sz="4" w:space="0" w:color="FAFAFA" w:themeColor="background1"/>
              <w:left w:val="single" w:sz="4" w:space="0" w:color="auto"/>
              <w:bottom w:val="single" w:sz="4" w:space="0" w:color="FAFAFA" w:themeColor="background1"/>
              <w:right w:val="single" w:sz="4" w:space="0" w:color="FAFAFA" w:themeColor="background1"/>
            </w:tcBorders>
            <w:shd w:val="clear" w:color="auto" w:fill="067296" w:themeFill="text2"/>
          </w:tcPr>
          <w:p w14:paraId="7FAC4337" w14:textId="77777777" w:rsidR="00DA19A6" w:rsidRPr="0026264B" w:rsidRDefault="00DA19A6" w:rsidP="00EB2823">
            <w:pPr>
              <w:spacing w:before="120" w:after="120" w:line="264" w:lineRule="auto"/>
              <w:jc w:val="center"/>
              <w:rPr>
                <w:rFonts w:ascii="PP Mori SemiBold" w:hAnsi="PP Mori SemiBold"/>
                <w:b/>
                <w:color w:val="E7E6E6" w:themeColor="background2"/>
              </w:rPr>
            </w:pPr>
            <w:r w:rsidRPr="0026264B">
              <w:rPr>
                <w:rFonts w:ascii="PP Mori SemiBold" w:hAnsi="PP Mori SemiBold"/>
                <w:b/>
                <w:color w:val="E7E6E6" w:themeColor="background2"/>
              </w:rPr>
              <w:t>Category</w:t>
            </w:r>
          </w:p>
        </w:tc>
        <w:tc>
          <w:tcPr>
            <w:tcW w:w="5528" w:type="dxa"/>
            <w:tcBorders>
              <w:top w:val="single" w:sz="4" w:space="0" w:color="FAFAFA" w:themeColor="background1"/>
              <w:left w:val="single" w:sz="4" w:space="0" w:color="FAFAFA" w:themeColor="background1"/>
              <w:bottom w:val="single" w:sz="4" w:space="0" w:color="FAFAFA" w:themeColor="background1"/>
              <w:right w:val="single" w:sz="4" w:space="0" w:color="auto"/>
            </w:tcBorders>
            <w:shd w:val="clear" w:color="auto" w:fill="067296" w:themeFill="text2"/>
          </w:tcPr>
          <w:p w14:paraId="0E9B7EB5" w14:textId="77777777" w:rsidR="00DA19A6" w:rsidRPr="0026264B" w:rsidRDefault="00DA19A6" w:rsidP="00EB2823">
            <w:pPr>
              <w:spacing w:before="120" w:after="120" w:line="264" w:lineRule="auto"/>
              <w:jc w:val="center"/>
              <w:rPr>
                <w:rFonts w:ascii="PP Mori SemiBold" w:hAnsi="PP Mori SemiBold"/>
                <w:b/>
                <w:color w:val="E7E6E6" w:themeColor="background2"/>
              </w:rPr>
            </w:pPr>
            <w:r w:rsidRPr="0026264B">
              <w:rPr>
                <w:rFonts w:ascii="PP Mori SemiBold" w:hAnsi="PP Mori SemiBold"/>
                <w:b/>
                <w:color w:val="E7E6E6" w:themeColor="background2"/>
              </w:rPr>
              <w:t>Definition</w:t>
            </w:r>
          </w:p>
        </w:tc>
      </w:tr>
      <w:tr w:rsidR="008B2BA6" w:rsidRPr="00491D97" w14:paraId="0A94B051" w14:textId="77777777" w:rsidTr="00FC5E50">
        <w:tc>
          <w:tcPr>
            <w:tcW w:w="2689" w:type="dxa"/>
            <w:tcBorders>
              <w:top w:val="single" w:sz="4" w:space="0" w:color="FAFAFA" w:themeColor="background1"/>
              <w:left w:val="single" w:sz="4" w:space="0" w:color="auto"/>
              <w:bottom w:val="single" w:sz="4" w:space="0" w:color="FAFAFA" w:themeColor="background1"/>
              <w:right w:val="single" w:sz="4" w:space="0" w:color="FAFAFA" w:themeColor="background1"/>
            </w:tcBorders>
            <w:shd w:val="clear" w:color="auto" w:fill="067296" w:themeFill="text2"/>
          </w:tcPr>
          <w:p w14:paraId="29B02A73" w14:textId="125C9760" w:rsidR="00DA19A6" w:rsidRPr="00FC5E50" w:rsidRDefault="00F7288D" w:rsidP="00954BAC">
            <w:pPr>
              <w:pStyle w:val="ListParagraph"/>
              <w:numPr>
                <w:ilvl w:val="0"/>
                <w:numId w:val="40"/>
              </w:numPr>
              <w:spacing w:line="264" w:lineRule="auto"/>
              <w:ind w:left="312" w:right="33" w:hanging="284"/>
              <w:rPr>
                <w:rFonts w:ascii="PP Mori SemiBold" w:hAnsi="PP Mori SemiBold"/>
                <w:b/>
                <w:color w:val="FAFAFA" w:themeColor="background1"/>
              </w:rPr>
            </w:pPr>
            <w:r w:rsidRPr="00FC5E50">
              <w:rPr>
                <w:rFonts w:ascii="PP Mori SemiBold" w:hAnsi="PP Mori SemiBold"/>
                <w:color w:val="FAFAFA" w:themeColor="background1"/>
                <w:lang w:eastAsia="en-US" w:bidi="ar-SA"/>
              </w:rPr>
              <w:t>Strategic Transformation Risks</w:t>
            </w:r>
          </w:p>
        </w:tc>
        <w:tc>
          <w:tcPr>
            <w:tcW w:w="5528" w:type="dxa"/>
            <w:tcBorders>
              <w:top w:val="single" w:sz="4" w:space="0" w:color="FAFAFA" w:themeColor="background1"/>
              <w:left w:val="single" w:sz="4" w:space="0" w:color="FAFAFA" w:themeColor="background1"/>
            </w:tcBorders>
          </w:tcPr>
          <w:p w14:paraId="66594ABA" w14:textId="7ECD613D" w:rsidR="00DA19A6" w:rsidRPr="000174C2" w:rsidRDefault="00304E26" w:rsidP="00EB2823">
            <w:pPr>
              <w:spacing w:before="120" w:after="120" w:line="264" w:lineRule="auto"/>
              <w:rPr>
                <w:lang w:eastAsia="en-US" w:bidi="ar-SA"/>
              </w:rPr>
            </w:pPr>
            <w:r w:rsidRPr="000174C2">
              <w:rPr>
                <w:lang w:eastAsia="en-US" w:bidi="ar-SA"/>
              </w:rPr>
              <w:t xml:space="preserve">Overarching </w:t>
            </w:r>
            <w:r w:rsidR="00DA19A6" w:rsidRPr="000174C2">
              <w:rPr>
                <w:lang w:eastAsia="en-US" w:bidi="ar-SA"/>
              </w:rPr>
              <w:t xml:space="preserve">considerations that </w:t>
            </w:r>
            <w:r w:rsidR="008D1653" w:rsidRPr="000174C2">
              <w:rPr>
                <w:lang w:eastAsia="en-US" w:bidi="ar-SA"/>
              </w:rPr>
              <w:t xml:space="preserve">impact </w:t>
            </w:r>
            <w:r w:rsidR="00DA19A6" w:rsidRPr="000174C2">
              <w:rPr>
                <w:lang w:eastAsia="en-US" w:bidi="ar-SA"/>
              </w:rPr>
              <w:t xml:space="preserve">many aspects of Australia’s GW-scale power systems and </w:t>
            </w:r>
            <w:r w:rsidR="00E84A31" w:rsidRPr="000174C2">
              <w:rPr>
                <w:lang w:eastAsia="en-US" w:bidi="ar-SA"/>
              </w:rPr>
              <w:t xml:space="preserve">risk </w:t>
            </w:r>
            <w:r w:rsidR="00DA19A6" w:rsidRPr="000174C2">
              <w:rPr>
                <w:lang w:eastAsia="en-US" w:bidi="ar-SA"/>
              </w:rPr>
              <w:t>imped</w:t>
            </w:r>
            <w:r w:rsidR="00E84A31" w:rsidRPr="000174C2">
              <w:rPr>
                <w:lang w:eastAsia="en-US" w:bidi="ar-SA"/>
              </w:rPr>
              <w:t>ing</w:t>
            </w:r>
            <w:r w:rsidR="00DA19A6" w:rsidRPr="000174C2">
              <w:rPr>
                <w:lang w:eastAsia="en-US" w:bidi="ar-SA"/>
              </w:rPr>
              <w:t xml:space="preserve"> the </w:t>
            </w:r>
            <w:r w:rsidR="00D92731" w:rsidRPr="000174C2">
              <w:rPr>
                <w:lang w:eastAsia="en-US" w:bidi="ar-SA"/>
              </w:rPr>
              <w:t xml:space="preserve">timely, cost-efficient and technically robust </w:t>
            </w:r>
            <w:r w:rsidR="00DA19A6" w:rsidRPr="000174C2">
              <w:rPr>
                <w:lang w:eastAsia="en-US" w:bidi="ar-SA"/>
              </w:rPr>
              <w:t>navigat</w:t>
            </w:r>
            <w:r w:rsidR="006B7CD6" w:rsidRPr="000174C2">
              <w:rPr>
                <w:lang w:eastAsia="en-US" w:bidi="ar-SA"/>
              </w:rPr>
              <w:t xml:space="preserve">ion of </w:t>
            </w:r>
            <w:r w:rsidR="009373FD" w:rsidRPr="000174C2">
              <w:rPr>
                <w:lang w:eastAsia="en-US" w:bidi="ar-SA"/>
              </w:rPr>
              <w:t xml:space="preserve">whole-system </w:t>
            </w:r>
            <w:r w:rsidR="00DA19A6" w:rsidRPr="000174C2">
              <w:rPr>
                <w:lang w:eastAsia="en-US" w:bidi="ar-SA"/>
              </w:rPr>
              <w:t>transformation</w:t>
            </w:r>
            <w:r w:rsidR="00374950">
              <w:rPr>
                <w:lang w:eastAsia="en-US" w:bidi="ar-SA"/>
              </w:rPr>
              <w:t xml:space="preserve">. </w:t>
            </w:r>
          </w:p>
        </w:tc>
      </w:tr>
      <w:tr w:rsidR="008B2BA6" w:rsidRPr="00491D97" w14:paraId="4034B539" w14:textId="77777777" w:rsidTr="00FC5E50">
        <w:tc>
          <w:tcPr>
            <w:tcW w:w="2689" w:type="dxa"/>
            <w:tcBorders>
              <w:top w:val="single" w:sz="4" w:space="0" w:color="FAFAFA" w:themeColor="background1"/>
              <w:left w:val="single" w:sz="4" w:space="0" w:color="auto"/>
              <w:bottom w:val="single" w:sz="4" w:space="0" w:color="FAFAFA" w:themeColor="background1"/>
              <w:right w:val="single" w:sz="4" w:space="0" w:color="FAFAFA" w:themeColor="background1"/>
            </w:tcBorders>
            <w:shd w:val="clear" w:color="auto" w:fill="067296" w:themeFill="text2"/>
          </w:tcPr>
          <w:p w14:paraId="053CD8BD" w14:textId="3F5B57B9" w:rsidR="00DA19A6" w:rsidRPr="00FC5E50" w:rsidRDefault="00DA19A6" w:rsidP="00954BAC">
            <w:pPr>
              <w:pStyle w:val="ListParagraph"/>
              <w:numPr>
                <w:ilvl w:val="0"/>
                <w:numId w:val="40"/>
              </w:numPr>
              <w:spacing w:line="264" w:lineRule="auto"/>
              <w:ind w:left="312" w:right="33" w:hanging="284"/>
              <w:rPr>
                <w:rFonts w:ascii="PP Mori SemiBold" w:hAnsi="PP Mori SemiBold"/>
                <w:color w:val="FAFAFA" w:themeColor="background1"/>
                <w:lang w:eastAsia="en-US" w:bidi="ar-SA"/>
              </w:rPr>
            </w:pPr>
            <w:r w:rsidRPr="00FC5E50">
              <w:rPr>
                <w:rFonts w:ascii="PP Mori SemiBold" w:hAnsi="PP Mori SemiBold"/>
                <w:color w:val="FAFAFA" w:themeColor="background1"/>
                <w:lang w:eastAsia="en-US" w:bidi="ar-SA"/>
              </w:rPr>
              <w:t xml:space="preserve">Core Structural </w:t>
            </w:r>
            <w:r w:rsidR="00812960" w:rsidRPr="00FC5E50">
              <w:rPr>
                <w:rFonts w:ascii="PP Mori SemiBold" w:hAnsi="PP Mori SemiBold"/>
                <w:color w:val="FAFAFA" w:themeColor="background1"/>
                <w:lang w:eastAsia="en-US" w:bidi="ar-SA"/>
              </w:rPr>
              <w:t xml:space="preserve">&amp; Operability </w:t>
            </w:r>
            <w:r w:rsidR="00502BEE" w:rsidRPr="00FC5E50">
              <w:rPr>
                <w:rFonts w:ascii="PP Mori SemiBold" w:hAnsi="PP Mori SemiBold"/>
                <w:color w:val="FAFAFA" w:themeColor="background1"/>
                <w:lang w:eastAsia="en-US" w:bidi="ar-SA"/>
              </w:rPr>
              <w:t>Issues</w:t>
            </w:r>
          </w:p>
        </w:tc>
        <w:tc>
          <w:tcPr>
            <w:tcW w:w="5528" w:type="dxa"/>
            <w:tcBorders>
              <w:left w:val="single" w:sz="4" w:space="0" w:color="FAFAFA" w:themeColor="background1"/>
            </w:tcBorders>
          </w:tcPr>
          <w:p w14:paraId="0A537ED0" w14:textId="49C0C584" w:rsidR="00DA19A6" w:rsidRPr="000174C2" w:rsidRDefault="007D764E" w:rsidP="00EB2823">
            <w:pPr>
              <w:spacing w:before="120" w:after="120" w:line="264" w:lineRule="auto"/>
            </w:pPr>
            <w:r w:rsidRPr="000174C2">
              <w:rPr>
                <w:lang w:eastAsia="en-US" w:bidi="ar-SA"/>
              </w:rPr>
              <w:t>Critical s</w:t>
            </w:r>
            <w:r w:rsidR="00DA19A6" w:rsidRPr="000174C2">
              <w:rPr>
                <w:lang w:eastAsia="en-US" w:bidi="ar-SA"/>
              </w:rPr>
              <w:t xml:space="preserve">tructural </w:t>
            </w:r>
            <w:r w:rsidR="00FE6534" w:rsidRPr="000174C2">
              <w:rPr>
                <w:lang w:eastAsia="en-US" w:bidi="ar-SA"/>
              </w:rPr>
              <w:t>matters</w:t>
            </w:r>
            <w:r w:rsidR="0025319C" w:rsidRPr="000174C2">
              <w:rPr>
                <w:lang w:eastAsia="en-US" w:bidi="ar-SA"/>
              </w:rPr>
              <w:t xml:space="preserve"> </w:t>
            </w:r>
            <w:r w:rsidR="00DA19A6" w:rsidRPr="000174C2">
              <w:rPr>
                <w:lang w:eastAsia="en-US" w:bidi="ar-SA"/>
              </w:rPr>
              <w:t xml:space="preserve">that </w:t>
            </w:r>
            <w:r w:rsidR="005C453B" w:rsidRPr="000174C2">
              <w:rPr>
                <w:lang w:eastAsia="en-US" w:bidi="ar-SA"/>
              </w:rPr>
              <w:t xml:space="preserve">will </w:t>
            </w:r>
            <w:r w:rsidRPr="000174C2">
              <w:rPr>
                <w:lang w:eastAsia="en-US" w:bidi="ar-SA"/>
              </w:rPr>
              <w:t>r</w:t>
            </w:r>
            <w:r w:rsidR="00D31B28" w:rsidRPr="000174C2">
              <w:rPr>
                <w:lang w:eastAsia="en-US" w:bidi="ar-SA"/>
              </w:rPr>
              <w:t xml:space="preserve">equire </w:t>
            </w:r>
            <w:r w:rsidR="00393B8D" w:rsidRPr="000174C2">
              <w:rPr>
                <w:lang w:eastAsia="en-US" w:bidi="ar-SA"/>
              </w:rPr>
              <w:t xml:space="preserve">holistic </w:t>
            </w:r>
            <w:r w:rsidR="0094614A" w:rsidRPr="000174C2">
              <w:rPr>
                <w:lang w:eastAsia="en-US" w:bidi="ar-SA"/>
              </w:rPr>
              <w:t>consideration</w:t>
            </w:r>
            <w:r w:rsidR="00FE6534" w:rsidRPr="000174C2">
              <w:rPr>
                <w:lang w:eastAsia="en-US" w:bidi="ar-SA"/>
              </w:rPr>
              <w:t xml:space="preserve"> </w:t>
            </w:r>
            <w:r w:rsidR="005C453B" w:rsidRPr="000174C2">
              <w:rPr>
                <w:lang w:eastAsia="en-US" w:bidi="ar-SA"/>
              </w:rPr>
              <w:t xml:space="preserve">and targeted interventions </w:t>
            </w:r>
            <w:r w:rsidR="0060769F" w:rsidRPr="000174C2">
              <w:rPr>
                <w:lang w:eastAsia="en-US" w:bidi="ar-SA"/>
              </w:rPr>
              <w:t xml:space="preserve">as </w:t>
            </w:r>
            <w:r w:rsidR="00DA19A6" w:rsidRPr="000174C2">
              <w:rPr>
                <w:lang w:eastAsia="en-US" w:bidi="ar-SA"/>
              </w:rPr>
              <w:t xml:space="preserve">Australia’s </w:t>
            </w:r>
            <w:r w:rsidR="000247FB" w:rsidRPr="000174C2">
              <w:rPr>
                <w:lang w:eastAsia="en-US" w:bidi="ar-SA"/>
              </w:rPr>
              <w:t>power system</w:t>
            </w:r>
            <w:r w:rsidR="0060769F" w:rsidRPr="000174C2">
              <w:rPr>
                <w:lang w:eastAsia="en-US" w:bidi="ar-SA"/>
              </w:rPr>
              <w:t>s</w:t>
            </w:r>
            <w:r w:rsidR="000247FB" w:rsidRPr="000174C2">
              <w:rPr>
                <w:lang w:eastAsia="en-US" w:bidi="ar-SA"/>
              </w:rPr>
              <w:t xml:space="preserve"> </w:t>
            </w:r>
            <w:r w:rsidR="00DA19A6" w:rsidRPr="000174C2">
              <w:rPr>
                <w:lang w:eastAsia="en-US" w:bidi="ar-SA"/>
              </w:rPr>
              <w:t>transform</w:t>
            </w:r>
            <w:r w:rsidR="007F7F71" w:rsidRPr="000174C2">
              <w:rPr>
                <w:lang w:eastAsia="en-US" w:bidi="ar-SA"/>
              </w:rPr>
              <w:t xml:space="preserve"> from a unidirectional past to a</w:t>
            </w:r>
            <w:r w:rsidRPr="000174C2">
              <w:rPr>
                <w:lang w:eastAsia="en-US" w:bidi="ar-SA"/>
              </w:rPr>
              <w:t xml:space="preserve">n increasingly dynamic and </w:t>
            </w:r>
            <w:r w:rsidR="007F7F71" w:rsidRPr="000174C2">
              <w:rPr>
                <w:lang w:eastAsia="en-US" w:bidi="ar-SA"/>
              </w:rPr>
              <w:t>bidirectional future</w:t>
            </w:r>
            <w:r w:rsidR="00374950">
              <w:rPr>
                <w:lang w:eastAsia="en-US" w:bidi="ar-SA"/>
              </w:rPr>
              <w:t xml:space="preserve">. </w:t>
            </w:r>
          </w:p>
        </w:tc>
      </w:tr>
      <w:tr w:rsidR="00812960" w:rsidRPr="00491D97" w14:paraId="4ECA6D25" w14:textId="77777777" w:rsidTr="00FC5E50">
        <w:tc>
          <w:tcPr>
            <w:tcW w:w="2689" w:type="dxa"/>
            <w:tcBorders>
              <w:top w:val="single" w:sz="4" w:space="0" w:color="FAFAFA" w:themeColor="background1"/>
              <w:left w:val="single" w:sz="4" w:space="0" w:color="auto"/>
              <w:bottom w:val="single" w:sz="4" w:space="0" w:color="FAFAFA" w:themeColor="background1"/>
              <w:right w:val="single" w:sz="4" w:space="0" w:color="FAFAFA" w:themeColor="background1"/>
            </w:tcBorders>
            <w:shd w:val="clear" w:color="auto" w:fill="067296" w:themeFill="text2"/>
          </w:tcPr>
          <w:p w14:paraId="2286D276" w14:textId="26B2FA82" w:rsidR="00812960" w:rsidRPr="00FC5E50" w:rsidRDefault="00E723B8" w:rsidP="00954BAC">
            <w:pPr>
              <w:pStyle w:val="ListParagraph"/>
              <w:numPr>
                <w:ilvl w:val="0"/>
                <w:numId w:val="40"/>
              </w:numPr>
              <w:spacing w:line="264" w:lineRule="auto"/>
              <w:ind w:left="312" w:right="33" w:hanging="284"/>
              <w:rPr>
                <w:rFonts w:ascii="PP Mori SemiBold" w:hAnsi="PP Mori SemiBold"/>
                <w:color w:val="FAFAFA" w:themeColor="background1"/>
                <w:lang w:eastAsia="en-US" w:bidi="ar-SA"/>
              </w:rPr>
            </w:pPr>
            <w:r w:rsidRPr="00FC5E50">
              <w:rPr>
                <w:rFonts w:ascii="PP Mori SemiBold" w:hAnsi="PP Mori SemiBold"/>
                <w:color w:val="FAFAFA" w:themeColor="background1"/>
                <w:lang w:eastAsia="en-US" w:bidi="ar-SA"/>
              </w:rPr>
              <w:t>Digitalisation &amp; Scalability Issues</w:t>
            </w:r>
          </w:p>
        </w:tc>
        <w:tc>
          <w:tcPr>
            <w:tcW w:w="5528" w:type="dxa"/>
            <w:tcBorders>
              <w:left w:val="single" w:sz="4" w:space="0" w:color="FAFAFA" w:themeColor="background1"/>
            </w:tcBorders>
          </w:tcPr>
          <w:p w14:paraId="2944C871" w14:textId="0CC93D27" w:rsidR="00CE6073" w:rsidRPr="002033CE" w:rsidRDefault="003E056E" w:rsidP="00EB2823">
            <w:pPr>
              <w:spacing w:before="120" w:after="120" w:line="264" w:lineRule="auto"/>
              <w:rPr>
                <w:lang w:eastAsia="en-US" w:bidi="ar-SA"/>
              </w:rPr>
            </w:pPr>
            <w:r w:rsidRPr="002033CE">
              <w:rPr>
                <w:lang w:eastAsia="en-US" w:bidi="ar-SA"/>
              </w:rPr>
              <w:t>Key c</w:t>
            </w:r>
            <w:r w:rsidR="007C33EF" w:rsidRPr="002033CE">
              <w:rPr>
                <w:lang w:eastAsia="en-US" w:bidi="ar-SA"/>
              </w:rPr>
              <w:t xml:space="preserve">hallenges </w:t>
            </w:r>
            <w:r w:rsidR="005C453B" w:rsidRPr="002033CE">
              <w:rPr>
                <w:lang w:eastAsia="en-US" w:bidi="ar-SA"/>
              </w:rPr>
              <w:t>that arise</w:t>
            </w:r>
            <w:r w:rsidR="007C33EF" w:rsidRPr="002033CE">
              <w:rPr>
                <w:lang w:eastAsia="en-US" w:bidi="ar-SA"/>
              </w:rPr>
              <w:t xml:space="preserve"> from the </w:t>
            </w:r>
            <w:r w:rsidR="00172924" w:rsidRPr="002033CE">
              <w:rPr>
                <w:lang w:eastAsia="en-US" w:bidi="ar-SA"/>
              </w:rPr>
              <w:t>incre</w:t>
            </w:r>
            <w:r w:rsidR="00BB17A2" w:rsidRPr="002033CE">
              <w:rPr>
                <w:lang w:eastAsia="en-US" w:bidi="ar-SA"/>
              </w:rPr>
              <w:t xml:space="preserve">asing </w:t>
            </w:r>
            <w:r w:rsidR="004D09AE" w:rsidRPr="002033CE">
              <w:rPr>
                <w:lang w:eastAsia="en-US" w:bidi="ar-SA"/>
              </w:rPr>
              <w:t xml:space="preserve">need for more </w:t>
            </w:r>
            <w:r w:rsidR="00BB17A2" w:rsidRPr="002033CE">
              <w:rPr>
                <w:lang w:eastAsia="en-US" w:bidi="ar-SA"/>
              </w:rPr>
              <w:t>dynamic</w:t>
            </w:r>
            <w:r w:rsidR="004D09AE" w:rsidRPr="002033CE">
              <w:rPr>
                <w:lang w:eastAsia="en-US" w:bidi="ar-SA"/>
              </w:rPr>
              <w:t>ally</w:t>
            </w:r>
            <w:r w:rsidR="00BB17A2" w:rsidRPr="002033CE">
              <w:rPr>
                <w:lang w:eastAsia="en-US" w:bidi="ar-SA"/>
              </w:rPr>
              <w:t xml:space="preserve"> </w:t>
            </w:r>
            <w:r w:rsidR="00172924" w:rsidRPr="002033CE">
              <w:rPr>
                <w:lang w:eastAsia="en-US" w:bidi="ar-SA"/>
              </w:rPr>
              <w:t>inter</w:t>
            </w:r>
            <w:r w:rsidR="00875686" w:rsidRPr="002033CE">
              <w:rPr>
                <w:lang w:eastAsia="en-US" w:bidi="ar-SA"/>
              </w:rPr>
              <w:t>dependen</w:t>
            </w:r>
            <w:r w:rsidR="004D09AE" w:rsidRPr="002033CE">
              <w:rPr>
                <w:lang w:eastAsia="en-US" w:bidi="ar-SA"/>
              </w:rPr>
              <w:t>t</w:t>
            </w:r>
            <w:r w:rsidR="00400A31" w:rsidRPr="002033CE">
              <w:rPr>
                <w:lang w:eastAsia="en-US" w:bidi="ar-SA"/>
              </w:rPr>
              <w:t xml:space="preserve"> and </w:t>
            </w:r>
            <w:r w:rsidR="004D09AE" w:rsidRPr="002033CE">
              <w:rPr>
                <w:lang w:eastAsia="en-US" w:bidi="ar-SA"/>
              </w:rPr>
              <w:t xml:space="preserve">digitalised </w:t>
            </w:r>
            <w:r w:rsidRPr="002033CE">
              <w:rPr>
                <w:lang w:eastAsia="en-US" w:bidi="ar-SA"/>
              </w:rPr>
              <w:t xml:space="preserve">end-to-end </w:t>
            </w:r>
            <w:r w:rsidR="007C33EF" w:rsidRPr="002033CE">
              <w:rPr>
                <w:lang w:eastAsia="en-US" w:bidi="ar-SA"/>
              </w:rPr>
              <w:t>power system</w:t>
            </w:r>
            <w:r w:rsidR="00400A31" w:rsidRPr="002033CE">
              <w:rPr>
                <w:lang w:eastAsia="en-US" w:bidi="ar-SA"/>
              </w:rPr>
              <w:t>s</w:t>
            </w:r>
            <w:r w:rsidR="005C453B" w:rsidRPr="002033CE">
              <w:rPr>
                <w:lang w:eastAsia="en-US" w:bidi="ar-SA"/>
              </w:rPr>
              <w:t xml:space="preserve">, </w:t>
            </w:r>
            <w:r w:rsidR="00994160" w:rsidRPr="002033CE">
              <w:rPr>
                <w:lang w:eastAsia="en-US" w:bidi="ar-SA"/>
              </w:rPr>
              <w:t xml:space="preserve">including cyber-security, data sharing and the scalability of cyber-physical </w:t>
            </w:r>
            <w:r w:rsidR="006C7093" w:rsidRPr="002033CE">
              <w:rPr>
                <w:lang w:eastAsia="en-US" w:bidi="ar-SA"/>
              </w:rPr>
              <w:t>elements and solutions</w:t>
            </w:r>
            <w:r w:rsidR="00374950">
              <w:rPr>
                <w:lang w:eastAsia="en-US" w:bidi="ar-SA"/>
              </w:rPr>
              <w:t xml:space="preserve">. </w:t>
            </w:r>
          </w:p>
        </w:tc>
      </w:tr>
      <w:tr w:rsidR="008B2BA6" w:rsidRPr="00491D97" w14:paraId="7FC5F097" w14:textId="77777777" w:rsidTr="00FC5E50">
        <w:tc>
          <w:tcPr>
            <w:tcW w:w="2689" w:type="dxa"/>
            <w:tcBorders>
              <w:top w:val="single" w:sz="4" w:space="0" w:color="FAFAFA" w:themeColor="background1"/>
              <w:left w:val="single" w:sz="4" w:space="0" w:color="auto"/>
              <w:bottom w:val="single" w:sz="4" w:space="0" w:color="FAFAFA" w:themeColor="background1"/>
              <w:right w:val="single" w:sz="4" w:space="0" w:color="FAFAFA" w:themeColor="background1"/>
            </w:tcBorders>
            <w:shd w:val="clear" w:color="auto" w:fill="067296" w:themeFill="text2"/>
          </w:tcPr>
          <w:p w14:paraId="4119265F" w14:textId="20E1757B" w:rsidR="00DA19A6" w:rsidRPr="00FC5E50" w:rsidRDefault="00D115F8" w:rsidP="00954BAC">
            <w:pPr>
              <w:pStyle w:val="ListParagraph"/>
              <w:numPr>
                <w:ilvl w:val="0"/>
                <w:numId w:val="40"/>
              </w:numPr>
              <w:spacing w:line="264" w:lineRule="auto"/>
              <w:ind w:left="312" w:right="33" w:hanging="284"/>
              <w:rPr>
                <w:rFonts w:ascii="PP Mori SemiBold" w:hAnsi="PP Mori SemiBold"/>
                <w:color w:val="FAFAFA" w:themeColor="background1"/>
                <w:lang w:eastAsia="en-US" w:bidi="ar-SA"/>
              </w:rPr>
            </w:pPr>
            <w:r w:rsidRPr="00FC5E50">
              <w:rPr>
                <w:rFonts w:ascii="PP Mori SemiBold" w:hAnsi="PP Mori SemiBold"/>
                <w:color w:val="FAFAFA" w:themeColor="background1"/>
                <w:lang w:eastAsia="en-US" w:bidi="ar-SA"/>
              </w:rPr>
              <w:t xml:space="preserve">Sectoral Alignment &amp; Participation </w:t>
            </w:r>
            <w:r w:rsidR="008B2BA6" w:rsidRPr="00FC5E50">
              <w:rPr>
                <w:rFonts w:ascii="PP Mori SemiBold" w:hAnsi="PP Mori SemiBold"/>
                <w:color w:val="FAFAFA" w:themeColor="background1"/>
                <w:lang w:eastAsia="en-US" w:bidi="ar-SA"/>
              </w:rPr>
              <w:t>Risks</w:t>
            </w:r>
            <w:r w:rsidRPr="00FC5E50">
              <w:rPr>
                <w:rFonts w:ascii="PP Mori SemiBold" w:hAnsi="PP Mori SemiBold"/>
                <w:color w:val="FAFAFA" w:themeColor="background1"/>
                <w:lang w:eastAsia="en-US" w:bidi="ar-SA"/>
              </w:rPr>
              <w:t xml:space="preserve"> </w:t>
            </w:r>
          </w:p>
        </w:tc>
        <w:tc>
          <w:tcPr>
            <w:tcW w:w="5528" w:type="dxa"/>
            <w:tcBorders>
              <w:left w:val="single" w:sz="4" w:space="0" w:color="FAFAFA" w:themeColor="background1"/>
            </w:tcBorders>
          </w:tcPr>
          <w:p w14:paraId="6FABFB40" w14:textId="18A599E8" w:rsidR="007A4CE5" w:rsidRDefault="005C324F" w:rsidP="00EB2823">
            <w:pPr>
              <w:spacing w:before="120" w:after="120" w:line="264" w:lineRule="auto"/>
              <w:rPr>
                <w:lang w:eastAsia="en-US" w:bidi="ar-SA"/>
              </w:rPr>
            </w:pPr>
            <w:r w:rsidRPr="002033CE">
              <w:rPr>
                <w:lang w:eastAsia="en-US" w:bidi="ar-SA"/>
              </w:rPr>
              <w:t>C</w:t>
            </w:r>
            <w:r w:rsidR="00DA19A6" w:rsidRPr="002033CE">
              <w:rPr>
                <w:lang w:eastAsia="en-US" w:bidi="ar-SA"/>
              </w:rPr>
              <w:t xml:space="preserve">onsiderations </w:t>
            </w:r>
            <w:r w:rsidR="00790B7B" w:rsidRPr="002033CE">
              <w:rPr>
                <w:lang w:eastAsia="en-US" w:bidi="ar-SA"/>
              </w:rPr>
              <w:t xml:space="preserve">relevant to the </w:t>
            </w:r>
            <w:r w:rsidR="00400A31" w:rsidRPr="002033CE">
              <w:rPr>
                <w:lang w:eastAsia="en-US" w:bidi="ar-SA"/>
              </w:rPr>
              <w:t xml:space="preserve">future </w:t>
            </w:r>
            <w:r w:rsidR="00790B7B" w:rsidRPr="002033CE">
              <w:rPr>
                <w:lang w:eastAsia="en-US" w:bidi="ar-SA"/>
              </w:rPr>
              <w:t xml:space="preserve">scalable </w:t>
            </w:r>
            <w:r w:rsidRPr="002033CE">
              <w:rPr>
                <w:lang w:eastAsia="en-US" w:bidi="ar-SA"/>
              </w:rPr>
              <w:t>assignment of r</w:t>
            </w:r>
            <w:r w:rsidR="00DA19A6" w:rsidRPr="002033CE">
              <w:rPr>
                <w:lang w:eastAsia="en-US" w:bidi="ar-SA"/>
              </w:rPr>
              <w:t>oles</w:t>
            </w:r>
            <w:r w:rsidRPr="002033CE">
              <w:rPr>
                <w:lang w:eastAsia="en-US" w:bidi="ar-SA"/>
              </w:rPr>
              <w:t xml:space="preserve"> and </w:t>
            </w:r>
            <w:r w:rsidR="00DA19A6" w:rsidRPr="002033CE">
              <w:rPr>
                <w:lang w:eastAsia="en-US" w:bidi="ar-SA"/>
              </w:rPr>
              <w:t>responsibilities</w:t>
            </w:r>
            <w:r w:rsidR="003A4679" w:rsidRPr="002033CE">
              <w:rPr>
                <w:lang w:eastAsia="en-US" w:bidi="ar-SA"/>
              </w:rPr>
              <w:t xml:space="preserve"> and</w:t>
            </w:r>
            <w:r w:rsidR="00C9243A" w:rsidRPr="002033CE">
              <w:rPr>
                <w:lang w:eastAsia="en-US" w:bidi="ar-SA"/>
              </w:rPr>
              <w:t xml:space="preserve"> new mechanisms for </w:t>
            </w:r>
            <w:r w:rsidR="003A4679" w:rsidRPr="002033CE">
              <w:rPr>
                <w:lang w:eastAsia="en-US" w:bidi="ar-SA"/>
              </w:rPr>
              <w:t>supporting the</w:t>
            </w:r>
            <w:r w:rsidR="0024459D" w:rsidRPr="002033CE">
              <w:rPr>
                <w:lang w:eastAsia="en-US" w:bidi="ar-SA"/>
              </w:rPr>
              <w:t xml:space="preserve"> seamless </w:t>
            </w:r>
            <w:r w:rsidR="000A6431" w:rsidRPr="002033CE">
              <w:rPr>
                <w:lang w:eastAsia="en-US" w:bidi="ar-SA"/>
              </w:rPr>
              <w:t xml:space="preserve">engagement and </w:t>
            </w:r>
            <w:r w:rsidR="008114BD" w:rsidRPr="002033CE">
              <w:rPr>
                <w:lang w:eastAsia="en-US" w:bidi="ar-SA"/>
              </w:rPr>
              <w:t xml:space="preserve">beneficial participation of millions of </w:t>
            </w:r>
            <w:r w:rsidR="00FE270A" w:rsidRPr="002033CE">
              <w:rPr>
                <w:lang w:eastAsia="en-US" w:bidi="ar-SA"/>
              </w:rPr>
              <w:t>Consumer Energy Resources (CER/DER).</w:t>
            </w:r>
          </w:p>
          <w:p w14:paraId="7CE1DC1B" w14:textId="6EB31E86" w:rsidR="00DA19A6" w:rsidRPr="002033CE" w:rsidRDefault="007A4CE5" w:rsidP="00EB2823">
            <w:pPr>
              <w:spacing w:before="120" w:after="120" w:line="264" w:lineRule="auto"/>
              <w:rPr>
                <w:lang w:eastAsia="en-US" w:bidi="ar-SA"/>
              </w:rPr>
            </w:pPr>
            <w:r>
              <w:rPr>
                <w:lang w:eastAsia="en-US" w:bidi="ar-SA"/>
              </w:rPr>
              <w:t xml:space="preserve">Note that </w:t>
            </w:r>
            <w:r w:rsidRPr="007A4CE5">
              <w:rPr>
                <w:lang w:eastAsia="en-US" w:bidi="ar-SA"/>
              </w:rPr>
              <w:t>‘CER</w:t>
            </w:r>
            <w:r>
              <w:rPr>
                <w:lang w:eastAsia="en-US" w:bidi="ar-SA"/>
              </w:rPr>
              <w:t>’ and ‘</w:t>
            </w:r>
            <w:r w:rsidRPr="007A4CE5">
              <w:rPr>
                <w:lang w:eastAsia="en-US" w:bidi="ar-SA"/>
              </w:rPr>
              <w:t>DER’ recognise</w:t>
            </w:r>
            <w:r>
              <w:rPr>
                <w:lang w:eastAsia="en-US" w:bidi="ar-SA"/>
              </w:rPr>
              <w:t>s</w:t>
            </w:r>
            <w:r w:rsidRPr="007A4CE5">
              <w:rPr>
                <w:lang w:eastAsia="en-US" w:bidi="ar-SA"/>
              </w:rPr>
              <w:t xml:space="preserve"> that distributed resources may be located either behind-the-meter or front-of-meter</w:t>
            </w:r>
            <w:r w:rsidR="00374950">
              <w:rPr>
                <w:lang w:eastAsia="en-US" w:bidi="ar-SA"/>
              </w:rPr>
              <w:t xml:space="preserve">. </w:t>
            </w:r>
          </w:p>
        </w:tc>
      </w:tr>
    </w:tbl>
    <w:p w14:paraId="06690DE9" w14:textId="77777777" w:rsidR="00C4753A" w:rsidRPr="002C72C2" w:rsidRDefault="00C4753A" w:rsidP="00EB2823">
      <w:pPr>
        <w:spacing w:line="264" w:lineRule="auto"/>
        <w:rPr>
          <w:lang w:eastAsia="en-US" w:bidi="ar-SA"/>
        </w:rPr>
      </w:pPr>
    </w:p>
    <w:p w14:paraId="2FEDBFA9" w14:textId="77777777" w:rsidR="005D3B0C" w:rsidRDefault="005D3B0C">
      <w:pPr>
        <w:spacing w:before="0" w:after="160" w:line="259" w:lineRule="auto"/>
        <w:rPr>
          <w:i/>
          <w:iCs/>
          <w:color w:val="013C4C" w:themeColor="text1"/>
          <w:szCs w:val="22"/>
        </w:rPr>
      </w:pPr>
      <w:r>
        <w:rPr>
          <w:i/>
          <w:iCs/>
          <w:color w:val="013C4C" w:themeColor="text1"/>
          <w:szCs w:val="22"/>
        </w:rPr>
        <w:br w:type="page"/>
      </w:r>
    </w:p>
    <w:p w14:paraId="7585582E" w14:textId="651D4BB1" w:rsidR="00695E0C" w:rsidRPr="002C72C2" w:rsidRDefault="00695E0C" w:rsidP="00EB2823">
      <w:pPr>
        <w:spacing w:line="264" w:lineRule="auto"/>
        <w:rPr>
          <w:lang w:eastAsia="en-US" w:bidi="ar-SA"/>
        </w:rPr>
      </w:pPr>
      <w:r w:rsidRPr="002C72C2">
        <w:rPr>
          <w:lang w:eastAsia="en-US" w:bidi="ar-SA"/>
        </w:rPr>
        <w:t xml:space="preserve">The </w:t>
      </w:r>
      <w:r w:rsidR="009B434F" w:rsidRPr="002C72C2">
        <w:rPr>
          <w:lang w:eastAsia="en-US" w:bidi="ar-SA"/>
        </w:rPr>
        <w:t>fi</w:t>
      </w:r>
      <w:r w:rsidR="00615D43" w:rsidRPr="002C72C2">
        <w:rPr>
          <w:lang w:eastAsia="en-US" w:bidi="ar-SA"/>
        </w:rPr>
        <w:t xml:space="preserve">fteen </w:t>
      </w:r>
      <w:r w:rsidRPr="002C72C2">
        <w:rPr>
          <w:lang w:eastAsia="en-US" w:bidi="ar-SA"/>
        </w:rPr>
        <w:t>Systemic Issues</w:t>
      </w:r>
      <w:r w:rsidR="00615D43" w:rsidRPr="002C72C2">
        <w:rPr>
          <w:lang w:eastAsia="en-US" w:bidi="ar-SA"/>
        </w:rPr>
        <w:t xml:space="preserve"> &amp; Transformation Risks identified </w:t>
      </w:r>
      <w:r w:rsidRPr="002C72C2">
        <w:rPr>
          <w:lang w:eastAsia="en-US" w:bidi="ar-SA"/>
        </w:rPr>
        <w:t xml:space="preserve">have been clustered under </w:t>
      </w:r>
      <w:r w:rsidR="0011039B" w:rsidRPr="002C72C2">
        <w:rPr>
          <w:lang w:eastAsia="en-US" w:bidi="ar-SA"/>
        </w:rPr>
        <w:t>four</w:t>
      </w:r>
      <w:r w:rsidRPr="002C72C2">
        <w:rPr>
          <w:lang w:eastAsia="en-US" w:bidi="ar-SA"/>
        </w:rPr>
        <w:t xml:space="preserve"> categories </w:t>
      </w:r>
      <w:r w:rsidR="00615D43" w:rsidRPr="002C72C2">
        <w:rPr>
          <w:lang w:eastAsia="en-US" w:bidi="ar-SA"/>
        </w:rPr>
        <w:t xml:space="preserve">and are summarised </w:t>
      </w:r>
      <w:r w:rsidRPr="002C72C2">
        <w:rPr>
          <w:lang w:eastAsia="en-US" w:bidi="ar-SA"/>
        </w:rPr>
        <w:t>as follows</w:t>
      </w:r>
      <w:r w:rsidR="00615D43" w:rsidRPr="002C72C2">
        <w:rPr>
          <w:lang w:eastAsia="en-US" w:bidi="ar-SA"/>
        </w:rPr>
        <w:t xml:space="preserve">. </w:t>
      </w:r>
    </w:p>
    <w:tbl>
      <w:tblPr>
        <w:tblStyle w:val="TableGrid"/>
        <w:tblW w:w="8217" w:type="dxa"/>
        <w:tblLook w:val="04A0" w:firstRow="1" w:lastRow="0" w:firstColumn="1" w:lastColumn="0" w:noHBand="0" w:noVBand="1"/>
      </w:tblPr>
      <w:tblGrid>
        <w:gridCol w:w="2727"/>
        <w:gridCol w:w="5490"/>
      </w:tblGrid>
      <w:tr w:rsidR="00614DC0" w:rsidRPr="00764F0F" w14:paraId="2CE81B27" w14:textId="77777777" w:rsidTr="008F2E81">
        <w:tc>
          <w:tcPr>
            <w:tcW w:w="8217" w:type="dxa"/>
            <w:gridSpan w:val="2"/>
            <w:tcBorders>
              <w:top w:val="single" w:sz="4" w:space="0" w:color="auto"/>
              <w:left w:val="single" w:sz="4" w:space="0" w:color="auto"/>
              <w:bottom w:val="single" w:sz="4" w:space="0" w:color="FAFAFA" w:themeColor="accent6"/>
              <w:right w:val="single" w:sz="4" w:space="0" w:color="auto"/>
            </w:tcBorders>
            <w:shd w:val="clear" w:color="auto" w:fill="013C4C" w:themeFill="accent1"/>
          </w:tcPr>
          <w:p w14:paraId="47B2AEC8" w14:textId="268F54D2" w:rsidR="00614DC0" w:rsidRPr="00764F0F" w:rsidRDefault="00614DC0" w:rsidP="00EB2823">
            <w:pPr>
              <w:spacing w:before="120" w:after="120" w:line="264" w:lineRule="auto"/>
              <w:jc w:val="center"/>
              <w:rPr>
                <w:rFonts w:ascii="PP Mori SemiBold" w:hAnsi="PP Mori SemiBold"/>
                <w:color w:val="E7E6E6" w:themeColor="background2"/>
                <w:sz w:val="20"/>
                <w:szCs w:val="20"/>
              </w:rPr>
            </w:pPr>
            <w:r>
              <w:rPr>
                <w:rFonts w:ascii="PP Mori SemiBold" w:hAnsi="PP Mori SemiBold"/>
                <w:color w:val="E7E6E6" w:themeColor="background2"/>
                <w:sz w:val="22"/>
                <w:szCs w:val="22"/>
              </w:rPr>
              <w:t>Systemic Issue</w:t>
            </w:r>
            <w:r w:rsidR="0032210B">
              <w:rPr>
                <w:rFonts w:ascii="PP Mori SemiBold" w:hAnsi="PP Mori SemiBold"/>
                <w:color w:val="E7E6E6" w:themeColor="background2"/>
                <w:sz w:val="22"/>
                <w:szCs w:val="22"/>
              </w:rPr>
              <w:t>s</w:t>
            </w:r>
            <w:r w:rsidRPr="0026264B">
              <w:rPr>
                <w:rFonts w:ascii="PP Mori SemiBold" w:hAnsi="PP Mori SemiBold"/>
                <w:color w:val="E7E6E6" w:themeColor="background2"/>
                <w:sz w:val="22"/>
                <w:szCs w:val="22"/>
              </w:rPr>
              <w:t xml:space="preserve"> </w:t>
            </w:r>
            <w:r w:rsidR="003021CE">
              <w:rPr>
                <w:rFonts w:ascii="PP Mori SemiBold" w:hAnsi="PP Mori SemiBold"/>
                <w:color w:val="E7E6E6" w:themeColor="background2"/>
                <w:sz w:val="22"/>
                <w:szCs w:val="22"/>
              </w:rPr>
              <w:t xml:space="preserve">by </w:t>
            </w:r>
            <w:r w:rsidRPr="0026264B">
              <w:rPr>
                <w:rFonts w:ascii="PP Mori SemiBold" w:hAnsi="PP Mori SemiBold"/>
                <w:color w:val="E7E6E6" w:themeColor="background2"/>
                <w:sz w:val="22"/>
                <w:szCs w:val="22"/>
              </w:rPr>
              <w:t>Categor</w:t>
            </w:r>
            <w:r w:rsidR="003021CE">
              <w:rPr>
                <w:rFonts w:ascii="PP Mori SemiBold" w:hAnsi="PP Mori SemiBold"/>
                <w:color w:val="E7E6E6" w:themeColor="background2"/>
                <w:sz w:val="22"/>
                <w:szCs w:val="22"/>
              </w:rPr>
              <w:t>y</w:t>
            </w:r>
          </w:p>
        </w:tc>
      </w:tr>
      <w:tr w:rsidR="008B2BA6" w:rsidRPr="0026264B" w14:paraId="09D77C00" w14:textId="77777777" w:rsidTr="00FC5E50">
        <w:tc>
          <w:tcPr>
            <w:tcW w:w="2727" w:type="dxa"/>
            <w:tcBorders>
              <w:top w:val="single" w:sz="4" w:space="0" w:color="FAFAFA" w:themeColor="accent6"/>
              <w:left w:val="single" w:sz="4" w:space="0" w:color="auto"/>
              <w:bottom w:val="single" w:sz="4" w:space="0" w:color="auto"/>
              <w:right w:val="single" w:sz="4" w:space="0" w:color="FAFAFA" w:themeColor="accent6"/>
            </w:tcBorders>
            <w:shd w:val="clear" w:color="auto" w:fill="067296" w:themeFill="text2"/>
          </w:tcPr>
          <w:p w14:paraId="5F66819B" w14:textId="1062D720" w:rsidR="00614DC0" w:rsidRPr="0026264B" w:rsidRDefault="00614DC0" w:rsidP="00EB2823">
            <w:pPr>
              <w:spacing w:before="120" w:after="120" w:line="264" w:lineRule="auto"/>
              <w:jc w:val="center"/>
              <w:rPr>
                <w:rFonts w:ascii="PP Mori SemiBold" w:hAnsi="PP Mori SemiBold"/>
                <w:b/>
                <w:color w:val="E7E6E6" w:themeColor="background2"/>
              </w:rPr>
            </w:pPr>
            <w:r>
              <w:rPr>
                <w:rFonts w:ascii="PP Mori SemiBold" w:hAnsi="PP Mori SemiBold"/>
                <w:b/>
                <w:color w:val="E7E6E6" w:themeColor="background2"/>
              </w:rPr>
              <w:t>Systemic Issue</w:t>
            </w:r>
          </w:p>
        </w:tc>
        <w:tc>
          <w:tcPr>
            <w:tcW w:w="5490" w:type="dxa"/>
            <w:tcBorders>
              <w:top w:val="single" w:sz="4" w:space="0" w:color="FAFAFA" w:themeColor="accent6"/>
              <w:left w:val="single" w:sz="4" w:space="0" w:color="FAFAFA" w:themeColor="accent6"/>
              <w:bottom w:val="single" w:sz="4" w:space="0" w:color="auto"/>
              <w:right w:val="single" w:sz="4" w:space="0" w:color="auto"/>
            </w:tcBorders>
            <w:shd w:val="clear" w:color="auto" w:fill="067296" w:themeFill="text2"/>
          </w:tcPr>
          <w:p w14:paraId="7A86FA5C" w14:textId="0656529D" w:rsidR="00614DC0" w:rsidRPr="0026264B" w:rsidRDefault="00614DC0" w:rsidP="00EB2823">
            <w:pPr>
              <w:spacing w:before="120" w:after="120" w:line="264" w:lineRule="auto"/>
              <w:jc w:val="center"/>
              <w:rPr>
                <w:rFonts w:ascii="PP Mori SemiBold" w:hAnsi="PP Mori SemiBold"/>
                <w:b/>
                <w:color w:val="E7E6E6" w:themeColor="background2"/>
              </w:rPr>
            </w:pPr>
            <w:r>
              <w:rPr>
                <w:rFonts w:ascii="PP Mori SemiBold" w:hAnsi="PP Mori SemiBold"/>
                <w:b/>
                <w:color w:val="E7E6E6" w:themeColor="background2"/>
              </w:rPr>
              <w:t xml:space="preserve">Summary </w:t>
            </w:r>
          </w:p>
        </w:tc>
      </w:tr>
      <w:tr w:rsidR="0032210B" w:rsidRPr="0026264B" w14:paraId="766349C6" w14:textId="77777777" w:rsidTr="008F2E81">
        <w:tc>
          <w:tcPr>
            <w:tcW w:w="8217" w:type="dxa"/>
            <w:gridSpan w:val="2"/>
            <w:tcBorders>
              <w:top w:val="single" w:sz="4" w:space="0" w:color="auto"/>
              <w:left w:val="single" w:sz="4" w:space="0" w:color="auto"/>
              <w:bottom w:val="single" w:sz="4" w:space="0" w:color="auto"/>
              <w:right w:val="single" w:sz="4" w:space="0" w:color="auto"/>
            </w:tcBorders>
          </w:tcPr>
          <w:p w14:paraId="0A6240F9" w14:textId="66B49BB6" w:rsidR="0032210B" w:rsidRPr="002C72C2" w:rsidRDefault="00EA6E8B" w:rsidP="00EB2823">
            <w:pPr>
              <w:spacing w:before="120" w:after="120" w:line="264" w:lineRule="auto"/>
              <w:jc w:val="center"/>
              <w:rPr>
                <w:rFonts w:ascii="PP Mori SemiBold" w:hAnsi="PP Mori SemiBold"/>
                <w:color w:val="013C4C" w:themeColor="text1"/>
                <w:sz w:val="20"/>
                <w:szCs w:val="32"/>
                <w:lang w:eastAsia="en-US" w:bidi="ar-SA"/>
              </w:rPr>
            </w:pPr>
            <w:r w:rsidRPr="002C72C2">
              <w:rPr>
                <w:rFonts w:ascii="PP Mori SemiBold" w:hAnsi="PP Mori SemiBold"/>
                <w:color w:val="013C4C" w:themeColor="text1"/>
                <w:sz w:val="20"/>
                <w:szCs w:val="32"/>
                <w:lang w:eastAsia="en-US" w:bidi="ar-SA"/>
              </w:rPr>
              <w:t>1</w:t>
            </w:r>
            <w:r w:rsidR="00374950">
              <w:rPr>
                <w:rFonts w:ascii="PP Mori SemiBold" w:hAnsi="PP Mori SemiBold"/>
                <w:color w:val="013C4C" w:themeColor="text1"/>
                <w:sz w:val="20"/>
                <w:szCs w:val="32"/>
                <w:lang w:eastAsia="en-US" w:bidi="ar-SA"/>
              </w:rPr>
              <w:t xml:space="preserve">. </w:t>
            </w:r>
            <w:r w:rsidR="00F7288D" w:rsidRPr="002C72C2">
              <w:rPr>
                <w:rFonts w:ascii="PP Mori SemiBold" w:hAnsi="PP Mori SemiBold"/>
                <w:color w:val="013C4C" w:themeColor="text1"/>
                <w:sz w:val="20"/>
                <w:szCs w:val="32"/>
                <w:lang w:eastAsia="en-US" w:bidi="ar-SA"/>
              </w:rPr>
              <w:t>Strategic Transformation Risks</w:t>
            </w:r>
          </w:p>
        </w:tc>
      </w:tr>
      <w:tr w:rsidR="00614DC0" w:rsidRPr="00491D97" w14:paraId="0D5B07F9" w14:textId="77777777" w:rsidTr="00FC5E50">
        <w:tc>
          <w:tcPr>
            <w:tcW w:w="2727" w:type="dxa"/>
            <w:tcBorders>
              <w:top w:val="single" w:sz="4" w:space="0" w:color="FAFAFA" w:themeColor="accent6"/>
              <w:left w:val="single" w:sz="4" w:space="0" w:color="auto"/>
              <w:bottom w:val="single" w:sz="4" w:space="0" w:color="FAFAFA" w:themeColor="accent6"/>
              <w:right w:val="single" w:sz="4" w:space="0" w:color="FAFAFA" w:themeColor="accent6"/>
            </w:tcBorders>
            <w:shd w:val="clear" w:color="auto" w:fill="067296" w:themeFill="text2"/>
          </w:tcPr>
          <w:p w14:paraId="3FA392E1" w14:textId="5F007B11" w:rsidR="00614DC0" w:rsidRPr="002C72C2" w:rsidRDefault="00D241E0" w:rsidP="00954BAC">
            <w:pPr>
              <w:pStyle w:val="ListParagraph"/>
              <w:numPr>
                <w:ilvl w:val="0"/>
                <w:numId w:val="41"/>
              </w:numPr>
              <w:spacing w:line="264" w:lineRule="auto"/>
              <w:ind w:left="312" w:right="33" w:hanging="312"/>
              <w:rPr>
                <w:rFonts w:ascii="PP Mori SemiBold" w:hAnsi="PP Mori SemiBold"/>
                <w:color w:val="FAFAFA" w:themeColor="background1"/>
                <w:lang w:eastAsia="en-US" w:bidi="ar-SA"/>
              </w:rPr>
            </w:pPr>
            <w:r w:rsidRPr="002C72C2">
              <w:rPr>
                <w:rFonts w:ascii="PP Mori SemiBold" w:hAnsi="PP Mori SemiBold"/>
                <w:color w:val="FAFAFA" w:themeColor="background1"/>
                <w:lang w:eastAsia="en-US" w:bidi="ar-SA"/>
              </w:rPr>
              <w:t>Limited Shared Future Vision</w:t>
            </w:r>
          </w:p>
        </w:tc>
        <w:tc>
          <w:tcPr>
            <w:tcW w:w="5490" w:type="dxa"/>
            <w:tcBorders>
              <w:left w:val="single" w:sz="4" w:space="0" w:color="FAFAFA" w:themeColor="accent6"/>
            </w:tcBorders>
          </w:tcPr>
          <w:p w14:paraId="01469F54" w14:textId="105E735B" w:rsidR="00614DC0" w:rsidRPr="004D0850" w:rsidRDefault="00581B72" w:rsidP="00EB2823">
            <w:pPr>
              <w:spacing w:before="120" w:after="120" w:line="264" w:lineRule="auto"/>
              <w:rPr>
                <w:lang w:eastAsia="en-US" w:bidi="ar-SA"/>
              </w:rPr>
            </w:pPr>
            <w:r w:rsidRPr="00581B72">
              <w:rPr>
                <w:lang w:eastAsia="en-US" w:bidi="ar-SA"/>
              </w:rPr>
              <w:t>Beyond high-level emission reduction targets and long-term scenarios, no positive, shared and whole-system vision of Australia’s future power systems currently exists to enable sectoral alignment on an integrated suite of medium and long-term transformative action</w:t>
            </w:r>
            <w:r w:rsidR="00374950">
              <w:rPr>
                <w:lang w:eastAsia="en-US" w:bidi="ar-SA"/>
              </w:rPr>
              <w:t xml:space="preserve">. </w:t>
            </w:r>
          </w:p>
        </w:tc>
      </w:tr>
      <w:tr w:rsidR="0011039B" w:rsidRPr="00491D97" w14:paraId="729AA697" w14:textId="77777777" w:rsidTr="00FC5E50">
        <w:tc>
          <w:tcPr>
            <w:tcW w:w="2727" w:type="dxa"/>
            <w:tcBorders>
              <w:top w:val="single" w:sz="4" w:space="0" w:color="FAFAFA" w:themeColor="accent6"/>
              <w:left w:val="single" w:sz="4" w:space="0" w:color="auto"/>
              <w:bottom w:val="single" w:sz="4" w:space="0" w:color="FAFAFA" w:themeColor="accent6"/>
              <w:right w:val="single" w:sz="4" w:space="0" w:color="FAFAFA" w:themeColor="accent6"/>
            </w:tcBorders>
            <w:shd w:val="clear" w:color="auto" w:fill="067296" w:themeFill="text2"/>
          </w:tcPr>
          <w:p w14:paraId="138849FE" w14:textId="6892895D" w:rsidR="0011039B" w:rsidRPr="002C72C2" w:rsidRDefault="0011039B" w:rsidP="00954BAC">
            <w:pPr>
              <w:pStyle w:val="ListParagraph"/>
              <w:numPr>
                <w:ilvl w:val="0"/>
                <w:numId w:val="41"/>
              </w:numPr>
              <w:spacing w:line="264" w:lineRule="auto"/>
              <w:ind w:left="312" w:right="33" w:hanging="312"/>
              <w:rPr>
                <w:rFonts w:ascii="PP Mori SemiBold" w:hAnsi="PP Mori SemiBold"/>
                <w:color w:val="FAFAFA" w:themeColor="background1"/>
                <w:lang w:eastAsia="en-US" w:bidi="ar-SA"/>
              </w:rPr>
            </w:pPr>
            <w:r w:rsidRPr="002C72C2">
              <w:rPr>
                <w:rFonts w:ascii="PP Mori SemiBold" w:hAnsi="PP Mori SemiBold"/>
                <w:color w:val="FAFAFA" w:themeColor="background1"/>
                <w:lang w:eastAsia="en-US" w:bidi="ar-SA"/>
              </w:rPr>
              <w:t>Inadequate Complexity Management</w:t>
            </w:r>
          </w:p>
        </w:tc>
        <w:tc>
          <w:tcPr>
            <w:tcW w:w="5490" w:type="dxa"/>
            <w:tcBorders>
              <w:left w:val="single" w:sz="4" w:space="0" w:color="FAFAFA" w:themeColor="accent6"/>
            </w:tcBorders>
            <w:vAlign w:val="center"/>
          </w:tcPr>
          <w:p w14:paraId="6E8B5722" w14:textId="5DC016A7" w:rsidR="0011039B" w:rsidRPr="004D0850" w:rsidRDefault="009C4E79" w:rsidP="00EB2823">
            <w:pPr>
              <w:spacing w:before="120" w:after="120" w:line="264" w:lineRule="auto"/>
              <w:rPr>
                <w:lang w:eastAsia="en-US" w:bidi="ar-SA"/>
              </w:rPr>
            </w:pPr>
            <w:r w:rsidRPr="009C4E79">
              <w:rPr>
                <w:lang w:eastAsia="en-US" w:bidi="ar-SA"/>
              </w:rPr>
              <w:t>As an ultra-complex 'system of systems' undergoing profound structural and functional shifts, reliability, cost-efficiency and scaling risks escalate by orders of magnitude where formal systems-based tools and methodologies designed to manage large-scale complexity are not actively employed.</w:t>
            </w:r>
          </w:p>
        </w:tc>
      </w:tr>
      <w:tr w:rsidR="0011039B" w:rsidRPr="00491D97" w14:paraId="138DD847" w14:textId="77777777" w:rsidTr="00FC5E50">
        <w:tc>
          <w:tcPr>
            <w:tcW w:w="2727" w:type="dxa"/>
            <w:tcBorders>
              <w:top w:val="single" w:sz="4" w:space="0" w:color="FAFAFA" w:themeColor="accent6"/>
              <w:left w:val="single" w:sz="4" w:space="0" w:color="auto"/>
              <w:bottom w:val="single" w:sz="4" w:space="0" w:color="auto"/>
              <w:right w:val="single" w:sz="4" w:space="0" w:color="FAFAFA" w:themeColor="accent6"/>
            </w:tcBorders>
            <w:shd w:val="clear" w:color="auto" w:fill="067296" w:themeFill="text2"/>
          </w:tcPr>
          <w:p w14:paraId="33E44C4E" w14:textId="6CDC65BE" w:rsidR="0011039B" w:rsidRPr="002C72C2" w:rsidRDefault="0011039B" w:rsidP="00954BAC">
            <w:pPr>
              <w:pStyle w:val="ListParagraph"/>
              <w:numPr>
                <w:ilvl w:val="0"/>
                <w:numId w:val="41"/>
              </w:numPr>
              <w:spacing w:line="264" w:lineRule="auto"/>
              <w:ind w:left="312" w:right="33" w:hanging="312"/>
              <w:rPr>
                <w:rFonts w:ascii="PP Mori SemiBold" w:hAnsi="PP Mori SemiBold"/>
                <w:color w:val="FAFAFA" w:themeColor="background1"/>
                <w:lang w:eastAsia="en-US" w:bidi="ar-SA"/>
              </w:rPr>
            </w:pPr>
            <w:r w:rsidRPr="002C72C2">
              <w:rPr>
                <w:rFonts w:ascii="PP Mori SemiBold" w:hAnsi="PP Mori SemiBold"/>
                <w:color w:val="FAFAFA" w:themeColor="background1"/>
                <w:lang w:eastAsia="en-US" w:bidi="ar-SA"/>
              </w:rPr>
              <w:t>Benefits Realisation Risks</w:t>
            </w:r>
          </w:p>
        </w:tc>
        <w:tc>
          <w:tcPr>
            <w:tcW w:w="5490" w:type="dxa"/>
            <w:tcBorders>
              <w:bottom w:val="single" w:sz="4" w:space="0" w:color="auto"/>
            </w:tcBorders>
            <w:vAlign w:val="center"/>
          </w:tcPr>
          <w:p w14:paraId="585016F7" w14:textId="51AC8DB3" w:rsidR="0011039B" w:rsidRPr="002C72C2" w:rsidRDefault="0011039B" w:rsidP="00EB2823">
            <w:pPr>
              <w:spacing w:before="120" w:after="120" w:line="264" w:lineRule="auto"/>
              <w:rPr>
                <w:lang w:eastAsia="en-US" w:bidi="ar-SA"/>
              </w:rPr>
            </w:pPr>
            <w:r w:rsidRPr="002C72C2">
              <w:rPr>
                <w:lang w:eastAsia="en-US" w:bidi="ar-SA"/>
              </w:rPr>
              <w:t>Conventionally siloed, issue-in-isolation approaches to change</w:t>
            </w:r>
            <w:r w:rsidR="00C52859">
              <w:rPr>
                <w:lang w:eastAsia="en-US" w:bidi="ar-SA"/>
              </w:rPr>
              <w:t>,</w:t>
            </w:r>
            <w:r w:rsidRPr="002C72C2">
              <w:rPr>
                <w:lang w:eastAsia="en-US" w:bidi="ar-SA"/>
              </w:rPr>
              <w:t xml:space="preserve"> and the absence of formal models for holistic system transformation</w:t>
            </w:r>
            <w:r w:rsidR="00DD641E">
              <w:rPr>
                <w:lang w:eastAsia="en-US" w:bidi="ar-SA"/>
              </w:rPr>
              <w:t>,</w:t>
            </w:r>
            <w:r w:rsidRPr="002C72C2">
              <w:rPr>
                <w:lang w:eastAsia="en-US" w:bidi="ar-SA"/>
              </w:rPr>
              <w:t xml:space="preserve"> place the realisation of $-billions of optimisation benefits for customers, society and the system at significant risk. </w:t>
            </w:r>
          </w:p>
        </w:tc>
      </w:tr>
      <w:tr w:rsidR="0011039B" w:rsidRPr="008B2BA6" w14:paraId="3851BC10" w14:textId="77777777" w:rsidTr="008F2E81">
        <w:tc>
          <w:tcPr>
            <w:tcW w:w="8217" w:type="dxa"/>
            <w:gridSpan w:val="2"/>
            <w:tcBorders>
              <w:top w:val="single" w:sz="4" w:space="0" w:color="auto"/>
              <w:left w:val="single" w:sz="4" w:space="0" w:color="auto"/>
              <w:bottom w:val="single" w:sz="4" w:space="0" w:color="auto"/>
            </w:tcBorders>
          </w:tcPr>
          <w:p w14:paraId="0EDFBC91" w14:textId="3E88C250" w:rsidR="0011039B" w:rsidRPr="002C72C2" w:rsidRDefault="0011039B" w:rsidP="00EB2823">
            <w:pPr>
              <w:spacing w:before="120" w:after="120" w:line="264" w:lineRule="auto"/>
              <w:jc w:val="center"/>
              <w:rPr>
                <w:rFonts w:ascii="PP Mori SemiBold" w:hAnsi="PP Mori SemiBold"/>
                <w:color w:val="013C4C" w:themeColor="text1"/>
                <w:sz w:val="20"/>
                <w:szCs w:val="32"/>
                <w:lang w:eastAsia="en-US" w:bidi="ar-SA"/>
              </w:rPr>
            </w:pPr>
            <w:r w:rsidRPr="002C72C2">
              <w:rPr>
                <w:rFonts w:ascii="PP Mori SemiBold" w:hAnsi="PP Mori SemiBold"/>
                <w:color w:val="013C4C" w:themeColor="text1"/>
                <w:sz w:val="20"/>
                <w:szCs w:val="32"/>
                <w:lang w:eastAsia="en-US" w:bidi="ar-SA"/>
              </w:rPr>
              <w:t>2</w:t>
            </w:r>
            <w:r w:rsidR="00374950">
              <w:rPr>
                <w:rFonts w:ascii="PP Mori SemiBold" w:hAnsi="PP Mori SemiBold"/>
                <w:color w:val="013C4C" w:themeColor="text1"/>
                <w:sz w:val="20"/>
                <w:szCs w:val="32"/>
                <w:lang w:eastAsia="en-US" w:bidi="ar-SA"/>
              </w:rPr>
              <w:t xml:space="preserve">. </w:t>
            </w:r>
            <w:r w:rsidRPr="002C72C2">
              <w:rPr>
                <w:rFonts w:ascii="PP Mori SemiBold" w:hAnsi="PP Mori SemiBold"/>
                <w:color w:val="013C4C" w:themeColor="text1"/>
                <w:sz w:val="20"/>
                <w:szCs w:val="32"/>
                <w:lang w:eastAsia="en-US" w:bidi="ar-SA"/>
              </w:rPr>
              <w:t>Core Structural &amp; Operability Issues</w:t>
            </w:r>
          </w:p>
        </w:tc>
      </w:tr>
      <w:tr w:rsidR="0011039B" w:rsidRPr="00BC6C85" w14:paraId="47E2AC1C" w14:textId="77777777" w:rsidTr="00FC5E50">
        <w:tc>
          <w:tcPr>
            <w:tcW w:w="2727" w:type="dxa"/>
            <w:tcBorders>
              <w:top w:val="single" w:sz="4" w:space="0" w:color="auto"/>
              <w:left w:val="single" w:sz="4" w:space="0" w:color="auto"/>
              <w:bottom w:val="single" w:sz="4" w:space="0" w:color="FAFAFA" w:themeColor="accent6"/>
              <w:right w:val="single" w:sz="4" w:space="0" w:color="FAFAFA" w:themeColor="accent6"/>
            </w:tcBorders>
            <w:shd w:val="clear" w:color="auto" w:fill="067296" w:themeFill="text2"/>
          </w:tcPr>
          <w:p w14:paraId="0C73C30A" w14:textId="15DA83C0" w:rsidR="0011039B" w:rsidRPr="00BC6C85" w:rsidRDefault="0013305F" w:rsidP="00954BAC">
            <w:pPr>
              <w:pStyle w:val="ListParagraph"/>
              <w:numPr>
                <w:ilvl w:val="0"/>
                <w:numId w:val="42"/>
              </w:numPr>
              <w:spacing w:line="264" w:lineRule="auto"/>
              <w:ind w:left="312" w:right="34"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 xml:space="preserve">Foundational </w:t>
            </w:r>
            <w:r w:rsidR="0011039B" w:rsidRPr="00BC6C85">
              <w:rPr>
                <w:rFonts w:ascii="PP Mori SemiBold" w:hAnsi="PP Mori SemiBold"/>
                <w:color w:val="FAFAFA" w:themeColor="background1"/>
                <w:lang w:eastAsia="en-US" w:bidi="ar-SA"/>
              </w:rPr>
              <w:t>Structural Shifts</w:t>
            </w:r>
          </w:p>
        </w:tc>
        <w:tc>
          <w:tcPr>
            <w:tcW w:w="5490" w:type="dxa"/>
          </w:tcPr>
          <w:p w14:paraId="500E1905" w14:textId="0B9AF5C7" w:rsidR="0011039B" w:rsidRPr="00BC6C85" w:rsidRDefault="002A31F4" w:rsidP="00EB2823">
            <w:pPr>
              <w:spacing w:before="120" w:after="120" w:line="264" w:lineRule="auto"/>
              <w:rPr>
                <w:lang w:eastAsia="en-US" w:bidi="ar-SA"/>
              </w:rPr>
            </w:pPr>
            <w:r w:rsidRPr="00BC6C85">
              <w:rPr>
                <w:lang w:eastAsia="en-US" w:bidi="ar-SA"/>
              </w:rPr>
              <w:t xml:space="preserve">A range of inherent constraints are embedded in </w:t>
            </w:r>
            <w:r w:rsidR="002F2089" w:rsidRPr="00BC6C85">
              <w:rPr>
                <w:lang w:eastAsia="en-US" w:bidi="ar-SA"/>
              </w:rPr>
              <w:t xml:space="preserve">the </w:t>
            </w:r>
            <w:r w:rsidR="00DD641E" w:rsidRPr="00BC6C85">
              <w:rPr>
                <w:lang w:eastAsia="en-US" w:bidi="ar-SA"/>
              </w:rPr>
              <w:t xml:space="preserve">legacy </w:t>
            </w:r>
            <w:r w:rsidRPr="00BC6C85">
              <w:rPr>
                <w:lang w:eastAsia="en-US" w:bidi="ar-SA"/>
              </w:rPr>
              <w:t xml:space="preserve">grid structures </w:t>
            </w:r>
            <w:r w:rsidR="004917F7" w:rsidRPr="00BC6C85">
              <w:rPr>
                <w:lang w:eastAsia="en-US" w:bidi="ar-SA"/>
              </w:rPr>
              <w:t>developed f</w:t>
            </w:r>
            <w:r w:rsidRPr="00BC6C85">
              <w:rPr>
                <w:lang w:eastAsia="en-US" w:bidi="ar-SA"/>
              </w:rPr>
              <w:t>or unidirectional power flow</w:t>
            </w:r>
            <w:r w:rsidR="002F2089" w:rsidRPr="00BC6C85">
              <w:rPr>
                <w:lang w:eastAsia="en-US" w:bidi="ar-SA"/>
              </w:rPr>
              <w:t>s</w:t>
            </w:r>
            <w:r w:rsidRPr="00BC6C85">
              <w:rPr>
                <w:lang w:eastAsia="en-US" w:bidi="ar-SA"/>
              </w:rPr>
              <w:t xml:space="preserve"> and passive consumers</w:t>
            </w:r>
            <w:r w:rsidR="00374950">
              <w:rPr>
                <w:lang w:eastAsia="en-US" w:bidi="ar-SA"/>
              </w:rPr>
              <w:t xml:space="preserve">. </w:t>
            </w:r>
            <w:r w:rsidRPr="00BC6C85">
              <w:rPr>
                <w:lang w:eastAsia="en-US" w:bidi="ar-SA"/>
              </w:rPr>
              <w:t xml:space="preserve">These </w:t>
            </w:r>
            <w:r w:rsidR="004917F7" w:rsidRPr="00BC6C85">
              <w:rPr>
                <w:lang w:eastAsia="en-US" w:bidi="ar-SA"/>
              </w:rPr>
              <w:t xml:space="preserve">constraints </w:t>
            </w:r>
            <w:r w:rsidRPr="00BC6C85">
              <w:rPr>
                <w:lang w:eastAsia="en-US" w:bidi="ar-SA"/>
              </w:rPr>
              <w:t xml:space="preserve">become increasingly </w:t>
            </w:r>
            <w:r w:rsidR="004917F7" w:rsidRPr="00BC6C85">
              <w:rPr>
                <w:lang w:eastAsia="en-US" w:bidi="ar-SA"/>
              </w:rPr>
              <w:t xml:space="preserve">problematic </w:t>
            </w:r>
            <w:r w:rsidRPr="00BC6C85">
              <w:rPr>
                <w:lang w:eastAsia="en-US" w:bidi="ar-SA"/>
              </w:rPr>
              <w:t xml:space="preserve">as </w:t>
            </w:r>
            <w:r w:rsidR="00F6629B" w:rsidRPr="00BC6C85">
              <w:rPr>
                <w:lang w:eastAsia="en-US" w:bidi="ar-SA"/>
              </w:rPr>
              <w:t xml:space="preserve">decarbonisation advances and </w:t>
            </w:r>
            <w:r w:rsidRPr="00BC6C85">
              <w:rPr>
                <w:lang w:eastAsia="en-US" w:bidi="ar-SA"/>
              </w:rPr>
              <w:t xml:space="preserve">power flows become </w:t>
            </w:r>
            <w:r w:rsidR="004917F7" w:rsidRPr="00BC6C85">
              <w:rPr>
                <w:lang w:eastAsia="en-US" w:bidi="ar-SA"/>
              </w:rPr>
              <w:t>more</w:t>
            </w:r>
            <w:r w:rsidRPr="00BC6C85">
              <w:rPr>
                <w:lang w:eastAsia="en-US" w:bidi="ar-SA"/>
              </w:rPr>
              <w:t xml:space="preserve"> bidirectional and volatile</w:t>
            </w:r>
            <w:r w:rsidR="00374950">
              <w:rPr>
                <w:lang w:eastAsia="en-US" w:bidi="ar-SA"/>
              </w:rPr>
              <w:t xml:space="preserve">. </w:t>
            </w:r>
            <w:r w:rsidR="002F2089" w:rsidRPr="00BC6C85">
              <w:rPr>
                <w:lang w:eastAsia="en-US" w:bidi="ar-SA"/>
              </w:rPr>
              <w:t xml:space="preserve">Impacting the </w:t>
            </w:r>
            <w:r w:rsidRPr="00BC6C85">
              <w:rPr>
                <w:lang w:eastAsia="en-US" w:bidi="ar-SA"/>
              </w:rPr>
              <w:t xml:space="preserve">various segments </w:t>
            </w:r>
            <w:r w:rsidR="002F2089" w:rsidRPr="00BC6C85">
              <w:rPr>
                <w:lang w:eastAsia="en-US" w:bidi="ar-SA"/>
              </w:rPr>
              <w:t xml:space="preserve">of the </w:t>
            </w:r>
            <w:r w:rsidRPr="00BC6C85">
              <w:rPr>
                <w:lang w:eastAsia="en-US" w:bidi="ar-SA"/>
              </w:rPr>
              <w:t xml:space="preserve">grid, </w:t>
            </w:r>
            <w:r w:rsidR="002F2089" w:rsidRPr="00BC6C85">
              <w:rPr>
                <w:lang w:eastAsia="en-US" w:bidi="ar-SA"/>
              </w:rPr>
              <w:t xml:space="preserve">their impact is </w:t>
            </w:r>
            <w:r w:rsidRPr="00BC6C85">
              <w:rPr>
                <w:lang w:eastAsia="en-US" w:bidi="ar-SA"/>
              </w:rPr>
              <w:t>compounded where no single entity is responsible to ensure the system architecture of the end-to-end system is both scalable and future ready</w:t>
            </w:r>
            <w:r w:rsidR="00374950">
              <w:rPr>
                <w:lang w:eastAsia="en-US" w:bidi="ar-SA"/>
              </w:rPr>
              <w:t xml:space="preserve">. </w:t>
            </w:r>
          </w:p>
        </w:tc>
      </w:tr>
      <w:tr w:rsidR="0011039B" w:rsidRPr="00BC6C85" w14:paraId="60D5C7FE" w14:textId="77777777" w:rsidTr="00FC5E50">
        <w:tc>
          <w:tcPr>
            <w:tcW w:w="2727" w:type="dxa"/>
            <w:tcBorders>
              <w:top w:val="single" w:sz="4" w:space="0" w:color="FAFAFA" w:themeColor="accent6"/>
              <w:left w:val="single" w:sz="4" w:space="0" w:color="auto"/>
              <w:bottom w:val="single" w:sz="4" w:space="0" w:color="FAFAFA" w:themeColor="accent6"/>
              <w:right w:val="single" w:sz="4" w:space="0" w:color="FAFAFA" w:themeColor="accent6"/>
            </w:tcBorders>
            <w:shd w:val="clear" w:color="auto" w:fill="067296" w:themeFill="text2"/>
          </w:tcPr>
          <w:p w14:paraId="20AD6B2E" w14:textId="21D08E71" w:rsidR="0011039B" w:rsidRPr="00BC6C85" w:rsidRDefault="0011039B" w:rsidP="00954BAC">
            <w:pPr>
              <w:pStyle w:val="ListParagraph"/>
              <w:numPr>
                <w:ilvl w:val="0"/>
                <w:numId w:val="42"/>
              </w:numPr>
              <w:spacing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Operational Visibility Risks</w:t>
            </w:r>
          </w:p>
        </w:tc>
        <w:tc>
          <w:tcPr>
            <w:tcW w:w="5490" w:type="dxa"/>
          </w:tcPr>
          <w:p w14:paraId="37F58400" w14:textId="7A0D353F" w:rsidR="0011039B" w:rsidRPr="00BC6C85" w:rsidRDefault="0011039B" w:rsidP="00EB2823">
            <w:pPr>
              <w:spacing w:before="120" w:after="120" w:line="264" w:lineRule="auto"/>
              <w:rPr>
                <w:lang w:eastAsia="en-US" w:bidi="ar-SA"/>
              </w:rPr>
            </w:pPr>
            <w:r w:rsidRPr="00BC6C85">
              <w:rPr>
                <w:lang w:eastAsia="en-US" w:bidi="ar-SA"/>
              </w:rPr>
              <w:t xml:space="preserve">As </w:t>
            </w:r>
            <w:r w:rsidR="00E8573E" w:rsidRPr="00BC6C85">
              <w:rPr>
                <w:lang w:eastAsia="en-US" w:bidi="ar-SA"/>
              </w:rPr>
              <w:t>profound</w:t>
            </w:r>
            <w:r w:rsidRPr="00BC6C85">
              <w:rPr>
                <w:lang w:eastAsia="en-US" w:bidi="ar-SA"/>
              </w:rPr>
              <w:t xml:space="preserve"> structural and operational shifts increase, the lack of a layered, end-to-end approach for providing operational visibility, especially of the growing fleet of millions of CER/DER, risks compromising the operability, reliability and cost-efficiency of the bulk power, transmission and distribution systems serving the NEM</w:t>
            </w:r>
            <w:r w:rsidR="00E8573E" w:rsidRPr="00BC6C85">
              <w:rPr>
                <w:lang w:eastAsia="en-US" w:bidi="ar-SA"/>
              </w:rPr>
              <w:t xml:space="preserve"> and WEM</w:t>
            </w:r>
            <w:r w:rsidR="00374950">
              <w:rPr>
                <w:lang w:eastAsia="en-US" w:bidi="ar-SA"/>
              </w:rPr>
              <w:t xml:space="preserve">. </w:t>
            </w:r>
          </w:p>
        </w:tc>
      </w:tr>
    </w:tbl>
    <w:p w14:paraId="53E37432" w14:textId="77777777" w:rsidR="00592DE8" w:rsidRPr="00BC6C85" w:rsidRDefault="00592DE8" w:rsidP="00EB2823">
      <w:pPr>
        <w:spacing w:line="264" w:lineRule="auto"/>
      </w:pPr>
      <w:r w:rsidRPr="00BC6C85">
        <w:br w:type="page"/>
      </w:r>
    </w:p>
    <w:tbl>
      <w:tblPr>
        <w:tblStyle w:val="TableGrid"/>
        <w:tblW w:w="8217" w:type="dxa"/>
        <w:tblLook w:val="04A0" w:firstRow="1" w:lastRow="0" w:firstColumn="1" w:lastColumn="0" w:noHBand="0" w:noVBand="1"/>
      </w:tblPr>
      <w:tblGrid>
        <w:gridCol w:w="2727"/>
        <w:gridCol w:w="5490"/>
      </w:tblGrid>
      <w:tr w:rsidR="008C4C3C" w:rsidRPr="00BC6C85" w14:paraId="53882603" w14:textId="77777777" w:rsidTr="00FC5E50">
        <w:tc>
          <w:tcPr>
            <w:tcW w:w="2727" w:type="dxa"/>
            <w:tcBorders>
              <w:top w:val="single" w:sz="4" w:space="0" w:color="FAFAFA" w:themeColor="accent6"/>
              <w:left w:val="single" w:sz="4" w:space="0" w:color="auto"/>
              <w:bottom w:val="single" w:sz="4" w:space="0" w:color="FAFAFA" w:themeColor="accent6"/>
              <w:right w:val="single" w:sz="4" w:space="0" w:color="FAFAFA" w:themeColor="accent6"/>
            </w:tcBorders>
            <w:shd w:val="clear" w:color="auto" w:fill="067296" w:themeFill="text2"/>
          </w:tcPr>
          <w:p w14:paraId="2C9D2A5D" w14:textId="5132941E" w:rsidR="008C4C3C" w:rsidRPr="00BC6C85" w:rsidRDefault="008C4C3C" w:rsidP="00954BAC">
            <w:pPr>
              <w:pStyle w:val="ListParagraph"/>
              <w:numPr>
                <w:ilvl w:val="0"/>
                <w:numId w:val="42"/>
              </w:numPr>
              <w:spacing w:before="80" w:after="80"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 xml:space="preserve">System </w:t>
            </w:r>
            <w:r w:rsidR="00592DE8" w:rsidRPr="00BC6C85">
              <w:rPr>
                <w:rFonts w:ascii="PP Mori SemiBold" w:hAnsi="PP Mori SemiBold"/>
                <w:color w:val="FAFAFA" w:themeColor="background1"/>
                <w:lang w:eastAsia="en-US" w:bidi="ar-SA"/>
              </w:rPr>
              <w:t xml:space="preserve">Coordination &amp; </w:t>
            </w:r>
            <w:r w:rsidRPr="00BC6C85">
              <w:rPr>
                <w:rFonts w:ascii="PP Mori SemiBold" w:hAnsi="PP Mori SemiBold"/>
                <w:color w:val="FAFAFA" w:themeColor="background1"/>
                <w:lang w:eastAsia="en-US" w:bidi="ar-SA"/>
              </w:rPr>
              <w:t>Balancing Risks</w:t>
            </w:r>
          </w:p>
        </w:tc>
        <w:tc>
          <w:tcPr>
            <w:tcW w:w="5490" w:type="dxa"/>
            <w:tcBorders>
              <w:top w:val="single" w:sz="4" w:space="0" w:color="auto"/>
              <w:left w:val="single" w:sz="4" w:space="0" w:color="auto"/>
              <w:bottom w:val="single" w:sz="4" w:space="0" w:color="auto"/>
              <w:right w:val="single" w:sz="4" w:space="0" w:color="auto"/>
            </w:tcBorders>
            <w:vAlign w:val="center"/>
          </w:tcPr>
          <w:p w14:paraId="246F0E66" w14:textId="2CE0B033" w:rsidR="008C4C3C" w:rsidRPr="00BC6C85" w:rsidRDefault="0030452D" w:rsidP="00CC55F4">
            <w:pPr>
              <w:spacing w:before="80" w:after="80" w:line="264" w:lineRule="auto"/>
              <w:rPr>
                <w:lang w:eastAsia="en-US" w:bidi="ar-SA"/>
              </w:rPr>
            </w:pPr>
            <w:r w:rsidRPr="00BC6C85">
              <w:rPr>
                <w:lang w:eastAsia="en-US" w:bidi="ar-SA"/>
              </w:rPr>
              <w:t>B</w:t>
            </w:r>
            <w:r w:rsidR="004274B1" w:rsidRPr="00BC6C85">
              <w:rPr>
                <w:lang w:eastAsia="en-US" w:bidi="ar-SA"/>
              </w:rPr>
              <w:t>idirectional power flows and operational volatility</w:t>
            </w:r>
            <w:r w:rsidR="008F01C9" w:rsidRPr="00BC6C85">
              <w:rPr>
                <w:lang w:eastAsia="en-US" w:bidi="ar-SA"/>
              </w:rPr>
              <w:t xml:space="preserve"> are increasing </w:t>
            </w:r>
            <w:r w:rsidR="004274B1" w:rsidRPr="00BC6C85">
              <w:rPr>
                <w:lang w:eastAsia="en-US" w:bidi="ar-SA"/>
              </w:rPr>
              <w:t xml:space="preserve">as dispatchable, synchronous generation is </w:t>
            </w:r>
            <w:r w:rsidR="008F01C9" w:rsidRPr="00BC6C85">
              <w:rPr>
                <w:lang w:eastAsia="en-US" w:bidi="ar-SA"/>
              </w:rPr>
              <w:t xml:space="preserve">being </w:t>
            </w:r>
            <w:r w:rsidR="004274B1" w:rsidRPr="00BC6C85">
              <w:rPr>
                <w:lang w:eastAsia="en-US" w:bidi="ar-SA"/>
              </w:rPr>
              <w:t>progressively withdrawn</w:t>
            </w:r>
            <w:r w:rsidR="00374950">
              <w:rPr>
                <w:lang w:eastAsia="en-US" w:bidi="ar-SA"/>
              </w:rPr>
              <w:t xml:space="preserve">. </w:t>
            </w:r>
            <w:r w:rsidR="009D6EE4" w:rsidRPr="00BC6C85">
              <w:rPr>
                <w:lang w:eastAsia="en-US" w:bidi="ar-SA"/>
              </w:rPr>
              <w:t xml:space="preserve">As </w:t>
            </w:r>
            <w:r w:rsidR="00BA3B29" w:rsidRPr="00BC6C85">
              <w:rPr>
                <w:lang w:eastAsia="en-US" w:bidi="ar-SA"/>
              </w:rPr>
              <w:t>the NEM and WEM t</w:t>
            </w:r>
            <w:r w:rsidR="009D6EE4" w:rsidRPr="00BC6C85">
              <w:rPr>
                <w:lang w:eastAsia="en-US" w:bidi="ar-SA"/>
              </w:rPr>
              <w:t xml:space="preserve">ransition from hundreds to </w:t>
            </w:r>
            <w:r w:rsidR="00BA3B29" w:rsidRPr="00BC6C85">
              <w:rPr>
                <w:lang w:eastAsia="en-US" w:bidi="ar-SA"/>
              </w:rPr>
              <w:t xml:space="preserve">many </w:t>
            </w:r>
            <w:r w:rsidR="009D6EE4" w:rsidRPr="00BC6C85">
              <w:rPr>
                <w:lang w:eastAsia="en-US" w:bidi="ar-SA"/>
              </w:rPr>
              <w:t>millions of participating resources, t</w:t>
            </w:r>
            <w:r w:rsidR="004274B1" w:rsidRPr="00BC6C85">
              <w:rPr>
                <w:lang w:eastAsia="en-US" w:bidi="ar-SA"/>
              </w:rPr>
              <w:t xml:space="preserve">he </w:t>
            </w:r>
            <w:r w:rsidR="00B60621" w:rsidRPr="00BC6C85">
              <w:rPr>
                <w:lang w:eastAsia="en-US" w:bidi="ar-SA"/>
              </w:rPr>
              <w:t xml:space="preserve">absence of </w:t>
            </w:r>
            <w:r w:rsidR="004274B1" w:rsidRPr="00BC6C85">
              <w:rPr>
                <w:lang w:eastAsia="en-US" w:bidi="ar-SA"/>
              </w:rPr>
              <w:t xml:space="preserve">layered, end-to-end </w:t>
            </w:r>
            <w:r w:rsidR="009821C9" w:rsidRPr="00BC6C85">
              <w:rPr>
                <w:lang w:eastAsia="en-US" w:bidi="ar-SA"/>
              </w:rPr>
              <w:t xml:space="preserve">models for </w:t>
            </w:r>
            <w:r w:rsidR="004274B1" w:rsidRPr="00BC6C85">
              <w:rPr>
                <w:lang w:eastAsia="en-US" w:bidi="ar-SA"/>
              </w:rPr>
              <w:t xml:space="preserve">operational coordination </w:t>
            </w:r>
            <w:r w:rsidR="002F3BC5" w:rsidRPr="00BC6C85">
              <w:rPr>
                <w:lang w:eastAsia="en-US" w:bidi="ar-SA"/>
              </w:rPr>
              <w:t>will place</w:t>
            </w:r>
            <w:r w:rsidR="004274B1" w:rsidRPr="00BC6C85">
              <w:rPr>
                <w:lang w:eastAsia="en-US" w:bidi="ar-SA"/>
              </w:rPr>
              <w:t xml:space="preserve"> instantaneous system balancing and overall economic efficiency at growing risk</w:t>
            </w:r>
            <w:r w:rsidR="00374950">
              <w:rPr>
                <w:lang w:eastAsia="en-US" w:bidi="ar-SA"/>
              </w:rPr>
              <w:t xml:space="preserve">. </w:t>
            </w:r>
          </w:p>
        </w:tc>
      </w:tr>
      <w:tr w:rsidR="008C4C3C" w:rsidRPr="00BC6C85" w14:paraId="483CF096" w14:textId="77777777" w:rsidTr="00FC5E50">
        <w:tc>
          <w:tcPr>
            <w:tcW w:w="2727" w:type="dxa"/>
            <w:tcBorders>
              <w:top w:val="single" w:sz="4" w:space="0" w:color="FAFAFA" w:themeColor="accent6"/>
              <w:left w:val="single" w:sz="4" w:space="0" w:color="auto"/>
              <w:bottom w:val="single" w:sz="4" w:space="0" w:color="FAFAFA" w:themeColor="accent6"/>
              <w:right w:val="single" w:sz="4" w:space="0" w:color="FAFAFA" w:themeColor="accent6"/>
            </w:tcBorders>
            <w:shd w:val="clear" w:color="auto" w:fill="067296" w:themeFill="text2"/>
          </w:tcPr>
          <w:p w14:paraId="45E94CFA" w14:textId="3079C13E" w:rsidR="008C4C3C" w:rsidRPr="00BC6C85" w:rsidRDefault="0000111B" w:rsidP="00954BAC">
            <w:pPr>
              <w:pStyle w:val="ListParagraph"/>
              <w:numPr>
                <w:ilvl w:val="0"/>
                <w:numId w:val="42"/>
              </w:numPr>
              <w:spacing w:before="80" w:after="80"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 xml:space="preserve">Whole-system </w:t>
            </w:r>
            <w:r w:rsidR="008C4C3C" w:rsidRPr="00BC6C85">
              <w:rPr>
                <w:rFonts w:ascii="PP Mori SemiBold" w:hAnsi="PP Mori SemiBold"/>
                <w:color w:val="FAFAFA" w:themeColor="background1"/>
                <w:lang w:eastAsia="en-US" w:bidi="ar-SA"/>
              </w:rPr>
              <w:t>Buffering Needs</w:t>
            </w:r>
          </w:p>
        </w:tc>
        <w:tc>
          <w:tcPr>
            <w:tcW w:w="5490" w:type="dxa"/>
            <w:tcBorders>
              <w:top w:val="single" w:sz="4" w:space="0" w:color="auto"/>
              <w:left w:val="single" w:sz="4" w:space="0" w:color="auto"/>
              <w:bottom w:val="single" w:sz="4" w:space="0" w:color="auto"/>
              <w:right w:val="single" w:sz="4" w:space="0" w:color="auto"/>
            </w:tcBorders>
            <w:vAlign w:val="center"/>
          </w:tcPr>
          <w:p w14:paraId="223AE3AC" w14:textId="04AA8D6F" w:rsidR="008C4C3C" w:rsidRPr="00BC6C85" w:rsidRDefault="008C4C3C" w:rsidP="00CC55F4">
            <w:pPr>
              <w:spacing w:before="80" w:after="80" w:line="264" w:lineRule="auto"/>
              <w:rPr>
                <w:lang w:eastAsia="en-US" w:bidi="ar-SA"/>
              </w:rPr>
            </w:pPr>
            <w:r w:rsidRPr="00BC6C85">
              <w:rPr>
                <w:lang w:eastAsia="en-US" w:bidi="ar-SA"/>
              </w:rPr>
              <w:t>As a growing proportion of renewable generation is deployed, unprecedented level</w:t>
            </w:r>
            <w:r w:rsidR="00A622F2" w:rsidRPr="00BC6C85">
              <w:rPr>
                <w:lang w:eastAsia="en-US" w:bidi="ar-SA"/>
              </w:rPr>
              <w:t>s</w:t>
            </w:r>
            <w:r w:rsidRPr="00BC6C85">
              <w:rPr>
                <w:lang w:eastAsia="en-US" w:bidi="ar-SA"/>
              </w:rPr>
              <w:t xml:space="preserve"> of power flow volatility </w:t>
            </w:r>
            <w:r w:rsidR="00A622F2" w:rsidRPr="00BC6C85">
              <w:rPr>
                <w:lang w:eastAsia="en-US" w:bidi="ar-SA"/>
              </w:rPr>
              <w:t>are</w:t>
            </w:r>
            <w:r w:rsidRPr="00BC6C85">
              <w:rPr>
                <w:lang w:eastAsia="en-US" w:bidi="ar-SA"/>
              </w:rPr>
              <w:t xml:space="preserve"> propagated across the end-to-end system</w:t>
            </w:r>
            <w:r w:rsidR="00374950">
              <w:rPr>
                <w:lang w:eastAsia="en-US" w:bidi="ar-SA"/>
              </w:rPr>
              <w:t xml:space="preserve">. </w:t>
            </w:r>
            <w:r w:rsidRPr="00BC6C85">
              <w:rPr>
                <w:lang w:eastAsia="en-US" w:bidi="ar-SA"/>
              </w:rPr>
              <w:t>While most complex systems and supply chains have internal buffering mechanisms (e.g. warehouses, storage tanks), these have not been widely available in conventional power systems</w:t>
            </w:r>
            <w:r w:rsidR="00374950">
              <w:rPr>
                <w:lang w:eastAsia="en-US" w:bidi="ar-SA"/>
              </w:rPr>
              <w:t xml:space="preserve">. </w:t>
            </w:r>
            <w:r w:rsidRPr="00BC6C85">
              <w:rPr>
                <w:lang w:eastAsia="en-US" w:bidi="ar-SA"/>
              </w:rPr>
              <w:t xml:space="preserve">Given the scale of </w:t>
            </w:r>
            <w:r w:rsidR="00E1329C" w:rsidRPr="00BC6C85">
              <w:rPr>
                <w:lang w:eastAsia="en-US" w:bidi="ar-SA"/>
              </w:rPr>
              <w:t>Variable Renewable Energy (</w:t>
            </w:r>
            <w:r w:rsidRPr="00BC6C85">
              <w:rPr>
                <w:lang w:eastAsia="en-US" w:bidi="ar-SA"/>
              </w:rPr>
              <w:t>VRE</w:t>
            </w:r>
            <w:r w:rsidR="00E1329C" w:rsidRPr="00BC6C85">
              <w:rPr>
                <w:lang w:eastAsia="en-US" w:bidi="ar-SA"/>
              </w:rPr>
              <w:t>)</w:t>
            </w:r>
            <w:r w:rsidRPr="00BC6C85">
              <w:rPr>
                <w:lang w:eastAsia="en-US" w:bidi="ar-SA"/>
              </w:rPr>
              <w:t xml:space="preserve"> and CER/DER deployment underway, a targeted and whole-system approach to deploying energy storage for system buffering will be required to augment system balancing and operational coordination</w:t>
            </w:r>
            <w:r w:rsidR="00374950">
              <w:rPr>
                <w:lang w:eastAsia="en-US" w:bidi="ar-SA"/>
              </w:rPr>
              <w:t xml:space="preserve">. </w:t>
            </w:r>
          </w:p>
        </w:tc>
      </w:tr>
      <w:tr w:rsidR="008C4C3C" w:rsidRPr="00BC6C85" w14:paraId="51F34229" w14:textId="77777777" w:rsidTr="00FC5E50">
        <w:tc>
          <w:tcPr>
            <w:tcW w:w="2727" w:type="dxa"/>
            <w:tcBorders>
              <w:top w:val="single" w:sz="4" w:space="0" w:color="FAFAFA" w:themeColor="accent6"/>
              <w:left w:val="single" w:sz="4" w:space="0" w:color="auto"/>
              <w:bottom w:val="single" w:sz="4" w:space="0" w:color="FAFAFA" w:themeColor="accent6"/>
              <w:right w:val="single" w:sz="4" w:space="0" w:color="FAFAFA" w:themeColor="accent6"/>
            </w:tcBorders>
            <w:shd w:val="clear" w:color="auto" w:fill="067296" w:themeFill="text2"/>
          </w:tcPr>
          <w:p w14:paraId="6DE28F63" w14:textId="7E928D75" w:rsidR="008C4C3C" w:rsidRPr="00BC6C85" w:rsidRDefault="004861A5" w:rsidP="00954BAC">
            <w:pPr>
              <w:pStyle w:val="ListParagraph"/>
              <w:numPr>
                <w:ilvl w:val="0"/>
                <w:numId w:val="42"/>
              </w:numPr>
              <w:spacing w:before="80" w:after="80"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 xml:space="preserve">Multiple </w:t>
            </w:r>
            <w:r w:rsidR="008C4C3C" w:rsidRPr="00BC6C85">
              <w:rPr>
                <w:rFonts w:ascii="PP Mori SemiBold" w:hAnsi="PP Mori SemiBold"/>
                <w:color w:val="FAFAFA" w:themeColor="background1"/>
                <w:lang w:eastAsia="en-US" w:bidi="ar-SA"/>
              </w:rPr>
              <w:t>Aggregator / VPP Risks</w:t>
            </w:r>
          </w:p>
        </w:tc>
        <w:tc>
          <w:tcPr>
            <w:tcW w:w="5490" w:type="dxa"/>
            <w:tcBorders>
              <w:top w:val="single" w:sz="4" w:space="0" w:color="auto"/>
              <w:left w:val="single" w:sz="4" w:space="0" w:color="auto"/>
              <w:bottom w:val="single" w:sz="4" w:space="0" w:color="auto"/>
              <w:right w:val="single" w:sz="4" w:space="0" w:color="auto"/>
            </w:tcBorders>
            <w:vAlign w:val="center"/>
          </w:tcPr>
          <w:p w14:paraId="27A3CCC4" w14:textId="1708996C" w:rsidR="008C4C3C" w:rsidRPr="00BC6C85" w:rsidRDefault="008C4C3C" w:rsidP="00CC55F4">
            <w:pPr>
              <w:spacing w:before="80" w:after="80" w:line="264" w:lineRule="auto"/>
              <w:rPr>
                <w:lang w:eastAsia="en-US" w:bidi="ar-SA"/>
              </w:rPr>
            </w:pPr>
            <w:r w:rsidRPr="00BC6C85">
              <w:rPr>
                <w:lang w:eastAsia="en-US" w:bidi="ar-SA"/>
              </w:rPr>
              <w:t>The involvement of multiple CER/DER aggregators and Virtual Power Plants (VPP) introduces an additional level of structural and functional complexity across several layers of a GW-scale power system</w:t>
            </w:r>
            <w:r w:rsidR="00374950">
              <w:rPr>
                <w:lang w:eastAsia="en-US" w:bidi="ar-SA"/>
              </w:rPr>
              <w:t xml:space="preserve">. </w:t>
            </w:r>
            <w:r w:rsidRPr="00BC6C85">
              <w:rPr>
                <w:lang w:eastAsia="en-US" w:bidi="ar-SA"/>
              </w:rPr>
              <w:t xml:space="preserve">In the absence of a holistic structurally based approach to their integration, system and market operations will face increasing conflicts and inefficiencies where aggregators and VPPs are present at </w:t>
            </w:r>
            <w:r w:rsidR="00340CF2" w:rsidRPr="00BC6C85">
              <w:rPr>
                <w:lang w:eastAsia="en-US" w:bidi="ar-SA"/>
              </w:rPr>
              <w:t xml:space="preserve">significant </w:t>
            </w:r>
            <w:r w:rsidRPr="00BC6C85">
              <w:rPr>
                <w:lang w:eastAsia="en-US" w:bidi="ar-SA"/>
              </w:rPr>
              <w:t xml:space="preserve">scale. </w:t>
            </w:r>
          </w:p>
        </w:tc>
      </w:tr>
      <w:tr w:rsidR="008C4C3C" w:rsidRPr="00BC6C85" w14:paraId="302F3187" w14:textId="77777777" w:rsidTr="00FC5E50">
        <w:tc>
          <w:tcPr>
            <w:tcW w:w="2727" w:type="dxa"/>
            <w:tcBorders>
              <w:top w:val="single" w:sz="4" w:space="0" w:color="FAFAFA" w:themeColor="accent6"/>
              <w:left w:val="single" w:sz="4" w:space="0" w:color="auto"/>
              <w:bottom w:val="single" w:sz="4" w:space="0" w:color="FAFAFA" w:themeColor="accent6"/>
              <w:right w:val="single" w:sz="4" w:space="0" w:color="FAFAFA" w:themeColor="accent6"/>
            </w:tcBorders>
            <w:shd w:val="clear" w:color="auto" w:fill="067296" w:themeFill="text2"/>
          </w:tcPr>
          <w:p w14:paraId="675089CA" w14:textId="1E0CCB4E" w:rsidR="008C4C3C" w:rsidRPr="00BC6C85" w:rsidRDefault="008C4C3C" w:rsidP="00954BAC">
            <w:pPr>
              <w:pStyle w:val="ListParagraph"/>
              <w:numPr>
                <w:ilvl w:val="0"/>
                <w:numId w:val="42"/>
              </w:numPr>
              <w:spacing w:before="80" w:after="80"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Single Point of Failure Risks</w:t>
            </w:r>
          </w:p>
        </w:tc>
        <w:tc>
          <w:tcPr>
            <w:tcW w:w="5490" w:type="dxa"/>
          </w:tcPr>
          <w:p w14:paraId="17C308A4" w14:textId="53624F92" w:rsidR="008C4C3C" w:rsidRPr="00BC6C85" w:rsidRDefault="005C792A" w:rsidP="00CC55F4">
            <w:pPr>
              <w:spacing w:before="80" w:after="80" w:line="264" w:lineRule="auto"/>
              <w:rPr>
                <w:lang w:eastAsia="en-US" w:bidi="ar-SA"/>
              </w:rPr>
            </w:pPr>
            <w:r w:rsidRPr="00BC6C85">
              <w:rPr>
                <w:lang w:eastAsia="en-US" w:bidi="ar-SA"/>
              </w:rPr>
              <w:t xml:space="preserve">Electricity underpins every </w:t>
            </w:r>
            <w:r w:rsidR="0030452D" w:rsidRPr="00BC6C85">
              <w:rPr>
                <w:lang w:eastAsia="en-US" w:bidi="ar-SA"/>
              </w:rPr>
              <w:t>part</w:t>
            </w:r>
            <w:r w:rsidRPr="00BC6C85">
              <w:rPr>
                <w:lang w:eastAsia="en-US" w:bidi="ar-SA"/>
              </w:rPr>
              <w:t xml:space="preserve"> of Australia’s digitalised economy</w:t>
            </w:r>
            <w:r w:rsidR="00374950">
              <w:rPr>
                <w:lang w:eastAsia="en-US" w:bidi="ar-SA"/>
              </w:rPr>
              <w:t xml:space="preserve">. </w:t>
            </w:r>
            <w:r w:rsidRPr="00BC6C85">
              <w:rPr>
                <w:lang w:eastAsia="en-US" w:bidi="ar-SA"/>
              </w:rPr>
              <w:t>Major disruptions rapidly cascade through numerous other societal systems</w:t>
            </w:r>
            <w:r w:rsidR="00374950">
              <w:rPr>
                <w:lang w:eastAsia="en-US" w:bidi="ar-SA"/>
              </w:rPr>
              <w:t xml:space="preserve">. </w:t>
            </w:r>
            <w:r w:rsidRPr="00BC6C85">
              <w:rPr>
                <w:lang w:eastAsia="en-US" w:bidi="ar-SA"/>
              </w:rPr>
              <w:t>Given the highly centralised origins of our power systems, driving toward economy-wide electrification also requires a transition to more modular grid structures designed for resilience and redundancy</w:t>
            </w:r>
            <w:r w:rsidR="00374950">
              <w:rPr>
                <w:lang w:eastAsia="en-US" w:bidi="ar-SA"/>
              </w:rPr>
              <w:t xml:space="preserve">. </w:t>
            </w:r>
            <w:r w:rsidRPr="00BC6C85">
              <w:rPr>
                <w:lang w:eastAsia="en-US" w:bidi="ar-SA"/>
              </w:rPr>
              <w:t>Failing to do so will significantly escalate major single-point-of-failure risks and national security vulnerabilities</w:t>
            </w:r>
            <w:r w:rsidR="00374950">
              <w:rPr>
                <w:lang w:eastAsia="en-US" w:bidi="ar-SA"/>
              </w:rPr>
              <w:t xml:space="preserve">. </w:t>
            </w:r>
          </w:p>
        </w:tc>
      </w:tr>
      <w:tr w:rsidR="008C4C3C" w:rsidRPr="00491D97" w14:paraId="7E4B6CE0" w14:textId="77777777" w:rsidTr="00FC5E50">
        <w:tc>
          <w:tcPr>
            <w:tcW w:w="2727" w:type="dxa"/>
            <w:tcBorders>
              <w:top w:val="single" w:sz="4" w:space="0" w:color="FAFAFA" w:themeColor="accent6"/>
              <w:left w:val="single" w:sz="4" w:space="0" w:color="auto"/>
              <w:bottom w:val="single" w:sz="4" w:space="0" w:color="auto"/>
              <w:right w:val="single" w:sz="4" w:space="0" w:color="FAFAFA" w:themeColor="accent6"/>
            </w:tcBorders>
            <w:shd w:val="clear" w:color="auto" w:fill="067296" w:themeFill="text2"/>
          </w:tcPr>
          <w:p w14:paraId="013C6D92" w14:textId="17E2F4F9" w:rsidR="008C4C3C" w:rsidRPr="00BC6C85" w:rsidRDefault="006853C1" w:rsidP="00954BAC">
            <w:pPr>
              <w:pStyle w:val="ListParagraph"/>
              <w:numPr>
                <w:ilvl w:val="0"/>
                <w:numId w:val="42"/>
              </w:numPr>
              <w:spacing w:before="80" w:after="80"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Modelling &amp; Forecasting Risks</w:t>
            </w:r>
          </w:p>
        </w:tc>
        <w:tc>
          <w:tcPr>
            <w:tcW w:w="5490" w:type="dxa"/>
          </w:tcPr>
          <w:p w14:paraId="06441E4F" w14:textId="1667E941" w:rsidR="008C4C3C" w:rsidRPr="002C72C2" w:rsidRDefault="00D01543" w:rsidP="00CC55F4">
            <w:pPr>
              <w:spacing w:before="80" w:after="80" w:line="264" w:lineRule="auto"/>
              <w:rPr>
                <w:lang w:eastAsia="en-US" w:bidi="ar-SA"/>
              </w:rPr>
            </w:pPr>
            <w:r w:rsidRPr="00BC6C85">
              <w:rPr>
                <w:lang w:eastAsia="en-US" w:bidi="ar-SA"/>
              </w:rPr>
              <w:t>As power systems experience fundamental change in customer participation, technology mix, operational dynamics and enabling structures, the usefulness of existing modelling and forecasting tools is increasingly challenged</w:t>
            </w:r>
            <w:r w:rsidR="00374950">
              <w:rPr>
                <w:lang w:eastAsia="en-US" w:bidi="ar-SA"/>
              </w:rPr>
              <w:t xml:space="preserve">. </w:t>
            </w:r>
            <w:r w:rsidRPr="00BC6C85">
              <w:rPr>
                <w:lang w:eastAsia="en-US" w:bidi="ar-SA"/>
              </w:rPr>
              <w:t>Given their key role in governance, investment and operational decision making, they must be constantly evaluated to ensure their continued adequacy as power system design and operations moves further away from the many legacy assumptions that informed the development of these tools</w:t>
            </w:r>
            <w:r w:rsidR="00374950">
              <w:rPr>
                <w:lang w:eastAsia="en-US" w:bidi="ar-SA"/>
              </w:rPr>
              <w:t xml:space="preserve">. </w:t>
            </w:r>
          </w:p>
        </w:tc>
      </w:tr>
    </w:tbl>
    <w:p w14:paraId="2A1B31B1" w14:textId="77777777" w:rsidR="001814CE" w:rsidRDefault="001814CE" w:rsidP="00EB2823">
      <w:pPr>
        <w:spacing w:line="264" w:lineRule="auto"/>
      </w:pPr>
      <w:r>
        <w:br w:type="page"/>
      </w:r>
    </w:p>
    <w:tbl>
      <w:tblPr>
        <w:tblStyle w:val="TableGrid"/>
        <w:tblW w:w="8217" w:type="dxa"/>
        <w:tblLook w:val="04A0" w:firstRow="1" w:lastRow="0" w:firstColumn="1" w:lastColumn="0" w:noHBand="0" w:noVBand="1"/>
      </w:tblPr>
      <w:tblGrid>
        <w:gridCol w:w="2727"/>
        <w:gridCol w:w="5490"/>
      </w:tblGrid>
      <w:tr w:rsidR="00AB303B" w:rsidRPr="00491D97" w14:paraId="39374041" w14:textId="77777777" w:rsidTr="008F2E81">
        <w:tc>
          <w:tcPr>
            <w:tcW w:w="8217" w:type="dxa"/>
            <w:gridSpan w:val="2"/>
            <w:tcBorders>
              <w:top w:val="single" w:sz="4" w:space="0" w:color="auto"/>
              <w:left w:val="single" w:sz="4" w:space="0" w:color="auto"/>
              <w:bottom w:val="single" w:sz="4" w:space="0" w:color="auto"/>
            </w:tcBorders>
          </w:tcPr>
          <w:p w14:paraId="4261B3B0" w14:textId="70021AB6" w:rsidR="00AB303B" w:rsidRPr="002C72C2" w:rsidRDefault="00AB303B" w:rsidP="00EB2823">
            <w:pPr>
              <w:spacing w:before="120" w:after="120" w:line="264" w:lineRule="auto"/>
              <w:jc w:val="center"/>
              <w:rPr>
                <w:lang w:eastAsia="en-US" w:bidi="ar-SA"/>
              </w:rPr>
            </w:pPr>
            <w:r w:rsidRPr="002C72C2">
              <w:rPr>
                <w:rFonts w:ascii="PP Mori SemiBold" w:hAnsi="PP Mori SemiBold"/>
                <w:color w:val="013C4C" w:themeColor="text1"/>
                <w:sz w:val="20"/>
                <w:szCs w:val="32"/>
                <w:lang w:eastAsia="en-US" w:bidi="ar-SA"/>
              </w:rPr>
              <w:t>3</w:t>
            </w:r>
            <w:r w:rsidR="00374950">
              <w:rPr>
                <w:rFonts w:ascii="PP Mori SemiBold" w:hAnsi="PP Mori SemiBold"/>
                <w:color w:val="013C4C" w:themeColor="text1"/>
                <w:sz w:val="20"/>
                <w:szCs w:val="32"/>
                <w:lang w:eastAsia="en-US" w:bidi="ar-SA"/>
              </w:rPr>
              <w:t xml:space="preserve">. </w:t>
            </w:r>
            <w:r w:rsidRPr="002C72C2">
              <w:rPr>
                <w:rFonts w:ascii="PP Mori SemiBold" w:hAnsi="PP Mori SemiBold"/>
                <w:color w:val="013C4C" w:themeColor="text1"/>
                <w:sz w:val="20"/>
                <w:szCs w:val="32"/>
                <w:lang w:eastAsia="en-US" w:bidi="ar-SA"/>
              </w:rPr>
              <w:t xml:space="preserve">Digitalisation </w:t>
            </w:r>
            <w:r w:rsidR="0080639B" w:rsidRPr="002C72C2">
              <w:rPr>
                <w:rFonts w:ascii="PP Mori SemiBold" w:hAnsi="PP Mori SemiBold"/>
                <w:color w:val="013C4C" w:themeColor="text1"/>
                <w:sz w:val="20"/>
                <w:szCs w:val="32"/>
                <w:lang w:eastAsia="en-US" w:bidi="ar-SA"/>
              </w:rPr>
              <w:t xml:space="preserve">&amp; Scalability </w:t>
            </w:r>
            <w:r w:rsidRPr="002C72C2">
              <w:rPr>
                <w:rFonts w:ascii="PP Mori SemiBold" w:hAnsi="PP Mori SemiBold"/>
                <w:color w:val="013C4C" w:themeColor="text1"/>
                <w:sz w:val="20"/>
                <w:szCs w:val="32"/>
                <w:lang w:eastAsia="en-US" w:bidi="ar-SA"/>
              </w:rPr>
              <w:t>Issues</w:t>
            </w:r>
          </w:p>
        </w:tc>
      </w:tr>
      <w:tr w:rsidR="00AB303B" w:rsidRPr="00491D97" w14:paraId="2B9E1E08" w14:textId="77777777" w:rsidTr="00FC5E50">
        <w:tc>
          <w:tcPr>
            <w:tcW w:w="2727" w:type="dxa"/>
            <w:tcBorders>
              <w:top w:val="single" w:sz="4" w:space="0" w:color="auto"/>
              <w:left w:val="single" w:sz="4" w:space="0" w:color="auto"/>
              <w:bottom w:val="single" w:sz="4" w:space="0" w:color="FAFAFA" w:themeColor="background1"/>
              <w:right w:val="single" w:sz="4" w:space="0" w:color="FAFAFA" w:themeColor="background1"/>
            </w:tcBorders>
            <w:shd w:val="clear" w:color="auto" w:fill="067296" w:themeFill="text2"/>
          </w:tcPr>
          <w:p w14:paraId="107B7A90" w14:textId="66C69C1B" w:rsidR="00AB303B" w:rsidRPr="00BC6C85" w:rsidRDefault="00042EC1" w:rsidP="00954BAC">
            <w:pPr>
              <w:pStyle w:val="ListParagraph"/>
              <w:numPr>
                <w:ilvl w:val="0"/>
                <w:numId w:val="72"/>
              </w:numPr>
              <w:spacing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 xml:space="preserve">Structural </w:t>
            </w:r>
            <w:r w:rsidR="00AB303B" w:rsidRPr="00BC6C85">
              <w:rPr>
                <w:rFonts w:ascii="PP Mori SemiBold" w:hAnsi="PP Mori SemiBold"/>
                <w:color w:val="FAFAFA" w:themeColor="background1"/>
                <w:lang w:eastAsia="en-US" w:bidi="ar-SA"/>
              </w:rPr>
              <w:t>Cyber-security Vulnerabilities</w:t>
            </w:r>
          </w:p>
        </w:tc>
        <w:tc>
          <w:tcPr>
            <w:tcW w:w="5490" w:type="dxa"/>
            <w:tcBorders>
              <w:top w:val="single" w:sz="4" w:space="0" w:color="auto"/>
              <w:left w:val="single" w:sz="4" w:space="0" w:color="auto"/>
              <w:bottom w:val="single" w:sz="4" w:space="0" w:color="auto"/>
              <w:right w:val="single" w:sz="4" w:space="0" w:color="auto"/>
            </w:tcBorders>
            <w:vAlign w:val="center"/>
          </w:tcPr>
          <w:p w14:paraId="6C198F5F" w14:textId="32FD29BF" w:rsidR="00BB0860" w:rsidRPr="002C72C2" w:rsidRDefault="00232955" w:rsidP="0085617E">
            <w:pPr>
              <w:spacing w:before="120" w:after="120" w:line="264" w:lineRule="auto"/>
              <w:rPr>
                <w:lang w:eastAsia="en-US" w:bidi="ar-SA"/>
              </w:rPr>
            </w:pPr>
            <w:r w:rsidRPr="00232955">
              <w:rPr>
                <w:lang w:eastAsia="en-US" w:bidi="ar-SA"/>
              </w:rPr>
              <w:t xml:space="preserve">Critical energy infrastructure faces a growing volume of cyber-security threats </w:t>
            </w:r>
            <w:r>
              <w:rPr>
                <w:lang w:eastAsia="en-US" w:bidi="ar-SA"/>
              </w:rPr>
              <w:t>which</w:t>
            </w:r>
            <w:r w:rsidRPr="00232955">
              <w:rPr>
                <w:lang w:eastAsia="en-US" w:bidi="ar-SA"/>
              </w:rPr>
              <w:t xml:space="preserve"> can have catastrophic </w:t>
            </w:r>
            <w:r w:rsidR="00C66A01">
              <w:rPr>
                <w:lang w:eastAsia="en-US" w:bidi="ar-SA"/>
              </w:rPr>
              <w:t>societal and economic impacts</w:t>
            </w:r>
            <w:r w:rsidR="00374950">
              <w:rPr>
                <w:lang w:eastAsia="en-US" w:bidi="ar-SA"/>
              </w:rPr>
              <w:t xml:space="preserve">. </w:t>
            </w:r>
            <w:r w:rsidRPr="00232955">
              <w:rPr>
                <w:lang w:eastAsia="en-US" w:bidi="ar-SA"/>
              </w:rPr>
              <w:t>Best practice approaches to cyber-security require a multi-layered approach that address different attack vectors</w:t>
            </w:r>
            <w:r w:rsidR="00374950">
              <w:rPr>
                <w:lang w:eastAsia="en-US" w:bidi="ar-SA"/>
              </w:rPr>
              <w:t xml:space="preserve">. </w:t>
            </w:r>
            <w:r w:rsidRPr="00232955">
              <w:rPr>
                <w:lang w:eastAsia="en-US" w:bidi="ar-SA"/>
              </w:rPr>
              <w:t>By contrast, a limiting factor across many risk mitigations in the power sector is a primary focus on cyber-based defences, with limited if any focus on ‘non-cyber’ structural vulnerabilities that are rapidly expanding.</w:t>
            </w:r>
          </w:p>
        </w:tc>
      </w:tr>
      <w:tr w:rsidR="00AB303B" w:rsidRPr="00491D97" w14:paraId="742282A6" w14:textId="77777777" w:rsidTr="00FC5E50">
        <w:tc>
          <w:tcPr>
            <w:tcW w:w="2727" w:type="dxa"/>
            <w:tcBorders>
              <w:top w:val="single" w:sz="4" w:space="0" w:color="FAFAFA" w:themeColor="background1"/>
              <w:left w:val="single" w:sz="4" w:space="0" w:color="auto"/>
              <w:bottom w:val="single" w:sz="4" w:space="0" w:color="FAFAFA" w:themeColor="background1"/>
              <w:right w:val="single" w:sz="4" w:space="0" w:color="FAFAFA" w:themeColor="background1"/>
            </w:tcBorders>
            <w:shd w:val="clear" w:color="auto" w:fill="067296" w:themeFill="text2"/>
          </w:tcPr>
          <w:p w14:paraId="114C9C5D" w14:textId="3B79074C" w:rsidR="00AB303B" w:rsidRPr="00BC6C85" w:rsidRDefault="00AB303B" w:rsidP="00954BAC">
            <w:pPr>
              <w:pStyle w:val="ListParagraph"/>
              <w:numPr>
                <w:ilvl w:val="0"/>
                <w:numId w:val="72"/>
              </w:numPr>
              <w:spacing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Data Sharing Risks</w:t>
            </w:r>
          </w:p>
        </w:tc>
        <w:tc>
          <w:tcPr>
            <w:tcW w:w="5490" w:type="dxa"/>
            <w:tcBorders>
              <w:top w:val="single" w:sz="4" w:space="0" w:color="auto"/>
              <w:left w:val="single" w:sz="4" w:space="0" w:color="auto"/>
              <w:bottom w:val="single" w:sz="4" w:space="0" w:color="auto"/>
              <w:right w:val="single" w:sz="4" w:space="0" w:color="auto"/>
            </w:tcBorders>
            <w:vAlign w:val="center"/>
          </w:tcPr>
          <w:p w14:paraId="431768F6" w14:textId="1ECF1B58" w:rsidR="00AB303B" w:rsidRPr="002C72C2" w:rsidRDefault="00BA25B9" w:rsidP="00420B32">
            <w:pPr>
              <w:spacing w:before="120" w:after="120" w:line="264" w:lineRule="auto"/>
              <w:rPr>
                <w:lang w:eastAsia="en-US" w:bidi="ar-SA"/>
              </w:rPr>
            </w:pPr>
            <w:r w:rsidRPr="00BA25B9">
              <w:rPr>
                <w:lang w:eastAsia="en-US" w:bidi="ar-SA"/>
              </w:rPr>
              <w:t>Data sharing in increasingly distributed power systems involves complex functional relationships and hidden constraints that are embedded in legacy system structures. While promising digital technologies are promoted by different entities no single, comprehensive solution to grid data sharing needs exists. All data exchange options require the application of formal architectural analysis to make visible issues that directly impact the scalability, extensibility, resilience, cyber-security and interface design of proposed solutions.</w:t>
            </w:r>
          </w:p>
        </w:tc>
      </w:tr>
      <w:tr w:rsidR="00AB303B" w:rsidRPr="00491D97" w14:paraId="126314D0" w14:textId="77777777" w:rsidTr="00FC5E50">
        <w:tc>
          <w:tcPr>
            <w:tcW w:w="2727" w:type="dxa"/>
            <w:tcBorders>
              <w:top w:val="single" w:sz="4" w:space="0" w:color="FAFAFA" w:themeColor="background1"/>
              <w:left w:val="single" w:sz="4" w:space="0" w:color="auto"/>
              <w:bottom w:val="single" w:sz="4" w:space="0" w:color="auto"/>
              <w:right w:val="single" w:sz="4" w:space="0" w:color="FAFAFA" w:themeColor="background1"/>
            </w:tcBorders>
            <w:shd w:val="clear" w:color="auto" w:fill="067296" w:themeFill="text2"/>
          </w:tcPr>
          <w:p w14:paraId="7AA08909" w14:textId="51317531" w:rsidR="00AB303B" w:rsidRPr="00BC6C85" w:rsidRDefault="00AB303B" w:rsidP="00954BAC">
            <w:pPr>
              <w:pStyle w:val="ListParagraph"/>
              <w:numPr>
                <w:ilvl w:val="0"/>
                <w:numId w:val="72"/>
              </w:numPr>
              <w:spacing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Solution Scalability Risks</w:t>
            </w:r>
          </w:p>
        </w:tc>
        <w:tc>
          <w:tcPr>
            <w:tcW w:w="5490" w:type="dxa"/>
            <w:tcBorders>
              <w:top w:val="single" w:sz="4" w:space="0" w:color="auto"/>
              <w:left w:val="single" w:sz="4" w:space="0" w:color="auto"/>
              <w:bottom w:val="single" w:sz="4" w:space="0" w:color="auto"/>
              <w:right w:val="single" w:sz="4" w:space="0" w:color="auto"/>
            </w:tcBorders>
            <w:vAlign w:val="center"/>
          </w:tcPr>
          <w:p w14:paraId="7BB60ECF" w14:textId="78FEA06E" w:rsidR="00347532" w:rsidRPr="002C72C2" w:rsidRDefault="00924ACC" w:rsidP="00EB2823">
            <w:pPr>
              <w:spacing w:before="120" w:after="120" w:line="264" w:lineRule="auto"/>
              <w:rPr>
                <w:lang w:eastAsia="en-US" w:bidi="ar-SA"/>
              </w:rPr>
            </w:pPr>
            <w:r w:rsidRPr="00924ACC">
              <w:rPr>
                <w:lang w:eastAsia="en-US" w:bidi="ar-SA"/>
              </w:rPr>
              <w:t>Greater focus on the whole-system functionality, scalability and potential unintended impacts of new technology and solution innovations, including but not limited to Dynamic Operating Envelope (DOE) solutions, to identify and pre-emptively address cyber-physical issues that will otherwise only manifest during mass-deployment of solutions post-trial phase</w:t>
            </w:r>
            <w:r w:rsidR="00374950">
              <w:rPr>
                <w:lang w:eastAsia="en-US" w:bidi="ar-SA"/>
              </w:rPr>
              <w:t xml:space="preserve">. </w:t>
            </w:r>
          </w:p>
        </w:tc>
      </w:tr>
    </w:tbl>
    <w:p w14:paraId="2CFA5D11" w14:textId="77777777" w:rsidR="005204A8" w:rsidRDefault="005204A8">
      <w:r>
        <w:br w:type="page"/>
      </w:r>
    </w:p>
    <w:tbl>
      <w:tblPr>
        <w:tblStyle w:val="TableGrid"/>
        <w:tblW w:w="8217" w:type="dxa"/>
        <w:tblLook w:val="04A0" w:firstRow="1" w:lastRow="0" w:firstColumn="1" w:lastColumn="0" w:noHBand="0" w:noVBand="1"/>
      </w:tblPr>
      <w:tblGrid>
        <w:gridCol w:w="2727"/>
        <w:gridCol w:w="5490"/>
      </w:tblGrid>
      <w:tr w:rsidR="00AB303B" w:rsidRPr="00491D97" w14:paraId="7247829D" w14:textId="77777777" w:rsidTr="008F2E81">
        <w:tc>
          <w:tcPr>
            <w:tcW w:w="8217" w:type="dxa"/>
            <w:gridSpan w:val="2"/>
            <w:tcBorders>
              <w:top w:val="single" w:sz="4" w:space="0" w:color="auto"/>
              <w:left w:val="single" w:sz="4" w:space="0" w:color="auto"/>
              <w:bottom w:val="single" w:sz="4" w:space="0" w:color="auto"/>
            </w:tcBorders>
          </w:tcPr>
          <w:p w14:paraId="07AC2657" w14:textId="15EFD63B" w:rsidR="00AB303B" w:rsidRPr="002C72C2" w:rsidRDefault="00AB303B" w:rsidP="00EB2823">
            <w:pPr>
              <w:spacing w:before="120" w:after="120" w:line="264" w:lineRule="auto"/>
              <w:jc w:val="center"/>
              <w:rPr>
                <w:lang w:eastAsia="en-US" w:bidi="ar-SA"/>
              </w:rPr>
            </w:pPr>
            <w:r w:rsidRPr="002C72C2">
              <w:rPr>
                <w:rFonts w:ascii="PP Mori SemiBold" w:hAnsi="PP Mori SemiBold"/>
                <w:color w:val="013C4C" w:themeColor="text1"/>
                <w:sz w:val="20"/>
                <w:szCs w:val="32"/>
                <w:lang w:eastAsia="en-US" w:bidi="ar-SA"/>
              </w:rPr>
              <w:t>4</w:t>
            </w:r>
            <w:r w:rsidR="00374950">
              <w:rPr>
                <w:rFonts w:ascii="PP Mori SemiBold" w:hAnsi="PP Mori SemiBold"/>
                <w:color w:val="013C4C" w:themeColor="text1"/>
                <w:sz w:val="20"/>
                <w:szCs w:val="32"/>
                <w:lang w:eastAsia="en-US" w:bidi="ar-SA"/>
              </w:rPr>
              <w:t xml:space="preserve">. </w:t>
            </w:r>
            <w:r w:rsidRPr="002C72C2">
              <w:rPr>
                <w:rFonts w:ascii="PP Mori SemiBold" w:hAnsi="PP Mori SemiBold"/>
                <w:color w:val="013C4C" w:themeColor="text1"/>
                <w:sz w:val="20"/>
                <w:szCs w:val="32"/>
                <w:lang w:eastAsia="en-US" w:bidi="ar-SA"/>
              </w:rPr>
              <w:t>Sectoral Alignment &amp; Participation Risks</w:t>
            </w:r>
          </w:p>
        </w:tc>
      </w:tr>
      <w:tr w:rsidR="00347532" w:rsidRPr="00491D97" w14:paraId="1F29EB39" w14:textId="77777777" w:rsidTr="00FC5E50">
        <w:tc>
          <w:tcPr>
            <w:tcW w:w="2727" w:type="dxa"/>
            <w:tcBorders>
              <w:top w:val="single" w:sz="4" w:space="0" w:color="auto"/>
              <w:left w:val="single" w:sz="4" w:space="0" w:color="auto"/>
              <w:bottom w:val="single" w:sz="4" w:space="0" w:color="auto"/>
              <w:right w:val="single" w:sz="4" w:space="0" w:color="auto"/>
            </w:tcBorders>
            <w:shd w:val="clear" w:color="auto" w:fill="067296" w:themeFill="text2"/>
          </w:tcPr>
          <w:p w14:paraId="1FDDD3F8" w14:textId="6C76E625" w:rsidR="00347532" w:rsidRPr="00BC6C85" w:rsidRDefault="00347532" w:rsidP="00954BAC">
            <w:pPr>
              <w:pStyle w:val="ListParagraph"/>
              <w:numPr>
                <w:ilvl w:val="0"/>
                <w:numId w:val="77"/>
              </w:numPr>
              <w:spacing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Roles &amp; Responsibilities Assignment Risks</w:t>
            </w:r>
          </w:p>
        </w:tc>
        <w:tc>
          <w:tcPr>
            <w:tcW w:w="5490" w:type="dxa"/>
            <w:tcBorders>
              <w:top w:val="single" w:sz="4" w:space="0" w:color="auto"/>
              <w:left w:val="single" w:sz="4" w:space="0" w:color="auto"/>
              <w:bottom w:val="single" w:sz="4" w:space="0" w:color="auto"/>
              <w:right w:val="single" w:sz="4" w:space="0" w:color="auto"/>
            </w:tcBorders>
            <w:vAlign w:val="center"/>
          </w:tcPr>
          <w:p w14:paraId="1C19A70A" w14:textId="38D3DF81" w:rsidR="00347532" w:rsidRPr="002C72C2" w:rsidRDefault="00FC5E50" w:rsidP="00EB2823">
            <w:pPr>
              <w:spacing w:before="120" w:after="120" w:line="264" w:lineRule="auto"/>
              <w:rPr>
                <w:lang w:eastAsia="en-US" w:bidi="ar-SA"/>
              </w:rPr>
            </w:pPr>
            <w:r w:rsidRPr="00FC5E50">
              <w:rPr>
                <w:lang w:eastAsia="en-US" w:bidi="ar-SA"/>
              </w:rPr>
              <w:t>The secure and efficient operation of GW-scale power systems depends on an intricate web of relationships across numerous functions, entities, structures, system boundaries, interfaces and hand-off points.  As decarbonising power systems become increasingly volatile and bidirectional, this inherent complexity grows and new capabilities such as Distribution System Operator (DSO) and Transmission-Distribution Coordination (TDC) models are required.  Given their deeply interconnected role in future system operations, the assignment of related DSO and TDC roles and responsibilities must be underpinned by formal structural and behavioural analyses to avoid unintended consequences, sub-optimal outcomes, cost escalation and the need for substantial rework and role reallocations.</w:t>
            </w:r>
          </w:p>
        </w:tc>
      </w:tr>
      <w:tr w:rsidR="00347532" w:rsidRPr="00491D97" w14:paraId="072AE18F" w14:textId="77777777" w:rsidTr="00FC5E50">
        <w:tc>
          <w:tcPr>
            <w:tcW w:w="2727" w:type="dxa"/>
            <w:tcBorders>
              <w:top w:val="single" w:sz="4" w:space="0" w:color="auto"/>
              <w:left w:val="single" w:sz="4" w:space="0" w:color="auto"/>
              <w:bottom w:val="single" w:sz="4" w:space="0" w:color="FAFAFA" w:themeColor="background1"/>
              <w:right w:val="single" w:sz="4" w:space="0" w:color="FAFAFA" w:themeColor="background1"/>
            </w:tcBorders>
            <w:shd w:val="clear" w:color="auto" w:fill="067296" w:themeFill="text2"/>
          </w:tcPr>
          <w:p w14:paraId="49C345A2" w14:textId="7B5D49CE" w:rsidR="00347532" w:rsidRPr="00BC6C85" w:rsidRDefault="00347532" w:rsidP="00954BAC">
            <w:pPr>
              <w:pStyle w:val="ListParagraph"/>
              <w:numPr>
                <w:ilvl w:val="0"/>
                <w:numId w:val="77"/>
              </w:numPr>
              <w:spacing w:line="264" w:lineRule="auto"/>
              <w:ind w:left="312" w:right="33" w:hanging="312"/>
              <w:rPr>
                <w:rFonts w:ascii="PP Mori SemiBold" w:hAnsi="PP Mori SemiBold"/>
                <w:color w:val="FAFAFA" w:themeColor="background1"/>
                <w:lang w:eastAsia="en-US" w:bidi="ar-SA"/>
              </w:rPr>
            </w:pPr>
            <w:r w:rsidRPr="00BC6C85">
              <w:rPr>
                <w:rFonts w:ascii="PP Mori SemiBold" w:hAnsi="PP Mori SemiBold"/>
                <w:color w:val="FAFAFA" w:themeColor="background1"/>
                <w:lang w:eastAsia="en-US" w:bidi="ar-SA"/>
              </w:rPr>
              <w:t>CER/DER Scale Participation Risks</w:t>
            </w:r>
          </w:p>
        </w:tc>
        <w:tc>
          <w:tcPr>
            <w:tcW w:w="5490" w:type="dxa"/>
            <w:tcBorders>
              <w:top w:val="single" w:sz="4" w:space="0" w:color="auto"/>
              <w:left w:val="single" w:sz="4" w:space="0" w:color="auto"/>
              <w:bottom w:val="single" w:sz="4" w:space="0" w:color="auto"/>
              <w:right w:val="single" w:sz="4" w:space="0" w:color="auto"/>
            </w:tcBorders>
            <w:vAlign w:val="center"/>
          </w:tcPr>
          <w:p w14:paraId="63532121" w14:textId="655BB914" w:rsidR="00347532" w:rsidRPr="002C72C2" w:rsidRDefault="00ED3F89" w:rsidP="00EB2823">
            <w:pPr>
              <w:spacing w:before="120" w:after="120" w:line="264" w:lineRule="auto"/>
              <w:rPr>
                <w:highlight w:val="yellow"/>
                <w:lang w:eastAsia="en-US" w:bidi="ar-SA"/>
              </w:rPr>
            </w:pPr>
            <w:r w:rsidRPr="00ED3F89">
              <w:rPr>
                <w:lang w:eastAsia="en-US" w:bidi="ar-SA"/>
              </w:rPr>
              <w:t>Future scenarios highlight the important role millions of orchestrated CER/DER, BESS and EVs could play in supporting more secure and efficient future power systems</w:t>
            </w:r>
            <w:r w:rsidR="00374950">
              <w:rPr>
                <w:lang w:eastAsia="en-US" w:bidi="ar-SA"/>
              </w:rPr>
              <w:t xml:space="preserve">. </w:t>
            </w:r>
            <w:r w:rsidRPr="00ED3F89">
              <w:rPr>
                <w:lang w:eastAsia="en-US" w:bidi="ar-SA"/>
              </w:rPr>
              <w:t>Without a holistic strategy for scaling mass adoption and sustained participation, current trends suggest that achieving the scale of participation required will continue to prove challenging if not infeasible.</w:t>
            </w:r>
          </w:p>
        </w:tc>
      </w:tr>
    </w:tbl>
    <w:p w14:paraId="51807D26" w14:textId="77777777" w:rsidR="00885385" w:rsidRDefault="00885385" w:rsidP="00EB2823">
      <w:pPr>
        <w:spacing w:line="264" w:lineRule="auto"/>
      </w:pPr>
    </w:p>
    <w:p w14:paraId="4FF12121" w14:textId="77777777" w:rsidR="00885385" w:rsidRDefault="00885385">
      <w:pPr>
        <w:spacing w:before="0" w:after="160" w:line="259" w:lineRule="auto"/>
      </w:pPr>
      <w:r>
        <w:br w:type="page"/>
      </w:r>
    </w:p>
    <w:tbl>
      <w:tblPr>
        <w:tblStyle w:val="GridTable5Dark"/>
        <w:tblW w:w="0" w:type="auto"/>
        <w:tblLook w:val="04A0" w:firstRow="1" w:lastRow="0" w:firstColumn="1" w:lastColumn="0" w:noHBand="0" w:noVBand="1"/>
      </w:tblPr>
      <w:tblGrid>
        <w:gridCol w:w="8210"/>
      </w:tblGrid>
      <w:tr w:rsidR="00885385" w:rsidRPr="002F2243" w14:paraId="4F77839F" w14:textId="77777777">
        <w:trPr>
          <w:cnfStyle w:val="100000000000" w:firstRow="1" w:lastRow="0" w:firstColumn="0" w:lastColumn="0" w:oddVBand="0" w:evenVBand="0" w:oddHBand="0" w:evenHBand="0" w:firstRowFirstColumn="0" w:firstRowLastColumn="0" w:lastRowFirstColumn="0" w:lastRowLastColumn="0"/>
          <w:trHeight w:val="12031"/>
        </w:trPr>
        <w:tc>
          <w:tcPr>
            <w:cnfStyle w:val="001000000000" w:firstRow="0" w:lastRow="0" w:firstColumn="1" w:lastColumn="0" w:oddVBand="0" w:evenVBand="0" w:oddHBand="0" w:evenHBand="0" w:firstRowFirstColumn="0" w:firstRowLastColumn="0" w:lastRowFirstColumn="0" w:lastRowLastColumn="0"/>
            <w:tcW w:w="8210" w:type="dxa"/>
          </w:tcPr>
          <w:p w14:paraId="7090C72D" w14:textId="5DB2BFC3" w:rsidR="00885385" w:rsidRPr="002F2243" w:rsidRDefault="00885385" w:rsidP="00E52F89">
            <w:pPr>
              <w:spacing w:before="120" w:after="120" w:line="264" w:lineRule="auto"/>
              <w:ind w:left="175" w:right="169"/>
              <w:rPr>
                <w:rStyle w:val="Strong"/>
                <w:b w:val="0"/>
                <w:bCs w:val="0"/>
                <w:sz w:val="28"/>
              </w:rPr>
            </w:pPr>
            <w:r w:rsidRPr="002F2243">
              <w:rPr>
                <w:rStyle w:val="Strong"/>
                <w:b w:val="0"/>
                <w:bCs w:val="0"/>
                <w:sz w:val="28"/>
              </w:rPr>
              <w:t xml:space="preserve">Key Concepts </w:t>
            </w:r>
            <w:r w:rsidR="00703C85">
              <w:rPr>
                <w:rStyle w:val="Strong"/>
                <w:b w:val="0"/>
                <w:bCs w:val="0"/>
                <w:sz w:val="28"/>
              </w:rPr>
              <w:t>B</w:t>
            </w:r>
            <w:r w:rsidRPr="00F10C61">
              <w:rPr>
                <w:rFonts w:ascii="PP Mori SemiBold" w:hAnsi="PP Mori SemiBold"/>
                <w:noProof/>
                <w:sz w:val="20"/>
                <w:szCs w:val="20"/>
              </w:rPr>
              <w:drawing>
                <wp:inline distT="0" distB="0" distL="0" distR="0" wp14:anchorId="37013850" wp14:editId="44DA2ED4">
                  <wp:extent cx="272006" cy="272006"/>
                  <wp:effectExtent l="0" t="0" r="6350" b="6350"/>
                  <wp:docPr id="1138500836"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272006" cy="272006"/>
                          </a:xfrm>
                          <a:prstGeom prst="rect">
                            <a:avLst/>
                          </a:prstGeom>
                        </pic:spPr>
                      </pic:pic>
                    </a:graphicData>
                  </a:graphic>
                </wp:inline>
              </w:drawing>
            </w:r>
          </w:p>
          <w:p w14:paraId="7D360187" w14:textId="77777777" w:rsidR="00885385" w:rsidRPr="008364BE" w:rsidRDefault="00885385" w:rsidP="00E52F89">
            <w:pPr>
              <w:pStyle w:val="Subtitle"/>
              <w:spacing w:before="180" w:after="120" w:line="264" w:lineRule="auto"/>
              <w:ind w:left="175" w:right="169"/>
              <w:rPr>
                <w:rStyle w:val="Emphasis"/>
                <w:rFonts w:ascii="PP Mori SemiBold" w:hAnsi="PP Mori SemiBold"/>
                <w:sz w:val="24"/>
                <w:szCs w:val="40"/>
              </w:rPr>
            </w:pPr>
            <w:r w:rsidRPr="008364BE">
              <w:rPr>
                <w:rStyle w:val="Emphasis"/>
                <w:rFonts w:ascii="PP Mori SemiBold" w:hAnsi="PP Mori SemiBold"/>
                <w:sz w:val="24"/>
                <w:szCs w:val="40"/>
              </w:rPr>
              <w:t>Energy Resources</w:t>
            </w:r>
          </w:p>
          <w:p w14:paraId="1BE5A5BC" w14:textId="77777777" w:rsidR="00885385" w:rsidRPr="002C72C2" w:rsidRDefault="00885385" w:rsidP="00E52F89">
            <w:pPr>
              <w:spacing w:before="120" w:after="120" w:line="264" w:lineRule="auto"/>
              <w:ind w:left="175" w:right="169"/>
              <w:rPr>
                <w:b w:val="0"/>
                <w:lang w:eastAsia="en-US" w:bidi="ar-SA"/>
              </w:rPr>
            </w:pPr>
            <w:r w:rsidRPr="002C72C2">
              <w:rPr>
                <w:b w:val="0"/>
                <w:lang w:eastAsia="en-US" w:bidi="ar-SA"/>
              </w:rPr>
              <w:t xml:space="preserve">A universal term for all technologies that provide one or several of the </w:t>
            </w:r>
            <w:r>
              <w:rPr>
                <w:b w:val="0"/>
                <w:lang w:eastAsia="en-US" w:bidi="ar-SA"/>
              </w:rPr>
              <w:t>e</w:t>
            </w:r>
            <w:r w:rsidRPr="002A5259">
              <w:rPr>
                <w:b w:val="0"/>
                <w:lang w:eastAsia="en-US" w:bidi="ar-SA"/>
              </w:rPr>
              <w:t>lectric products</w:t>
            </w:r>
            <w:r w:rsidRPr="002C72C2">
              <w:rPr>
                <w:b w:val="0"/>
                <w:lang w:eastAsia="en-US" w:bidi="ar-SA"/>
              </w:rPr>
              <w:t xml:space="preserve"> required by the </w:t>
            </w:r>
            <w:r>
              <w:rPr>
                <w:b w:val="0"/>
                <w:lang w:eastAsia="en-US" w:bidi="ar-SA"/>
              </w:rPr>
              <w:t>p</w:t>
            </w:r>
            <w:r w:rsidRPr="002A5259">
              <w:rPr>
                <w:b w:val="0"/>
                <w:lang w:eastAsia="en-US" w:bidi="ar-SA"/>
              </w:rPr>
              <w:t>ower system</w:t>
            </w:r>
            <w:r>
              <w:rPr>
                <w:b w:val="0"/>
                <w:lang w:eastAsia="en-US" w:bidi="ar-SA"/>
              </w:rPr>
              <w:t xml:space="preserve">. </w:t>
            </w:r>
            <w:r w:rsidRPr="002C72C2">
              <w:rPr>
                <w:b w:val="0"/>
                <w:lang w:eastAsia="en-US" w:bidi="ar-SA"/>
              </w:rPr>
              <w:t xml:space="preserve">It includes conventional </w:t>
            </w:r>
            <w:r>
              <w:rPr>
                <w:b w:val="0"/>
                <w:lang w:eastAsia="en-US" w:bidi="ar-SA"/>
              </w:rPr>
              <w:t>s</w:t>
            </w:r>
            <w:r w:rsidRPr="002A5259">
              <w:rPr>
                <w:b w:val="0"/>
                <w:lang w:eastAsia="en-US" w:bidi="ar-SA"/>
              </w:rPr>
              <w:t>ynchronous generation</w:t>
            </w:r>
            <w:r w:rsidRPr="002C72C2">
              <w:rPr>
                <w:b w:val="0"/>
                <w:lang w:eastAsia="en-US" w:bidi="ar-SA"/>
              </w:rPr>
              <w:t>, utility-scale Variable Renewable Energy (VRE), Consumer Energy Resources (CER/DER) and various forms of e</w:t>
            </w:r>
            <w:r w:rsidRPr="002A5259">
              <w:rPr>
                <w:b w:val="0"/>
                <w:lang w:eastAsia="en-US" w:bidi="ar-SA"/>
              </w:rPr>
              <w:t>nergy storage and firming resources</w:t>
            </w:r>
            <w:r>
              <w:rPr>
                <w:b w:val="0"/>
                <w:lang w:eastAsia="en-US" w:bidi="ar-SA"/>
              </w:rPr>
              <w:t xml:space="preserve">. </w:t>
            </w:r>
          </w:p>
          <w:p w14:paraId="5413E35B" w14:textId="77777777" w:rsidR="00885385" w:rsidRPr="008364BE" w:rsidRDefault="00885385" w:rsidP="00E52F89">
            <w:pPr>
              <w:pStyle w:val="Subtitle"/>
              <w:spacing w:before="180" w:after="120" w:line="264" w:lineRule="auto"/>
              <w:ind w:left="176" w:right="169"/>
              <w:rPr>
                <w:rStyle w:val="Emphasis"/>
                <w:rFonts w:ascii="PP Mori SemiBold" w:hAnsi="PP Mori SemiBold"/>
                <w:sz w:val="24"/>
                <w:szCs w:val="40"/>
              </w:rPr>
            </w:pPr>
            <w:r w:rsidRPr="008364BE">
              <w:rPr>
                <w:rStyle w:val="Emphasis"/>
                <w:rFonts w:ascii="PP Mori SemiBold" w:hAnsi="PP Mori SemiBold"/>
                <w:sz w:val="24"/>
                <w:szCs w:val="40"/>
              </w:rPr>
              <w:t>Variable Renewable Energy (VRE)</w:t>
            </w:r>
          </w:p>
          <w:p w14:paraId="1A05ED88" w14:textId="77777777" w:rsidR="00885385" w:rsidRPr="002C72C2" w:rsidRDefault="00885385" w:rsidP="00E52F89">
            <w:pPr>
              <w:spacing w:before="120" w:after="120" w:line="264" w:lineRule="auto"/>
              <w:ind w:left="175" w:right="169"/>
              <w:rPr>
                <w:b w:val="0"/>
                <w:lang w:eastAsia="en-US" w:bidi="ar-SA"/>
              </w:rPr>
            </w:pPr>
            <w:r w:rsidRPr="002C72C2">
              <w:rPr>
                <w:b w:val="0"/>
                <w:lang w:eastAsia="en-US" w:bidi="ar-SA"/>
              </w:rPr>
              <w:t xml:space="preserve">A generic term for intermittent forms of generation powered by renewable resources that are inherently variable, such as wind and solar energy. </w:t>
            </w:r>
          </w:p>
          <w:p w14:paraId="70763B37" w14:textId="77777777" w:rsidR="00885385" w:rsidRPr="002C72C2" w:rsidRDefault="00885385" w:rsidP="00E52F89">
            <w:pPr>
              <w:spacing w:before="120" w:after="120" w:line="264" w:lineRule="auto"/>
              <w:ind w:left="175" w:right="169"/>
              <w:rPr>
                <w:b w:val="0"/>
                <w:lang w:eastAsia="en-US" w:bidi="ar-SA"/>
              </w:rPr>
            </w:pPr>
            <w:r w:rsidRPr="002C72C2">
              <w:rPr>
                <w:b w:val="0"/>
                <w:lang w:eastAsia="en-US" w:bidi="ar-SA"/>
              </w:rPr>
              <w:t xml:space="preserve">While some forms of </w:t>
            </w:r>
            <w:r>
              <w:rPr>
                <w:b w:val="0"/>
                <w:lang w:eastAsia="en-US" w:bidi="ar-SA"/>
              </w:rPr>
              <w:t>CER/DER</w:t>
            </w:r>
            <w:r w:rsidRPr="002C72C2">
              <w:rPr>
                <w:b w:val="0"/>
                <w:lang w:eastAsia="en-US" w:bidi="ar-SA"/>
              </w:rPr>
              <w:t xml:space="preserve"> are considered VRE, the term is most</w:t>
            </w:r>
            <w:r>
              <w:rPr>
                <w:b w:val="0"/>
                <w:lang w:eastAsia="en-US" w:bidi="ar-SA"/>
              </w:rPr>
              <w:t xml:space="preserve">ly </w:t>
            </w:r>
            <w:r w:rsidRPr="002C72C2">
              <w:rPr>
                <w:b w:val="0"/>
                <w:lang w:eastAsia="en-US" w:bidi="ar-SA"/>
              </w:rPr>
              <w:t>used to describe large, utility-scale applications of solar and wind generation.</w:t>
            </w:r>
          </w:p>
          <w:p w14:paraId="02CAB1C2" w14:textId="77777777" w:rsidR="00885385" w:rsidRPr="002C72C2" w:rsidRDefault="00885385" w:rsidP="00E52F89">
            <w:pPr>
              <w:spacing w:before="120" w:after="120" w:line="264" w:lineRule="auto"/>
              <w:ind w:left="175" w:right="169"/>
              <w:rPr>
                <w:b w:val="0"/>
                <w:lang w:eastAsia="en-US" w:bidi="ar-SA"/>
              </w:rPr>
            </w:pPr>
            <w:r w:rsidRPr="002C72C2">
              <w:rPr>
                <w:b w:val="0"/>
                <w:lang w:eastAsia="en-US" w:bidi="ar-SA"/>
              </w:rPr>
              <w:t xml:space="preserve">In the absence of </w:t>
            </w:r>
            <w:r>
              <w:rPr>
                <w:b w:val="0"/>
                <w:lang w:eastAsia="en-US" w:bidi="ar-SA"/>
              </w:rPr>
              <w:t>fir</w:t>
            </w:r>
            <w:r w:rsidRPr="002A5259">
              <w:rPr>
                <w:b w:val="0"/>
                <w:lang w:eastAsia="en-US" w:bidi="ar-SA"/>
              </w:rPr>
              <w:t>ming resources</w:t>
            </w:r>
            <w:r w:rsidRPr="002C72C2">
              <w:rPr>
                <w:b w:val="0"/>
                <w:lang w:eastAsia="en-US" w:bidi="ar-SA"/>
              </w:rPr>
              <w:t xml:space="preserve">, large volumes of VRE can impact the stability of the </w:t>
            </w:r>
            <w:r w:rsidRPr="002A5259">
              <w:rPr>
                <w:b w:val="0"/>
                <w:lang w:eastAsia="en-US" w:bidi="ar-SA"/>
              </w:rPr>
              <w:t>power system</w:t>
            </w:r>
            <w:r w:rsidRPr="002C72C2">
              <w:rPr>
                <w:b w:val="0"/>
                <w:lang w:eastAsia="en-US" w:bidi="ar-SA"/>
              </w:rPr>
              <w:t xml:space="preserve"> and exacerbate periods of misalignment between </w:t>
            </w:r>
            <w:r w:rsidRPr="002A5259">
              <w:rPr>
                <w:b w:val="0"/>
                <w:lang w:eastAsia="en-US" w:bidi="ar-SA"/>
              </w:rPr>
              <w:t>demand and supply</w:t>
            </w:r>
            <w:r w:rsidRPr="002C72C2">
              <w:rPr>
                <w:b w:val="0"/>
                <w:lang w:eastAsia="en-US" w:bidi="ar-SA"/>
              </w:rPr>
              <w:t>.</w:t>
            </w:r>
          </w:p>
          <w:p w14:paraId="35120DDC" w14:textId="77777777" w:rsidR="00885385" w:rsidRPr="008364BE" w:rsidRDefault="00885385" w:rsidP="00E52F89">
            <w:pPr>
              <w:pStyle w:val="Subtitle"/>
              <w:spacing w:before="180" w:after="120" w:line="264" w:lineRule="auto"/>
              <w:ind w:left="175" w:right="169"/>
              <w:rPr>
                <w:rStyle w:val="Emphasis"/>
                <w:rFonts w:ascii="PP Mori SemiBold" w:hAnsi="PP Mori SemiBold"/>
                <w:sz w:val="24"/>
                <w:szCs w:val="40"/>
              </w:rPr>
            </w:pPr>
            <w:r w:rsidRPr="00E442C3">
              <w:rPr>
                <w:rStyle w:val="Emphasis"/>
                <w:rFonts w:ascii="PP Mori SemiBold" w:hAnsi="PP Mori SemiBold"/>
                <w:sz w:val="24"/>
                <w:szCs w:val="40"/>
              </w:rPr>
              <w:t>Consumer Energy Resources (CER/DER)</w:t>
            </w:r>
            <w:r w:rsidRPr="008364BE">
              <w:rPr>
                <w:rStyle w:val="Emphasis"/>
                <w:rFonts w:ascii="PP Mori SemiBold" w:hAnsi="PP Mori SemiBold"/>
                <w:sz w:val="24"/>
                <w:szCs w:val="40"/>
              </w:rPr>
              <w:t xml:space="preserve"> </w:t>
            </w:r>
          </w:p>
          <w:p w14:paraId="10AA751D" w14:textId="77777777" w:rsidR="00885385" w:rsidRPr="000229DB" w:rsidRDefault="00885385" w:rsidP="00E52F89">
            <w:pPr>
              <w:spacing w:before="120" w:after="120" w:line="264" w:lineRule="auto"/>
              <w:ind w:left="175" w:right="169"/>
              <w:rPr>
                <w:b w:val="0"/>
                <w:lang w:eastAsia="en-US" w:bidi="ar-SA"/>
              </w:rPr>
            </w:pPr>
            <w:r w:rsidRPr="000229DB">
              <w:rPr>
                <w:b w:val="0"/>
                <w:lang w:eastAsia="en-US" w:bidi="ar-SA"/>
              </w:rPr>
              <w:t>A diverse range of small to medium scale energy resources that are located behind-the-meter at residential, commercial and industrial premises and are owned and operated by the customer</w:t>
            </w:r>
            <w:r>
              <w:rPr>
                <w:b w:val="0"/>
                <w:lang w:eastAsia="en-US" w:bidi="ar-SA"/>
              </w:rPr>
              <w:t xml:space="preserve">. </w:t>
            </w:r>
            <w:r w:rsidRPr="000229DB">
              <w:rPr>
                <w:b w:val="0"/>
                <w:lang w:eastAsia="en-US" w:bidi="ar-SA"/>
              </w:rPr>
              <w:t>CER/DER are a multi-application resource that include the following types of technologies:</w:t>
            </w:r>
          </w:p>
          <w:p w14:paraId="765B88E3" w14:textId="77777777" w:rsidR="00885385" w:rsidRPr="009B1AB3" w:rsidRDefault="00885385" w:rsidP="00954BAC">
            <w:pPr>
              <w:pStyle w:val="ListParagraph"/>
              <w:numPr>
                <w:ilvl w:val="0"/>
                <w:numId w:val="65"/>
              </w:numPr>
              <w:spacing w:line="264" w:lineRule="auto"/>
              <w:ind w:left="741" w:right="169" w:hanging="284"/>
              <w:rPr>
                <w:b w:val="0"/>
                <w:lang w:eastAsia="en-US" w:bidi="ar-SA"/>
              </w:rPr>
            </w:pPr>
            <w:r w:rsidRPr="009B1AB3">
              <w:rPr>
                <w:b w:val="0"/>
                <w:lang w:eastAsia="en-US" w:bidi="ar-SA"/>
              </w:rPr>
              <w:t>Distributed Photovoltaics (DPV) and embedded generators</w:t>
            </w:r>
          </w:p>
          <w:p w14:paraId="309F64E0" w14:textId="77777777" w:rsidR="00885385" w:rsidRPr="009B1AB3" w:rsidRDefault="00885385" w:rsidP="00954BAC">
            <w:pPr>
              <w:pStyle w:val="ListParagraph"/>
              <w:numPr>
                <w:ilvl w:val="0"/>
                <w:numId w:val="65"/>
              </w:numPr>
              <w:spacing w:line="264" w:lineRule="auto"/>
              <w:ind w:left="741" w:right="169" w:hanging="284"/>
              <w:rPr>
                <w:b w:val="0"/>
                <w:lang w:eastAsia="en-US" w:bidi="ar-SA"/>
              </w:rPr>
            </w:pPr>
            <w:r w:rsidRPr="009B1AB3">
              <w:rPr>
                <w:b w:val="0"/>
                <w:lang w:eastAsia="en-US" w:bidi="ar-SA"/>
              </w:rPr>
              <w:t>Battery Energy Storage Systems (BESS)</w:t>
            </w:r>
            <w:r>
              <w:rPr>
                <w:b w:val="0"/>
                <w:lang w:eastAsia="en-US" w:bidi="ar-SA"/>
              </w:rPr>
              <w:t xml:space="preserve">, </w:t>
            </w:r>
            <w:r w:rsidRPr="009B1AB3">
              <w:rPr>
                <w:b w:val="0"/>
                <w:lang w:eastAsia="en-US" w:bidi="ar-SA"/>
              </w:rPr>
              <w:t>including small and medium-scale batteries</w:t>
            </w:r>
          </w:p>
          <w:p w14:paraId="6DEDBB51" w14:textId="77777777" w:rsidR="00885385" w:rsidRPr="009B1AB3" w:rsidRDefault="00885385" w:rsidP="00954BAC">
            <w:pPr>
              <w:pStyle w:val="ListParagraph"/>
              <w:numPr>
                <w:ilvl w:val="0"/>
                <w:numId w:val="65"/>
              </w:numPr>
              <w:spacing w:line="264" w:lineRule="auto"/>
              <w:ind w:left="741" w:right="169" w:hanging="284"/>
              <w:rPr>
                <w:b w:val="0"/>
                <w:lang w:eastAsia="en-US" w:bidi="ar-SA"/>
              </w:rPr>
            </w:pPr>
            <w:r w:rsidRPr="009B1AB3">
              <w:rPr>
                <w:b w:val="0"/>
                <w:lang w:eastAsia="en-US" w:bidi="ar-SA"/>
              </w:rPr>
              <w:t>Electric Vehicles (EV)</w:t>
            </w:r>
          </w:p>
          <w:p w14:paraId="5437F960" w14:textId="77777777" w:rsidR="00885385" w:rsidRPr="009B1AB3" w:rsidRDefault="00885385" w:rsidP="00954BAC">
            <w:pPr>
              <w:pStyle w:val="ListParagraph"/>
              <w:numPr>
                <w:ilvl w:val="0"/>
                <w:numId w:val="65"/>
              </w:numPr>
              <w:spacing w:line="264" w:lineRule="auto"/>
              <w:ind w:left="741" w:right="169" w:hanging="284"/>
              <w:rPr>
                <w:b w:val="0"/>
                <w:lang w:eastAsia="en-US" w:bidi="ar-SA"/>
              </w:rPr>
            </w:pPr>
            <w:r w:rsidRPr="009B1AB3">
              <w:rPr>
                <w:b w:val="0"/>
                <w:lang w:eastAsia="en-US" w:bidi="ar-SA"/>
              </w:rPr>
              <w:t>Smart Inverters</w:t>
            </w:r>
          </w:p>
          <w:p w14:paraId="0266C7E6" w14:textId="77777777" w:rsidR="00885385" w:rsidRPr="009B1AB3" w:rsidRDefault="00885385" w:rsidP="00954BAC">
            <w:pPr>
              <w:pStyle w:val="ListParagraph"/>
              <w:numPr>
                <w:ilvl w:val="0"/>
                <w:numId w:val="65"/>
              </w:numPr>
              <w:spacing w:line="264" w:lineRule="auto"/>
              <w:ind w:left="741" w:right="169" w:hanging="284"/>
              <w:rPr>
                <w:b w:val="0"/>
                <w:lang w:eastAsia="en-US" w:bidi="ar-SA"/>
              </w:rPr>
            </w:pPr>
            <w:r w:rsidRPr="009B1AB3">
              <w:rPr>
                <w:b w:val="0"/>
                <w:lang w:eastAsia="en-US" w:bidi="ar-SA"/>
              </w:rPr>
              <w:t>Flexible Resources (Distributed)</w:t>
            </w:r>
          </w:p>
          <w:p w14:paraId="3C0F64DF" w14:textId="77777777" w:rsidR="00885385" w:rsidRPr="00E544C1" w:rsidRDefault="00885385" w:rsidP="00E52F89">
            <w:pPr>
              <w:spacing w:before="120" w:after="120" w:line="264" w:lineRule="auto"/>
              <w:ind w:left="175" w:right="169"/>
              <w:rPr>
                <w:b w:val="0"/>
                <w:lang w:eastAsia="en-US" w:bidi="ar-SA"/>
              </w:rPr>
            </w:pPr>
            <w:r w:rsidRPr="00E544C1">
              <w:rPr>
                <w:b w:val="0"/>
                <w:lang w:eastAsia="en-US" w:bidi="ar-SA"/>
              </w:rPr>
              <w:t>The term Distributed Energy Resources (DER) is commonly used of these technologies where they connected directly to the distribution system (i.e. front-of-meter).</w:t>
            </w:r>
          </w:p>
          <w:p w14:paraId="359DA032" w14:textId="77777777" w:rsidR="00885385" w:rsidRPr="00A75735" w:rsidRDefault="00885385" w:rsidP="00E52F89">
            <w:pPr>
              <w:pStyle w:val="Subtitle"/>
              <w:spacing w:before="180" w:after="120" w:line="264" w:lineRule="auto"/>
              <w:ind w:left="176" w:right="169"/>
              <w:rPr>
                <w:rStyle w:val="Emphasis"/>
                <w:rFonts w:ascii="PP Mori SemiBold" w:hAnsi="PP Mori SemiBold"/>
                <w:sz w:val="24"/>
                <w:szCs w:val="40"/>
              </w:rPr>
            </w:pPr>
            <w:r w:rsidRPr="009D732E">
              <w:rPr>
                <w:rStyle w:val="Emphasis"/>
                <w:rFonts w:ascii="PP Mori SemiBold" w:hAnsi="PP Mori SemiBold"/>
                <w:sz w:val="24"/>
                <w:szCs w:val="40"/>
              </w:rPr>
              <w:t>Active CER/DER</w:t>
            </w:r>
          </w:p>
          <w:p w14:paraId="7B177F31" w14:textId="77777777" w:rsidR="00885385" w:rsidRPr="002C72C2" w:rsidRDefault="00885385" w:rsidP="00E52F89">
            <w:pPr>
              <w:spacing w:before="120" w:after="120" w:line="264" w:lineRule="auto"/>
              <w:ind w:left="175" w:right="169"/>
              <w:rPr>
                <w:b w:val="0"/>
                <w:lang w:eastAsia="en-US" w:bidi="ar-SA"/>
              </w:rPr>
            </w:pPr>
            <w:r w:rsidRPr="009D732E">
              <w:rPr>
                <w:b w:val="0"/>
                <w:lang w:eastAsia="en-US" w:bidi="ar-SA"/>
              </w:rPr>
              <w:t>Consumer Energy Resources (CER/DER) capable of automatically altering their operating behaviour in response the needs of the wider power system. This may be in response to changes in the price of energy, the operating conditions of the local distribution network and/or upon receipt of instructions, control inputs or data feeds from authorised external entities.</w:t>
            </w:r>
          </w:p>
        </w:tc>
      </w:tr>
    </w:tbl>
    <w:p w14:paraId="67DC7CB6" w14:textId="494DFD09" w:rsidR="00CA329D" w:rsidRDefault="00CA329D" w:rsidP="00EB2823">
      <w:pPr>
        <w:spacing w:line="264" w:lineRule="auto"/>
      </w:pPr>
      <w:r>
        <w:br w:type="page"/>
      </w:r>
    </w:p>
    <w:p w14:paraId="6EAD879A" w14:textId="73B2CE69" w:rsidR="004A7620" w:rsidRPr="002C72C2" w:rsidRDefault="004A7620" w:rsidP="007523B6">
      <w:pPr>
        <w:pStyle w:val="Heading1"/>
        <w:spacing w:before="0" w:after="360" w:line="264" w:lineRule="auto"/>
        <w:ind w:left="567" w:hanging="567"/>
        <w:rPr>
          <w:lang w:eastAsia="en-US" w:bidi="ar-SA"/>
        </w:rPr>
      </w:pPr>
      <w:bookmarkStart w:id="32" w:name="_Toc197522613"/>
      <w:bookmarkStart w:id="33" w:name="_Toc197596561"/>
      <w:bookmarkStart w:id="34" w:name="_Toc205533958"/>
      <w:bookmarkStart w:id="35" w:name="S_4_SI_TR"/>
      <w:bookmarkEnd w:id="32"/>
      <w:bookmarkEnd w:id="33"/>
      <w:r w:rsidRPr="002C72C2">
        <w:rPr>
          <w:lang w:eastAsia="en-US" w:bidi="ar-SA"/>
        </w:rPr>
        <w:t>Systemic Issues &amp; Transformation Risks</w:t>
      </w:r>
      <w:bookmarkEnd w:id="34"/>
      <w:r w:rsidRPr="002C72C2">
        <w:rPr>
          <w:lang w:eastAsia="en-US" w:bidi="ar-SA"/>
        </w:rPr>
        <w:t xml:space="preserve"> </w:t>
      </w:r>
    </w:p>
    <w:tbl>
      <w:tblPr>
        <w:tblStyle w:val="TableGrid"/>
        <w:tblW w:w="8075" w:type="dxa"/>
        <w:tblLook w:val="04A0" w:firstRow="1" w:lastRow="0" w:firstColumn="1" w:lastColumn="0" w:noHBand="0" w:noVBand="1"/>
      </w:tblPr>
      <w:tblGrid>
        <w:gridCol w:w="8075"/>
      </w:tblGrid>
      <w:tr w:rsidR="00E434B6" w:rsidRPr="00764F0F" w14:paraId="63984C37" w14:textId="77777777" w:rsidTr="008F2E81">
        <w:tc>
          <w:tcPr>
            <w:tcW w:w="8075" w:type="dxa"/>
            <w:tcBorders>
              <w:top w:val="single" w:sz="4" w:space="0" w:color="auto"/>
              <w:left w:val="single" w:sz="4" w:space="0" w:color="auto"/>
              <w:bottom w:val="single" w:sz="4" w:space="0" w:color="auto"/>
              <w:right w:val="single" w:sz="4" w:space="0" w:color="auto"/>
            </w:tcBorders>
            <w:shd w:val="clear" w:color="auto" w:fill="013C4C" w:themeFill="text1"/>
          </w:tcPr>
          <w:bookmarkEnd w:id="35"/>
          <w:p w14:paraId="23D954D6" w14:textId="28D48135" w:rsidR="00E434B6" w:rsidRPr="00764F0F" w:rsidRDefault="00E938C1" w:rsidP="00EB2823">
            <w:pPr>
              <w:spacing w:before="120" w:after="120" w:line="264" w:lineRule="auto"/>
              <w:jc w:val="center"/>
              <w:rPr>
                <w:rFonts w:ascii="PP Mori SemiBold" w:hAnsi="PP Mori SemiBold"/>
                <w:color w:val="E7E6E6" w:themeColor="background2"/>
                <w:sz w:val="20"/>
                <w:szCs w:val="20"/>
              </w:rPr>
            </w:pPr>
            <w:r>
              <w:rPr>
                <w:rFonts w:ascii="PP Mori SemiBold" w:hAnsi="PP Mori SemiBold"/>
                <w:color w:val="E7E6E6" w:themeColor="background2"/>
                <w:sz w:val="22"/>
                <w:szCs w:val="22"/>
              </w:rPr>
              <w:t xml:space="preserve">Four </w:t>
            </w:r>
            <w:r w:rsidR="00D8560E">
              <w:rPr>
                <w:rFonts w:ascii="PP Mori SemiBold" w:hAnsi="PP Mori SemiBold"/>
                <w:color w:val="E7E6E6" w:themeColor="background2"/>
                <w:sz w:val="22"/>
                <w:szCs w:val="22"/>
              </w:rPr>
              <w:t>Categories</w:t>
            </w:r>
            <w:r w:rsidR="00E434B6" w:rsidRPr="0026264B">
              <w:rPr>
                <w:rFonts w:ascii="PP Mori SemiBold" w:hAnsi="PP Mori SemiBold"/>
                <w:color w:val="E7E6E6" w:themeColor="background2"/>
                <w:sz w:val="22"/>
                <w:szCs w:val="22"/>
              </w:rPr>
              <w:t xml:space="preserve"> </w:t>
            </w:r>
            <w:r w:rsidR="00615D43">
              <w:rPr>
                <w:rFonts w:ascii="PP Mori SemiBold" w:hAnsi="PP Mori SemiBold"/>
                <w:color w:val="E7E6E6" w:themeColor="background2"/>
                <w:sz w:val="22"/>
                <w:szCs w:val="22"/>
              </w:rPr>
              <w:t>of Systemic Issues &amp; Transformation Risks</w:t>
            </w:r>
          </w:p>
        </w:tc>
      </w:tr>
      <w:tr w:rsidR="00E06EB9" w:rsidRPr="00DA19A6" w14:paraId="0685B4E5" w14:textId="77777777" w:rsidTr="008F2E81">
        <w:tc>
          <w:tcPr>
            <w:tcW w:w="8075" w:type="dxa"/>
            <w:tcBorders>
              <w:top w:val="single" w:sz="4" w:space="0" w:color="auto"/>
              <w:left w:val="single" w:sz="4" w:space="0" w:color="auto"/>
              <w:bottom w:val="single" w:sz="4" w:space="0" w:color="auto"/>
            </w:tcBorders>
          </w:tcPr>
          <w:p w14:paraId="3327521B" w14:textId="2AB793DF" w:rsidR="00E06EB9" w:rsidRPr="002C72C2" w:rsidRDefault="00F7288D" w:rsidP="00954BAC">
            <w:pPr>
              <w:pStyle w:val="ListParagraph"/>
              <w:numPr>
                <w:ilvl w:val="0"/>
                <w:numId w:val="43"/>
              </w:numPr>
              <w:spacing w:line="264" w:lineRule="auto"/>
              <w:ind w:left="458" w:hanging="283"/>
              <w:rPr>
                <w:lang w:eastAsia="en-US" w:bidi="ar-SA"/>
              </w:rPr>
            </w:pPr>
            <w:r w:rsidRPr="002C72C2">
              <w:rPr>
                <w:rFonts w:ascii="PP Mori SemiBold" w:hAnsi="PP Mori SemiBold"/>
                <w:lang w:eastAsia="en-US" w:bidi="ar-SA"/>
              </w:rPr>
              <w:t xml:space="preserve">Strategic </w:t>
            </w:r>
            <w:r w:rsidR="00E06EB9" w:rsidRPr="002C72C2">
              <w:rPr>
                <w:rFonts w:ascii="PP Mori SemiBold" w:hAnsi="PP Mori SemiBold"/>
                <w:lang w:eastAsia="en-US" w:bidi="ar-SA"/>
              </w:rPr>
              <w:t>Transformation</w:t>
            </w:r>
            <w:r w:rsidRPr="002C72C2">
              <w:rPr>
                <w:rFonts w:ascii="PP Mori SemiBold" w:hAnsi="PP Mori SemiBold"/>
                <w:lang w:eastAsia="en-US" w:bidi="ar-SA"/>
              </w:rPr>
              <w:t xml:space="preserve"> Risks</w:t>
            </w:r>
          </w:p>
        </w:tc>
      </w:tr>
      <w:tr w:rsidR="00E06EB9" w:rsidRPr="00E06EB9" w14:paraId="5CB34809" w14:textId="77777777" w:rsidTr="008F2E81">
        <w:tc>
          <w:tcPr>
            <w:tcW w:w="8075" w:type="dxa"/>
            <w:tcBorders>
              <w:top w:val="single" w:sz="4" w:space="0" w:color="auto"/>
              <w:left w:val="single" w:sz="4" w:space="0" w:color="auto"/>
              <w:bottom w:val="single" w:sz="4" w:space="0" w:color="auto"/>
            </w:tcBorders>
          </w:tcPr>
          <w:p w14:paraId="1993F88F" w14:textId="6E81F3AC" w:rsidR="00E06EB9" w:rsidRPr="002C72C2" w:rsidRDefault="00E06EB9" w:rsidP="00954BAC">
            <w:pPr>
              <w:pStyle w:val="ListParagraph"/>
              <w:numPr>
                <w:ilvl w:val="0"/>
                <w:numId w:val="43"/>
              </w:numPr>
              <w:spacing w:line="264" w:lineRule="auto"/>
              <w:ind w:left="458" w:hanging="283"/>
              <w:rPr>
                <w:rFonts w:ascii="PP Mori SemiBold" w:hAnsi="PP Mori SemiBold"/>
                <w:lang w:eastAsia="en-US" w:bidi="ar-SA"/>
              </w:rPr>
            </w:pPr>
            <w:r w:rsidRPr="002C72C2">
              <w:rPr>
                <w:rFonts w:ascii="PP Mori SemiBold" w:hAnsi="PP Mori SemiBold"/>
                <w:lang w:eastAsia="en-US" w:bidi="ar-SA"/>
              </w:rPr>
              <w:t>Core Structural &amp; Operability Issues</w:t>
            </w:r>
          </w:p>
        </w:tc>
      </w:tr>
      <w:tr w:rsidR="00E06EB9" w:rsidRPr="00E06EB9" w14:paraId="1E829A45" w14:textId="77777777" w:rsidTr="008F2E81">
        <w:tc>
          <w:tcPr>
            <w:tcW w:w="8075" w:type="dxa"/>
            <w:tcBorders>
              <w:top w:val="single" w:sz="4" w:space="0" w:color="auto"/>
              <w:left w:val="single" w:sz="4" w:space="0" w:color="auto"/>
              <w:bottom w:val="single" w:sz="4" w:space="0" w:color="auto"/>
            </w:tcBorders>
          </w:tcPr>
          <w:p w14:paraId="68E7C522" w14:textId="0F4486A8" w:rsidR="00E06EB9" w:rsidRPr="002C72C2" w:rsidRDefault="00E06EB9" w:rsidP="00954BAC">
            <w:pPr>
              <w:pStyle w:val="ListParagraph"/>
              <w:numPr>
                <w:ilvl w:val="0"/>
                <w:numId w:val="43"/>
              </w:numPr>
              <w:spacing w:line="264" w:lineRule="auto"/>
              <w:ind w:left="458" w:hanging="283"/>
              <w:rPr>
                <w:rFonts w:ascii="PP Mori SemiBold" w:hAnsi="PP Mori SemiBold"/>
                <w:lang w:eastAsia="en-US" w:bidi="ar-SA"/>
              </w:rPr>
            </w:pPr>
            <w:r w:rsidRPr="002C72C2">
              <w:rPr>
                <w:rFonts w:ascii="PP Mori SemiBold" w:hAnsi="PP Mori SemiBold"/>
                <w:lang w:eastAsia="en-US" w:bidi="ar-SA"/>
              </w:rPr>
              <w:t>Digitalisation</w:t>
            </w:r>
            <w:r w:rsidR="00E723B8" w:rsidRPr="002C72C2">
              <w:rPr>
                <w:rFonts w:ascii="PP Mori SemiBold" w:hAnsi="PP Mori SemiBold"/>
                <w:lang w:eastAsia="en-US" w:bidi="ar-SA"/>
              </w:rPr>
              <w:t xml:space="preserve"> &amp; Scalability </w:t>
            </w:r>
            <w:r w:rsidRPr="002C72C2">
              <w:rPr>
                <w:rFonts w:ascii="PP Mori SemiBold" w:hAnsi="PP Mori SemiBold"/>
                <w:lang w:eastAsia="en-US" w:bidi="ar-SA"/>
              </w:rPr>
              <w:t>Issues</w:t>
            </w:r>
          </w:p>
        </w:tc>
      </w:tr>
      <w:tr w:rsidR="00E06EB9" w:rsidRPr="00E06EB9" w14:paraId="4A6B9202" w14:textId="77777777" w:rsidTr="008F2E81">
        <w:tc>
          <w:tcPr>
            <w:tcW w:w="8075" w:type="dxa"/>
            <w:tcBorders>
              <w:top w:val="single" w:sz="4" w:space="0" w:color="auto"/>
              <w:left w:val="single" w:sz="4" w:space="0" w:color="auto"/>
              <w:bottom w:val="single" w:sz="4" w:space="0" w:color="auto"/>
            </w:tcBorders>
          </w:tcPr>
          <w:p w14:paraId="286F21AC" w14:textId="0310005D" w:rsidR="00E06EB9" w:rsidRPr="002C72C2" w:rsidRDefault="00E06EB9" w:rsidP="00954BAC">
            <w:pPr>
              <w:pStyle w:val="ListParagraph"/>
              <w:numPr>
                <w:ilvl w:val="0"/>
                <w:numId w:val="43"/>
              </w:numPr>
              <w:spacing w:line="264" w:lineRule="auto"/>
              <w:ind w:left="458" w:hanging="283"/>
              <w:rPr>
                <w:rFonts w:ascii="PP Mori SemiBold" w:hAnsi="PP Mori SemiBold"/>
                <w:lang w:eastAsia="en-US" w:bidi="ar-SA"/>
              </w:rPr>
            </w:pPr>
            <w:r w:rsidRPr="002C72C2">
              <w:rPr>
                <w:rFonts w:ascii="PP Mori SemiBold" w:hAnsi="PP Mori SemiBold"/>
                <w:lang w:eastAsia="en-US" w:bidi="ar-SA"/>
              </w:rPr>
              <w:t xml:space="preserve">Sectoral Alignment &amp; Participation </w:t>
            </w:r>
            <w:r w:rsidR="00D8560E" w:rsidRPr="002C72C2">
              <w:rPr>
                <w:rFonts w:ascii="PP Mori SemiBold" w:hAnsi="PP Mori SemiBold"/>
                <w:lang w:eastAsia="en-US" w:bidi="ar-SA"/>
              </w:rPr>
              <w:t>Risks</w:t>
            </w:r>
            <w:r w:rsidRPr="002C72C2">
              <w:rPr>
                <w:rFonts w:ascii="PP Mori SemiBold" w:hAnsi="PP Mori SemiBold"/>
                <w:lang w:eastAsia="en-US" w:bidi="ar-SA"/>
              </w:rPr>
              <w:t xml:space="preserve"> </w:t>
            </w:r>
          </w:p>
        </w:tc>
      </w:tr>
    </w:tbl>
    <w:p w14:paraId="2BACF38F" w14:textId="015EB603" w:rsidR="00524DB0" w:rsidRDefault="006B0BC4" w:rsidP="00EA5D3F">
      <w:pPr>
        <w:keepNext/>
        <w:spacing w:after="120" w:line="264" w:lineRule="auto"/>
        <w:jc w:val="center"/>
      </w:pPr>
      <w:bookmarkStart w:id="36" w:name="F_19"/>
      <w:bookmarkStart w:id="37" w:name="Figure_3"/>
      <w:r>
        <w:rPr>
          <w:i/>
          <w:iCs/>
          <w:noProof/>
          <w:color w:val="013C4C" w:themeColor="text1"/>
          <w:szCs w:val="22"/>
        </w:rPr>
        <w:drawing>
          <wp:inline distT="0" distB="0" distL="0" distR="0" wp14:anchorId="29795487" wp14:editId="2EAC84CE">
            <wp:extent cx="4673995" cy="4482935"/>
            <wp:effectExtent l="0" t="0" r="0" b="0"/>
            <wp:docPr id="10891034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03473" name="Picture 1089103473"/>
                    <pic:cNvPicPr/>
                  </pic:nvPicPr>
                  <pic:blipFill>
                    <a:blip r:embed="rId23">
                      <a:extLst>
                        <a:ext uri="{28A0092B-C50C-407E-A947-70E740481C1C}">
                          <a14:useLocalDpi xmlns:a14="http://schemas.microsoft.com/office/drawing/2010/main" val="0"/>
                        </a:ext>
                      </a:extLst>
                    </a:blip>
                    <a:stretch>
                      <a:fillRect/>
                    </a:stretch>
                  </pic:blipFill>
                  <pic:spPr>
                    <a:xfrm>
                      <a:off x="0" y="0"/>
                      <a:ext cx="4682180" cy="4490786"/>
                    </a:xfrm>
                    <a:prstGeom prst="rect">
                      <a:avLst/>
                    </a:prstGeom>
                  </pic:spPr>
                </pic:pic>
              </a:graphicData>
            </a:graphic>
          </wp:inline>
        </w:drawing>
      </w:r>
      <w:bookmarkEnd w:id="36"/>
      <w:bookmarkEnd w:id="37"/>
    </w:p>
    <w:p w14:paraId="617470E2" w14:textId="53B2E398" w:rsidR="00506E52" w:rsidRDefault="00524DB0" w:rsidP="00524DB0">
      <w:pPr>
        <w:pStyle w:val="Caption"/>
      </w:pPr>
      <w:bookmarkStart w:id="38" w:name="_Toc205365728"/>
      <w:r>
        <w:t xml:space="preserve">Figure </w:t>
      </w:r>
      <w:fldSimple w:instr=" SEQ Figure \* ARABIC ">
        <w:r w:rsidR="009F382F">
          <w:rPr>
            <w:noProof/>
          </w:rPr>
          <w:t>3</w:t>
        </w:r>
      </w:fldSimple>
      <w:r>
        <w:t xml:space="preserve">: </w:t>
      </w:r>
      <w:r w:rsidR="00F83FC1" w:rsidRPr="00914E36">
        <w:t>The structural analysis undertaken identified fifteen Systemic Issues &amp; Transformation Risks clustered under four categories</w:t>
      </w:r>
      <w:r>
        <w:t>.</w:t>
      </w:r>
      <w:bookmarkEnd w:id="38"/>
    </w:p>
    <w:p w14:paraId="41001567" w14:textId="77777777" w:rsidR="005204A8" w:rsidRDefault="005204A8">
      <w:pPr>
        <w:spacing w:before="0" w:after="160" w:line="259" w:lineRule="auto"/>
        <w:rPr>
          <w:rFonts w:ascii="PP Mori SemiBold" w:eastAsiaTheme="majorEastAsia" w:hAnsi="PP Mori SemiBold" w:cstheme="majorBidi"/>
          <w:color w:val="002C38" w:themeColor="accent1" w:themeShade="BF"/>
          <w:sz w:val="26"/>
          <w:szCs w:val="33"/>
          <w:lang w:eastAsia="en-US" w:bidi="ar-SA"/>
        </w:rPr>
      </w:pPr>
      <w:r>
        <w:rPr>
          <w:lang w:eastAsia="en-US" w:bidi="ar-SA"/>
        </w:rPr>
        <w:br w:type="page"/>
      </w:r>
    </w:p>
    <w:p w14:paraId="117D8C05" w14:textId="1BD12188" w:rsidR="003E6261" w:rsidRPr="002C72C2" w:rsidRDefault="00905B20" w:rsidP="00EB2823">
      <w:pPr>
        <w:pStyle w:val="Heading2"/>
        <w:spacing w:line="264" w:lineRule="auto"/>
        <w:rPr>
          <w:lang w:eastAsia="en-US" w:bidi="ar-SA"/>
        </w:rPr>
      </w:pPr>
      <w:bookmarkStart w:id="39" w:name="_Toc205533959"/>
      <w:r w:rsidRPr="002C72C2">
        <w:rPr>
          <w:lang w:eastAsia="en-US" w:bidi="ar-SA"/>
        </w:rPr>
        <w:t xml:space="preserve">Strategic </w:t>
      </w:r>
      <w:r w:rsidR="003E6261" w:rsidRPr="002C72C2">
        <w:rPr>
          <w:lang w:eastAsia="en-US" w:bidi="ar-SA"/>
        </w:rPr>
        <w:t xml:space="preserve">Transformation </w:t>
      </w:r>
      <w:r w:rsidR="00F7288D" w:rsidRPr="002C72C2">
        <w:rPr>
          <w:lang w:eastAsia="en-US" w:bidi="ar-SA"/>
        </w:rPr>
        <w:t>Risks</w:t>
      </w:r>
      <w:bookmarkEnd w:id="39"/>
    </w:p>
    <w:p w14:paraId="519A3D39" w14:textId="22537D6D" w:rsidR="009C4E79" w:rsidRPr="002C72C2" w:rsidRDefault="00A42A1C" w:rsidP="008164F6">
      <w:pPr>
        <w:spacing w:before="180" w:line="264" w:lineRule="auto"/>
        <w:rPr>
          <w:lang w:eastAsia="en-US" w:bidi="ar-SA"/>
        </w:rPr>
      </w:pPr>
      <w:r w:rsidRPr="007739B5">
        <w:rPr>
          <w:lang w:eastAsia="en-US" w:bidi="ar-SA"/>
        </w:rPr>
        <w:t xml:space="preserve">The following section examines </w:t>
      </w:r>
      <w:r w:rsidR="009C29DB" w:rsidRPr="007739B5">
        <w:rPr>
          <w:lang w:eastAsia="en-US" w:bidi="ar-SA"/>
        </w:rPr>
        <w:t xml:space="preserve">three </w:t>
      </w:r>
      <w:r w:rsidR="00893E7F" w:rsidRPr="007739B5">
        <w:rPr>
          <w:lang w:eastAsia="en-US" w:bidi="ar-SA"/>
        </w:rPr>
        <w:t>overarching considerations that impact many aspects of Australia’s GW-scale power systems and risk impeding the timely, cost-efficient and technically robust navigation of whole-system transformation</w:t>
      </w:r>
      <w:r w:rsidR="00374950">
        <w:rPr>
          <w:lang w:eastAsia="en-US" w:bidi="ar-SA"/>
        </w:rPr>
        <w:t xml:space="preserve">. </w:t>
      </w:r>
    </w:p>
    <w:p w14:paraId="3F4EBF14" w14:textId="291A5F36" w:rsidR="003E6261" w:rsidRPr="002C72C2" w:rsidRDefault="003E6261" w:rsidP="00EB2823">
      <w:pPr>
        <w:pStyle w:val="Heading3"/>
        <w:spacing w:line="264" w:lineRule="auto"/>
        <w:rPr>
          <w:lang w:eastAsia="en-US" w:bidi="ar-SA"/>
        </w:rPr>
      </w:pPr>
      <w:bookmarkStart w:id="40" w:name="_Limited_Shared_Future"/>
      <w:bookmarkStart w:id="41" w:name="_Toc205533960"/>
      <w:bookmarkStart w:id="42" w:name="S_411"/>
      <w:bookmarkEnd w:id="40"/>
      <w:r w:rsidRPr="002C72C2">
        <w:rPr>
          <w:lang w:eastAsia="en-US" w:bidi="ar-SA"/>
        </w:rPr>
        <w:t xml:space="preserve">Limited Shared </w:t>
      </w:r>
      <w:r w:rsidR="004C274C" w:rsidRPr="002C72C2">
        <w:rPr>
          <w:lang w:eastAsia="en-US" w:bidi="ar-SA"/>
        </w:rPr>
        <w:t xml:space="preserve">Future </w:t>
      </w:r>
      <w:r w:rsidRPr="002C72C2">
        <w:rPr>
          <w:lang w:eastAsia="en-US" w:bidi="ar-SA"/>
        </w:rPr>
        <w:t>Vision</w:t>
      </w:r>
      <w:bookmarkEnd w:id="41"/>
    </w:p>
    <w:tbl>
      <w:tblPr>
        <w:tblStyle w:val="TableGrid"/>
        <w:tblW w:w="0" w:type="auto"/>
        <w:tblLook w:val="04A0" w:firstRow="1" w:lastRow="0" w:firstColumn="1" w:lastColumn="0" w:noHBand="0" w:noVBand="1"/>
      </w:tblPr>
      <w:tblGrid>
        <w:gridCol w:w="8210"/>
      </w:tblGrid>
      <w:tr w:rsidR="00FB2487" w14:paraId="25235DBE" w14:textId="77777777" w:rsidTr="008F2E81">
        <w:tc>
          <w:tcPr>
            <w:tcW w:w="8210" w:type="dxa"/>
            <w:shd w:val="clear" w:color="auto" w:fill="013C4C" w:themeFill="text1"/>
          </w:tcPr>
          <w:bookmarkEnd w:id="42"/>
          <w:p w14:paraId="0139E56E" w14:textId="1E468EE3" w:rsidR="00FB2487" w:rsidRPr="002C72C2" w:rsidRDefault="00581B72" w:rsidP="00EB2823">
            <w:pPr>
              <w:spacing w:before="180" w:after="180" w:line="264" w:lineRule="auto"/>
              <w:ind w:left="176" w:right="176"/>
              <w:rPr>
                <w:i/>
                <w:lang w:eastAsia="en-US" w:bidi="ar-SA"/>
              </w:rPr>
            </w:pPr>
            <w:r w:rsidRPr="00581B72">
              <w:rPr>
                <w:i/>
                <w:lang w:eastAsia="en-US" w:bidi="ar-SA"/>
              </w:rPr>
              <w:t>Beyond high-level emission reduction targets and long-term scenarios</w:t>
            </w:r>
            <w:r>
              <w:rPr>
                <w:i/>
                <w:lang w:eastAsia="en-US" w:bidi="ar-SA"/>
              </w:rPr>
              <w:t>,</w:t>
            </w:r>
            <w:r w:rsidRPr="00581B72">
              <w:rPr>
                <w:i/>
                <w:lang w:eastAsia="en-US" w:bidi="ar-SA"/>
              </w:rPr>
              <w:t xml:space="preserve"> no positive, shared and whole-system vision of </w:t>
            </w:r>
            <w:r>
              <w:rPr>
                <w:i/>
                <w:lang w:eastAsia="en-US" w:bidi="ar-SA"/>
              </w:rPr>
              <w:t xml:space="preserve">Australia’s </w:t>
            </w:r>
            <w:r w:rsidRPr="00581B72">
              <w:rPr>
                <w:i/>
                <w:lang w:eastAsia="en-US" w:bidi="ar-SA"/>
              </w:rPr>
              <w:t xml:space="preserve">future </w:t>
            </w:r>
            <w:r>
              <w:rPr>
                <w:i/>
                <w:lang w:eastAsia="en-US" w:bidi="ar-SA"/>
              </w:rPr>
              <w:t>power systems c</w:t>
            </w:r>
            <w:r w:rsidRPr="00581B72">
              <w:rPr>
                <w:i/>
                <w:lang w:eastAsia="en-US" w:bidi="ar-SA"/>
              </w:rPr>
              <w:t>urrently exists to enable sectoral alignment on an integrated suite of medium and long-term transformative action</w:t>
            </w:r>
            <w:r w:rsidR="00374950">
              <w:rPr>
                <w:i/>
                <w:lang w:eastAsia="en-US" w:bidi="ar-SA"/>
              </w:rPr>
              <w:t xml:space="preserve">. </w:t>
            </w:r>
          </w:p>
        </w:tc>
      </w:tr>
    </w:tbl>
    <w:p w14:paraId="3D4FD3F3" w14:textId="38068EF2" w:rsidR="00C0361B" w:rsidRPr="00EB2823" w:rsidRDefault="0002427A" w:rsidP="00954BAC">
      <w:pPr>
        <w:pStyle w:val="Heading4"/>
        <w:numPr>
          <w:ilvl w:val="0"/>
          <w:numId w:val="80"/>
        </w:numPr>
        <w:spacing w:before="240" w:after="120" w:line="264" w:lineRule="auto"/>
        <w:rPr>
          <w:i w:val="0"/>
          <w:iCs w:val="0"/>
        </w:rPr>
      </w:pPr>
      <w:r w:rsidRPr="00EB2823">
        <w:rPr>
          <w:i w:val="0"/>
          <w:iCs w:val="0"/>
        </w:rPr>
        <w:t>Cross Cutting Issue</w:t>
      </w:r>
    </w:p>
    <w:p w14:paraId="15B463CC" w14:textId="2E880840" w:rsidR="0002427A" w:rsidRPr="002C72C2" w:rsidRDefault="0002427A" w:rsidP="00EB2823">
      <w:pPr>
        <w:spacing w:before="120" w:after="120" w:line="264" w:lineRule="auto"/>
        <w:rPr>
          <w:lang w:eastAsia="en-US" w:bidi="ar-SA"/>
        </w:rPr>
      </w:pPr>
      <w:r w:rsidRPr="002C72C2">
        <w:rPr>
          <w:lang w:eastAsia="en-US" w:bidi="ar-SA"/>
        </w:rPr>
        <w:t xml:space="preserve">Australia is experiencing one of the </w:t>
      </w:r>
      <w:r w:rsidR="004E7751" w:rsidRPr="002C72C2">
        <w:rPr>
          <w:lang w:eastAsia="en-US" w:bidi="ar-SA"/>
        </w:rPr>
        <w:t xml:space="preserve">world’s </w:t>
      </w:r>
      <w:r w:rsidRPr="002C72C2">
        <w:rPr>
          <w:lang w:eastAsia="en-US" w:bidi="ar-SA"/>
        </w:rPr>
        <w:t>fastest</w:t>
      </w:r>
      <w:r w:rsidR="004E7751" w:rsidRPr="002C72C2">
        <w:rPr>
          <w:lang w:eastAsia="en-US" w:bidi="ar-SA"/>
        </w:rPr>
        <w:t xml:space="preserve">, large </w:t>
      </w:r>
      <w:r w:rsidR="00727957" w:rsidRPr="002C72C2">
        <w:rPr>
          <w:lang w:eastAsia="en-US" w:bidi="ar-SA"/>
        </w:rPr>
        <w:t>scale power</w:t>
      </w:r>
      <w:r w:rsidRPr="002C72C2">
        <w:rPr>
          <w:lang w:eastAsia="en-US" w:bidi="ar-SA"/>
        </w:rPr>
        <w:t xml:space="preserve"> </w:t>
      </w:r>
      <w:r w:rsidR="008921F5" w:rsidRPr="002C72C2">
        <w:rPr>
          <w:lang w:eastAsia="en-US" w:bidi="ar-SA"/>
        </w:rPr>
        <w:t>s</w:t>
      </w:r>
      <w:r w:rsidRPr="002C72C2">
        <w:rPr>
          <w:lang w:eastAsia="en-US" w:bidi="ar-SA"/>
        </w:rPr>
        <w:t>ystem transformations</w:t>
      </w:r>
      <w:r w:rsidR="00374950">
        <w:rPr>
          <w:lang w:eastAsia="en-US" w:bidi="ar-SA"/>
        </w:rPr>
        <w:t xml:space="preserve">. </w:t>
      </w:r>
      <w:r w:rsidRPr="002C72C2">
        <w:rPr>
          <w:lang w:eastAsia="en-US" w:bidi="ar-SA"/>
        </w:rPr>
        <w:t>The nation provides a window on the energy future for many global jurisdictions</w:t>
      </w:r>
      <w:r w:rsidR="00374950">
        <w:rPr>
          <w:lang w:eastAsia="en-US" w:bidi="ar-SA"/>
        </w:rPr>
        <w:t xml:space="preserve">. </w:t>
      </w:r>
    </w:p>
    <w:p w14:paraId="44655610" w14:textId="72D7ED39" w:rsidR="0002427A" w:rsidRPr="002C72C2" w:rsidRDefault="0002427A" w:rsidP="00EB2823">
      <w:pPr>
        <w:spacing w:before="120" w:after="120" w:line="264" w:lineRule="auto"/>
        <w:rPr>
          <w:lang w:eastAsia="en-US" w:bidi="ar-SA"/>
        </w:rPr>
      </w:pPr>
      <w:r w:rsidRPr="002C72C2">
        <w:rPr>
          <w:lang w:eastAsia="en-US" w:bidi="ar-SA"/>
        </w:rPr>
        <w:t xml:space="preserve">The combined impacts of the ‘4 x Ds’ – </w:t>
      </w:r>
      <w:r w:rsidR="00091A05" w:rsidRPr="002C72C2">
        <w:rPr>
          <w:lang w:eastAsia="en-US" w:bidi="ar-SA"/>
        </w:rPr>
        <w:t>De</w:t>
      </w:r>
      <w:r w:rsidRPr="002C72C2">
        <w:rPr>
          <w:lang w:eastAsia="en-US" w:bidi="ar-SA"/>
        </w:rPr>
        <w:t xml:space="preserve">carbonisation, </w:t>
      </w:r>
      <w:r w:rsidR="00091A05" w:rsidRPr="002C72C2">
        <w:rPr>
          <w:lang w:eastAsia="en-US" w:bidi="ar-SA"/>
        </w:rPr>
        <w:t>D</w:t>
      </w:r>
      <w:r w:rsidRPr="002C72C2">
        <w:rPr>
          <w:lang w:eastAsia="en-US" w:bidi="ar-SA"/>
        </w:rPr>
        <w:t xml:space="preserve">igitalisation, </w:t>
      </w:r>
      <w:r w:rsidR="00091A05" w:rsidRPr="002C72C2">
        <w:rPr>
          <w:lang w:eastAsia="en-US" w:bidi="ar-SA"/>
        </w:rPr>
        <w:t>D</w:t>
      </w:r>
      <w:r w:rsidRPr="002C72C2">
        <w:rPr>
          <w:lang w:eastAsia="en-US" w:bidi="ar-SA"/>
        </w:rPr>
        <w:t xml:space="preserve">emocratisation and </w:t>
      </w:r>
      <w:r w:rsidR="00091A05" w:rsidRPr="002C72C2">
        <w:rPr>
          <w:lang w:eastAsia="en-US" w:bidi="ar-SA"/>
        </w:rPr>
        <w:t>D</w:t>
      </w:r>
      <w:r w:rsidRPr="002C72C2">
        <w:rPr>
          <w:lang w:eastAsia="en-US" w:bidi="ar-SA"/>
        </w:rPr>
        <w:t xml:space="preserve">ecentralisation – are driving Australia’s unparalleled transformation. These, in turn, are accelerated by a complex range of societal, technological, economic and commercial shifts, many of which are outside the direct control of traditional power sector regulatory and governance mechanisms. </w:t>
      </w:r>
    </w:p>
    <w:p w14:paraId="2C78A47E" w14:textId="4A54FB5D" w:rsidR="00953FE2" w:rsidRPr="002C72C2" w:rsidRDefault="00953FE2" w:rsidP="00EB2823">
      <w:pPr>
        <w:spacing w:before="120" w:after="120" w:line="264" w:lineRule="auto"/>
        <w:rPr>
          <w:lang w:eastAsia="en-US" w:bidi="ar-SA"/>
        </w:rPr>
      </w:pPr>
      <w:r w:rsidRPr="002C72C2">
        <w:rPr>
          <w:lang w:eastAsia="en-US" w:bidi="ar-SA"/>
        </w:rPr>
        <w:t xml:space="preserve">Under AEMO’s 2024 Integrated System Plan </w:t>
      </w:r>
      <w:r w:rsidR="00A67BD1" w:rsidRPr="002C72C2">
        <w:rPr>
          <w:lang w:eastAsia="en-US" w:bidi="ar-SA"/>
        </w:rPr>
        <w:t>‘</w:t>
      </w:r>
      <w:r w:rsidRPr="002C72C2">
        <w:rPr>
          <w:lang w:eastAsia="en-US" w:bidi="ar-SA"/>
        </w:rPr>
        <w:t>Step Change</w:t>
      </w:r>
      <w:r w:rsidR="00A67BD1" w:rsidRPr="002C72C2">
        <w:rPr>
          <w:lang w:eastAsia="en-US" w:bidi="ar-SA"/>
        </w:rPr>
        <w:t>’</w:t>
      </w:r>
      <w:r w:rsidRPr="002C72C2">
        <w:rPr>
          <w:lang w:eastAsia="en-US" w:bidi="ar-SA"/>
        </w:rPr>
        <w:t xml:space="preserve"> scenario, rooftop solar capacity is forecast to quadruple to 72GW of installed capacity, and </w:t>
      </w:r>
      <w:r w:rsidR="008F7F21" w:rsidRPr="002C72C2">
        <w:rPr>
          <w:lang w:eastAsia="en-US" w:bidi="ar-SA"/>
        </w:rPr>
        <w:t>distributed</w:t>
      </w:r>
      <w:r w:rsidR="005220B6" w:rsidRPr="002C72C2">
        <w:rPr>
          <w:lang w:eastAsia="en-US" w:bidi="ar-SA"/>
        </w:rPr>
        <w:t xml:space="preserve"> </w:t>
      </w:r>
      <w:r w:rsidRPr="002C72C2">
        <w:rPr>
          <w:lang w:eastAsia="en-US" w:bidi="ar-SA"/>
        </w:rPr>
        <w:t>storage is forecast to account for 66% of the NEM’s storage capacity by the year 2050</w:t>
      </w:r>
      <w:hyperlink w:anchor="Ref_1" w:history="1">
        <w:r w:rsidR="00902357" w:rsidRPr="005B0A42">
          <w:rPr>
            <w:rStyle w:val="Hyperlink"/>
            <w:lang w:eastAsia="en-US" w:bidi="ar-SA"/>
          </w:rPr>
          <w:fldChar w:fldCharType="begin"/>
        </w:r>
        <w:r w:rsidR="0074065B" w:rsidRPr="005B0A42">
          <w:rPr>
            <w:rStyle w:val="Hyperlink"/>
            <w:lang w:eastAsia="en-US" w:bidi="ar-SA"/>
          </w:rPr>
          <w:instrText xml:space="preserve"> ADDIN ZOTERO_ITEM CSL_CITATION {"citationID":"Kn2etmbD","properties":{"formattedCitation":"[1]","plainCitation":"[1]","noteIndex":0},"citationItems":[{"id":1,"uris":["http://zotero.org/users/local/BgaHAIQb/items/ZKYT9SXV","http://zotero.org/users/17348326/items/ZKYT9SXV"],"itemData":{"id":1,"type":"report","number":"Version 1.0","publisher":"AEMO","title":"2024 Integrated System Plan (ISP),","URL":"https://aemo.com.au/-/media/files/major-publications/isp/2024/2024-integrated-system-plan-isp.pdf","author":[{"family":"Australian Energy Market Operator (AEMO)","given":""}],"issued":{"date-parts":[["2024",6]]}}}],"schema":"https://github.com/citation-style-language/schema/raw/master/csl-citation.json"} </w:instrText>
        </w:r>
        <w:r w:rsidR="00902357" w:rsidRPr="005B0A42">
          <w:rPr>
            <w:rStyle w:val="Hyperlink"/>
            <w:lang w:eastAsia="en-US" w:bidi="ar-SA"/>
          </w:rPr>
          <w:fldChar w:fldCharType="separate"/>
        </w:r>
        <w:r w:rsidR="00902357" w:rsidRPr="005B0A42">
          <w:rPr>
            <w:rStyle w:val="Hyperlink"/>
          </w:rPr>
          <w:t>[1]</w:t>
        </w:r>
        <w:r w:rsidR="00902357" w:rsidRPr="005B0A42">
          <w:rPr>
            <w:rStyle w:val="Hyperlink"/>
            <w:lang w:eastAsia="en-US" w:bidi="ar-SA"/>
          </w:rPr>
          <w:fldChar w:fldCharType="end"/>
        </w:r>
      </w:hyperlink>
      <w:r w:rsidRPr="002C72C2">
        <w:rPr>
          <w:lang w:eastAsia="en-US" w:bidi="ar-SA"/>
        </w:rPr>
        <w:t>. CER</w:t>
      </w:r>
      <w:r w:rsidR="005220B6" w:rsidRPr="002C72C2">
        <w:rPr>
          <w:lang w:eastAsia="en-US" w:bidi="ar-SA"/>
        </w:rPr>
        <w:t>/DER</w:t>
      </w:r>
      <w:r w:rsidRPr="002C72C2">
        <w:rPr>
          <w:lang w:eastAsia="en-US" w:bidi="ar-SA"/>
        </w:rPr>
        <w:t xml:space="preserve"> already provides more than 100% of instantaneous generation in South Australia at times</w:t>
      </w:r>
      <w:hyperlink w:anchor="Ref_2" w:history="1">
        <w:r w:rsidR="00142924" w:rsidRPr="005B0A42">
          <w:rPr>
            <w:rStyle w:val="Hyperlink"/>
            <w:lang w:eastAsia="en-US" w:bidi="ar-SA"/>
          </w:rPr>
          <w:fldChar w:fldCharType="begin"/>
        </w:r>
        <w:r w:rsidR="0074065B" w:rsidRPr="005B0A42">
          <w:rPr>
            <w:rStyle w:val="Hyperlink"/>
            <w:lang w:eastAsia="en-US" w:bidi="ar-SA"/>
          </w:rPr>
          <w:instrText xml:space="preserve"> ADDIN ZOTERO_ITEM CSL_CITATION {"citationID":"piOT6EVJ","properties":{"formattedCitation":"[2]","plainCitation":"[2]","noteIndex":0},"citationItems":[{"id":2,"uris":["http://zotero.org/users/local/BgaHAIQb/items/CZIH8KNV","http://zotero.org/users/17348326/items/CZIH8KNV"],"itemData":{"id":2,"type":"report","number":"Version 1.0","title":"Engineering Roadmap - FY2025 Priority Actions Report","URL":"https://aemo.com.au/-/media/files/initiatives/engineering-framework/2024/nem-engineering-roadmap-fy2025-priority-actions.pdf?la=en&amp;hash=E934DFFF6D4544B9F117BAF6A6E4088D","author":[{"family":"Australian Energy Market Operator (AEMO)","given":""}],"issued":{"date-parts":[["2024",8,15]]}}}],"schema":"https://github.com/citation-style-language/schema/raw/master/csl-citation.json"} </w:instrText>
        </w:r>
        <w:r w:rsidR="00142924" w:rsidRPr="005B0A42">
          <w:rPr>
            <w:rStyle w:val="Hyperlink"/>
            <w:lang w:eastAsia="en-US" w:bidi="ar-SA"/>
          </w:rPr>
          <w:fldChar w:fldCharType="separate"/>
        </w:r>
        <w:r w:rsidR="00142924" w:rsidRPr="005B0A42">
          <w:rPr>
            <w:rStyle w:val="Hyperlink"/>
          </w:rPr>
          <w:t>[2]</w:t>
        </w:r>
        <w:r w:rsidR="00142924" w:rsidRPr="005B0A42">
          <w:rPr>
            <w:rStyle w:val="Hyperlink"/>
            <w:lang w:eastAsia="en-US" w:bidi="ar-SA"/>
          </w:rPr>
          <w:fldChar w:fldCharType="end"/>
        </w:r>
      </w:hyperlink>
      <w:r w:rsidRPr="002C72C2">
        <w:rPr>
          <w:lang w:eastAsia="en-US" w:bidi="ar-SA"/>
        </w:rPr>
        <w:t>. Beyond kilowatt hours, CER</w:t>
      </w:r>
      <w:r w:rsidR="005220B6" w:rsidRPr="002C72C2">
        <w:rPr>
          <w:lang w:eastAsia="en-US" w:bidi="ar-SA"/>
        </w:rPr>
        <w:t>/DER</w:t>
      </w:r>
      <w:r w:rsidRPr="002C72C2">
        <w:rPr>
          <w:lang w:eastAsia="en-US" w:bidi="ar-SA"/>
        </w:rPr>
        <w:t xml:space="preserve"> is also expected to provide a range of other services both locally, and into the wholesale market via customer agents. Distribution-connected FTM DER, such as community batteries and generation assets, are anticipated to provide ‘downward’ services to consumers and local network services, and ‘upward’ services to wholesale markets.</w:t>
      </w:r>
    </w:p>
    <w:p w14:paraId="3662010B" w14:textId="0D2651A3" w:rsidR="00830543" w:rsidRPr="002C72C2" w:rsidRDefault="0002427A" w:rsidP="00B4334D">
      <w:pPr>
        <w:spacing w:before="120" w:after="120" w:line="264" w:lineRule="auto"/>
        <w:rPr>
          <w:lang w:eastAsia="en-US" w:bidi="ar-SA"/>
        </w:rPr>
      </w:pPr>
      <w:r w:rsidRPr="002C72C2">
        <w:rPr>
          <w:lang w:eastAsia="en-US" w:bidi="ar-SA"/>
        </w:rPr>
        <w:t xml:space="preserve">It is </w:t>
      </w:r>
      <w:r w:rsidR="009D3B42" w:rsidRPr="002C72C2">
        <w:rPr>
          <w:lang w:eastAsia="en-US" w:bidi="ar-SA"/>
        </w:rPr>
        <w:t xml:space="preserve">important to recognise </w:t>
      </w:r>
      <w:r w:rsidRPr="002C72C2">
        <w:rPr>
          <w:lang w:eastAsia="en-US" w:bidi="ar-SA"/>
        </w:rPr>
        <w:t xml:space="preserve">that such futures represent a materially – </w:t>
      </w:r>
      <w:r w:rsidR="00D456CB" w:rsidRPr="002C72C2">
        <w:rPr>
          <w:lang w:eastAsia="en-US" w:bidi="ar-SA"/>
        </w:rPr>
        <w:t>indeed</w:t>
      </w:r>
      <w:r w:rsidRPr="002C72C2">
        <w:rPr>
          <w:lang w:eastAsia="en-US" w:bidi="ar-SA"/>
        </w:rPr>
        <w:t xml:space="preserve"> radically – different operational environment for the </w:t>
      </w:r>
      <w:r w:rsidR="00973559" w:rsidRPr="002C72C2">
        <w:rPr>
          <w:lang w:eastAsia="en-US" w:bidi="ar-SA"/>
        </w:rPr>
        <w:t>NEM than its original architects envisaged</w:t>
      </w:r>
      <w:r w:rsidR="00374950">
        <w:rPr>
          <w:lang w:eastAsia="en-US" w:bidi="ar-SA"/>
        </w:rPr>
        <w:t xml:space="preserve">. </w:t>
      </w:r>
      <w:r w:rsidRPr="002C72C2">
        <w:rPr>
          <w:lang w:eastAsia="en-US" w:bidi="ar-SA"/>
        </w:rPr>
        <w:t xml:space="preserve">For example, as </w:t>
      </w:r>
      <w:r w:rsidR="00C23CD5" w:rsidRPr="002C72C2">
        <w:rPr>
          <w:lang w:eastAsia="en-US" w:bidi="ar-SA"/>
        </w:rPr>
        <w:t xml:space="preserve">the proportion of </w:t>
      </w:r>
      <w:r w:rsidR="002F1862" w:rsidRPr="002C72C2">
        <w:rPr>
          <w:lang w:eastAsia="en-US" w:bidi="ar-SA"/>
        </w:rPr>
        <w:t xml:space="preserve">upstream </w:t>
      </w:r>
      <w:r w:rsidR="009D2D8D" w:rsidRPr="002C72C2">
        <w:rPr>
          <w:lang w:eastAsia="en-US" w:bidi="ar-SA"/>
        </w:rPr>
        <w:t>thermal</w:t>
      </w:r>
      <w:r w:rsidRPr="002C72C2">
        <w:rPr>
          <w:lang w:eastAsia="en-US" w:bidi="ar-SA"/>
        </w:rPr>
        <w:t xml:space="preserve"> generation declines</w:t>
      </w:r>
      <w:r w:rsidR="00D47B46" w:rsidRPr="002C72C2">
        <w:rPr>
          <w:lang w:eastAsia="en-US" w:bidi="ar-SA"/>
        </w:rPr>
        <w:t xml:space="preserve"> </w:t>
      </w:r>
      <w:r w:rsidR="00C23CD5" w:rsidRPr="002C72C2">
        <w:rPr>
          <w:lang w:eastAsia="en-US" w:bidi="ar-SA"/>
        </w:rPr>
        <w:t xml:space="preserve">as both </w:t>
      </w:r>
      <w:r w:rsidR="00D47B46" w:rsidRPr="002C72C2">
        <w:rPr>
          <w:lang w:eastAsia="en-US" w:bidi="ar-SA"/>
        </w:rPr>
        <w:t xml:space="preserve">centralised and distributed renewable energy </w:t>
      </w:r>
      <w:r w:rsidR="00C23CD5" w:rsidRPr="002C72C2">
        <w:rPr>
          <w:lang w:eastAsia="en-US" w:bidi="ar-SA"/>
        </w:rPr>
        <w:t xml:space="preserve">increases, the system </w:t>
      </w:r>
      <w:r w:rsidRPr="002C72C2">
        <w:rPr>
          <w:lang w:eastAsia="en-US" w:bidi="ar-SA"/>
        </w:rPr>
        <w:t xml:space="preserve">becomes more </w:t>
      </w:r>
      <w:r w:rsidR="004639F6" w:rsidRPr="002C72C2">
        <w:rPr>
          <w:lang w:eastAsia="en-US" w:bidi="ar-SA"/>
        </w:rPr>
        <w:t xml:space="preserve">volatile, and </w:t>
      </w:r>
      <w:r w:rsidRPr="002C72C2">
        <w:rPr>
          <w:lang w:eastAsia="en-US" w:bidi="ar-SA"/>
        </w:rPr>
        <w:t>its legacy structures</w:t>
      </w:r>
      <w:r w:rsidR="00A90851">
        <w:rPr>
          <w:lang w:eastAsia="en-US" w:bidi="ar-SA"/>
        </w:rPr>
        <w:t xml:space="preserve">, balancing and operational </w:t>
      </w:r>
      <w:r w:rsidR="004639F6" w:rsidRPr="002C72C2">
        <w:rPr>
          <w:lang w:eastAsia="en-US" w:bidi="ar-SA"/>
        </w:rPr>
        <w:t>coordination</w:t>
      </w:r>
      <w:r w:rsidR="00A90851" w:rsidRPr="00BD4D68">
        <w:rPr>
          <w:rStyle w:val="FootnoteReference"/>
        </w:rPr>
        <w:footnoteReference w:id="6"/>
      </w:r>
      <w:r w:rsidR="004639F6" w:rsidRPr="002C72C2">
        <w:rPr>
          <w:lang w:eastAsia="en-US" w:bidi="ar-SA"/>
        </w:rPr>
        <w:t xml:space="preserve"> </w:t>
      </w:r>
      <w:r w:rsidRPr="002C72C2">
        <w:rPr>
          <w:lang w:eastAsia="en-US" w:bidi="ar-SA"/>
        </w:rPr>
        <w:t>mechanisms experience expanding risks.</w:t>
      </w:r>
      <w:r w:rsidRPr="002C72C2">
        <w:rPr>
          <w:lang w:eastAsia="en-US" w:bidi="ar-SA"/>
        </w:rPr>
        <w:br w:type="page"/>
      </w:r>
    </w:p>
    <w:p w14:paraId="55371E34" w14:textId="77777777" w:rsidR="00AE30A0" w:rsidRDefault="00923283" w:rsidP="006A6E34">
      <w:pPr>
        <w:keepNext/>
        <w:spacing w:before="0" w:after="160" w:line="259" w:lineRule="auto"/>
        <w:jc w:val="center"/>
      </w:pPr>
      <w:bookmarkStart w:id="43" w:name="Figure_4"/>
      <w:r w:rsidRPr="002C72C2">
        <w:rPr>
          <w:noProof/>
          <w:lang w:eastAsia="en-US" w:bidi="ar-SA"/>
        </w:rPr>
        <w:drawing>
          <wp:inline distT="0" distB="0" distL="0" distR="0" wp14:anchorId="142FA683" wp14:editId="1E313D69">
            <wp:extent cx="5471493" cy="4071668"/>
            <wp:effectExtent l="0" t="0" r="0" b="5080"/>
            <wp:docPr id="1251226636"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26636" name="Picture 1" descr="A graph of different colored lines&#10;&#10;AI-generated content may be incorrect."/>
                    <pic:cNvPicPr/>
                  </pic:nvPicPr>
                  <pic:blipFill>
                    <a:blip r:embed="rId24"/>
                    <a:stretch>
                      <a:fillRect/>
                    </a:stretch>
                  </pic:blipFill>
                  <pic:spPr>
                    <a:xfrm>
                      <a:off x="0" y="0"/>
                      <a:ext cx="5521188" cy="4108649"/>
                    </a:xfrm>
                    <a:prstGeom prst="rect">
                      <a:avLst/>
                    </a:prstGeom>
                  </pic:spPr>
                </pic:pic>
              </a:graphicData>
            </a:graphic>
          </wp:inline>
        </w:drawing>
      </w:r>
      <w:bookmarkEnd w:id="43"/>
    </w:p>
    <w:p w14:paraId="2DB938B9" w14:textId="7F100EB6" w:rsidR="006259AF" w:rsidRPr="002C72C2" w:rsidRDefault="00AE30A0" w:rsidP="00AE30A0">
      <w:pPr>
        <w:pStyle w:val="Caption"/>
        <w:rPr>
          <w:lang w:eastAsia="en-US" w:bidi="ar-SA"/>
        </w:rPr>
      </w:pPr>
      <w:bookmarkStart w:id="44" w:name="_Toc205365729"/>
      <w:r>
        <w:t xml:space="preserve">Figure </w:t>
      </w:r>
      <w:r>
        <w:fldChar w:fldCharType="begin"/>
      </w:r>
      <w:r>
        <w:instrText>SEQ Figure \* ARABIC</w:instrText>
      </w:r>
      <w:r>
        <w:fldChar w:fldCharType="separate"/>
      </w:r>
      <w:r w:rsidR="009F382F">
        <w:rPr>
          <w:noProof/>
        </w:rPr>
        <w:t>4</w:t>
      </w:r>
      <w:r>
        <w:fldChar w:fldCharType="end"/>
      </w:r>
      <w:r>
        <w:t>: AEMO 2024 Step Change Scenario</w:t>
      </w:r>
      <w:hyperlink w:anchor="Ref_1" w:history="1">
        <w:r w:rsidR="007226EA" w:rsidRPr="00CF2090">
          <w:rPr>
            <w:rStyle w:val="Hyperlink"/>
          </w:rPr>
          <w:fldChar w:fldCharType="begin"/>
        </w:r>
        <w:r w:rsidR="0074065B" w:rsidRPr="00CF2090">
          <w:rPr>
            <w:rStyle w:val="Hyperlink"/>
          </w:rPr>
          <w:instrText xml:space="preserve"> ADDIN ZOTERO_ITEM CSL_CITATION {"citationID":"ssZojJfM","properties":{"formattedCitation":"[1]","plainCitation":"[1]","noteIndex":0},"citationItems":[{"id":1,"uris":["http://zotero.org/users/local/BgaHAIQb/items/ZKYT9SXV","http://zotero.org/users/17348326/items/ZKYT9SXV"],"itemData":{"id":1,"type":"report","number":"Version 1.0","publisher":"AEMO","title":"2024 Integrated System Plan (ISP),","URL":"https://aemo.com.au/-/media/files/major-publications/isp/2024/2024-integrated-system-plan-isp.pdf","author":[{"family":"Australian Energy Market Operator (AEMO)","given":""}],"issued":{"date-parts":[["2024",6]]}}}],"schema":"https://github.com/citation-style-language/schema/raw/master/csl-citation.json"} </w:instrText>
        </w:r>
        <w:r w:rsidR="007226EA" w:rsidRPr="00CF2090">
          <w:rPr>
            <w:rStyle w:val="Hyperlink"/>
          </w:rPr>
          <w:fldChar w:fldCharType="separate"/>
        </w:r>
        <w:r w:rsidR="007226EA" w:rsidRPr="00CF2090">
          <w:rPr>
            <w:rStyle w:val="Hyperlink"/>
          </w:rPr>
          <w:t>[1]</w:t>
        </w:r>
        <w:r w:rsidR="007226EA" w:rsidRPr="00CF2090">
          <w:rPr>
            <w:rStyle w:val="Hyperlink"/>
          </w:rPr>
          <w:fldChar w:fldCharType="end"/>
        </w:r>
        <w:r w:rsidRPr="00CF2090">
          <w:rPr>
            <w:rStyle w:val="Hyperlink"/>
          </w:rPr>
          <w:t>.</w:t>
        </w:r>
        <w:bookmarkEnd w:id="44"/>
      </w:hyperlink>
    </w:p>
    <w:p w14:paraId="29084ED2" w14:textId="09AD89CA" w:rsidR="0002427A" w:rsidRPr="002C72C2" w:rsidRDefault="0002427A" w:rsidP="00213171">
      <w:pPr>
        <w:spacing w:before="0" w:after="160" w:line="259" w:lineRule="auto"/>
        <w:rPr>
          <w:lang w:eastAsia="en-US" w:bidi="ar-SA"/>
        </w:rPr>
      </w:pPr>
      <w:r w:rsidRPr="002C72C2">
        <w:rPr>
          <w:lang w:eastAsia="en-US" w:bidi="ar-SA"/>
        </w:rPr>
        <w:t xml:space="preserve">Beyond high-level emission reduction targets and </w:t>
      </w:r>
      <w:r w:rsidR="00213171" w:rsidRPr="002C72C2">
        <w:rPr>
          <w:lang w:eastAsia="en-US" w:bidi="ar-SA"/>
        </w:rPr>
        <w:t xml:space="preserve">a range of 2050 </w:t>
      </w:r>
      <w:r w:rsidRPr="002C72C2">
        <w:rPr>
          <w:lang w:eastAsia="en-US" w:bidi="ar-SA"/>
        </w:rPr>
        <w:t>scenarios</w:t>
      </w:r>
      <w:r w:rsidR="00850A8B" w:rsidRPr="002C72C2">
        <w:rPr>
          <w:lang w:eastAsia="en-US" w:bidi="ar-SA"/>
        </w:rPr>
        <w:t xml:space="preserve">, </w:t>
      </w:r>
      <w:r w:rsidRPr="002C72C2">
        <w:rPr>
          <w:lang w:eastAsia="en-US" w:bidi="ar-SA"/>
        </w:rPr>
        <w:t xml:space="preserve">Australia has not </w:t>
      </w:r>
      <w:r w:rsidR="00850A8B" w:rsidRPr="002C72C2">
        <w:rPr>
          <w:lang w:eastAsia="en-US" w:bidi="ar-SA"/>
        </w:rPr>
        <w:t>developed a</w:t>
      </w:r>
      <w:r w:rsidRPr="002C72C2">
        <w:rPr>
          <w:lang w:eastAsia="en-US" w:bidi="ar-SA"/>
        </w:rPr>
        <w:t xml:space="preserve"> positive vision of the future end-to-end NEM even in ‘broadbrush’ terms.</w:t>
      </w:r>
      <w:r w:rsidR="000371AF">
        <w:rPr>
          <w:lang w:eastAsia="en-US" w:bidi="ar-SA"/>
        </w:rPr>
        <w:t xml:space="preserve"> </w:t>
      </w:r>
      <w:r w:rsidR="000371AF" w:rsidRPr="000371AF">
        <w:rPr>
          <w:lang w:eastAsia="en-US" w:bidi="ar-SA"/>
        </w:rPr>
        <w:t xml:space="preserve">As one example, given the context of Australia’s significant adoption of distributed resources, this </w:t>
      </w:r>
      <w:r w:rsidR="00341A08">
        <w:rPr>
          <w:lang w:eastAsia="en-US" w:bidi="ar-SA"/>
        </w:rPr>
        <w:t>could</w:t>
      </w:r>
      <w:r w:rsidR="000371AF" w:rsidRPr="000371AF">
        <w:rPr>
          <w:lang w:eastAsia="en-US" w:bidi="ar-SA"/>
        </w:rPr>
        <w:t xml:space="preserve"> include the development of a vision for the role of millions of CER/DER as an integral part of a dynamic, integrated and self-balancing power system.</w:t>
      </w:r>
      <w:r w:rsidR="00341A08">
        <w:rPr>
          <w:lang w:eastAsia="en-US" w:bidi="ar-SA"/>
        </w:rPr>
        <w:t xml:space="preserve"> </w:t>
      </w:r>
      <w:r w:rsidRPr="002C72C2">
        <w:rPr>
          <w:lang w:eastAsia="en-US" w:bidi="ar-SA"/>
        </w:rPr>
        <w:t xml:space="preserve">Without attempting to ‘predict the future’, the purpose of such a directional vision would be to enable convergence on an integrated set of whole-system matters that must be advanced to enable </w:t>
      </w:r>
      <w:r w:rsidR="00213171" w:rsidRPr="002C72C2">
        <w:rPr>
          <w:lang w:eastAsia="en-US" w:bidi="ar-SA"/>
        </w:rPr>
        <w:t xml:space="preserve">each and </w:t>
      </w:r>
      <w:r w:rsidR="004F364D" w:rsidRPr="002C72C2">
        <w:rPr>
          <w:lang w:eastAsia="en-US" w:bidi="ar-SA"/>
        </w:rPr>
        <w:t>all</w:t>
      </w:r>
      <w:r w:rsidRPr="002C72C2">
        <w:rPr>
          <w:lang w:eastAsia="en-US" w:bidi="ar-SA"/>
        </w:rPr>
        <w:t xml:space="preserve"> the most plausible future scenarios</w:t>
      </w:r>
      <w:r w:rsidR="00374950">
        <w:rPr>
          <w:lang w:eastAsia="en-US" w:bidi="ar-SA"/>
        </w:rPr>
        <w:t xml:space="preserve">. </w:t>
      </w:r>
    </w:p>
    <w:p w14:paraId="3EC49BEA" w14:textId="4B86357F" w:rsidR="0002427A" w:rsidRPr="002C72C2" w:rsidRDefault="0002427A" w:rsidP="00EB2823">
      <w:pPr>
        <w:spacing w:before="120" w:after="120" w:line="264" w:lineRule="auto"/>
        <w:rPr>
          <w:lang w:eastAsia="en-US" w:bidi="ar-SA"/>
        </w:rPr>
      </w:pPr>
      <w:r w:rsidRPr="002C72C2">
        <w:rPr>
          <w:lang w:eastAsia="en-US" w:bidi="ar-SA"/>
        </w:rPr>
        <w:t xml:space="preserve">In the absence of a process or mechanism for developing a </w:t>
      </w:r>
      <w:r w:rsidR="00213171" w:rsidRPr="002C72C2">
        <w:rPr>
          <w:lang w:eastAsia="en-US" w:bidi="ar-SA"/>
        </w:rPr>
        <w:t xml:space="preserve">greater </w:t>
      </w:r>
      <w:r w:rsidRPr="002C72C2">
        <w:rPr>
          <w:lang w:eastAsia="en-US" w:bidi="ar-SA"/>
        </w:rPr>
        <w:t xml:space="preserve">level of whole-system coherence and shared vision, </w:t>
      </w:r>
      <w:r w:rsidR="00895D11" w:rsidRPr="002C72C2">
        <w:rPr>
          <w:lang w:eastAsia="en-US" w:bidi="ar-SA"/>
        </w:rPr>
        <w:t xml:space="preserve">most </w:t>
      </w:r>
      <w:r w:rsidR="00BF43DA" w:rsidRPr="002C72C2">
        <w:rPr>
          <w:lang w:eastAsia="en-US" w:bidi="ar-SA"/>
        </w:rPr>
        <w:t xml:space="preserve">activity </w:t>
      </w:r>
      <w:r w:rsidRPr="002C72C2">
        <w:rPr>
          <w:lang w:eastAsia="en-US" w:bidi="ar-SA"/>
        </w:rPr>
        <w:t xml:space="preserve">continues to occur inside legacy supply chain </w:t>
      </w:r>
      <w:r w:rsidR="00BF43DA" w:rsidRPr="002C72C2">
        <w:rPr>
          <w:lang w:eastAsia="en-US" w:bidi="ar-SA"/>
        </w:rPr>
        <w:t>‘</w:t>
      </w:r>
      <w:r w:rsidRPr="002C72C2">
        <w:rPr>
          <w:lang w:eastAsia="en-US" w:bidi="ar-SA"/>
        </w:rPr>
        <w:t>siloes</w:t>
      </w:r>
      <w:r w:rsidR="00BF43DA" w:rsidRPr="002C72C2">
        <w:rPr>
          <w:lang w:eastAsia="en-US" w:bidi="ar-SA"/>
        </w:rPr>
        <w:t>’</w:t>
      </w:r>
      <w:r w:rsidR="00CF6B65" w:rsidRPr="002C72C2">
        <w:rPr>
          <w:lang w:eastAsia="en-US" w:bidi="ar-SA"/>
        </w:rPr>
        <w:t xml:space="preserve"> (e.g. bulk power, transmission, distribution, retail, etc</w:t>
      </w:r>
      <w:r w:rsidR="00F7082E" w:rsidRPr="002C72C2">
        <w:rPr>
          <w:lang w:eastAsia="en-US" w:bidi="ar-SA"/>
        </w:rPr>
        <w:t>.</w:t>
      </w:r>
      <w:r w:rsidR="00CF6B65" w:rsidRPr="002C72C2">
        <w:rPr>
          <w:lang w:eastAsia="en-US" w:bidi="ar-SA"/>
        </w:rPr>
        <w:t>)</w:t>
      </w:r>
      <w:r w:rsidR="00895D11" w:rsidRPr="002C72C2">
        <w:rPr>
          <w:lang w:eastAsia="en-US" w:bidi="ar-SA"/>
        </w:rPr>
        <w:t>, o</w:t>
      </w:r>
      <w:r w:rsidRPr="002C72C2">
        <w:rPr>
          <w:lang w:eastAsia="en-US" w:bidi="ar-SA"/>
        </w:rPr>
        <w:t>ften with limited focus on the upstream and downstream interdependencies</w:t>
      </w:r>
      <w:r w:rsidR="00374950">
        <w:rPr>
          <w:lang w:eastAsia="en-US" w:bidi="ar-SA"/>
        </w:rPr>
        <w:t xml:space="preserve">. </w:t>
      </w:r>
      <w:r w:rsidR="00895D11" w:rsidRPr="002C72C2">
        <w:rPr>
          <w:lang w:eastAsia="en-US" w:bidi="ar-SA"/>
        </w:rPr>
        <w:t>This</w:t>
      </w:r>
      <w:r w:rsidR="00BF43DA" w:rsidRPr="002C72C2">
        <w:rPr>
          <w:lang w:eastAsia="en-US" w:bidi="ar-SA"/>
        </w:rPr>
        <w:t xml:space="preserve"> </w:t>
      </w:r>
      <w:r w:rsidR="00895D11" w:rsidRPr="002C72C2">
        <w:rPr>
          <w:lang w:eastAsia="en-US" w:bidi="ar-SA"/>
        </w:rPr>
        <w:t xml:space="preserve">conventional </w:t>
      </w:r>
      <w:r w:rsidRPr="002C72C2">
        <w:rPr>
          <w:lang w:eastAsia="en-US" w:bidi="ar-SA"/>
        </w:rPr>
        <w:t xml:space="preserve">approach </w:t>
      </w:r>
      <w:r w:rsidR="00AC764E" w:rsidRPr="002C72C2">
        <w:rPr>
          <w:lang w:eastAsia="en-US" w:bidi="ar-SA"/>
        </w:rPr>
        <w:t xml:space="preserve">to change </w:t>
      </w:r>
      <w:r w:rsidR="003D35D8" w:rsidRPr="002C72C2">
        <w:rPr>
          <w:lang w:eastAsia="en-US" w:bidi="ar-SA"/>
        </w:rPr>
        <w:t>often</w:t>
      </w:r>
      <w:r w:rsidR="00895D11" w:rsidRPr="002C72C2">
        <w:rPr>
          <w:lang w:eastAsia="en-US" w:bidi="ar-SA"/>
        </w:rPr>
        <w:t xml:space="preserve"> applies limited </w:t>
      </w:r>
      <w:r w:rsidRPr="002C72C2">
        <w:rPr>
          <w:lang w:eastAsia="en-US" w:bidi="ar-SA"/>
        </w:rPr>
        <w:t>attention to the whole</w:t>
      </w:r>
      <w:r w:rsidR="00895D11" w:rsidRPr="002C72C2">
        <w:rPr>
          <w:lang w:eastAsia="en-US" w:bidi="ar-SA"/>
        </w:rPr>
        <w:t>-s</w:t>
      </w:r>
      <w:r w:rsidRPr="002C72C2">
        <w:rPr>
          <w:lang w:eastAsia="en-US" w:bidi="ar-SA"/>
        </w:rPr>
        <w:t xml:space="preserve">ystem </w:t>
      </w:r>
      <w:r w:rsidR="00895D11" w:rsidRPr="002C72C2">
        <w:rPr>
          <w:lang w:eastAsia="en-US" w:bidi="ar-SA"/>
        </w:rPr>
        <w:t xml:space="preserve">impacts </w:t>
      </w:r>
      <w:r w:rsidRPr="002C72C2">
        <w:rPr>
          <w:lang w:eastAsia="en-US" w:bidi="ar-SA"/>
        </w:rPr>
        <w:t>of</w:t>
      </w:r>
      <w:r w:rsidR="003D35D8" w:rsidRPr="002C72C2">
        <w:rPr>
          <w:lang w:eastAsia="en-US" w:bidi="ar-SA"/>
        </w:rPr>
        <w:t xml:space="preserve"> each </w:t>
      </w:r>
      <w:r w:rsidR="005B4531" w:rsidRPr="002C72C2">
        <w:rPr>
          <w:lang w:eastAsia="en-US" w:bidi="ar-SA"/>
        </w:rPr>
        <w:t xml:space="preserve">individual initiative, and all initiatives together. </w:t>
      </w:r>
    </w:p>
    <w:p w14:paraId="3DCE9C45" w14:textId="3B5747AF" w:rsidR="00581B53" w:rsidRPr="002C72C2" w:rsidRDefault="0002427A" w:rsidP="00581B53">
      <w:pPr>
        <w:spacing w:before="120" w:after="120" w:line="264" w:lineRule="auto"/>
        <w:rPr>
          <w:lang w:eastAsia="en-US" w:bidi="ar-SA"/>
        </w:rPr>
      </w:pPr>
      <w:r w:rsidRPr="002C72C2">
        <w:rPr>
          <w:lang w:eastAsia="en-US" w:bidi="ar-SA"/>
        </w:rPr>
        <w:t>Ultimately, the Laws of Physics</w:t>
      </w:r>
      <w:r w:rsidR="006A6E34" w:rsidRPr="002C72C2">
        <w:rPr>
          <w:lang w:eastAsia="en-US" w:bidi="ar-SA"/>
        </w:rPr>
        <w:t xml:space="preserve"> are blind to legacy structural separations and </w:t>
      </w:r>
      <w:r w:rsidRPr="002C72C2">
        <w:rPr>
          <w:lang w:eastAsia="en-US" w:bidi="ar-SA"/>
        </w:rPr>
        <w:t xml:space="preserve">interact with the NEM as one integrated system. To avoid </w:t>
      </w:r>
      <w:r w:rsidR="00D4283A" w:rsidRPr="002C72C2">
        <w:rPr>
          <w:lang w:eastAsia="en-US" w:bidi="ar-SA"/>
        </w:rPr>
        <w:t>‘</w:t>
      </w:r>
      <w:r w:rsidR="00797D7A" w:rsidRPr="002C72C2">
        <w:rPr>
          <w:lang w:eastAsia="en-US" w:bidi="ar-SA"/>
        </w:rPr>
        <w:t xml:space="preserve">competing with </w:t>
      </w:r>
      <w:r w:rsidRPr="002C72C2">
        <w:rPr>
          <w:lang w:eastAsia="en-US" w:bidi="ar-SA"/>
        </w:rPr>
        <w:t>physics</w:t>
      </w:r>
      <w:r w:rsidR="00D4283A" w:rsidRPr="002C72C2">
        <w:rPr>
          <w:lang w:eastAsia="en-US" w:bidi="ar-SA"/>
        </w:rPr>
        <w:t>’</w:t>
      </w:r>
      <w:r w:rsidRPr="002C72C2">
        <w:rPr>
          <w:lang w:eastAsia="en-US" w:bidi="ar-SA"/>
        </w:rPr>
        <w:t xml:space="preserve"> in future</w:t>
      </w:r>
      <w:r w:rsidR="00797D7A" w:rsidRPr="002C72C2">
        <w:rPr>
          <w:lang w:eastAsia="en-US" w:bidi="ar-SA"/>
        </w:rPr>
        <w:t>s</w:t>
      </w:r>
      <w:r w:rsidRPr="002C72C2">
        <w:rPr>
          <w:lang w:eastAsia="en-US" w:bidi="ar-SA"/>
        </w:rPr>
        <w:t xml:space="preserve"> even remotely </w:t>
      </w:r>
      <w:r w:rsidR="00797D7A" w:rsidRPr="002C72C2">
        <w:rPr>
          <w:lang w:eastAsia="en-US" w:bidi="ar-SA"/>
        </w:rPr>
        <w:t xml:space="preserve">similar to </w:t>
      </w:r>
      <w:r w:rsidRPr="002C72C2">
        <w:rPr>
          <w:lang w:eastAsia="en-US" w:bidi="ar-SA"/>
        </w:rPr>
        <w:t>AEMO’s Step Change scenario</w:t>
      </w:r>
      <w:hyperlink w:anchor="Ref_1" w:history="1">
        <w:r w:rsidR="0074065B" w:rsidRPr="004F506B">
          <w:rPr>
            <w:rStyle w:val="Hyperlink"/>
            <w:lang w:eastAsia="en-US" w:bidi="ar-SA"/>
          </w:rPr>
          <w:fldChar w:fldCharType="begin"/>
        </w:r>
        <w:r w:rsidR="0074065B" w:rsidRPr="004F506B">
          <w:rPr>
            <w:rStyle w:val="Hyperlink"/>
            <w:lang w:eastAsia="en-US" w:bidi="ar-SA"/>
          </w:rPr>
          <w:instrText xml:space="preserve"> ADDIN ZOTERO_ITEM CSL_CITATION {"citationID":"4ABLB23b","properties":{"formattedCitation":"[1]","plainCitation":"[1]","noteIndex":0},"citationItems":[{"id":1,"uris":["http://zotero.org/users/local/BgaHAIQb/items/ZKYT9SXV","http://zotero.org/users/17348326/items/ZKYT9SXV"],"itemData":{"id":1,"type":"report","number":"Version 1.0","publisher":"AEMO","title":"2024 Integrated System Plan (ISP),","URL":"https://aemo.com.au/-/media/files/major-publications/isp/2024/2024-integrated-system-plan-isp.pdf","author":[{"family":"Australian Energy Market Operator (AEMO)","given":""}],"issued":{"date-parts":[["2024",6]]}}}],"schema":"https://github.com/citation-style-language/schema/raw/master/csl-citation.json"} </w:instrText>
        </w:r>
        <w:r w:rsidR="0074065B" w:rsidRPr="004F506B">
          <w:rPr>
            <w:rStyle w:val="Hyperlink"/>
            <w:lang w:eastAsia="en-US" w:bidi="ar-SA"/>
          </w:rPr>
          <w:fldChar w:fldCharType="separate"/>
        </w:r>
        <w:r w:rsidR="0074065B" w:rsidRPr="004F506B">
          <w:rPr>
            <w:rStyle w:val="Hyperlink"/>
          </w:rPr>
          <w:t>[1]</w:t>
        </w:r>
        <w:r w:rsidR="0074065B" w:rsidRPr="004F506B">
          <w:rPr>
            <w:rStyle w:val="Hyperlink"/>
            <w:lang w:eastAsia="en-US" w:bidi="ar-SA"/>
          </w:rPr>
          <w:fldChar w:fldCharType="end"/>
        </w:r>
      </w:hyperlink>
      <w:r w:rsidRPr="002C72C2">
        <w:rPr>
          <w:lang w:eastAsia="en-US" w:bidi="ar-SA"/>
        </w:rPr>
        <w:t xml:space="preserve">, the bulk power, transmission and distribution systems – and the rapidly expanding fleet of </w:t>
      </w:r>
      <w:r w:rsidR="00B84675" w:rsidRPr="002C72C2">
        <w:rPr>
          <w:lang w:eastAsia="en-US" w:bidi="ar-SA"/>
        </w:rPr>
        <w:t>CER/DER</w:t>
      </w:r>
      <w:r w:rsidRPr="002C72C2">
        <w:rPr>
          <w:lang w:eastAsia="en-US" w:bidi="ar-SA"/>
        </w:rPr>
        <w:t xml:space="preserve"> – must be made capable of functioning far more dynamic, end-to-end </w:t>
      </w:r>
      <w:r w:rsidR="006F3642" w:rsidRPr="002C72C2">
        <w:rPr>
          <w:lang w:eastAsia="en-US" w:bidi="ar-SA"/>
        </w:rPr>
        <w:t>was that e</w:t>
      </w:r>
      <w:r w:rsidRPr="002C72C2">
        <w:rPr>
          <w:lang w:eastAsia="en-US" w:bidi="ar-SA"/>
        </w:rPr>
        <w:t>nable secure</w:t>
      </w:r>
      <w:r w:rsidR="006F3642" w:rsidRPr="002C72C2">
        <w:rPr>
          <w:lang w:eastAsia="en-US" w:bidi="ar-SA"/>
        </w:rPr>
        <w:t xml:space="preserve">, </w:t>
      </w:r>
      <w:r w:rsidRPr="002C72C2">
        <w:rPr>
          <w:lang w:eastAsia="en-US" w:bidi="ar-SA"/>
        </w:rPr>
        <w:t>cost-efficient</w:t>
      </w:r>
      <w:r w:rsidR="00B84675" w:rsidRPr="002C72C2">
        <w:rPr>
          <w:lang w:eastAsia="en-US" w:bidi="ar-SA"/>
        </w:rPr>
        <w:t xml:space="preserve"> </w:t>
      </w:r>
      <w:r w:rsidRPr="002C72C2">
        <w:rPr>
          <w:lang w:eastAsia="en-US" w:bidi="ar-SA"/>
        </w:rPr>
        <w:t>operation</w:t>
      </w:r>
      <w:r w:rsidR="00374950">
        <w:rPr>
          <w:lang w:eastAsia="en-US" w:bidi="ar-SA"/>
        </w:rPr>
        <w:t xml:space="preserve">. </w:t>
      </w:r>
    </w:p>
    <w:p w14:paraId="7BAFA4D7" w14:textId="07492D67" w:rsidR="008B3195" w:rsidRPr="00EB2823" w:rsidRDefault="008B3195" w:rsidP="00954BAC">
      <w:pPr>
        <w:pStyle w:val="Heading4"/>
        <w:numPr>
          <w:ilvl w:val="0"/>
          <w:numId w:val="80"/>
        </w:numPr>
        <w:spacing w:before="240" w:after="120" w:line="264" w:lineRule="auto"/>
        <w:ind w:left="357" w:hanging="357"/>
        <w:rPr>
          <w:i w:val="0"/>
          <w:iCs w:val="0"/>
        </w:rPr>
      </w:pPr>
      <w:r w:rsidRPr="00EB2823">
        <w:rPr>
          <w:i w:val="0"/>
          <w:iCs w:val="0"/>
        </w:rPr>
        <w:t>Contributing Factors</w:t>
      </w:r>
    </w:p>
    <w:p w14:paraId="4AB297F8" w14:textId="3F52AFFC" w:rsidR="000868D6" w:rsidRDefault="004425BE" w:rsidP="004425BE">
      <w:pPr>
        <w:spacing w:before="120" w:after="120" w:line="264" w:lineRule="auto"/>
        <w:rPr>
          <w:lang w:eastAsia="en-US" w:bidi="ar-SA"/>
        </w:rPr>
      </w:pPr>
      <w:r>
        <w:rPr>
          <w:lang w:eastAsia="en-US" w:bidi="ar-SA"/>
        </w:rPr>
        <w:t>Despite widespread agreement on the directional imperative of decarbonisation</w:t>
      </w:r>
      <w:r w:rsidR="00F217A9">
        <w:rPr>
          <w:lang w:eastAsia="en-US" w:bidi="ar-SA"/>
        </w:rPr>
        <w:t>, Australia has</w:t>
      </w:r>
      <w:r w:rsidR="00613F59">
        <w:rPr>
          <w:lang w:eastAsia="en-US" w:bidi="ar-SA"/>
        </w:rPr>
        <w:t xml:space="preserve"> not </w:t>
      </w:r>
      <w:r w:rsidR="0032052A">
        <w:rPr>
          <w:lang w:eastAsia="en-US" w:bidi="ar-SA"/>
        </w:rPr>
        <w:t>yet developed even ‘</w:t>
      </w:r>
      <w:r w:rsidR="0032052A" w:rsidRPr="00C03F33">
        <w:rPr>
          <w:lang w:eastAsia="en-US" w:bidi="ar-SA"/>
        </w:rPr>
        <w:t>rough consensus’</w:t>
      </w:r>
      <w:r w:rsidR="00E316E0" w:rsidRPr="00341A08">
        <w:rPr>
          <w:rStyle w:val="FootnoteReference"/>
        </w:rPr>
        <w:footnoteReference w:id="7"/>
      </w:r>
      <w:r w:rsidR="00C03F33" w:rsidRPr="00C03F33">
        <w:rPr>
          <w:lang w:eastAsia="en-US" w:bidi="ar-SA"/>
        </w:rPr>
        <w:t xml:space="preserve"> </w:t>
      </w:r>
      <w:r w:rsidR="0032052A" w:rsidRPr="00C03F33">
        <w:rPr>
          <w:lang w:eastAsia="en-US" w:bidi="ar-SA"/>
        </w:rPr>
        <w:t>on</w:t>
      </w:r>
      <w:r w:rsidR="0032052A">
        <w:rPr>
          <w:lang w:eastAsia="en-US" w:bidi="ar-SA"/>
        </w:rPr>
        <w:t xml:space="preserve"> </w:t>
      </w:r>
      <w:r w:rsidR="00C03F33">
        <w:rPr>
          <w:lang w:eastAsia="en-US" w:bidi="ar-SA"/>
        </w:rPr>
        <w:t xml:space="preserve">a </w:t>
      </w:r>
      <w:r w:rsidR="00106A14" w:rsidRPr="002868F7">
        <w:rPr>
          <w:lang w:eastAsia="en-US" w:bidi="ar-SA"/>
        </w:rPr>
        <w:t>positive</w:t>
      </w:r>
      <w:r w:rsidR="00C03F33">
        <w:rPr>
          <w:lang w:eastAsia="en-US" w:bidi="ar-SA"/>
        </w:rPr>
        <w:t>,</w:t>
      </w:r>
      <w:r w:rsidR="00106A14" w:rsidRPr="002868F7">
        <w:rPr>
          <w:lang w:eastAsia="en-US" w:bidi="ar-SA"/>
        </w:rPr>
        <w:t xml:space="preserve"> whole-system vision for the future NEM, nor </w:t>
      </w:r>
      <w:r w:rsidR="00131612">
        <w:rPr>
          <w:lang w:eastAsia="en-US" w:bidi="ar-SA"/>
        </w:rPr>
        <w:t xml:space="preserve">what </w:t>
      </w:r>
      <w:r w:rsidR="00FD265D">
        <w:rPr>
          <w:lang w:eastAsia="en-US" w:bidi="ar-SA"/>
        </w:rPr>
        <w:t>steps</w:t>
      </w:r>
      <w:r w:rsidR="00106A14">
        <w:rPr>
          <w:lang w:eastAsia="en-US" w:bidi="ar-SA"/>
        </w:rPr>
        <w:t xml:space="preserve"> must be </w:t>
      </w:r>
      <w:r w:rsidR="00FD265D">
        <w:rPr>
          <w:lang w:eastAsia="en-US" w:bidi="ar-SA"/>
        </w:rPr>
        <w:t>taken</w:t>
      </w:r>
      <w:r w:rsidR="00691165">
        <w:rPr>
          <w:lang w:eastAsia="en-US" w:bidi="ar-SA"/>
        </w:rPr>
        <w:t xml:space="preserve"> to </w:t>
      </w:r>
      <w:r w:rsidR="00106A14">
        <w:rPr>
          <w:lang w:eastAsia="en-US" w:bidi="ar-SA"/>
        </w:rPr>
        <w:t xml:space="preserve">holistically </w:t>
      </w:r>
      <w:r w:rsidR="00691165">
        <w:rPr>
          <w:lang w:eastAsia="en-US" w:bidi="ar-SA"/>
        </w:rPr>
        <w:t xml:space="preserve">achieve </w:t>
      </w:r>
      <w:r w:rsidR="00C03F33">
        <w:rPr>
          <w:lang w:eastAsia="en-US" w:bidi="ar-SA"/>
        </w:rPr>
        <w:t>it</w:t>
      </w:r>
      <w:r>
        <w:rPr>
          <w:lang w:eastAsia="en-US" w:bidi="ar-SA"/>
        </w:rPr>
        <w:t>.</w:t>
      </w:r>
    </w:p>
    <w:p w14:paraId="0C495A23" w14:textId="57A7D8C4" w:rsidR="004425BE" w:rsidRDefault="00C03F33" w:rsidP="004425BE">
      <w:pPr>
        <w:spacing w:before="120" w:after="120" w:line="264" w:lineRule="auto"/>
        <w:rPr>
          <w:lang w:eastAsia="en-US" w:bidi="ar-SA"/>
        </w:rPr>
      </w:pPr>
      <w:r>
        <w:rPr>
          <w:lang w:eastAsia="en-US" w:bidi="ar-SA"/>
        </w:rPr>
        <w:t>Diverse s</w:t>
      </w:r>
      <w:r w:rsidR="004425BE">
        <w:rPr>
          <w:lang w:eastAsia="en-US" w:bidi="ar-SA"/>
        </w:rPr>
        <w:t xml:space="preserve">takeholders </w:t>
      </w:r>
      <w:r>
        <w:rPr>
          <w:lang w:eastAsia="en-US" w:bidi="ar-SA"/>
        </w:rPr>
        <w:t xml:space="preserve">typically </w:t>
      </w:r>
      <w:r w:rsidR="004425BE">
        <w:rPr>
          <w:lang w:eastAsia="en-US" w:bidi="ar-SA"/>
        </w:rPr>
        <w:t xml:space="preserve">operate with varying assumptions, priorities, and terminologies, often extrapolating </w:t>
      </w:r>
      <w:r w:rsidR="00E910C1">
        <w:rPr>
          <w:lang w:eastAsia="en-US" w:bidi="ar-SA"/>
        </w:rPr>
        <w:t xml:space="preserve">into the future </w:t>
      </w:r>
      <w:r w:rsidR="004425BE">
        <w:rPr>
          <w:lang w:eastAsia="en-US" w:bidi="ar-SA"/>
        </w:rPr>
        <w:t xml:space="preserve">from legacy paradigms </w:t>
      </w:r>
      <w:r w:rsidR="00E910C1">
        <w:rPr>
          <w:lang w:eastAsia="en-US" w:bidi="ar-SA"/>
        </w:rPr>
        <w:t>which</w:t>
      </w:r>
      <w:r w:rsidR="004425BE">
        <w:rPr>
          <w:lang w:eastAsia="en-US" w:bidi="ar-SA"/>
        </w:rPr>
        <w:t xml:space="preserve"> are increasingly misaligned with future </w:t>
      </w:r>
      <w:r w:rsidR="00E910C1">
        <w:rPr>
          <w:lang w:eastAsia="en-US" w:bidi="ar-SA"/>
        </w:rPr>
        <w:t>needs</w:t>
      </w:r>
      <w:r w:rsidR="004425BE">
        <w:rPr>
          <w:lang w:eastAsia="en-US" w:bidi="ar-SA"/>
        </w:rPr>
        <w:t xml:space="preserve">. This absence of a unifying reference architecture </w:t>
      </w:r>
      <w:r w:rsidR="00AB205C">
        <w:rPr>
          <w:lang w:eastAsia="en-US" w:bidi="ar-SA"/>
        </w:rPr>
        <w:t xml:space="preserve">further exacerbates </w:t>
      </w:r>
      <w:r w:rsidR="005D4FBA">
        <w:rPr>
          <w:lang w:eastAsia="en-US" w:bidi="ar-SA"/>
        </w:rPr>
        <w:t xml:space="preserve">the potential for </w:t>
      </w:r>
      <w:r w:rsidR="004425BE">
        <w:rPr>
          <w:lang w:eastAsia="en-US" w:bidi="ar-SA"/>
        </w:rPr>
        <w:t>misalignment in objectives, disconnects between planning horizons, and inconsistency in interface design across domains.</w:t>
      </w:r>
      <w:r w:rsidR="00E204A2" w:rsidRPr="00E204A2">
        <w:rPr>
          <w:lang w:eastAsia="en-US" w:bidi="ar-SA"/>
        </w:rPr>
        <w:t xml:space="preserve"> </w:t>
      </w:r>
    </w:p>
    <w:p w14:paraId="7DD3EC8B" w14:textId="1E1DA2F9" w:rsidR="00332676" w:rsidRDefault="005D4FBA" w:rsidP="00553ECB">
      <w:pPr>
        <w:spacing w:before="120" w:after="120" w:line="264" w:lineRule="auto"/>
        <w:rPr>
          <w:lang w:eastAsia="en-US" w:bidi="ar-SA"/>
        </w:rPr>
      </w:pPr>
      <w:r>
        <w:rPr>
          <w:lang w:eastAsia="en-US" w:bidi="ar-SA"/>
        </w:rPr>
        <w:t>L</w:t>
      </w:r>
      <w:r w:rsidR="004425BE">
        <w:rPr>
          <w:lang w:eastAsia="en-US" w:bidi="ar-SA"/>
        </w:rPr>
        <w:t xml:space="preserve">imited shared vision is further entrenched by institutional fragmentation. </w:t>
      </w:r>
      <w:r>
        <w:rPr>
          <w:lang w:eastAsia="en-US" w:bidi="ar-SA"/>
        </w:rPr>
        <w:t>Current governance models tend to prioritise short-term compliance and risk containment at the expense of long-term structural coherence and integration</w:t>
      </w:r>
      <w:r w:rsidR="00374950">
        <w:rPr>
          <w:lang w:eastAsia="en-US" w:bidi="ar-SA"/>
        </w:rPr>
        <w:t xml:space="preserve">. </w:t>
      </w:r>
      <w:r w:rsidR="00D01B73">
        <w:rPr>
          <w:lang w:eastAsia="en-US" w:bidi="ar-SA"/>
        </w:rPr>
        <w:t xml:space="preserve">No single entity is </w:t>
      </w:r>
      <w:r w:rsidR="00581B53">
        <w:rPr>
          <w:lang w:eastAsia="en-US" w:bidi="ar-SA"/>
        </w:rPr>
        <w:t>ultimately r</w:t>
      </w:r>
      <w:r w:rsidR="00D01B73">
        <w:rPr>
          <w:lang w:eastAsia="en-US" w:bidi="ar-SA"/>
        </w:rPr>
        <w:t>esponsible f</w:t>
      </w:r>
      <w:r w:rsidR="004425BE">
        <w:rPr>
          <w:lang w:eastAsia="en-US" w:bidi="ar-SA"/>
        </w:rPr>
        <w:t xml:space="preserve">or </w:t>
      </w:r>
      <w:r w:rsidR="00DC2B87">
        <w:rPr>
          <w:lang w:eastAsia="en-US" w:bidi="ar-SA"/>
        </w:rPr>
        <w:t xml:space="preserve">facilitating </w:t>
      </w:r>
      <w:r w:rsidR="00EE3B40">
        <w:rPr>
          <w:lang w:eastAsia="en-US" w:bidi="ar-SA"/>
        </w:rPr>
        <w:t xml:space="preserve">convergence </w:t>
      </w:r>
      <w:r w:rsidR="008B4AF8">
        <w:rPr>
          <w:lang w:eastAsia="en-US" w:bidi="ar-SA"/>
        </w:rPr>
        <w:t xml:space="preserve">on an </w:t>
      </w:r>
      <w:r w:rsidR="004425BE">
        <w:rPr>
          <w:lang w:eastAsia="en-US" w:bidi="ar-SA"/>
        </w:rPr>
        <w:t>envision</w:t>
      </w:r>
      <w:r w:rsidR="008B4AF8">
        <w:rPr>
          <w:lang w:eastAsia="en-US" w:bidi="ar-SA"/>
        </w:rPr>
        <w:t xml:space="preserve">ed future for the NEM nor the </w:t>
      </w:r>
      <w:r w:rsidR="004345EA">
        <w:rPr>
          <w:lang w:eastAsia="en-US" w:bidi="ar-SA"/>
        </w:rPr>
        <w:t>enabling archit</w:t>
      </w:r>
      <w:r w:rsidR="0053752B">
        <w:rPr>
          <w:lang w:eastAsia="en-US" w:bidi="ar-SA"/>
        </w:rPr>
        <w:t>ecture</w:t>
      </w:r>
      <w:r w:rsidR="003B384E">
        <w:rPr>
          <w:lang w:eastAsia="en-US" w:bidi="ar-SA"/>
        </w:rPr>
        <w:t xml:space="preserve"> required to achieve it</w:t>
      </w:r>
      <w:r w:rsidR="00374950">
        <w:rPr>
          <w:lang w:eastAsia="en-US" w:bidi="ar-SA"/>
        </w:rPr>
        <w:t xml:space="preserve">. </w:t>
      </w:r>
      <w:r w:rsidR="00473530">
        <w:rPr>
          <w:lang w:eastAsia="en-US" w:bidi="ar-SA"/>
        </w:rPr>
        <w:t xml:space="preserve">In practice, this </w:t>
      </w:r>
      <w:r w:rsidR="004425BE">
        <w:rPr>
          <w:lang w:eastAsia="en-US" w:bidi="ar-SA"/>
        </w:rPr>
        <w:t xml:space="preserve">is </w:t>
      </w:r>
      <w:r w:rsidR="00E204A2">
        <w:rPr>
          <w:lang w:eastAsia="en-US" w:bidi="ar-SA"/>
        </w:rPr>
        <w:t xml:space="preserve">opaquely </w:t>
      </w:r>
      <w:r w:rsidR="004425BE">
        <w:rPr>
          <w:lang w:eastAsia="en-US" w:bidi="ar-SA"/>
        </w:rPr>
        <w:t>diffused across regulatory bodies, system operators, market participants, policymakers</w:t>
      </w:r>
      <w:r w:rsidR="00473530">
        <w:rPr>
          <w:lang w:eastAsia="en-US" w:bidi="ar-SA"/>
        </w:rPr>
        <w:t xml:space="preserve"> and </w:t>
      </w:r>
      <w:r w:rsidR="004E6D0D">
        <w:rPr>
          <w:lang w:eastAsia="en-US" w:bidi="ar-SA"/>
        </w:rPr>
        <w:t>incumbent actors</w:t>
      </w:r>
      <w:r w:rsidR="00374950">
        <w:rPr>
          <w:lang w:eastAsia="en-US" w:bidi="ar-SA"/>
        </w:rPr>
        <w:t xml:space="preserve">. </w:t>
      </w:r>
    </w:p>
    <w:p w14:paraId="4529EC94" w14:textId="02E22ABB" w:rsidR="00553ECB" w:rsidRDefault="00332676" w:rsidP="00553ECB">
      <w:pPr>
        <w:spacing w:before="120" w:after="120" w:line="264" w:lineRule="auto"/>
        <w:rPr>
          <w:lang w:eastAsia="en-US" w:bidi="ar-SA"/>
        </w:rPr>
      </w:pPr>
      <w:r>
        <w:rPr>
          <w:lang w:eastAsia="en-US" w:bidi="ar-SA"/>
        </w:rPr>
        <w:t>Finally, the lack of shared conceptual frameworks</w:t>
      </w:r>
      <w:r w:rsidR="00275911">
        <w:rPr>
          <w:lang w:eastAsia="en-US" w:bidi="ar-SA"/>
        </w:rPr>
        <w:t xml:space="preserve"> and </w:t>
      </w:r>
      <w:r>
        <w:rPr>
          <w:lang w:eastAsia="en-US" w:bidi="ar-SA"/>
        </w:rPr>
        <w:t xml:space="preserve">terminology also tends to </w:t>
      </w:r>
      <w:r w:rsidR="00822705">
        <w:rPr>
          <w:lang w:eastAsia="en-US" w:bidi="ar-SA"/>
        </w:rPr>
        <w:t xml:space="preserve">exacerbate misalignment, often </w:t>
      </w:r>
      <w:r w:rsidR="00A7324D">
        <w:rPr>
          <w:lang w:eastAsia="en-US" w:bidi="ar-SA"/>
        </w:rPr>
        <w:t>unnecessarily</w:t>
      </w:r>
      <w:r w:rsidR="00822705">
        <w:rPr>
          <w:lang w:eastAsia="en-US" w:bidi="ar-SA"/>
        </w:rPr>
        <w:t xml:space="preserve">, </w:t>
      </w:r>
      <w:r w:rsidR="00A7324D">
        <w:rPr>
          <w:lang w:eastAsia="en-US" w:bidi="ar-SA"/>
        </w:rPr>
        <w:t>making</w:t>
      </w:r>
      <w:r>
        <w:rPr>
          <w:lang w:eastAsia="en-US" w:bidi="ar-SA"/>
        </w:rPr>
        <w:t xml:space="preserve"> timely convergence</w:t>
      </w:r>
      <w:r w:rsidR="00A7324D">
        <w:rPr>
          <w:lang w:eastAsia="en-US" w:bidi="ar-SA"/>
        </w:rPr>
        <w:t xml:space="preserve"> difficult if not impossible. </w:t>
      </w:r>
    </w:p>
    <w:p w14:paraId="11208FC2" w14:textId="7777ACB7" w:rsidR="00DD4F9A" w:rsidRPr="00EB2823" w:rsidRDefault="00DD4F9A" w:rsidP="00954BAC">
      <w:pPr>
        <w:pStyle w:val="Heading4"/>
        <w:numPr>
          <w:ilvl w:val="0"/>
          <w:numId w:val="80"/>
        </w:numPr>
        <w:spacing w:before="240" w:after="120" w:line="264" w:lineRule="auto"/>
        <w:ind w:left="357" w:hanging="357"/>
        <w:rPr>
          <w:i w:val="0"/>
          <w:iCs w:val="0"/>
        </w:rPr>
      </w:pPr>
      <w:r w:rsidRPr="00EB2823">
        <w:rPr>
          <w:i w:val="0"/>
          <w:iCs w:val="0"/>
        </w:rPr>
        <w:t>Solution</w:t>
      </w:r>
      <w:r w:rsidR="00C0156E" w:rsidRPr="00EB2823">
        <w:rPr>
          <w:i w:val="0"/>
          <w:iCs w:val="0"/>
        </w:rPr>
        <w:t xml:space="preserve"> Requirements</w:t>
      </w:r>
    </w:p>
    <w:p w14:paraId="7DB3E102" w14:textId="50AB3D75" w:rsidR="00E76582" w:rsidRPr="00CB54B7" w:rsidRDefault="00581B53" w:rsidP="00581B53">
      <w:pPr>
        <w:spacing w:before="120" w:after="120" w:line="264" w:lineRule="auto"/>
        <w:rPr>
          <w:lang w:eastAsia="en-US" w:bidi="ar-SA"/>
        </w:rPr>
      </w:pPr>
      <w:r w:rsidRPr="00CB54B7">
        <w:rPr>
          <w:lang w:eastAsia="en-US" w:bidi="ar-SA"/>
        </w:rPr>
        <w:t>A more secure, efficient and dynamically inter-dependent grid will not be achieved</w:t>
      </w:r>
      <w:r w:rsidR="007F6E02" w:rsidRPr="00CB54B7">
        <w:rPr>
          <w:lang w:eastAsia="en-US" w:bidi="ar-SA"/>
        </w:rPr>
        <w:t xml:space="preserve"> </w:t>
      </w:r>
      <w:r w:rsidRPr="00CB54B7">
        <w:rPr>
          <w:lang w:eastAsia="en-US" w:bidi="ar-SA"/>
        </w:rPr>
        <w:t xml:space="preserve">without </w:t>
      </w:r>
      <w:r w:rsidR="00574A01" w:rsidRPr="00CB54B7">
        <w:rPr>
          <w:lang w:eastAsia="en-US" w:bidi="ar-SA"/>
        </w:rPr>
        <w:t xml:space="preserve">an integrative </w:t>
      </w:r>
      <w:r w:rsidRPr="00CB54B7">
        <w:rPr>
          <w:lang w:eastAsia="en-US" w:bidi="ar-SA"/>
        </w:rPr>
        <w:t xml:space="preserve">program of transformative action </w:t>
      </w:r>
      <w:r w:rsidR="00C55DB4" w:rsidRPr="00CB54B7">
        <w:rPr>
          <w:lang w:eastAsia="en-US" w:bidi="ar-SA"/>
        </w:rPr>
        <w:t>focused</w:t>
      </w:r>
      <w:r w:rsidR="00171726" w:rsidRPr="00CB54B7">
        <w:rPr>
          <w:lang w:eastAsia="en-US" w:bidi="ar-SA"/>
        </w:rPr>
        <w:t xml:space="preserve"> across the full length of the power system</w:t>
      </w:r>
      <w:r w:rsidR="00374950">
        <w:rPr>
          <w:lang w:eastAsia="en-US" w:bidi="ar-SA"/>
        </w:rPr>
        <w:t xml:space="preserve">. </w:t>
      </w:r>
    </w:p>
    <w:p w14:paraId="15991437" w14:textId="04519A5E" w:rsidR="00581B53" w:rsidRPr="00CB54B7" w:rsidRDefault="00581B53" w:rsidP="00581B53">
      <w:pPr>
        <w:spacing w:before="120" w:after="120" w:line="264" w:lineRule="auto"/>
        <w:rPr>
          <w:lang w:eastAsia="en-US" w:bidi="ar-SA"/>
        </w:rPr>
      </w:pPr>
      <w:r w:rsidRPr="00CB54B7">
        <w:rPr>
          <w:lang w:eastAsia="en-US" w:bidi="ar-SA"/>
        </w:rPr>
        <w:t xml:space="preserve">In a highly politicised sector, this must ultimately be informed by processes that </w:t>
      </w:r>
      <w:r w:rsidR="00624552" w:rsidRPr="00CB54B7">
        <w:rPr>
          <w:lang w:eastAsia="en-US" w:bidi="ar-SA"/>
        </w:rPr>
        <w:t xml:space="preserve">enable the </w:t>
      </w:r>
      <w:r w:rsidRPr="00CB54B7">
        <w:rPr>
          <w:lang w:eastAsia="en-US" w:bidi="ar-SA"/>
        </w:rPr>
        <w:t>collaborative</w:t>
      </w:r>
      <w:r w:rsidR="00624552" w:rsidRPr="00CB54B7">
        <w:rPr>
          <w:lang w:eastAsia="en-US" w:bidi="ar-SA"/>
        </w:rPr>
        <w:t xml:space="preserve"> development of </w:t>
      </w:r>
      <w:r w:rsidRPr="00CB54B7">
        <w:rPr>
          <w:lang w:eastAsia="en-US" w:bidi="ar-SA"/>
        </w:rPr>
        <w:t xml:space="preserve">a mature, positive vision </w:t>
      </w:r>
      <w:r w:rsidR="00BB4ABA" w:rsidRPr="00CB54B7">
        <w:rPr>
          <w:lang w:eastAsia="en-US" w:bidi="ar-SA"/>
        </w:rPr>
        <w:t>(</w:t>
      </w:r>
      <w:r w:rsidRPr="00CB54B7">
        <w:rPr>
          <w:lang w:eastAsia="en-US" w:bidi="ar-SA"/>
        </w:rPr>
        <w:t>or visions</w:t>
      </w:r>
      <w:r w:rsidR="00BB4ABA" w:rsidRPr="00CB54B7">
        <w:rPr>
          <w:lang w:eastAsia="en-US" w:bidi="ar-SA"/>
        </w:rPr>
        <w:t>)</w:t>
      </w:r>
      <w:r w:rsidR="00F94C83" w:rsidRPr="00CB54B7">
        <w:rPr>
          <w:lang w:eastAsia="en-US" w:bidi="ar-SA"/>
        </w:rPr>
        <w:t xml:space="preserve"> of </w:t>
      </w:r>
      <w:r w:rsidRPr="00CB54B7">
        <w:rPr>
          <w:lang w:eastAsia="en-US" w:bidi="ar-SA"/>
        </w:rPr>
        <w:t>the future power systems Australia needs</w:t>
      </w:r>
      <w:r w:rsidR="00374950">
        <w:rPr>
          <w:lang w:eastAsia="en-US" w:bidi="ar-SA"/>
        </w:rPr>
        <w:t xml:space="preserve">. </w:t>
      </w:r>
      <w:r w:rsidR="00D35ADD" w:rsidRPr="00CB54B7">
        <w:rPr>
          <w:lang w:eastAsia="en-US" w:bidi="ar-SA"/>
        </w:rPr>
        <w:t>This should be informed by</w:t>
      </w:r>
      <w:r w:rsidR="00FB4216" w:rsidRPr="00CB54B7">
        <w:rPr>
          <w:lang w:eastAsia="en-US" w:bidi="ar-SA"/>
        </w:rPr>
        <w:t xml:space="preserve"> a strong focus on the future customer and societal objectives </w:t>
      </w:r>
      <w:r w:rsidR="00FB7225" w:rsidRPr="00CB54B7">
        <w:rPr>
          <w:lang w:eastAsia="en-US" w:bidi="ar-SA"/>
        </w:rPr>
        <w:t>for the grid</w:t>
      </w:r>
      <w:r w:rsidR="004A0A09" w:rsidRPr="00CB54B7">
        <w:rPr>
          <w:lang w:eastAsia="en-US" w:bidi="ar-SA"/>
        </w:rPr>
        <w:t xml:space="preserve">, cognisant of the wide range of </w:t>
      </w:r>
      <w:r w:rsidR="00FE4DD3">
        <w:rPr>
          <w:lang w:eastAsia="en-US" w:bidi="ar-SA"/>
        </w:rPr>
        <w:t>E</w:t>
      </w:r>
      <w:r w:rsidR="004A0A09" w:rsidRPr="00CB54B7">
        <w:rPr>
          <w:lang w:eastAsia="en-US" w:bidi="ar-SA"/>
        </w:rPr>
        <w:t xml:space="preserve">merging </w:t>
      </w:r>
      <w:r w:rsidR="00FE4DD3">
        <w:rPr>
          <w:lang w:eastAsia="en-US" w:bidi="ar-SA"/>
        </w:rPr>
        <w:t>T</w:t>
      </w:r>
      <w:r w:rsidR="004A0A09" w:rsidRPr="00CB54B7">
        <w:rPr>
          <w:lang w:eastAsia="en-US" w:bidi="ar-SA"/>
        </w:rPr>
        <w:t xml:space="preserve">rends </w:t>
      </w:r>
      <w:r w:rsidR="002F3BAC" w:rsidRPr="00CB54B7">
        <w:rPr>
          <w:lang w:eastAsia="en-US" w:bidi="ar-SA"/>
        </w:rPr>
        <w:t xml:space="preserve">that are driving change </w:t>
      </w:r>
      <w:r w:rsidR="00EE0391" w:rsidRPr="00CB54B7">
        <w:rPr>
          <w:lang w:eastAsia="en-US" w:bidi="ar-SA"/>
        </w:rPr>
        <w:t>to the legacy system (refer Reports 1 &amp; 2)</w:t>
      </w:r>
      <w:r w:rsidR="00374950">
        <w:rPr>
          <w:lang w:eastAsia="en-US" w:bidi="ar-SA"/>
        </w:rPr>
        <w:t xml:space="preserve">. </w:t>
      </w:r>
    </w:p>
    <w:p w14:paraId="27991E36" w14:textId="78AD2172" w:rsidR="005E103E" w:rsidRPr="00CB54B7" w:rsidRDefault="00EE0391" w:rsidP="005E103E">
      <w:pPr>
        <w:spacing w:before="120" w:after="120" w:line="264" w:lineRule="auto"/>
      </w:pPr>
      <w:r w:rsidRPr="00CB54B7">
        <w:t>Ad</w:t>
      </w:r>
      <w:r w:rsidR="00B177B2" w:rsidRPr="00CB54B7">
        <w:t>dress</w:t>
      </w:r>
      <w:r w:rsidR="00256F20" w:rsidRPr="00CB54B7">
        <w:t xml:space="preserve">ing this gap </w:t>
      </w:r>
      <w:r w:rsidR="00CB54B7">
        <w:t>will also benefit from t</w:t>
      </w:r>
      <w:r w:rsidR="005E103E" w:rsidRPr="00CB54B7">
        <w:t xml:space="preserve">he co-development of a </w:t>
      </w:r>
      <w:r w:rsidR="00585F3A" w:rsidRPr="00CB54B7">
        <w:t xml:space="preserve">set of </w:t>
      </w:r>
      <w:r w:rsidR="005E103E" w:rsidRPr="00CB54B7">
        <w:t>future-state reference architecture</w:t>
      </w:r>
      <w:r w:rsidR="00585F3A" w:rsidRPr="00CB54B7">
        <w:t>s</w:t>
      </w:r>
      <w:r w:rsidR="00474B1D" w:rsidRPr="00CB54B7">
        <w:t xml:space="preserve"> </w:t>
      </w:r>
      <w:r w:rsidR="00256F20" w:rsidRPr="00CB54B7">
        <w:t xml:space="preserve">that examine </w:t>
      </w:r>
      <w:r w:rsidR="004138F3" w:rsidRPr="00CB54B7">
        <w:t xml:space="preserve">and iterate </w:t>
      </w:r>
      <w:r w:rsidR="00256F20" w:rsidRPr="00CB54B7">
        <w:t xml:space="preserve">the most credible pathways to </w:t>
      </w:r>
      <w:r w:rsidR="00DE7066" w:rsidRPr="00CB54B7">
        <w:t xml:space="preserve">realise the </w:t>
      </w:r>
      <w:r w:rsidR="004138F3" w:rsidRPr="00CB54B7">
        <w:t>shared vision(s)</w:t>
      </w:r>
      <w:r w:rsidR="00374950">
        <w:t xml:space="preserve">. </w:t>
      </w:r>
      <w:r w:rsidR="002D29C7" w:rsidRPr="00CB54B7">
        <w:t xml:space="preserve">The </w:t>
      </w:r>
      <w:r w:rsidR="00CB54B7">
        <w:t>collaborative d</w:t>
      </w:r>
      <w:r w:rsidR="005E103E" w:rsidRPr="00CB54B7">
        <w:t xml:space="preserve">evelopment process </w:t>
      </w:r>
      <w:r w:rsidR="002D29C7" w:rsidRPr="00CB54B7">
        <w:t>should be</w:t>
      </w:r>
      <w:r w:rsidR="000D1F50" w:rsidRPr="00CB54B7">
        <w:t xml:space="preserve"> facilitated by an independent </w:t>
      </w:r>
      <w:r w:rsidR="005E103E" w:rsidRPr="00CB54B7">
        <w:t xml:space="preserve">entity with </w:t>
      </w:r>
      <w:r w:rsidR="000D1F50" w:rsidRPr="00CB54B7">
        <w:t xml:space="preserve">relevant </w:t>
      </w:r>
      <w:r w:rsidR="00976E41" w:rsidRPr="00CB54B7">
        <w:t xml:space="preserve">specialist </w:t>
      </w:r>
      <w:r w:rsidR="00E7126D" w:rsidRPr="00CB54B7">
        <w:t>expertise</w:t>
      </w:r>
      <w:r w:rsidR="00976E41" w:rsidRPr="00CB54B7">
        <w:t xml:space="preserve">, </w:t>
      </w:r>
      <w:r w:rsidR="00600FF4" w:rsidRPr="00CB54B7">
        <w:t>unincumbered by i</w:t>
      </w:r>
      <w:r w:rsidR="00976E41" w:rsidRPr="00CB54B7">
        <w:t xml:space="preserve">ndividual organisational </w:t>
      </w:r>
      <w:r w:rsidR="005E103E" w:rsidRPr="00CB54B7">
        <w:t>interests and</w:t>
      </w:r>
      <w:r w:rsidR="00B23563" w:rsidRPr="00CB54B7">
        <w:t xml:space="preserve"> </w:t>
      </w:r>
      <w:r w:rsidR="00D735CB" w:rsidRPr="00CB54B7">
        <w:t xml:space="preserve">capable </w:t>
      </w:r>
      <w:r w:rsidR="003250DC" w:rsidRPr="00CB54B7">
        <w:t xml:space="preserve">negotiating pathways that </w:t>
      </w:r>
      <w:r w:rsidR="002A432A">
        <w:t xml:space="preserve">maximise </w:t>
      </w:r>
      <w:r w:rsidR="003250DC" w:rsidRPr="00CB54B7">
        <w:t xml:space="preserve">alignment and </w:t>
      </w:r>
      <w:r w:rsidR="005E103E" w:rsidRPr="00CB54B7">
        <w:t xml:space="preserve">structural coherence. </w:t>
      </w:r>
    </w:p>
    <w:p w14:paraId="3828C613" w14:textId="147F5FEC" w:rsidR="005E103E" w:rsidRPr="00CB54B7" w:rsidRDefault="005E103E" w:rsidP="005E103E">
      <w:pPr>
        <w:spacing w:before="120" w:after="120" w:line="264" w:lineRule="auto"/>
      </w:pPr>
      <w:r w:rsidRPr="00CB54B7">
        <w:t xml:space="preserve">Critical to </w:t>
      </w:r>
      <w:r w:rsidR="002A432A">
        <w:t xml:space="preserve">overall </w:t>
      </w:r>
      <w:r w:rsidRPr="00CB54B7">
        <w:t xml:space="preserve">success </w:t>
      </w:r>
      <w:r w:rsidR="002A432A">
        <w:t xml:space="preserve">is the debate, convergence and </w:t>
      </w:r>
      <w:r w:rsidRPr="00CB54B7">
        <w:t>articulation of system-level functional goals</w:t>
      </w:r>
      <w:r w:rsidR="00F9408D" w:rsidRPr="00CB54B7">
        <w:t>.</w:t>
      </w:r>
      <w:r w:rsidRPr="00CB54B7">
        <w:t xml:space="preserve"> These must then be expressed through interface definitions, operational templates, and transformation pathways. The architecture must be linked to policy and investment mechanisms, embedding structural coherence into decision-making criteria for both public and private actors.</w:t>
      </w:r>
    </w:p>
    <w:p w14:paraId="1816012E" w14:textId="5B6DF168" w:rsidR="00995DB4" w:rsidRPr="00CB54B7" w:rsidRDefault="00275911" w:rsidP="00EB2823">
      <w:pPr>
        <w:spacing w:before="120" w:after="120" w:line="264" w:lineRule="auto"/>
      </w:pPr>
      <w:r>
        <w:t>Ultimately, however, w</w:t>
      </w:r>
      <w:r w:rsidR="005E103E" w:rsidRPr="00CB54B7">
        <w:t xml:space="preserve">ithout a unifying vision </w:t>
      </w:r>
      <w:r w:rsidR="00B06526">
        <w:t>to inform</w:t>
      </w:r>
      <w:r w:rsidR="005E103E" w:rsidRPr="00CB54B7">
        <w:t xml:space="preserve"> structural alignment, transition efforts will remain fragmented, investments will underperform, </w:t>
      </w:r>
      <w:r w:rsidR="00BF2930" w:rsidRPr="00BF2930">
        <w:t xml:space="preserve">friction between stakeholders perpetuates unnecessarily, </w:t>
      </w:r>
      <w:r w:rsidR="005E103E" w:rsidRPr="00CB54B7">
        <w:t>and the power system’s ability to meet societal expectations will be materially compromised.</w:t>
      </w:r>
    </w:p>
    <w:tbl>
      <w:tblPr>
        <w:tblStyle w:val="GridTable4"/>
        <w:tblW w:w="8217" w:type="dxa"/>
        <w:tblLook w:val="04A0" w:firstRow="1" w:lastRow="0" w:firstColumn="1" w:lastColumn="0" w:noHBand="0" w:noVBand="1"/>
      </w:tblPr>
      <w:tblGrid>
        <w:gridCol w:w="8217"/>
      </w:tblGrid>
      <w:tr w:rsidR="00C4073A" w:rsidRPr="002F2243" w14:paraId="1C5A25B5" w14:textId="77777777" w:rsidTr="008F2E81">
        <w:trPr>
          <w:cnfStyle w:val="100000000000" w:firstRow="1" w:lastRow="0" w:firstColumn="0" w:lastColumn="0" w:oddVBand="0" w:evenVBand="0" w:oddHBand="0" w:evenHBand="0" w:firstRowFirstColumn="0" w:firstRowLastColumn="0" w:lastRowFirstColumn="0" w:lastRowLastColumn="0"/>
          <w:trHeight w:val="11053"/>
        </w:trPr>
        <w:tc>
          <w:tcPr>
            <w:cnfStyle w:val="001000000000" w:firstRow="0" w:lastRow="0" w:firstColumn="1" w:lastColumn="0" w:oddVBand="0" w:evenVBand="0" w:oddHBand="0" w:evenHBand="0" w:firstRowFirstColumn="0" w:firstRowLastColumn="0" w:lastRowFirstColumn="0" w:lastRowLastColumn="0"/>
            <w:tcW w:w="8217" w:type="dxa"/>
          </w:tcPr>
          <w:p w14:paraId="0AA206A5" w14:textId="428A5978" w:rsidR="00C4073A" w:rsidRPr="002F2243" w:rsidRDefault="00957A21" w:rsidP="001C6A4E">
            <w:pPr>
              <w:spacing w:before="120" w:after="0" w:line="264" w:lineRule="auto"/>
              <w:ind w:left="175"/>
              <w:rPr>
                <w:rStyle w:val="Strong"/>
                <w:b w:val="0"/>
                <w:bCs w:val="0"/>
                <w:color w:val="auto"/>
                <w:sz w:val="28"/>
              </w:rPr>
            </w:pPr>
            <w:r w:rsidRPr="002F2243">
              <w:rPr>
                <w:rStyle w:val="Strong"/>
                <w:b w:val="0"/>
                <w:bCs w:val="0"/>
                <w:sz w:val="28"/>
              </w:rPr>
              <w:t xml:space="preserve">Key Concepts </w:t>
            </w:r>
            <w:r w:rsidR="00703C85">
              <w:rPr>
                <w:rStyle w:val="Strong"/>
                <w:b w:val="0"/>
                <w:bCs w:val="0"/>
                <w:sz w:val="28"/>
              </w:rPr>
              <w:t>C</w:t>
            </w:r>
            <w:r>
              <w:rPr>
                <w:rStyle w:val="Strong"/>
                <w:b w:val="0"/>
                <w:bCs w:val="0"/>
                <w:sz w:val="28"/>
              </w:rPr>
              <w:t xml:space="preserve"> </w:t>
            </w:r>
            <w:r w:rsidRPr="00F10C61">
              <w:rPr>
                <w:rFonts w:ascii="PP Mori SemiBold" w:hAnsi="PP Mori SemiBold"/>
                <w:noProof/>
                <w:sz w:val="20"/>
                <w:szCs w:val="20"/>
              </w:rPr>
              <w:drawing>
                <wp:inline distT="0" distB="0" distL="0" distR="0" wp14:anchorId="65F0F303" wp14:editId="7A6030F8">
                  <wp:extent cx="272006" cy="272006"/>
                  <wp:effectExtent l="0" t="0" r="6350" b="6350"/>
                  <wp:docPr id="2140738306"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5"/>
                              </a:ext>
                            </a:extLst>
                          </a:blip>
                          <a:stretch>
                            <a:fillRect/>
                          </a:stretch>
                        </pic:blipFill>
                        <pic:spPr>
                          <a:xfrm>
                            <a:off x="0" y="0"/>
                            <a:ext cx="272006" cy="272006"/>
                          </a:xfrm>
                          <a:prstGeom prst="rect">
                            <a:avLst/>
                          </a:prstGeom>
                        </pic:spPr>
                      </pic:pic>
                    </a:graphicData>
                  </a:graphic>
                </wp:inline>
              </w:drawing>
            </w:r>
            <w:r w:rsidR="00076F1E">
              <w:rPr>
                <w:rStyle w:val="Strong"/>
                <w:b w:val="0"/>
                <w:bCs w:val="0"/>
                <w:sz w:val="28"/>
              </w:rPr>
              <w:t xml:space="preserve"> </w:t>
            </w:r>
          </w:p>
          <w:p w14:paraId="5FD24E9E" w14:textId="348B01AF" w:rsidR="00EC2824" w:rsidRPr="009A77E8" w:rsidRDefault="00EC2824" w:rsidP="0051571F">
            <w:pPr>
              <w:pStyle w:val="Subtitle"/>
              <w:spacing w:before="180" w:after="120" w:line="264" w:lineRule="auto"/>
              <w:ind w:left="175" w:right="175"/>
              <w:rPr>
                <w:rStyle w:val="Emphasis"/>
                <w:rFonts w:ascii="PP Mori SemiBold" w:hAnsi="PP Mori SemiBold"/>
                <w:b w:val="0"/>
                <w:bCs w:val="0"/>
                <w:sz w:val="24"/>
                <w:szCs w:val="40"/>
              </w:rPr>
            </w:pPr>
            <w:r w:rsidRPr="009A77E8">
              <w:rPr>
                <w:rStyle w:val="Emphasis"/>
                <w:rFonts w:ascii="PP Mori SemiBold" w:hAnsi="PP Mori SemiBold"/>
                <w:sz w:val="24"/>
                <w:szCs w:val="40"/>
              </w:rPr>
              <w:t>System</w:t>
            </w:r>
          </w:p>
          <w:p w14:paraId="4FBDAB0D" w14:textId="1C1A4D8B" w:rsidR="002E1032" w:rsidRPr="002E1032" w:rsidRDefault="002E1032" w:rsidP="0051571F">
            <w:pPr>
              <w:spacing w:before="120" w:after="120" w:line="264" w:lineRule="auto"/>
              <w:ind w:left="175" w:right="175"/>
              <w:rPr>
                <w:b w:val="0"/>
                <w:lang w:eastAsia="en-US" w:bidi="ar-SA"/>
              </w:rPr>
            </w:pPr>
            <w:r w:rsidRPr="002E1032">
              <w:rPr>
                <w:b w:val="0"/>
                <w:lang w:eastAsia="en-US" w:bidi="ar-SA"/>
              </w:rPr>
              <w:t>An</w:t>
            </w:r>
            <w:r w:rsidRPr="00775391">
              <w:rPr>
                <w:b w:val="0"/>
                <w:lang w:eastAsia="en-US" w:bidi="ar-SA"/>
              </w:rPr>
              <w:t xml:space="preserve"> interconnected set of </w:t>
            </w:r>
            <w:r w:rsidRPr="002E1032">
              <w:rPr>
                <w:b w:val="0"/>
                <w:lang w:eastAsia="en-US" w:bidi="ar-SA"/>
              </w:rPr>
              <w:t>components that are formally linked together by a set of structural and functional relationships to achieve specific purpose(s)</w:t>
            </w:r>
            <w:r w:rsidR="00374950">
              <w:rPr>
                <w:b w:val="0"/>
                <w:lang w:eastAsia="en-US" w:bidi="ar-SA"/>
              </w:rPr>
              <w:t xml:space="preserve">. </w:t>
            </w:r>
          </w:p>
          <w:p w14:paraId="3A57E378" w14:textId="77777777" w:rsidR="002E1032" w:rsidRPr="002E1032" w:rsidRDefault="002E1032" w:rsidP="0051571F">
            <w:pPr>
              <w:spacing w:before="120" w:after="120" w:line="264" w:lineRule="auto"/>
              <w:ind w:left="175" w:right="175"/>
              <w:rPr>
                <w:b w:val="0"/>
                <w:lang w:eastAsia="en-US" w:bidi="ar-SA"/>
              </w:rPr>
            </w:pPr>
            <w:r w:rsidRPr="002E1032">
              <w:rPr>
                <w:b w:val="0"/>
                <w:lang w:eastAsia="en-US" w:bidi="ar-SA"/>
              </w:rPr>
              <w:t>A system always involves three things:</w:t>
            </w:r>
          </w:p>
          <w:p w14:paraId="58BE52F3" w14:textId="469AFD19" w:rsidR="002E1032" w:rsidRPr="002E1032" w:rsidRDefault="002E1032" w:rsidP="00954BAC">
            <w:pPr>
              <w:pStyle w:val="ListParagraph"/>
              <w:numPr>
                <w:ilvl w:val="0"/>
                <w:numId w:val="66"/>
              </w:numPr>
              <w:spacing w:line="264" w:lineRule="auto"/>
              <w:ind w:right="175"/>
              <w:rPr>
                <w:b w:val="0"/>
                <w:bCs w:val="0"/>
                <w:lang w:eastAsia="en-US" w:bidi="ar-SA"/>
              </w:rPr>
            </w:pPr>
            <w:r w:rsidRPr="002E1032">
              <w:rPr>
                <w:rFonts w:ascii="PP Mori SemiBold" w:hAnsi="PP Mori SemiBold"/>
                <w:b w:val="0"/>
                <w:bCs w:val="0"/>
                <w:lang w:eastAsia="en-US" w:bidi="ar-SA"/>
              </w:rPr>
              <w:t>Components or elements</w:t>
            </w:r>
            <w:r w:rsidRPr="002E1032">
              <w:rPr>
                <w:b w:val="0"/>
                <w:bCs w:val="0"/>
                <w:lang w:eastAsia="en-US" w:bidi="ar-SA"/>
              </w:rPr>
              <w:t>, which may be many or few, tangible or intangible</w:t>
            </w:r>
            <w:r w:rsidR="00084AA1">
              <w:rPr>
                <w:b w:val="0"/>
                <w:bCs w:val="0"/>
                <w:lang w:eastAsia="en-US" w:bidi="ar-SA"/>
              </w:rPr>
              <w:t>.</w:t>
            </w:r>
            <w:r w:rsidRPr="002E1032">
              <w:rPr>
                <w:b w:val="0"/>
                <w:bCs w:val="0"/>
                <w:lang w:eastAsia="en-US" w:bidi="ar-SA"/>
              </w:rPr>
              <w:t xml:space="preserve"> </w:t>
            </w:r>
          </w:p>
          <w:p w14:paraId="188124BF" w14:textId="42EC7E66" w:rsidR="002E1032" w:rsidRPr="002E1032" w:rsidRDefault="002E1032" w:rsidP="00954BAC">
            <w:pPr>
              <w:pStyle w:val="ListParagraph"/>
              <w:numPr>
                <w:ilvl w:val="0"/>
                <w:numId w:val="66"/>
              </w:numPr>
              <w:spacing w:line="264" w:lineRule="auto"/>
              <w:ind w:right="175"/>
              <w:rPr>
                <w:b w:val="0"/>
                <w:bCs w:val="0"/>
                <w:lang w:eastAsia="en-US" w:bidi="ar-SA"/>
              </w:rPr>
            </w:pPr>
            <w:r w:rsidRPr="002E1032">
              <w:rPr>
                <w:rFonts w:ascii="PP Mori SemiBold" w:hAnsi="PP Mori SemiBold"/>
                <w:b w:val="0"/>
                <w:bCs w:val="0"/>
                <w:lang w:eastAsia="en-US" w:bidi="ar-SA"/>
              </w:rPr>
              <w:t>Structural and functional relationships</w:t>
            </w:r>
            <w:r w:rsidRPr="002E1032">
              <w:rPr>
                <w:b w:val="0"/>
                <w:bCs w:val="0"/>
                <w:lang w:eastAsia="en-US" w:bidi="ar-SA"/>
              </w:rPr>
              <w:t>, which link or relate all the components together in a manner that enables interdependent operation</w:t>
            </w:r>
            <w:r w:rsidR="00084AA1">
              <w:rPr>
                <w:b w:val="0"/>
                <w:bCs w:val="0"/>
                <w:lang w:eastAsia="en-US" w:bidi="ar-SA"/>
              </w:rPr>
              <w:t>.</w:t>
            </w:r>
          </w:p>
          <w:p w14:paraId="2D6B7F84" w14:textId="05B9F27D" w:rsidR="002E1032" w:rsidRPr="002E1032" w:rsidRDefault="002E1032" w:rsidP="00954BAC">
            <w:pPr>
              <w:pStyle w:val="ListParagraph"/>
              <w:numPr>
                <w:ilvl w:val="0"/>
                <w:numId w:val="66"/>
              </w:numPr>
              <w:spacing w:line="264" w:lineRule="auto"/>
              <w:ind w:right="175"/>
              <w:rPr>
                <w:b w:val="0"/>
                <w:bCs w:val="0"/>
                <w:lang w:eastAsia="en-US" w:bidi="ar-SA"/>
              </w:rPr>
            </w:pPr>
            <w:r w:rsidRPr="002E1032">
              <w:rPr>
                <w:rFonts w:ascii="PP Mori SemiBold" w:hAnsi="PP Mori SemiBold"/>
                <w:b w:val="0"/>
                <w:bCs w:val="0"/>
                <w:lang w:eastAsia="en-US" w:bidi="ar-SA"/>
              </w:rPr>
              <w:t>One or more purpose(s)</w:t>
            </w:r>
            <w:r w:rsidRPr="002E1032">
              <w:rPr>
                <w:b w:val="0"/>
                <w:bCs w:val="0"/>
                <w:lang w:eastAsia="en-US" w:bidi="ar-SA"/>
              </w:rPr>
              <w:t>, which provide the ultimate reason for the system’s existence, and toward which the collective functions of all the components are directed, enabled by the architectural structures</w:t>
            </w:r>
            <w:r w:rsidR="00084AA1">
              <w:rPr>
                <w:b w:val="0"/>
                <w:bCs w:val="0"/>
                <w:lang w:eastAsia="en-US" w:bidi="ar-SA"/>
              </w:rPr>
              <w:t>.</w:t>
            </w:r>
          </w:p>
          <w:p w14:paraId="5667E549" w14:textId="1007B369" w:rsidR="003B6EDB" w:rsidRPr="002E1032" w:rsidRDefault="002E1032" w:rsidP="00FE79EE">
            <w:pPr>
              <w:spacing w:before="120" w:after="0" w:line="264" w:lineRule="auto"/>
              <w:ind w:left="176" w:right="176"/>
              <w:rPr>
                <w:i/>
                <w:iCs/>
                <w:lang w:eastAsia="en-US" w:bidi="ar-SA"/>
              </w:rPr>
            </w:pPr>
            <w:r w:rsidRPr="002E1032">
              <w:rPr>
                <w:b w:val="0"/>
                <w:lang w:eastAsia="en-US" w:bidi="ar-SA"/>
              </w:rPr>
              <w:t>While the components of a system are often the most visible/tangible, the underpinning structure or architecture always has a disproportionate influence on the essential limits of what the system can reliably and efficiently perform.</w:t>
            </w:r>
          </w:p>
          <w:p w14:paraId="44BD97D4" w14:textId="77777777" w:rsidR="00E62CD5" w:rsidRPr="00E62CD5" w:rsidRDefault="00E62CD5" w:rsidP="00E62CD5">
            <w:pPr>
              <w:pStyle w:val="Subtitle"/>
              <w:spacing w:after="120" w:line="264" w:lineRule="auto"/>
              <w:ind w:left="175" w:right="175"/>
              <w:rPr>
                <w:rStyle w:val="Emphasis"/>
                <w:rFonts w:ascii="PP Mori SemiBold" w:hAnsi="PP Mori SemiBold"/>
                <w:sz w:val="24"/>
                <w:szCs w:val="40"/>
              </w:rPr>
            </w:pPr>
            <w:r w:rsidRPr="00E62CD5">
              <w:rPr>
                <w:rStyle w:val="Emphasis"/>
                <w:rFonts w:ascii="PP Mori SemiBold" w:hAnsi="PP Mori SemiBold"/>
                <w:sz w:val="24"/>
                <w:szCs w:val="40"/>
              </w:rPr>
              <w:t>Systems Architecture</w:t>
            </w:r>
          </w:p>
          <w:p w14:paraId="4AD0AE47" w14:textId="77777777" w:rsidR="00485190" w:rsidRPr="00485190" w:rsidRDefault="00485190" w:rsidP="00485190">
            <w:pPr>
              <w:spacing w:before="120" w:after="120" w:line="264" w:lineRule="auto"/>
              <w:ind w:left="175" w:right="175"/>
              <w:rPr>
                <w:b w:val="0"/>
                <w:lang w:eastAsia="en-US" w:bidi="ar-SA"/>
              </w:rPr>
            </w:pPr>
            <w:r w:rsidRPr="00485190">
              <w:rPr>
                <w:b w:val="0"/>
                <w:lang w:eastAsia="en-US" w:bidi="ar-SA"/>
              </w:rPr>
              <w:t>A formal discipline within Systems Engineering that supports objective and collective reasoning about the foundational structure and organisation of a complex system. This includes its components, interfaces, feedback loops, and other critical behaviours.</w:t>
            </w:r>
          </w:p>
          <w:p w14:paraId="42BABEB9" w14:textId="77777777" w:rsidR="00485190" w:rsidRPr="00485190" w:rsidRDefault="00485190" w:rsidP="00485190">
            <w:pPr>
              <w:spacing w:before="120" w:after="120" w:line="264" w:lineRule="auto"/>
              <w:ind w:left="175" w:right="175"/>
              <w:rPr>
                <w:b w:val="0"/>
                <w:lang w:eastAsia="en-US" w:bidi="ar-SA"/>
              </w:rPr>
            </w:pPr>
            <w:r w:rsidRPr="00485190">
              <w:rPr>
                <w:b w:val="0"/>
                <w:lang w:eastAsia="en-US" w:bidi="ar-SA"/>
              </w:rPr>
              <w:t>The architecture of a system exerts a disproportionate influence on what the system can reliably and efficiently accomplish. Accordingly, a system should not be viewed merely as the sum of its parts, but rather as the product of the interactions among those parts—interactions that are enabled and constrained by the underlying architectural design.</w:t>
            </w:r>
          </w:p>
          <w:p w14:paraId="11338C63" w14:textId="0B7D09EE" w:rsidR="00485190" w:rsidRPr="00485190" w:rsidRDefault="00485190" w:rsidP="00485190">
            <w:pPr>
              <w:spacing w:before="120" w:after="120" w:line="264" w:lineRule="auto"/>
              <w:ind w:left="175" w:right="175"/>
              <w:rPr>
                <w:b w:val="0"/>
                <w:lang w:eastAsia="en-US" w:bidi="ar-SA"/>
              </w:rPr>
            </w:pPr>
            <w:r w:rsidRPr="00485190">
              <w:rPr>
                <w:b w:val="0"/>
                <w:lang w:eastAsia="en-US" w:bidi="ar-SA"/>
              </w:rPr>
              <w:t>Although architecture plays a pivotal role in shaping system performance, it is often less tangible and more difficult to discern than the system’s individual components. The discipline of</w:t>
            </w:r>
            <w:r w:rsidR="00BC7781">
              <w:rPr>
                <w:b w:val="0"/>
                <w:lang w:eastAsia="en-US" w:bidi="ar-SA"/>
              </w:rPr>
              <w:t xml:space="preserve"> systems architecture</w:t>
            </w:r>
            <w:r w:rsidRPr="00485190">
              <w:rPr>
                <w:b w:val="0"/>
                <w:lang w:eastAsia="en-US" w:bidi="ar-SA"/>
              </w:rPr>
              <w:t>, therefore, provides formal methods and tools to analyse how system components are interconnected, to identify emergent behaviours that arise from these interactions, and to explore robust options for modification and improvement.</w:t>
            </w:r>
          </w:p>
          <w:p w14:paraId="6C29D841" w14:textId="359B2046" w:rsidR="00485190" w:rsidRPr="00AF6E48" w:rsidRDefault="00485190" w:rsidP="00A639FD">
            <w:pPr>
              <w:spacing w:before="120" w:after="120" w:line="264" w:lineRule="auto"/>
              <w:ind w:left="175" w:right="175"/>
              <w:rPr>
                <w:bCs w:val="0"/>
                <w:lang w:eastAsia="en-US" w:bidi="ar-SA"/>
              </w:rPr>
            </w:pPr>
            <w:r w:rsidRPr="00485190">
              <w:rPr>
                <w:b w:val="0"/>
                <w:lang w:eastAsia="en-US" w:bidi="ar-SA"/>
              </w:rPr>
              <w:t>By enabling a deeper understanding of how legacy systems function and how their structures can evolve,</w:t>
            </w:r>
            <w:r w:rsidR="00BC7781">
              <w:rPr>
                <w:b w:val="0"/>
                <w:lang w:eastAsia="en-US" w:bidi="ar-SA"/>
              </w:rPr>
              <w:t xml:space="preserve"> systems architecture</w:t>
            </w:r>
            <w:r w:rsidRPr="00485190">
              <w:rPr>
                <w:b w:val="0"/>
                <w:lang w:eastAsia="en-US" w:bidi="ar-SA"/>
              </w:rPr>
              <w:t xml:space="preserve"> empowers stakeholders to visualise relationships, evaluate trade-offs, and make informed decisions that enhance the system’s capacity to meet current and future demands.</w:t>
            </w:r>
          </w:p>
        </w:tc>
      </w:tr>
    </w:tbl>
    <w:p w14:paraId="67EF6482" w14:textId="2DA2EA8D" w:rsidR="008B3195" w:rsidRPr="002C72C2" w:rsidRDefault="00D93794" w:rsidP="00EB2823">
      <w:pPr>
        <w:spacing w:line="264" w:lineRule="auto"/>
        <w:rPr>
          <w:lang w:eastAsia="en-US" w:bidi="ar-SA"/>
        </w:rPr>
      </w:pPr>
      <w:r w:rsidRPr="002C72C2">
        <w:rPr>
          <w:lang w:eastAsia="en-US" w:bidi="ar-SA"/>
        </w:rPr>
        <w:br/>
      </w:r>
    </w:p>
    <w:p w14:paraId="73353DCE" w14:textId="4FDCACC2" w:rsidR="0002427A" w:rsidRPr="002C72C2" w:rsidRDefault="0002427A" w:rsidP="00EB2823">
      <w:pPr>
        <w:spacing w:line="264" w:lineRule="auto"/>
        <w:rPr>
          <w:lang w:eastAsia="en-US" w:bidi="ar-SA"/>
        </w:rPr>
      </w:pPr>
    </w:p>
    <w:p w14:paraId="6A347A3D" w14:textId="47BFF065" w:rsidR="003E6261" w:rsidRPr="002C72C2" w:rsidRDefault="003E6261" w:rsidP="00EB2823">
      <w:pPr>
        <w:pStyle w:val="Heading3"/>
        <w:spacing w:line="264" w:lineRule="auto"/>
        <w:rPr>
          <w:lang w:eastAsia="en-US" w:bidi="ar-SA"/>
        </w:rPr>
      </w:pPr>
      <w:bookmarkStart w:id="45" w:name="_Inadequate_Complexity_Management"/>
      <w:bookmarkStart w:id="46" w:name="_Toc205533961"/>
      <w:bookmarkStart w:id="47" w:name="S_412"/>
      <w:bookmarkEnd w:id="45"/>
      <w:r w:rsidRPr="002C72C2">
        <w:rPr>
          <w:lang w:eastAsia="en-US" w:bidi="ar-SA"/>
        </w:rPr>
        <w:t>Inadequate Complexity Management</w:t>
      </w:r>
      <w:bookmarkEnd w:id="46"/>
    </w:p>
    <w:tbl>
      <w:tblPr>
        <w:tblStyle w:val="TableGrid"/>
        <w:tblW w:w="0" w:type="auto"/>
        <w:tblLook w:val="04A0" w:firstRow="1" w:lastRow="0" w:firstColumn="1" w:lastColumn="0" w:noHBand="0" w:noVBand="1"/>
      </w:tblPr>
      <w:tblGrid>
        <w:gridCol w:w="8210"/>
      </w:tblGrid>
      <w:tr w:rsidR="00112D24" w14:paraId="65B1C2B4" w14:textId="77777777" w:rsidTr="008F2E81">
        <w:tc>
          <w:tcPr>
            <w:tcW w:w="8210" w:type="dxa"/>
            <w:shd w:val="clear" w:color="auto" w:fill="013C4C" w:themeFill="text1"/>
          </w:tcPr>
          <w:bookmarkEnd w:id="47"/>
          <w:p w14:paraId="2609EC0F" w14:textId="14909CC0" w:rsidR="00112D24" w:rsidRPr="00C52859" w:rsidRDefault="00407EE6" w:rsidP="00EB2823">
            <w:pPr>
              <w:spacing w:before="180" w:after="180" w:line="264" w:lineRule="auto"/>
              <w:ind w:left="176" w:right="176"/>
              <w:rPr>
                <w:i/>
                <w:iCs/>
                <w:lang w:eastAsia="en-US" w:bidi="ar-SA"/>
              </w:rPr>
            </w:pPr>
            <w:r w:rsidRPr="00C52859">
              <w:rPr>
                <w:i/>
                <w:iCs/>
                <w:lang w:eastAsia="en-US" w:bidi="ar-SA"/>
              </w:rPr>
              <w:t xml:space="preserve">As an ultra-complex 'system of systems' undergoing profound structural and functional shifts, reliability, </w:t>
            </w:r>
            <w:r w:rsidR="009C4E79">
              <w:rPr>
                <w:i/>
                <w:iCs/>
                <w:lang w:eastAsia="en-US" w:bidi="ar-SA"/>
              </w:rPr>
              <w:t>cost-</w:t>
            </w:r>
            <w:r w:rsidRPr="00C52859">
              <w:rPr>
                <w:i/>
                <w:iCs/>
                <w:lang w:eastAsia="en-US" w:bidi="ar-SA"/>
              </w:rPr>
              <w:t>efficiency and scaling risks escalate by orders of magnitude where formal systems-based tools and methodologies designed to manage</w:t>
            </w:r>
            <w:r w:rsidR="00F0184E">
              <w:rPr>
                <w:i/>
                <w:iCs/>
                <w:lang w:eastAsia="en-US" w:bidi="ar-SA"/>
              </w:rPr>
              <w:t xml:space="preserve"> </w:t>
            </w:r>
            <w:r w:rsidR="009C4E79">
              <w:rPr>
                <w:i/>
                <w:iCs/>
                <w:lang w:eastAsia="en-US" w:bidi="ar-SA"/>
              </w:rPr>
              <w:t>large-scale</w:t>
            </w:r>
            <w:r w:rsidRPr="00C52859">
              <w:rPr>
                <w:i/>
                <w:iCs/>
                <w:lang w:eastAsia="en-US" w:bidi="ar-SA"/>
              </w:rPr>
              <w:t xml:space="preserve"> complexity </w:t>
            </w:r>
            <w:r w:rsidR="00F0184E">
              <w:rPr>
                <w:i/>
                <w:iCs/>
                <w:lang w:eastAsia="en-US" w:bidi="ar-SA"/>
              </w:rPr>
              <w:t>are not actively employed.</w:t>
            </w:r>
          </w:p>
        </w:tc>
      </w:tr>
    </w:tbl>
    <w:p w14:paraId="2BB5B005" w14:textId="49EEAF48" w:rsidR="00F67507" w:rsidRPr="00EB2823" w:rsidRDefault="00F67507" w:rsidP="00954BAC">
      <w:pPr>
        <w:pStyle w:val="Heading4"/>
        <w:numPr>
          <w:ilvl w:val="0"/>
          <w:numId w:val="54"/>
        </w:numPr>
        <w:spacing w:before="240" w:after="120" w:line="264" w:lineRule="auto"/>
        <w:rPr>
          <w:i w:val="0"/>
          <w:iCs w:val="0"/>
        </w:rPr>
      </w:pPr>
      <w:r w:rsidRPr="00EB2823">
        <w:rPr>
          <w:i w:val="0"/>
          <w:iCs w:val="0"/>
        </w:rPr>
        <w:t>Cross Cutting Issue</w:t>
      </w:r>
    </w:p>
    <w:p w14:paraId="7A4F9D7B" w14:textId="613E2DD4" w:rsidR="007D71FD" w:rsidRPr="002C72C2" w:rsidRDefault="00F67507" w:rsidP="00C72A54">
      <w:pPr>
        <w:spacing w:before="120" w:after="120" w:line="264" w:lineRule="auto"/>
        <w:rPr>
          <w:szCs w:val="18"/>
          <w:lang w:eastAsia="en-US" w:bidi="ar-SA"/>
        </w:rPr>
      </w:pPr>
      <w:r w:rsidRPr="002C72C2">
        <w:rPr>
          <w:szCs w:val="18"/>
          <w:lang w:eastAsia="en-US" w:bidi="ar-SA"/>
        </w:rPr>
        <w:t xml:space="preserve">The </w:t>
      </w:r>
      <w:r w:rsidR="00091A05" w:rsidRPr="002C72C2">
        <w:rPr>
          <w:szCs w:val="18"/>
          <w:lang w:eastAsia="en-US" w:bidi="ar-SA"/>
        </w:rPr>
        <w:t>GW-scale p</w:t>
      </w:r>
      <w:r w:rsidRPr="002C72C2">
        <w:rPr>
          <w:szCs w:val="18"/>
          <w:lang w:eastAsia="en-US" w:bidi="ar-SA"/>
        </w:rPr>
        <w:t xml:space="preserve">ower </w:t>
      </w:r>
      <w:r w:rsidR="00091A05" w:rsidRPr="002C72C2">
        <w:rPr>
          <w:szCs w:val="18"/>
          <w:lang w:eastAsia="en-US" w:bidi="ar-SA"/>
        </w:rPr>
        <w:t>s</w:t>
      </w:r>
      <w:r w:rsidRPr="002C72C2">
        <w:rPr>
          <w:szCs w:val="18"/>
          <w:lang w:eastAsia="en-US" w:bidi="ar-SA"/>
        </w:rPr>
        <w:t>ystems developed throughout the twentieth century are some of the largest and most sophisticated ‘machines’ created by humanity</w:t>
      </w:r>
      <w:r w:rsidR="00374950">
        <w:rPr>
          <w:szCs w:val="18"/>
          <w:lang w:eastAsia="en-US" w:bidi="ar-SA"/>
        </w:rPr>
        <w:t xml:space="preserve">. </w:t>
      </w:r>
      <w:r w:rsidR="009E2967" w:rsidRPr="002C72C2">
        <w:rPr>
          <w:szCs w:val="18"/>
          <w:lang w:eastAsia="en-US" w:bidi="ar-SA"/>
        </w:rPr>
        <w:t>They are</w:t>
      </w:r>
      <w:r w:rsidRPr="002C72C2">
        <w:rPr>
          <w:szCs w:val="18"/>
          <w:lang w:eastAsia="en-US" w:bidi="ar-SA"/>
        </w:rPr>
        <w:t xml:space="preserve"> formally defined as Ultra Large</w:t>
      </w:r>
      <w:r w:rsidR="008F4B7C">
        <w:rPr>
          <w:szCs w:val="18"/>
          <w:lang w:eastAsia="en-US" w:bidi="ar-SA"/>
        </w:rPr>
        <w:t xml:space="preserve"> S</w:t>
      </w:r>
      <w:r w:rsidRPr="002C72C2">
        <w:rPr>
          <w:szCs w:val="18"/>
          <w:lang w:eastAsia="en-US" w:bidi="ar-SA"/>
        </w:rPr>
        <w:t>cale (ULS)</w:t>
      </w:r>
      <w:r w:rsidR="008C69A4" w:rsidRPr="00C04F0B">
        <w:rPr>
          <w:rStyle w:val="FootnoteReference"/>
        </w:rPr>
        <w:footnoteReference w:id="8"/>
      </w:r>
      <w:r w:rsidRPr="002C72C2">
        <w:rPr>
          <w:szCs w:val="18"/>
          <w:lang w:eastAsia="en-US" w:bidi="ar-SA"/>
        </w:rPr>
        <w:t xml:space="preserve"> complex systems.</w:t>
      </w:r>
    </w:p>
    <w:p w14:paraId="65479E72" w14:textId="6DCD3F22" w:rsidR="00C72A54" w:rsidRPr="00C72A54" w:rsidRDefault="00F0734F" w:rsidP="00C00405">
      <w:pPr>
        <w:spacing w:before="120" w:after="120" w:line="264" w:lineRule="auto"/>
        <w:rPr>
          <w:szCs w:val="18"/>
        </w:rPr>
      </w:pPr>
      <w:r w:rsidRPr="002C72C2">
        <w:rPr>
          <w:szCs w:val="18"/>
          <w:lang w:eastAsia="en-US" w:bidi="ar-SA"/>
        </w:rPr>
        <w:t>While we commonly refer to the power system (singular), i</w:t>
      </w:r>
      <w:r w:rsidR="007D71FD" w:rsidRPr="002C72C2">
        <w:rPr>
          <w:szCs w:val="18"/>
          <w:lang w:eastAsia="en-US" w:bidi="ar-SA"/>
        </w:rPr>
        <w:t xml:space="preserve">t is illuminating to realise </w:t>
      </w:r>
      <w:r w:rsidR="00C72A54" w:rsidRPr="00C72A54">
        <w:rPr>
          <w:szCs w:val="18"/>
        </w:rPr>
        <w:t xml:space="preserve">that a modern </w:t>
      </w:r>
      <w:r w:rsidR="00C00405">
        <w:rPr>
          <w:szCs w:val="18"/>
        </w:rPr>
        <w:t>grid</w:t>
      </w:r>
      <w:r w:rsidR="00C72A54" w:rsidRPr="00C72A54">
        <w:rPr>
          <w:szCs w:val="18"/>
        </w:rPr>
        <w:t xml:space="preserve"> is a ‘</w:t>
      </w:r>
      <w:r w:rsidR="007D71FD" w:rsidRPr="00C00405">
        <w:rPr>
          <w:szCs w:val="18"/>
        </w:rPr>
        <w:t>s</w:t>
      </w:r>
      <w:r w:rsidR="00C72A54" w:rsidRPr="00C72A54">
        <w:rPr>
          <w:szCs w:val="18"/>
        </w:rPr>
        <w:t>uper-system</w:t>
      </w:r>
      <w:r w:rsidR="001D7FCF">
        <w:rPr>
          <w:szCs w:val="18"/>
        </w:rPr>
        <w:t>’</w:t>
      </w:r>
      <w:r w:rsidR="00C72A54" w:rsidRPr="00C72A54">
        <w:rPr>
          <w:szCs w:val="18"/>
        </w:rPr>
        <w:t xml:space="preserve"> of</w:t>
      </w:r>
      <w:r w:rsidR="0089602E">
        <w:rPr>
          <w:szCs w:val="18"/>
        </w:rPr>
        <w:t xml:space="preserve"> seven</w:t>
      </w:r>
      <w:r w:rsidR="00C72A54" w:rsidRPr="00C72A54">
        <w:rPr>
          <w:szCs w:val="18"/>
        </w:rPr>
        <w:t xml:space="preserve"> </w:t>
      </w:r>
      <w:r>
        <w:rPr>
          <w:szCs w:val="18"/>
        </w:rPr>
        <w:t>structures</w:t>
      </w:r>
      <w:r w:rsidR="00C72A54" w:rsidRPr="00C72A54">
        <w:rPr>
          <w:szCs w:val="18"/>
        </w:rPr>
        <w:t xml:space="preserve"> which must be holistically transformed </w:t>
      </w:r>
      <w:r w:rsidR="00307133">
        <w:rPr>
          <w:szCs w:val="18"/>
        </w:rPr>
        <w:t>if V</w:t>
      </w:r>
      <w:r w:rsidR="007D71FD" w:rsidRPr="00C00405">
        <w:rPr>
          <w:szCs w:val="18"/>
        </w:rPr>
        <w:t xml:space="preserve">RE and </w:t>
      </w:r>
      <w:r w:rsidR="00C72A54" w:rsidRPr="00C72A54">
        <w:rPr>
          <w:szCs w:val="18"/>
        </w:rPr>
        <w:t>CER/DER a</w:t>
      </w:r>
      <w:r w:rsidR="00307133">
        <w:rPr>
          <w:szCs w:val="18"/>
        </w:rPr>
        <w:t>re to be systemically integrated a</w:t>
      </w:r>
      <w:r w:rsidR="00C72A54" w:rsidRPr="00C72A54">
        <w:rPr>
          <w:szCs w:val="18"/>
        </w:rPr>
        <w:t>t massive scale</w:t>
      </w:r>
      <w:r w:rsidR="00374950">
        <w:rPr>
          <w:szCs w:val="18"/>
        </w:rPr>
        <w:t xml:space="preserve">. </w:t>
      </w:r>
      <w:r w:rsidR="0091510A">
        <w:rPr>
          <w:szCs w:val="18"/>
        </w:rPr>
        <w:t xml:space="preserve">They </w:t>
      </w:r>
      <w:r w:rsidR="00C72A54" w:rsidRPr="00C72A54">
        <w:rPr>
          <w:szCs w:val="18"/>
        </w:rPr>
        <w:t xml:space="preserve">consist of a complex web of the following inter-dependent structures: </w:t>
      </w:r>
    </w:p>
    <w:p w14:paraId="07966FEE" w14:textId="41CBCA54" w:rsidR="00C72A54" w:rsidRPr="00C72A54" w:rsidRDefault="00C72A54" w:rsidP="00954BAC">
      <w:pPr>
        <w:numPr>
          <w:ilvl w:val="0"/>
          <w:numId w:val="63"/>
        </w:numPr>
        <w:spacing w:before="120" w:after="0" w:line="276" w:lineRule="auto"/>
        <w:ind w:left="851" w:hanging="425"/>
        <w:rPr>
          <w:szCs w:val="18"/>
        </w:rPr>
      </w:pPr>
      <w:r w:rsidRPr="00C72A54">
        <w:rPr>
          <w:szCs w:val="18"/>
        </w:rPr>
        <w:t>Electricity Infrastructure (Power Flows)</w:t>
      </w:r>
    </w:p>
    <w:p w14:paraId="3150C23F" w14:textId="421DDC78" w:rsidR="00C72A54" w:rsidRPr="00C72A54" w:rsidRDefault="00C72A54" w:rsidP="00954BAC">
      <w:pPr>
        <w:numPr>
          <w:ilvl w:val="0"/>
          <w:numId w:val="63"/>
        </w:numPr>
        <w:spacing w:before="120" w:after="0" w:line="276" w:lineRule="auto"/>
        <w:ind w:left="851" w:hanging="425"/>
        <w:rPr>
          <w:szCs w:val="18"/>
        </w:rPr>
      </w:pPr>
      <w:r w:rsidRPr="00C72A54">
        <w:rPr>
          <w:szCs w:val="18"/>
        </w:rPr>
        <w:t>Digital Infrastructure (Information/Data Exchange, Storage and Processing)</w:t>
      </w:r>
    </w:p>
    <w:p w14:paraId="0238BAFD" w14:textId="2392BC91" w:rsidR="00C72A54" w:rsidRPr="00C72A54" w:rsidRDefault="00C72A54" w:rsidP="00954BAC">
      <w:pPr>
        <w:numPr>
          <w:ilvl w:val="0"/>
          <w:numId w:val="63"/>
        </w:numPr>
        <w:spacing w:before="120" w:after="0" w:line="276" w:lineRule="auto"/>
        <w:ind w:left="851" w:hanging="425"/>
        <w:rPr>
          <w:szCs w:val="18"/>
        </w:rPr>
      </w:pPr>
      <w:r w:rsidRPr="00C72A54">
        <w:rPr>
          <w:szCs w:val="18"/>
        </w:rPr>
        <w:t>Operational Coordination Structure</w:t>
      </w:r>
    </w:p>
    <w:p w14:paraId="556A360E" w14:textId="1A013ACF" w:rsidR="00C72A54" w:rsidRPr="00C72A54" w:rsidRDefault="00C72A54" w:rsidP="00954BAC">
      <w:pPr>
        <w:numPr>
          <w:ilvl w:val="0"/>
          <w:numId w:val="63"/>
        </w:numPr>
        <w:spacing w:before="120" w:after="0" w:line="276" w:lineRule="auto"/>
        <w:ind w:left="851" w:hanging="425"/>
        <w:rPr>
          <w:szCs w:val="18"/>
        </w:rPr>
      </w:pPr>
      <w:r w:rsidRPr="00C72A54">
        <w:rPr>
          <w:szCs w:val="18"/>
        </w:rPr>
        <w:t>Transactional Structure</w:t>
      </w:r>
    </w:p>
    <w:p w14:paraId="66A88F21" w14:textId="3C39CF9F" w:rsidR="00C72A54" w:rsidRPr="00C72A54" w:rsidRDefault="00C72A54" w:rsidP="00954BAC">
      <w:pPr>
        <w:numPr>
          <w:ilvl w:val="0"/>
          <w:numId w:val="63"/>
        </w:numPr>
        <w:spacing w:before="120" w:after="0" w:line="276" w:lineRule="auto"/>
        <w:ind w:left="851" w:hanging="425"/>
        <w:rPr>
          <w:szCs w:val="18"/>
        </w:rPr>
      </w:pPr>
      <w:r w:rsidRPr="00C72A54">
        <w:rPr>
          <w:szCs w:val="18"/>
        </w:rPr>
        <w:t>Industry / Market Structure</w:t>
      </w:r>
      <w:r w:rsidRPr="00C72A54">
        <w:rPr>
          <w:rFonts w:ascii="Calibri" w:hAnsi="Calibri" w:cs="Calibri"/>
          <w:szCs w:val="18"/>
        </w:rPr>
        <w:t> </w:t>
      </w:r>
    </w:p>
    <w:p w14:paraId="6B87BFE0" w14:textId="655EED55" w:rsidR="00C72A54" w:rsidRPr="00C72A54" w:rsidRDefault="00C72A54" w:rsidP="00954BAC">
      <w:pPr>
        <w:numPr>
          <w:ilvl w:val="0"/>
          <w:numId w:val="63"/>
        </w:numPr>
        <w:spacing w:before="120" w:after="0" w:line="276" w:lineRule="auto"/>
        <w:ind w:left="851" w:hanging="425"/>
        <w:rPr>
          <w:szCs w:val="18"/>
        </w:rPr>
      </w:pPr>
      <w:r w:rsidRPr="00C72A54">
        <w:rPr>
          <w:szCs w:val="18"/>
        </w:rPr>
        <w:t>Regulatory Structure</w:t>
      </w:r>
      <w:r w:rsidRPr="00C72A54">
        <w:rPr>
          <w:rFonts w:ascii="Calibri" w:hAnsi="Calibri" w:cs="Calibri"/>
          <w:szCs w:val="18"/>
        </w:rPr>
        <w:t> </w:t>
      </w:r>
    </w:p>
    <w:p w14:paraId="51D8DAE0" w14:textId="05C3C587" w:rsidR="00C72A54" w:rsidRPr="00C72A54" w:rsidRDefault="00C72A54" w:rsidP="00954BAC">
      <w:pPr>
        <w:numPr>
          <w:ilvl w:val="0"/>
          <w:numId w:val="63"/>
        </w:numPr>
        <w:spacing w:before="120" w:after="0" w:line="276" w:lineRule="auto"/>
        <w:ind w:left="851" w:hanging="425"/>
        <w:rPr>
          <w:szCs w:val="18"/>
        </w:rPr>
      </w:pPr>
      <w:r w:rsidRPr="00C72A54">
        <w:rPr>
          <w:szCs w:val="18"/>
        </w:rPr>
        <w:t>Sector Coupling Structures (Gas, Water, Transport, etc)</w:t>
      </w:r>
      <w:r w:rsidRPr="00C72A54">
        <w:rPr>
          <w:rFonts w:ascii="Calibri" w:hAnsi="Calibri" w:cs="Calibri"/>
          <w:szCs w:val="18"/>
        </w:rPr>
        <w:t> </w:t>
      </w:r>
    </w:p>
    <w:p w14:paraId="738F79F7" w14:textId="24941E0F" w:rsidR="00F67507" w:rsidRPr="002559D2" w:rsidRDefault="00F67507" w:rsidP="002559D2">
      <w:pPr>
        <w:spacing w:after="120" w:line="264" w:lineRule="auto"/>
        <w:rPr>
          <w:lang w:eastAsia="en-US" w:bidi="ar-SA"/>
        </w:rPr>
      </w:pPr>
      <w:r w:rsidRPr="002559D2">
        <w:rPr>
          <w:lang w:eastAsia="en-US" w:bidi="ar-SA"/>
        </w:rPr>
        <w:t xml:space="preserve">In the case of </w:t>
      </w:r>
      <w:r w:rsidR="009E3E56" w:rsidRPr="002559D2">
        <w:rPr>
          <w:lang w:eastAsia="en-US" w:bidi="ar-SA"/>
        </w:rPr>
        <w:t xml:space="preserve">power systems such as the </w:t>
      </w:r>
      <w:r w:rsidRPr="002559D2">
        <w:rPr>
          <w:lang w:eastAsia="en-US" w:bidi="ar-SA"/>
        </w:rPr>
        <w:t>NEM</w:t>
      </w:r>
      <w:r w:rsidR="009E3E56" w:rsidRPr="002559D2">
        <w:rPr>
          <w:lang w:eastAsia="en-US" w:bidi="ar-SA"/>
        </w:rPr>
        <w:t xml:space="preserve"> and WEM, </w:t>
      </w:r>
      <w:r w:rsidRPr="002559D2">
        <w:rPr>
          <w:lang w:eastAsia="en-US" w:bidi="ar-SA"/>
        </w:rPr>
        <w:t xml:space="preserve">these seven structures variously span the vertical </w:t>
      </w:r>
      <w:r w:rsidR="009E3E56" w:rsidRPr="002559D2">
        <w:rPr>
          <w:lang w:eastAsia="en-US" w:bidi="ar-SA"/>
        </w:rPr>
        <w:t>t</w:t>
      </w:r>
      <w:r w:rsidRPr="002559D2">
        <w:rPr>
          <w:lang w:eastAsia="en-US" w:bidi="ar-SA"/>
        </w:rPr>
        <w:t>iers/</w:t>
      </w:r>
      <w:r w:rsidR="009E3E56" w:rsidRPr="002559D2">
        <w:rPr>
          <w:lang w:eastAsia="en-US" w:bidi="ar-SA"/>
        </w:rPr>
        <w:t>l</w:t>
      </w:r>
      <w:r w:rsidRPr="002559D2">
        <w:rPr>
          <w:lang w:eastAsia="en-US" w:bidi="ar-SA"/>
        </w:rPr>
        <w:t xml:space="preserve">ayers of the </w:t>
      </w:r>
      <w:r w:rsidR="009E3E56" w:rsidRPr="002559D2">
        <w:rPr>
          <w:lang w:eastAsia="en-US" w:bidi="ar-SA"/>
        </w:rPr>
        <w:t>p</w:t>
      </w:r>
      <w:r w:rsidRPr="002559D2">
        <w:rPr>
          <w:lang w:eastAsia="en-US" w:bidi="ar-SA"/>
        </w:rPr>
        <w:t xml:space="preserve">ower </w:t>
      </w:r>
      <w:r w:rsidR="009E3E56" w:rsidRPr="002559D2">
        <w:rPr>
          <w:lang w:eastAsia="en-US" w:bidi="ar-SA"/>
        </w:rPr>
        <w:t>s</w:t>
      </w:r>
      <w:r w:rsidRPr="002559D2">
        <w:rPr>
          <w:lang w:eastAsia="en-US" w:bidi="ar-SA"/>
        </w:rPr>
        <w:t>ystem, impact multiple system actors (e.g.</w:t>
      </w:r>
      <w:r w:rsidR="009E3E56" w:rsidRPr="002559D2">
        <w:rPr>
          <w:lang w:eastAsia="en-US" w:bidi="ar-SA"/>
        </w:rPr>
        <w:t xml:space="preserve"> b</w:t>
      </w:r>
      <w:r w:rsidRPr="002559D2">
        <w:rPr>
          <w:lang w:eastAsia="en-US" w:bidi="ar-SA"/>
        </w:rPr>
        <w:t xml:space="preserve">ulk </w:t>
      </w:r>
      <w:r w:rsidR="009E3E56" w:rsidRPr="002559D2">
        <w:rPr>
          <w:lang w:eastAsia="en-US" w:bidi="ar-SA"/>
        </w:rPr>
        <w:t>p</w:t>
      </w:r>
      <w:r w:rsidRPr="002559D2">
        <w:rPr>
          <w:lang w:eastAsia="en-US" w:bidi="ar-SA"/>
        </w:rPr>
        <w:t xml:space="preserve">ower, </w:t>
      </w:r>
      <w:r w:rsidR="009E3E56" w:rsidRPr="002559D2">
        <w:rPr>
          <w:lang w:eastAsia="en-US" w:bidi="ar-SA"/>
        </w:rPr>
        <w:t>t</w:t>
      </w:r>
      <w:r w:rsidRPr="002559D2">
        <w:rPr>
          <w:lang w:eastAsia="en-US" w:bidi="ar-SA"/>
        </w:rPr>
        <w:t>ransmission</w:t>
      </w:r>
      <w:r w:rsidR="009E3E56" w:rsidRPr="002559D2">
        <w:rPr>
          <w:lang w:eastAsia="en-US" w:bidi="ar-SA"/>
        </w:rPr>
        <w:t>, d</w:t>
      </w:r>
      <w:r w:rsidRPr="002559D2">
        <w:rPr>
          <w:lang w:eastAsia="en-US" w:bidi="ar-SA"/>
        </w:rPr>
        <w:t>istribution</w:t>
      </w:r>
      <w:r w:rsidR="009E3E56" w:rsidRPr="002559D2">
        <w:rPr>
          <w:lang w:eastAsia="en-US" w:bidi="ar-SA"/>
        </w:rPr>
        <w:t>, e</w:t>
      </w:r>
      <w:r w:rsidRPr="002559D2">
        <w:rPr>
          <w:lang w:eastAsia="en-US" w:bidi="ar-SA"/>
        </w:rPr>
        <w:t xml:space="preserve">nergy </w:t>
      </w:r>
      <w:r w:rsidR="009E3E56" w:rsidRPr="002559D2">
        <w:rPr>
          <w:lang w:eastAsia="en-US" w:bidi="ar-SA"/>
        </w:rPr>
        <w:t>r</w:t>
      </w:r>
      <w:r w:rsidRPr="002559D2">
        <w:rPr>
          <w:lang w:eastAsia="en-US" w:bidi="ar-SA"/>
        </w:rPr>
        <w:t xml:space="preserve">etailers, </w:t>
      </w:r>
      <w:r w:rsidR="009E3E56" w:rsidRPr="002559D2">
        <w:rPr>
          <w:lang w:eastAsia="en-US" w:bidi="ar-SA"/>
        </w:rPr>
        <w:t>a</w:t>
      </w:r>
      <w:r w:rsidRPr="002559D2">
        <w:rPr>
          <w:lang w:eastAsia="en-US" w:bidi="ar-SA"/>
        </w:rPr>
        <w:t>ggregators,</w:t>
      </w:r>
      <w:r w:rsidR="009E3E56" w:rsidRPr="002559D2">
        <w:rPr>
          <w:lang w:eastAsia="en-US" w:bidi="ar-SA"/>
        </w:rPr>
        <w:t xml:space="preserve"> c</w:t>
      </w:r>
      <w:r w:rsidRPr="002559D2">
        <w:rPr>
          <w:lang w:eastAsia="en-US" w:bidi="ar-SA"/>
        </w:rPr>
        <w:t>ustomers, etc.) and must be transitioned holistically</w:t>
      </w:r>
      <w:r w:rsidR="00374950">
        <w:rPr>
          <w:lang w:eastAsia="en-US" w:bidi="ar-SA"/>
        </w:rPr>
        <w:t xml:space="preserve">. </w:t>
      </w:r>
      <w:r w:rsidRPr="002559D2">
        <w:rPr>
          <w:lang w:eastAsia="en-US" w:bidi="ar-SA"/>
        </w:rPr>
        <w:t xml:space="preserve">As noted earlier, the Laws of Physics interact with </w:t>
      </w:r>
      <w:r w:rsidR="006137A8" w:rsidRPr="002559D2">
        <w:rPr>
          <w:lang w:eastAsia="en-US" w:bidi="ar-SA"/>
        </w:rPr>
        <w:t>such</w:t>
      </w:r>
      <w:r w:rsidR="009E3E56" w:rsidRPr="002559D2">
        <w:rPr>
          <w:lang w:eastAsia="en-US" w:bidi="ar-SA"/>
        </w:rPr>
        <w:t xml:space="preserve"> systems </w:t>
      </w:r>
      <w:r w:rsidRPr="002559D2">
        <w:rPr>
          <w:lang w:eastAsia="en-US" w:bidi="ar-SA"/>
        </w:rPr>
        <w:t>blind to legacy</w:t>
      </w:r>
      <w:r w:rsidR="006137A8" w:rsidRPr="002559D2">
        <w:rPr>
          <w:lang w:eastAsia="en-US" w:bidi="ar-SA"/>
        </w:rPr>
        <w:t xml:space="preserve"> </w:t>
      </w:r>
      <w:r w:rsidRPr="002559D2">
        <w:rPr>
          <w:lang w:eastAsia="en-US" w:bidi="ar-SA"/>
        </w:rPr>
        <w:t>structural separations</w:t>
      </w:r>
      <w:r w:rsidR="4D68F2DA" w:rsidRPr="002559D2">
        <w:rPr>
          <w:lang w:eastAsia="en-US" w:bidi="ar-SA"/>
        </w:rPr>
        <w:t>,</w:t>
      </w:r>
      <w:r w:rsidRPr="002559D2">
        <w:rPr>
          <w:lang w:eastAsia="en-US" w:bidi="ar-SA"/>
        </w:rPr>
        <w:t xml:space="preserve"> which highlights the need for an aligned set of transformative action</w:t>
      </w:r>
      <w:r w:rsidR="00374950">
        <w:rPr>
          <w:lang w:eastAsia="en-US" w:bidi="ar-SA"/>
        </w:rPr>
        <w:t xml:space="preserve">. </w:t>
      </w:r>
    </w:p>
    <w:p w14:paraId="7AB8C744" w14:textId="0EA78E80" w:rsidR="00A20229" w:rsidRDefault="00F67507" w:rsidP="00EB2823">
      <w:pPr>
        <w:spacing w:before="120" w:after="120" w:line="264" w:lineRule="auto"/>
        <w:rPr>
          <w:lang w:eastAsia="en-US" w:bidi="ar-SA"/>
        </w:rPr>
      </w:pPr>
      <w:r w:rsidRPr="002559D2">
        <w:rPr>
          <w:lang w:eastAsia="en-US" w:bidi="ar-SA"/>
        </w:rPr>
        <w:t>It is within these constraints that Australia must</w:t>
      </w:r>
      <w:r w:rsidR="003B6234" w:rsidRPr="002559D2">
        <w:rPr>
          <w:lang w:eastAsia="en-US" w:bidi="ar-SA"/>
        </w:rPr>
        <w:t>, for example,</w:t>
      </w:r>
      <w:r w:rsidRPr="002559D2">
        <w:rPr>
          <w:lang w:eastAsia="en-US" w:bidi="ar-SA"/>
        </w:rPr>
        <w:t xml:space="preserve"> transform </w:t>
      </w:r>
      <w:r w:rsidR="00A20229">
        <w:rPr>
          <w:lang w:eastAsia="en-US" w:bidi="ar-SA"/>
        </w:rPr>
        <w:t>its power systems</w:t>
      </w:r>
      <w:r w:rsidRPr="002559D2">
        <w:rPr>
          <w:lang w:eastAsia="en-US" w:bidi="ar-SA"/>
        </w:rPr>
        <w:t xml:space="preserve"> to operate at 100% or more instantaneous renewable generation</w:t>
      </w:r>
      <w:r w:rsidR="003B6234" w:rsidRPr="002559D2">
        <w:rPr>
          <w:lang w:eastAsia="en-US" w:bidi="ar-SA"/>
        </w:rPr>
        <w:t xml:space="preserve"> </w:t>
      </w:r>
      <w:r w:rsidRPr="002559D2">
        <w:rPr>
          <w:lang w:eastAsia="en-US" w:bidi="ar-SA"/>
        </w:rPr>
        <w:t xml:space="preserve">connected to both the </w:t>
      </w:r>
      <w:r w:rsidR="00B265D3" w:rsidRPr="002559D2">
        <w:rPr>
          <w:lang w:eastAsia="en-US" w:bidi="ar-SA"/>
        </w:rPr>
        <w:t>t</w:t>
      </w:r>
      <w:r w:rsidRPr="002559D2">
        <w:rPr>
          <w:lang w:eastAsia="en-US" w:bidi="ar-SA"/>
        </w:rPr>
        <w:t xml:space="preserve">ransmission and </w:t>
      </w:r>
      <w:r w:rsidR="00B265D3" w:rsidRPr="002559D2">
        <w:rPr>
          <w:lang w:eastAsia="en-US" w:bidi="ar-SA"/>
        </w:rPr>
        <w:t>di</w:t>
      </w:r>
      <w:r w:rsidRPr="002559D2">
        <w:rPr>
          <w:lang w:eastAsia="en-US" w:bidi="ar-SA"/>
        </w:rPr>
        <w:t xml:space="preserve">stribution </w:t>
      </w:r>
      <w:r w:rsidR="00B265D3" w:rsidRPr="002559D2">
        <w:rPr>
          <w:lang w:eastAsia="en-US" w:bidi="ar-SA"/>
        </w:rPr>
        <w:t>s</w:t>
      </w:r>
      <w:r w:rsidRPr="002559D2">
        <w:rPr>
          <w:lang w:eastAsia="en-US" w:bidi="ar-SA"/>
        </w:rPr>
        <w:t>ystems</w:t>
      </w:r>
      <w:r w:rsidR="00374950">
        <w:rPr>
          <w:lang w:eastAsia="en-US" w:bidi="ar-SA"/>
        </w:rPr>
        <w:t xml:space="preserve">. </w:t>
      </w:r>
      <w:r w:rsidR="003B6234" w:rsidRPr="002559D2">
        <w:rPr>
          <w:lang w:eastAsia="en-US" w:bidi="ar-SA"/>
        </w:rPr>
        <w:t>This is an undertaking th</w:t>
      </w:r>
      <w:r w:rsidRPr="002559D2">
        <w:rPr>
          <w:lang w:eastAsia="en-US" w:bidi="ar-SA"/>
        </w:rPr>
        <w:t xml:space="preserve">at AEMO recognises as globally unparalleled for a GW-scale system. </w:t>
      </w:r>
      <w:r w:rsidR="003B6234" w:rsidRPr="002559D2">
        <w:rPr>
          <w:lang w:eastAsia="en-US" w:bidi="ar-SA"/>
        </w:rPr>
        <w:t xml:space="preserve">It will </w:t>
      </w:r>
      <w:r w:rsidRPr="002559D2">
        <w:rPr>
          <w:lang w:eastAsia="en-US" w:bidi="ar-SA"/>
        </w:rPr>
        <w:t>require vastly more functionality, interoperability, dynamic balancing, participating entities and sector-couplings</w:t>
      </w:r>
      <w:r w:rsidR="685D52BE" w:rsidRPr="002559D2">
        <w:rPr>
          <w:lang w:eastAsia="en-US" w:bidi="ar-SA"/>
        </w:rPr>
        <w:t xml:space="preserve"> than the legacy NEM presently has</w:t>
      </w:r>
      <w:r w:rsidR="00374950">
        <w:rPr>
          <w:lang w:eastAsia="en-US" w:bidi="ar-SA"/>
        </w:rPr>
        <w:t xml:space="preserve">. </w:t>
      </w:r>
    </w:p>
    <w:p w14:paraId="2982C3F5" w14:textId="77777777" w:rsidR="00A20229" w:rsidRPr="002C72C2" w:rsidRDefault="00A20229">
      <w:pPr>
        <w:spacing w:before="0" w:after="160" w:line="259" w:lineRule="auto"/>
        <w:rPr>
          <w:lang w:eastAsia="en-US" w:bidi="ar-SA"/>
        </w:rPr>
      </w:pPr>
      <w:r w:rsidRPr="002C72C2">
        <w:rPr>
          <w:lang w:eastAsia="en-US" w:bidi="ar-SA"/>
        </w:rPr>
        <w:br w:type="page"/>
      </w:r>
    </w:p>
    <w:p w14:paraId="583BB566" w14:textId="77A5F3B6" w:rsidR="00F67507" w:rsidRPr="002F2243" w:rsidRDefault="00913438" w:rsidP="00EB2823">
      <w:pPr>
        <w:spacing w:before="120" w:after="120" w:line="264" w:lineRule="auto"/>
        <w:rPr>
          <w:lang w:eastAsia="en-US" w:bidi="ar-SA"/>
        </w:rPr>
      </w:pPr>
      <w:bookmarkStart w:id="48" w:name="Figure_5"/>
      <w:r w:rsidRPr="00B63609">
        <w:rPr>
          <w:noProof/>
          <w:szCs w:val="18"/>
        </w:rPr>
        <w:drawing>
          <wp:anchor distT="0" distB="0" distL="114300" distR="114300" simplePos="0" relativeHeight="251658241" behindDoc="1" locked="0" layoutInCell="1" allowOverlap="1" wp14:anchorId="0F1D0F9C" wp14:editId="72EBA411">
            <wp:simplePos x="0" y="0"/>
            <wp:positionH relativeFrom="margin">
              <wp:posOffset>449631</wp:posOffset>
            </wp:positionH>
            <wp:positionV relativeFrom="paragraph">
              <wp:posOffset>1144499</wp:posOffset>
            </wp:positionV>
            <wp:extent cx="4140200" cy="4140200"/>
            <wp:effectExtent l="0" t="0" r="0" b="0"/>
            <wp:wrapTopAndBottom/>
            <wp:docPr id="10098037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0200" cy="4140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8"/>
      <w:r w:rsidR="00F67507" w:rsidRPr="197ECEA8">
        <w:rPr>
          <w:lang w:eastAsia="en-US" w:bidi="ar-SA"/>
        </w:rPr>
        <w:t>As Crawley et al</w:t>
      </w:r>
      <w:r w:rsidR="00E04D13">
        <w:rPr>
          <w:lang w:eastAsia="en-US" w:bidi="ar-SA"/>
        </w:rPr>
        <w:t xml:space="preserve"> </w:t>
      </w:r>
      <w:hyperlink w:anchor="Ref_3" w:history="1">
        <w:r w:rsidR="00CE4F5D" w:rsidRPr="008847A2">
          <w:rPr>
            <w:rStyle w:val="Hyperlink"/>
            <w:lang w:eastAsia="en-US" w:bidi="ar-SA"/>
          </w:rPr>
          <w:fldChar w:fldCharType="begin"/>
        </w:r>
        <w:r w:rsidR="0074065B" w:rsidRPr="008847A2">
          <w:rPr>
            <w:rStyle w:val="Hyperlink"/>
            <w:lang w:eastAsia="en-US" w:bidi="ar-SA"/>
          </w:rPr>
          <w:instrText xml:space="preserve"> ADDIN ZOTERO_ITEM CSL_CITATION {"citationID":"l9zOverk","properties":{"formattedCitation":"[3]","plainCitation":"[3]","noteIndex":0},"citationItems":[{"id":4,"uris":["http://zotero.org/users/local/BgaHAIQb/items/MFJJR57V","http://zotero.org/users/17348326/items/MFJJR57V"],"itemData":{"id":4,"type":"book","abstract":"\"System architecture is the study of early decision making in complex systems. This text teaches how to capture experience and analysis about early system decisions, and how to choose architectures that meet stakeholder needs, integrate easily, and evolve flexibly. With case studies written by leading practitioners, from hybrid cars to communications networks to aircraft, this text showcases the science and art of system architecture.\"--Publisher's website","event-place":"Boston","ISBN":"978-0-13-397534-5","language":"eng","note":"OCLC: 907147354","publisher":"Pearson","publisher-place":"Boston","source":"Open WorldCat","title":"System architecture: strategy and product development for complex systems","title-short":"System architecture","author":[{"family":"Crawley","given":"Edward F."},{"family":"Cameron","given":"Bruce"},{"family":"Selva","given":"Daniel"}],"issued":{"date-parts":[["2016"]]}}}],"schema":"https://github.com/citation-style-language/schema/raw/master/csl-citation.json"} </w:instrText>
        </w:r>
        <w:r w:rsidR="00CE4F5D" w:rsidRPr="008847A2">
          <w:rPr>
            <w:rStyle w:val="Hyperlink"/>
            <w:lang w:eastAsia="en-US" w:bidi="ar-SA"/>
          </w:rPr>
          <w:fldChar w:fldCharType="separate"/>
        </w:r>
        <w:r w:rsidR="00CE4F5D" w:rsidRPr="008847A2">
          <w:rPr>
            <w:rStyle w:val="Hyperlink"/>
          </w:rPr>
          <w:t>[3]</w:t>
        </w:r>
        <w:r w:rsidR="00CE4F5D" w:rsidRPr="008847A2">
          <w:rPr>
            <w:rStyle w:val="Hyperlink"/>
            <w:lang w:eastAsia="en-US" w:bidi="ar-SA"/>
          </w:rPr>
          <w:fldChar w:fldCharType="end"/>
        </w:r>
      </w:hyperlink>
      <w:r w:rsidR="00F67507" w:rsidRPr="197ECEA8">
        <w:rPr>
          <w:lang w:eastAsia="en-US" w:bidi="ar-SA"/>
        </w:rPr>
        <w:t xml:space="preserve"> note, however, additional complexity is unavoidably driven into an existing system where more functionality and interoperability are required of it, especially where legacy structural constraints are not specifically examined and updated as necessary</w:t>
      </w:r>
      <w:r w:rsidR="00374950">
        <w:rPr>
          <w:lang w:eastAsia="en-US" w:bidi="ar-SA"/>
        </w:rPr>
        <w:t xml:space="preserve">. </w:t>
      </w:r>
      <w:r w:rsidR="0084693F" w:rsidRPr="197ECEA8">
        <w:rPr>
          <w:lang w:eastAsia="en-US" w:bidi="ar-SA"/>
        </w:rPr>
        <w:t xml:space="preserve">This point bears </w:t>
      </w:r>
      <w:r w:rsidR="000A228B" w:rsidRPr="197ECEA8">
        <w:rPr>
          <w:lang w:eastAsia="en-US" w:bidi="ar-SA"/>
        </w:rPr>
        <w:t>repeating</w:t>
      </w:r>
      <w:r w:rsidR="00374950">
        <w:rPr>
          <w:lang w:eastAsia="en-US" w:bidi="ar-SA"/>
        </w:rPr>
        <w:t xml:space="preserve">. </w:t>
      </w:r>
      <w:r w:rsidR="00933A82" w:rsidRPr="197ECEA8">
        <w:rPr>
          <w:lang w:eastAsia="en-US" w:bidi="ar-SA"/>
        </w:rPr>
        <w:t>W</w:t>
      </w:r>
      <w:r w:rsidR="006C39BA" w:rsidRPr="197ECEA8">
        <w:rPr>
          <w:lang w:eastAsia="en-US" w:bidi="ar-SA"/>
        </w:rPr>
        <w:t xml:space="preserve">here </w:t>
      </w:r>
      <w:r w:rsidR="00A81ADC" w:rsidRPr="197ECEA8">
        <w:rPr>
          <w:lang w:eastAsia="en-US" w:bidi="ar-SA"/>
        </w:rPr>
        <w:t>a largely ‘issue-in-isolation’ approach to change is applied</w:t>
      </w:r>
      <w:r w:rsidR="00933A82" w:rsidRPr="197ECEA8">
        <w:rPr>
          <w:lang w:eastAsia="en-US" w:bidi="ar-SA"/>
        </w:rPr>
        <w:t xml:space="preserve"> to a complex system, </w:t>
      </w:r>
      <w:r w:rsidR="00ED32FF" w:rsidRPr="197ECEA8">
        <w:rPr>
          <w:lang w:eastAsia="en-US" w:bidi="ar-SA"/>
        </w:rPr>
        <w:t xml:space="preserve">while each </w:t>
      </w:r>
      <w:r w:rsidR="00832133" w:rsidRPr="197ECEA8">
        <w:rPr>
          <w:lang w:eastAsia="en-US" w:bidi="ar-SA"/>
        </w:rPr>
        <w:t xml:space="preserve">change may </w:t>
      </w:r>
      <w:r w:rsidR="00363F13" w:rsidRPr="197ECEA8">
        <w:rPr>
          <w:lang w:eastAsia="en-US" w:bidi="ar-SA"/>
        </w:rPr>
        <w:t>address</w:t>
      </w:r>
      <w:r w:rsidR="00832133" w:rsidRPr="197ECEA8">
        <w:rPr>
          <w:lang w:eastAsia="en-US" w:bidi="ar-SA"/>
        </w:rPr>
        <w:t xml:space="preserve"> </w:t>
      </w:r>
      <w:r w:rsidR="00ED32FF" w:rsidRPr="197ECEA8">
        <w:rPr>
          <w:lang w:eastAsia="en-US" w:bidi="ar-SA"/>
        </w:rPr>
        <w:t xml:space="preserve">the </w:t>
      </w:r>
      <w:r w:rsidR="00DB673A" w:rsidRPr="197ECEA8">
        <w:rPr>
          <w:lang w:eastAsia="en-US" w:bidi="ar-SA"/>
        </w:rPr>
        <w:t>specific issue</w:t>
      </w:r>
      <w:r w:rsidR="00ED32FF" w:rsidRPr="197ECEA8">
        <w:rPr>
          <w:lang w:eastAsia="en-US" w:bidi="ar-SA"/>
        </w:rPr>
        <w:t xml:space="preserve"> in focus, </w:t>
      </w:r>
      <w:r w:rsidR="00DB673A" w:rsidRPr="197ECEA8">
        <w:rPr>
          <w:lang w:eastAsia="en-US" w:bidi="ar-SA"/>
        </w:rPr>
        <w:t>individually and in combination</w:t>
      </w:r>
      <w:r w:rsidR="00ED32FF" w:rsidRPr="197ECEA8">
        <w:rPr>
          <w:lang w:eastAsia="en-US" w:bidi="ar-SA"/>
        </w:rPr>
        <w:t xml:space="preserve"> </w:t>
      </w:r>
      <w:r w:rsidR="00B4402A" w:rsidRPr="197ECEA8">
        <w:rPr>
          <w:lang w:eastAsia="en-US" w:bidi="ar-SA"/>
        </w:rPr>
        <w:t xml:space="preserve">they will ultimately </w:t>
      </w:r>
      <w:r w:rsidR="00DB673A" w:rsidRPr="197ECEA8">
        <w:rPr>
          <w:lang w:eastAsia="en-US" w:bidi="ar-SA"/>
        </w:rPr>
        <w:t>a</w:t>
      </w:r>
      <w:r w:rsidR="000A228B" w:rsidRPr="197ECEA8">
        <w:rPr>
          <w:lang w:eastAsia="en-US" w:bidi="ar-SA"/>
        </w:rPr>
        <w:t>dd complexity to</w:t>
      </w:r>
      <w:r w:rsidR="00B4402A" w:rsidRPr="197ECEA8">
        <w:rPr>
          <w:lang w:eastAsia="en-US" w:bidi="ar-SA"/>
        </w:rPr>
        <w:t xml:space="preserve"> both</w:t>
      </w:r>
      <w:r w:rsidR="000A228B" w:rsidRPr="197ECEA8">
        <w:rPr>
          <w:lang w:eastAsia="en-US" w:bidi="ar-SA"/>
        </w:rPr>
        <w:t xml:space="preserve"> the </w:t>
      </w:r>
      <w:r w:rsidR="00D82DB0" w:rsidRPr="197ECEA8">
        <w:rPr>
          <w:lang w:eastAsia="en-US" w:bidi="ar-SA"/>
        </w:rPr>
        <w:t>structure</w:t>
      </w:r>
      <w:r w:rsidR="00B4402A" w:rsidRPr="197ECEA8">
        <w:rPr>
          <w:lang w:eastAsia="en-US" w:bidi="ar-SA"/>
        </w:rPr>
        <w:t>s</w:t>
      </w:r>
      <w:r w:rsidR="00D82DB0" w:rsidRPr="197ECEA8">
        <w:rPr>
          <w:lang w:eastAsia="en-US" w:bidi="ar-SA"/>
        </w:rPr>
        <w:t xml:space="preserve"> and functions of the </w:t>
      </w:r>
      <w:r w:rsidR="009B3910" w:rsidRPr="197ECEA8">
        <w:rPr>
          <w:lang w:eastAsia="en-US" w:bidi="ar-SA"/>
        </w:rPr>
        <w:t xml:space="preserve">legacy </w:t>
      </w:r>
      <w:r w:rsidR="000A228B" w:rsidRPr="197ECEA8">
        <w:rPr>
          <w:lang w:eastAsia="en-US" w:bidi="ar-SA"/>
        </w:rPr>
        <w:t>system</w:t>
      </w:r>
      <w:r w:rsidR="00374950">
        <w:rPr>
          <w:lang w:eastAsia="en-US" w:bidi="ar-SA"/>
        </w:rPr>
        <w:t xml:space="preserve">. </w:t>
      </w:r>
    </w:p>
    <w:p w14:paraId="21B6CF0E" w14:textId="5B62B754" w:rsidR="007A0992" w:rsidRPr="002C72C2" w:rsidRDefault="007A0992" w:rsidP="00082431">
      <w:pPr>
        <w:spacing w:before="120" w:after="120" w:line="264" w:lineRule="auto"/>
        <w:jc w:val="center"/>
        <w:rPr>
          <w:lang w:eastAsia="en-US" w:bidi="ar-SA"/>
        </w:rPr>
      </w:pPr>
    </w:p>
    <w:p w14:paraId="7570FCC6" w14:textId="4CAAB36B" w:rsidR="00082431" w:rsidRPr="002C72C2" w:rsidRDefault="00082431" w:rsidP="00B67F0C">
      <w:pPr>
        <w:pStyle w:val="Caption"/>
        <w:spacing w:before="240" w:after="240" w:line="264" w:lineRule="auto"/>
        <w:ind w:left="284" w:right="425"/>
        <w:rPr>
          <w:lang w:eastAsia="en-US" w:bidi="ar-SA"/>
        </w:rPr>
      </w:pPr>
      <w:bookmarkStart w:id="49" w:name="_Toc205365730"/>
      <w:r>
        <w:t xml:space="preserve">Figure </w:t>
      </w:r>
      <w:r>
        <w:fldChar w:fldCharType="begin"/>
      </w:r>
      <w:r>
        <w:instrText>SEQ Figure \* ARABIC</w:instrText>
      </w:r>
      <w:r>
        <w:fldChar w:fldCharType="separate"/>
      </w:r>
      <w:r w:rsidR="009F382F">
        <w:rPr>
          <w:noProof/>
        </w:rPr>
        <w:t>5</w:t>
      </w:r>
      <w:r>
        <w:fldChar w:fldCharType="end"/>
      </w:r>
      <w:r>
        <w:t xml:space="preserve">: </w:t>
      </w:r>
      <w:r w:rsidR="0091107A" w:rsidRPr="00723942">
        <w:t>Modern power systems are a ‘</w:t>
      </w:r>
      <w:r w:rsidR="0091107A">
        <w:t>s</w:t>
      </w:r>
      <w:r w:rsidR="0091107A" w:rsidRPr="00723942">
        <w:t>uper-system’ of</w:t>
      </w:r>
      <w:r w:rsidR="0091107A">
        <w:t xml:space="preserve"> seven</w:t>
      </w:r>
      <w:r w:rsidR="003B2D77">
        <w:t xml:space="preserve"> s</w:t>
      </w:r>
      <w:r w:rsidR="0091107A" w:rsidRPr="00723942">
        <w:t>tructures</w:t>
      </w:r>
      <w:r w:rsidR="003B2D77">
        <w:t xml:space="preserve">, four of which are functionally interdependent </w:t>
      </w:r>
      <w:r w:rsidR="003B2D77">
        <w:rPr>
          <w:lang w:eastAsia="en-US" w:bidi="ar-SA"/>
        </w:rPr>
        <w:t>on a days-to-sub second timescale</w:t>
      </w:r>
      <w:r w:rsidR="00EC376F">
        <w:rPr>
          <w:b/>
          <w:lang w:eastAsia="en-US" w:bidi="ar-SA"/>
        </w:rPr>
        <w:t xml:space="preserve"> </w:t>
      </w:r>
      <w:r w:rsidR="003B2D77">
        <w:t>(coral nodes)</w:t>
      </w:r>
      <w:r w:rsidR="00A20229" w:rsidRPr="00C04F0B">
        <w:rPr>
          <w:rStyle w:val="FootnoteReference"/>
        </w:rPr>
        <w:footnoteReference w:id="9"/>
      </w:r>
      <w:bookmarkEnd w:id="49"/>
    </w:p>
    <w:p w14:paraId="05AADF07" w14:textId="64D86AEA" w:rsidR="00F67507" w:rsidRPr="002C72C2" w:rsidRDefault="00F67507" w:rsidP="00EB2823">
      <w:pPr>
        <w:spacing w:before="120" w:after="120" w:line="264" w:lineRule="auto"/>
        <w:rPr>
          <w:lang w:eastAsia="en-US" w:bidi="ar-SA"/>
        </w:rPr>
      </w:pPr>
      <w:r w:rsidRPr="002C72C2">
        <w:rPr>
          <w:lang w:eastAsia="en-US" w:bidi="ar-SA"/>
        </w:rPr>
        <w:t xml:space="preserve">Interestingly, as most legacy </w:t>
      </w:r>
      <w:r w:rsidR="002559EF" w:rsidRPr="002C72C2">
        <w:rPr>
          <w:lang w:eastAsia="en-US" w:bidi="ar-SA"/>
        </w:rPr>
        <w:t>p</w:t>
      </w:r>
      <w:r w:rsidRPr="002C72C2">
        <w:rPr>
          <w:lang w:eastAsia="en-US" w:bidi="ar-SA"/>
        </w:rPr>
        <w:t xml:space="preserve">ower </w:t>
      </w:r>
      <w:r w:rsidR="002559EF" w:rsidRPr="002C72C2">
        <w:rPr>
          <w:lang w:eastAsia="en-US" w:bidi="ar-SA"/>
        </w:rPr>
        <w:t>s</w:t>
      </w:r>
      <w:r w:rsidRPr="002C72C2">
        <w:rPr>
          <w:lang w:eastAsia="en-US" w:bidi="ar-SA"/>
        </w:rPr>
        <w:t>ystems have emerged and evolved over decades, it is also common to find that no complete and generally agreed set of documents exists that represent how all seven structures are currently configured and dynamically interact</w:t>
      </w:r>
      <w:r w:rsidR="00374950">
        <w:rPr>
          <w:lang w:eastAsia="en-US" w:bidi="ar-SA"/>
        </w:rPr>
        <w:t xml:space="preserve">. </w:t>
      </w:r>
      <w:r w:rsidRPr="002C72C2">
        <w:rPr>
          <w:lang w:eastAsia="en-US" w:bidi="ar-SA"/>
        </w:rPr>
        <w:t>In addition, it is common to find that no entity is responsible for ensuring these critical underpinning structures (or ‘</w:t>
      </w:r>
      <w:r w:rsidR="0001647D" w:rsidRPr="002C72C2">
        <w:rPr>
          <w:lang w:eastAsia="en-US" w:bidi="ar-SA"/>
        </w:rPr>
        <w:t>’a</w:t>
      </w:r>
      <w:r w:rsidRPr="002C72C2">
        <w:rPr>
          <w:lang w:eastAsia="en-US" w:bidi="ar-SA"/>
        </w:rPr>
        <w:t xml:space="preserve">rchitecture’) remain fit-for-purpose in a transformational environment. </w:t>
      </w:r>
    </w:p>
    <w:p w14:paraId="24156348" w14:textId="77777777" w:rsidR="001D6DAD" w:rsidRDefault="001D6DAD">
      <w:pPr>
        <w:spacing w:before="0" w:after="160" w:line="259" w:lineRule="auto"/>
        <w:rPr>
          <w:lang w:eastAsia="en-US" w:bidi="ar-SA"/>
        </w:rPr>
      </w:pPr>
      <w:r>
        <w:rPr>
          <w:lang w:eastAsia="en-US" w:bidi="ar-SA"/>
        </w:rPr>
        <w:br w:type="page"/>
      </w:r>
    </w:p>
    <w:p w14:paraId="073AC246" w14:textId="1C65217B" w:rsidR="00F67507" w:rsidRPr="002C72C2" w:rsidRDefault="00F67507" w:rsidP="00EB2823">
      <w:pPr>
        <w:spacing w:before="120" w:after="120" w:line="264" w:lineRule="auto"/>
        <w:rPr>
          <w:lang w:eastAsia="en-US" w:bidi="ar-SA"/>
        </w:rPr>
      </w:pPr>
      <w:r w:rsidRPr="002C72C2">
        <w:rPr>
          <w:lang w:eastAsia="en-US" w:bidi="ar-SA"/>
        </w:rPr>
        <w:t>This is an extremely significant gap</w:t>
      </w:r>
      <w:r w:rsidR="00374950">
        <w:rPr>
          <w:lang w:eastAsia="en-US" w:bidi="ar-SA"/>
        </w:rPr>
        <w:t xml:space="preserve">. </w:t>
      </w:r>
      <w:r w:rsidRPr="002C72C2">
        <w:rPr>
          <w:lang w:eastAsia="en-US" w:bidi="ar-SA"/>
        </w:rPr>
        <w:t xml:space="preserve">Systems </w:t>
      </w:r>
      <w:r w:rsidR="0001647D" w:rsidRPr="002C72C2">
        <w:rPr>
          <w:lang w:eastAsia="en-US" w:bidi="ar-SA"/>
        </w:rPr>
        <w:t>s</w:t>
      </w:r>
      <w:r w:rsidRPr="002C72C2">
        <w:rPr>
          <w:lang w:eastAsia="en-US" w:bidi="ar-SA"/>
        </w:rPr>
        <w:t xml:space="preserve">cience highlights that the underpinning </w:t>
      </w:r>
      <w:r w:rsidR="0001647D" w:rsidRPr="002C72C2">
        <w:rPr>
          <w:lang w:eastAsia="en-US" w:bidi="ar-SA"/>
        </w:rPr>
        <w:t>a</w:t>
      </w:r>
      <w:r w:rsidRPr="002C72C2">
        <w:rPr>
          <w:lang w:eastAsia="en-US" w:bidi="ar-SA"/>
        </w:rPr>
        <w:t xml:space="preserve">rchitecture of any complex </w:t>
      </w:r>
      <w:r w:rsidR="0001647D" w:rsidRPr="002C72C2">
        <w:rPr>
          <w:lang w:eastAsia="en-US" w:bidi="ar-SA"/>
        </w:rPr>
        <w:t>s</w:t>
      </w:r>
      <w:r w:rsidRPr="002C72C2">
        <w:rPr>
          <w:lang w:eastAsia="en-US" w:bidi="ar-SA"/>
        </w:rPr>
        <w:t>ystem – how all the elements and actors are formally linked together as an integrated system – will always have a disproportionate impact on what the system can safely, reliably, and cost-efficiently do. Like an intricate tapestry, changes to one structure will typically impact the functioning of the other structures in both intended and unintended ways and must therefore be managed carefully</w:t>
      </w:r>
      <w:r w:rsidR="00374950">
        <w:rPr>
          <w:lang w:eastAsia="en-US" w:bidi="ar-SA"/>
        </w:rPr>
        <w:t xml:space="preserve">. </w:t>
      </w:r>
    </w:p>
    <w:p w14:paraId="1635F216" w14:textId="5736A8B1" w:rsidR="00895457" w:rsidRDefault="00F67507" w:rsidP="00EB2823">
      <w:pPr>
        <w:spacing w:before="120" w:after="120" w:line="264" w:lineRule="auto"/>
        <w:rPr>
          <w:lang w:eastAsia="en-US" w:bidi="ar-SA"/>
        </w:rPr>
      </w:pPr>
      <w:r w:rsidRPr="002C72C2">
        <w:rPr>
          <w:lang w:eastAsia="en-US" w:bidi="ar-SA"/>
        </w:rPr>
        <w:t xml:space="preserve">Given the unparalleled cyber-physical interdependencies critical to </w:t>
      </w:r>
      <w:r w:rsidR="00D74E83" w:rsidRPr="002C72C2">
        <w:rPr>
          <w:lang w:eastAsia="en-US" w:bidi="ar-SA"/>
        </w:rPr>
        <w:t>increasingly digitalised</w:t>
      </w:r>
      <w:r w:rsidRPr="002C72C2">
        <w:rPr>
          <w:lang w:eastAsia="en-US" w:bidi="ar-SA"/>
        </w:rPr>
        <w:t xml:space="preserve"> </w:t>
      </w:r>
      <w:r w:rsidR="00312205" w:rsidRPr="002C72C2">
        <w:rPr>
          <w:lang w:eastAsia="en-US" w:bidi="ar-SA"/>
        </w:rPr>
        <w:t>p</w:t>
      </w:r>
      <w:r w:rsidR="002559EF" w:rsidRPr="002C72C2">
        <w:rPr>
          <w:lang w:eastAsia="en-US" w:bidi="ar-SA"/>
        </w:rPr>
        <w:t>ower system</w:t>
      </w:r>
      <w:r w:rsidRPr="002C72C2">
        <w:rPr>
          <w:lang w:eastAsia="en-US" w:bidi="ar-SA"/>
        </w:rPr>
        <w:t xml:space="preserve">s, the capability to undertake formal, whole-system structural analysis of significant initiatives becomes critical while </w:t>
      </w:r>
      <w:r w:rsidR="00D74E83" w:rsidRPr="002C72C2">
        <w:rPr>
          <w:lang w:eastAsia="en-US" w:bidi="ar-SA"/>
        </w:rPr>
        <w:t>still</w:t>
      </w:r>
      <w:r w:rsidRPr="002C72C2">
        <w:rPr>
          <w:lang w:eastAsia="en-US" w:bidi="ar-SA"/>
        </w:rPr>
        <w:t xml:space="preserve"> ‘on paper’</w:t>
      </w:r>
      <w:r w:rsidR="00374950">
        <w:rPr>
          <w:lang w:eastAsia="en-US" w:bidi="ar-SA"/>
        </w:rPr>
        <w:t xml:space="preserve">. </w:t>
      </w:r>
      <w:r w:rsidRPr="002C72C2">
        <w:rPr>
          <w:lang w:eastAsia="en-US" w:bidi="ar-SA"/>
        </w:rPr>
        <w:t>The failure to do so elevates the potential</w:t>
      </w:r>
      <w:r w:rsidR="00895457">
        <w:rPr>
          <w:lang w:eastAsia="en-US" w:bidi="ar-SA"/>
        </w:rPr>
        <w:t xml:space="preserve">, under wide-spread deployment, </w:t>
      </w:r>
      <w:r w:rsidRPr="002C72C2">
        <w:rPr>
          <w:lang w:eastAsia="en-US" w:bidi="ar-SA"/>
        </w:rPr>
        <w:t>for</w:t>
      </w:r>
      <w:r w:rsidR="00895457">
        <w:rPr>
          <w:lang w:eastAsia="en-US" w:bidi="ar-SA"/>
        </w:rPr>
        <w:t>:</w:t>
      </w:r>
    </w:p>
    <w:p w14:paraId="4516419F" w14:textId="055DEF5A" w:rsidR="00895457" w:rsidRDefault="00895457" w:rsidP="00954BAC">
      <w:pPr>
        <w:pStyle w:val="ListParagraph"/>
        <w:numPr>
          <w:ilvl w:val="0"/>
          <w:numId w:val="81"/>
        </w:numPr>
        <w:spacing w:line="264" w:lineRule="auto"/>
        <w:rPr>
          <w:lang w:eastAsia="en-US" w:bidi="ar-SA"/>
        </w:rPr>
      </w:pPr>
      <w:r>
        <w:rPr>
          <w:lang w:eastAsia="en-US" w:bidi="ar-SA"/>
        </w:rPr>
        <w:t>U</w:t>
      </w:r>
      <w:r w:rsidR="00F67507" w:rsidRPr="002C72C2">
        <w:rPr>
          <w:lang w:eastAsia="en-US" w:bidi="ar-SA"/>
        </w:rPr>
        <w:t>nintended consequences</w:t>
      </w:r>
    </w:p>
    <w:p w14:paraId="55D2B743" w14:textId="362734F6" w:rsidR="00895457" w:rsidRDefault="00895457" w:rsidP="00954BAC">
      <w:pPr>
        <w:pStyle w:val="ListParagraph"/>
        <w:numPr>
          <w:ilvl w:val="0"/>
          <w:numId w:val="81"/>
        </w:numPr>
        <w:spacing w:line="264" w:lineRule="auto"/>
        <w:rPr>
          <w:lang w:eastAsia="en-US" w:bidi="ar-SA"/>
        </w:rPr>
      </w:pPr>
      <w:r>
        <w:rPr>
          <w:lang w:eastAsia="en-US" w:bidi="ar-SA"/>
        </w:rPr>
        <w:t>L</w:t>
      </w:r>
      <w:r w:rsidR="00F67507" w:rsidRPr="002C72C2">
        <w:rPr>
          <w:lang w:eastAsia="en-US" w:bidi="ar-SA"/>
        </w:rPr>
        <w:t>ong-term scaling issues</w:t>
      </w:r>
    </w:p>
    <w:p w14:paraId="3BB36C01" w14:textId="1EA55B80" w:rsidR="00895457" w:rsidRDefault="00895457" w:rsidP="00954BAC">
      <w:pPr>
        <w:pStyle w:val="ListParagraph"/>
        <w:numPr>
          <w:ilvl w:val="0"/>
          <w:numId w:val="81"/>
        </w:numPr>
        <w:spacing w:line="264" w:lineRule="auto"/>
        <w:rPr>
          <w:lang w:eastAsia="en-US" w:bidi="ar-SA"/>
        </w:rPr>
      </w:pPr>
      <w:r>
        <w:rPr>
          <w:lang w:eastAsia="en-US" w:bidi="ar-SA"/>
        </w:rPr>
        <w:t>N</w:t>
      </w:r>
      <w:r w:rsidR="00F67507" w:rsidRPr="002C72C2">
        <w:rPr>
          <w:lang w:eastAsia="en-US" w:bidi="ar-SA"/>
        </w:rPr>
        <w:t>on-linear behaviours</w:t>
      </w:r>
    </w:p>
    <w:p w14:paraId="0BB825AF" w14:textId="39D47CA2" w:rsidR="00895457" w:rsidRDefault="00895457" w:rsidP="00954BAC">
      <w:pPr>
        <w:pStyle w:val="ListParagraph"/>
        <w:numPr>
          <w:ilvl w:val="0"/>
          <w:numId w:val="81"/>
        </w:numPr>
        <w:spacing w:line="264" w:lineRule="auto"/>
        <w:rPr>
          <w:lang w:eastAsia="en-US" w:bidi="ar-SA"/>
        </w:rPr>
      </w:pPr>
      <w:r>
        <w:rPr>
          <w:lang w:eastAsia="en-US" w:bidi="ar-SA"/>
        </w:rPr>
        <w:t>R</w:t>
      </w:r>
      <w:r w:rsidR="00F67507" w:rsidRPr="002C72C2">
        <w:rPr>
          <w:lang w:eastAsia="en-US" w:bidi="ar-SA"/>
        </w:rPr>
        <w:t>unaway complexity</w:t>
      </w:r>
    </w:p>
    <w:p w14:paraId="5D1AF830" w14:textId="7D1A7A5F" w:rsidR="00895457" w:rsidRDefault="00895457" w:rsidP="00954BAC">
      <w:pPr>
        <w:pStyle w:val="ListParagraph"/>
        <w:numPr>
          <w:ilvl w:val="0"/>
          <w:numId w:val="81"/>
        </w:numPr>
        <w:spacing w:line="264" w:lineRule="auto"/>
        <w:rPr>
          <w:lang w:eastAsia="en-US" w:bidi="ar-SA"/>
        </w:rPr>
      </w:pPr>
      <w:r>
        <w:rPr>
          <w:lang w:eastAsia="en-US" w:bidi="ar-SA"/>
        </w:rPr>
        <w:t>T</w:t>
      </w:r>
      <w:r w:rsidR="00F67507" w:rsidRPr="002C72C2">
        <w:rPr>
          <w:lang w:eastAsia="en-US" w:bidi="ar-SA"/>
        </w:rPr>
        <w:t>he propagation of structural fragility</w:t>
      </w:r>
    </w:p>
    <w:p w14:paraId="6BF93312" w14:textId="52B67273" w:rsidR="00B14CA3" w:rsidRDefault="00A22DE5" w:rsidP="00954BAC">
      <w:pPr>
        <w:pStyle w:val="ListParagraph"/>
        <w:numPr>
          <w:ilvl w:val="0"/>
          <w:numId w:val="81"/>
        </w:numPr>
        <w:spacing w:line="264" w:lineRule="auto"/>
        <w:rPr>
          <w:lang w:eastAsia="en-US" w:bidi="ar-SA"/>
        </w:rPr>
      </w:pPr>
      <w:r>
        <w:rPr>
          <w:lang w:eastAsia="en-US" w:bidi="ar-SA"/>
        </w:rPr>
        <w:t xml:space="preserve">Stakeholder </w:t>
      </w:r>
      <w:r w:rsidR="00092BBF">
        <w:rPr>
          <w:lang w:eastAsia="en-US" w:bidi="ar-SA"/>
        </w:rPr>
        <w:t>friction</w:t>
      </w:r>
    </w:p>
    <w:p w14:paraId="743BA9C7" w14:textId="49D3EB26" w:rsidR="00F67507" w:rsidRPr="002C72C2" w:rsidRDefault="00895457" w:rsidP="00954BAC">
      <w:pPr>
        <w:pStyle w:val="ListParagraph"/>
        <w:numPr>
          <w:ilvl w:val="0"/>
          <w:numId w:val="81"/>
        </w:numPr>
        <w:spacing w:line="264" w:lineRule="auto"/>
        <w:rPr>
          <w:lang w:eastAsia="en-US" w:bidi="ar-SA"/>
        </w:rPr>
      </w:pPr>
      <w:r>
        <w:rPr>
          <w:lang w:eastAsia="en-US" w:bidi="ar-SA"/>
        </w:rPr>
        <w:t>C</w:t>
      </w:r>
      <w:r w:rsidR="00F67507" w:rsidRPr="002C72C2">
        <w:rPr>
          <w:lang w:eastAsia="en-US" w:bidi="ar-SA"/>
        </w:rPr>
        <w:t>ost escalations</w:t>
      </w:r>
    </w:p>
    <w:p w14:paraId="6E6153B2" w14:textId="633AC14F" w:rsidR="00DA2973" w:rsidRPr="002C72C2" w:rsidRDefault="00E57944" w:rsidP="00DA2973">
      <w:pPr>
        <w:spacing w:before="0" w:after="160" w:line="259" w:lineRule="auto"/>
        <w:rPr>
          <w:lang w:eastAsia="en-US" w:bidi="ar-SA"/>
        </w:rPr>
      </w:pPr>
      <w:r>
        <w:rPr>
          <w:rStyle w:val="CommentReference"/>
        </w:rPr>
        <w:t xml:space="preserve">In </w:t>
      </w:r>
      <w:r w:rsidR="00DA2973" w:rsidRPr="002C72C2">
        <w:rPr>
          <w:lang w:eastAsia="en-US" w:bidi="ar-SA"/>
        </w:rPr>
        <w:t xml:space="preserve">summary, an already </w:t>
      </w:r>
      <w:r w:rsidR="00C67DBF" w:rsidRPr="002C72C2">
        <w:rPr>
          <w:lang w:eastAsia="en-US" w:bidi="ar-SA"/>
        </w:rPr>
        <w:t>ultra-c</w:t>
      </w:r>
      <w:r w:rsidR="00DA2973" w:rsidRPr="002C72C2">
        <w:rPr>
          <w:lang w:eastAsia="en-US" w:bidi="ar-SA"/>
        </w:rPr>
        <w:t xml:space="preserve">omplex system undergoing transformation will become intractably </w:t>
      </w:r>
      <w:r w:rsidR="00C67DBF" w:rsidRPr="002C72C2">
        <w:rPr>
          <w:lang w:eastAsia="en-US" w:bidi="ar-SA"/>
        </w:rPr>
        <w:t xml:space="preserve">more </w:t>
      </w:r>
      <w:r w:rsidR="00DA2973" w:rsidRPr="002C72C2">
        <w:rPr>
          <w:lang w:eastAsia="en-US" w:bidi="ar-SA"/>
        </w:rPr>
        <w:t>complex where the underpinning structural arrangements do not keep pace with the expanding expectations of the system</w:t>
      </w:r>
      <w:hyperlink w:anchor="Ref_4" w:history="1">
        <w:r w:rsidR="00562D82" w:rsidRPr="00810FF6">
          <w:rPr>
            <w:rStyle w:val="Hyperlink"/>
            <w:lang w:eastAsia="en-US" w:bidi="ar-SA"/>
          </w:rPr>
          <w:fldChar w:fldCharType="begin"/>
        </w:r>
        <w:r w:rsidR="00562D82" w:rsidRPr="00810FF6">
          <w:rPr>
            <w:rStyle w:val="Hyperlink"/>
            <w:lang w:eastAsia="en-US" w:bidi="ar-SA"/>
          </w:rPr>
          <w:instrText xml:space="preserve"> ADDIN ZOTERO_ITEM CSL_CITATION {"citationID":"IKhXEEtk","properties":{"formattedCitation":"[4]","plainCitation":"[4]","noteIndex":0},"citationItems":[{"id":28,"uris":["http://zotero.org/users/17348326/items/QVHZ49HH"],"itemData":{"id":28,"type":"report","collection-title":"Distribution Energy Integration Program (DEIP)","page":"23-25","title":"DER Market Integration Trails - Summary Report","URL":"https://arena.gov.au/assets/2022/09/der-market-integration-trials-summary-report.pdf","author":[{"family":"Australian Renewable Energy Agency (ARENA)","given":""}],"issued":{"date-parts":[["2022",9]]}}}],"schema":"https://github.com/citation-style-language/schema/raw/master/csl-citation.json"} </w:instrText>
        </w:r>
        <w:r w:rsidR="00562D82" w:rsidRPr="00810FF6">
          <w:rPr>
            <w:rStyle w:val="Hyperlink"/>
            <w:lang w:eastAsia="en-US" w:bidi="ar-SA"/>
          </w:rPr>
          <w:fldChar w:fldCharType="separate"/>
        </w:r>
        <w:r w:rsidR="00154881" w:rsidRPr="00810FF6">
          <w:rPr>
            <w:rStyle w:val="Hyperlink"/>
          </w:rPr>
          <w:t>[4]</w:t>
        </w:r>
        <w:r w:rsidR="00562D82" w:rsidRPr="00810FF6">
          <w:rPr>
            <w:rStyle w:val="Hyperlink"/>
            <w:lang w:eastAsia="en-US" w:bidi="ar-SA"/>
          </w:rPr>
          <w:fldChar w:fldCharType="end"/>
        </w:r>
      </w:hyperlink>
      <w:r w:rsidR="00374950">
        <w:rPr>
          <w:lang w:eastAsia="en-US" w:bidi="ar-SA"/>
        </w:rPr>
        <w:t xml:space="preserve">. </w:t>
      </w:r>
      <w:r w:rsidR="00DA2973" w:rsidRPr="002C72C2">
        <w:rPr>
          <w:lang w:eastAsia="en-US" w:bidi="ar-SA"/>
        </w:rPr>
        <w:t>In addition, the absence of a shared ‘view of the whole’ exacerbates ‘issue-in-isolation’ research and solution development</w:t>
      </w:r>
      <w:r w:rsidR="00374950">
        <w:rPr>
          <w:lang w:eastAsia="en-US" w:bidi="ar-SA"/>
        </w:rPr>
        <w:t xml:space="preserve">. </w:t>
      </w:r>
      <w:r w:rsidR="00DA2973" w:rsidRPr="002C72C2">
        <w:rPr>
          <w:lang w:eastAsia="en-US" w:bidi="ar-SA"/>
        </w:rPr>
        <w:t xml:space="preserve">Despite being ahead globally on several metrics, in this area Australia significantly lags the United States, the United Kingdom and the European Union in the application of more advanced Systems Engineering-based tools for managing and ‘taming’ the related escalation of complexity. </w:t>
      </w:r>
    </w:p>
    <w:p w14:paraId="2119F265" w14:textId="6D0A90A3" w:rsidR="00F67507" w:rsidRPr="00EB2823" w:rsidRDefault="00F67507" w:rsidP="00954BAC">
      <w:pPr>
        <w:pStyle w:val="Heading4"/>
        <w:numPr>
          <w:ilvl w:val="0"/>
          <w:numId w:val="54"/>
        </w:numPr>
        <w:spacing w:before="240" w:after="120" w:line="264" w:lineRule="auto"/>
        <w:rPr>
          <w:i w:val="0"/>
          <w:iCs w:val="0"/>
        </w:rPr>
      </w:pPr>
      <w:r w:rsidRPr="00EB2823">
        <w:rPr>
          <w:i w:val="0"/>
          <w:iCs w:val="0"/>
        </w:rPr>
        <w:t>Contributing Factors</w:t>
      </w:r>
    </w:p>
    <w:p w14:paraId="7B74CDF3" w14:textId="6A9434C4" w:rsidR="00F67507" w:rsidRPr="002C72C2" w:rsidRDefault="00F67507" w:rsidP="00EB2823">
      <w:pPr>
        <w:spacing w:before="120" w:after="120" w:line="264" w:lineRule="auto"/>
        <w:rPr>
          <w:lang w:eastAsia="en-US" w:bidi="ar-SA"/>
        </w:rPr>
      </w:pPr>
      <w:r w:rsidRPr="002C72C2">
        <w:rPr>
          <w:lang w:eastAsia="en-US" w:bidi="ar-SA"/>
        </w:rPr>
        <w:t>Operating Australia’s GW-scale s is a real-time activity</w:t>
      </w:r>
      <w:r w:rsidR="00374950">
        <w:rPr>
          <w:lang w:eastAsia="en-US" w:bidi="ar-SA"/>
        </w:rPr>
        <w:t xml:space="preserve">. </w:t>
      </w:r>
      <w:r w:rsidRPr="002C72C2">
        <w:rPr>
          <w:lang w:eastAsia="en-US" w:bidi="ar-SA"/>
        </w:rPr>
        <w:t>It involves the control rooms and support functions across multiple entities and market participants who, aided by integrated technologies and decision support, must maintain a secure and reliable system every second of every day</w:t>
      </w:r>
      <w:r w:rsidR="00374950">
        <w:rPr>
          <w:lang w:eastAsia="en-US" w:bidi="ar-SA"/>
        </w:rPr>
        <w:t xml:space="preserve">. </w:t>
      </w:r>
      <w:r w:rsidRPr="002C72C2">
        <w:rPr>
          <w:lang w:eastAsia="en-US" w:bidi="ar-SA"/>
        </w:rPr>
        <w:t xml:space="preserve">As AEMO notes: </w:t>
      </w:r>
    </w:p>
    <w:p w14:paraId="4B0DEB7F" w14:textId="6F2FE088" w:rsidR="00F67507" w:rsidRPr="002C72C2" w:rsidRDefault="00F67507" w:rsidP="00460B08">
      <w:pPr>
        <w:spacing w:before="120" w:after="120" w:line="264" w:lineRule="auto"/>
        <w:ind w:left="426"/>
        <w:rPr>
          <w:i/>
          <w:lang w:eastAsia="en-US" w:bidi="ar-SA"/>
        </w:rPr>
      </w:pPr>
      <w:r w:rsidRPr="002C72C2">
        <w:rPr>
          <w:i/>
          <w:lang w:eastAsia="en-US" w:bidi="ar-SA"/>
        </w:rPr>
        <w:t>“Power system stability, the underlying physical dynamic capability and response of the power system to disturbances, is the key determinant of the technical envelope at any given time. It is an outcome of the interaction of many electrical and mechanical elements within a complex, non-linear, dynamic system.”</w:t>
      </w:r>
      <w:hyperlink w:anchor="Ref_5" w:history="1">
        <w:r w:rsidR="00666DDE" w:rsidRPr="00810FF6">
          <w:rPr>
            <w:rStyle w:val="Hyperlink"/>
            <w:i/>
            <w:lang w:eastAsia="en-US" w:bidi="ar-SA"/>
          </w:rPr>
          <w:fldChar w:fldCharType="begin"/>
        </w:r>
        <w:r w:rsidR="00562D82" w:rsidRPr="00810FF6">
          <w:rPr>
            <w:rStyle w:val="Hyperlink"/>
            <w:i/>
            <w:lang w:eastAsia="en-US" w:bidi="ar-SA"/>
          </w:rPr>
          <w:instrText xml:space="preserve"> ADDIN ZOTERO_ITEM CSL_CITATION {"citationID":"kFEEjGtR","properties":{"formattedCitation":"[5]","plainCitation":"[5]","noteIndex":0},"citationItems":[{"id":6,"uris":["http://zotero.org/users/local/BgaHAIQb/items/LFZSQM54","http://zotero.org/users/17348326/items/LFZSQM54"],"itemData":{"id":6,"type":"report","number":"Version 1.0","title":"Engineering Roadmap to 100% Renewables","URL":"https://aemo.com.au/-/media/files/initiatives/engineering-framework/2022/engineering-roadmap-to-100-per-cent-renewables.pdf","author":[{"family":"Australian Energy Market Operator (AEMO)","given":""}],"issued":{"date-parts":[["2022",12,1]]}}}],"schema":"https://github.com/citation-style-language/schema/raw/master/csl-citation.json"} </w:instrText>
        </w:r>
        <w:r w:rsidR="00666DDE" w:rsidRPr="00810FF6">
          <w:rPr>
            <w:rStyle w:val="Hyperlink"/>
            <w:i/>
            <w:lang w:eastAsia="en-US" w:bidi="ar-SA"/>
          </w:rPr>
          <w:fldChar w:fldCharType="separate"/>
        </w:r>
        <w:r w:rsidR="00562D82" w:rsidRPr="00810FF6">
          <w:rPr>
            <w:rStyle w:val="Hyperlink"/>
          </w:rPr>
          <w:t>[5]</w:t>
        </w:r>
        <w:r w:rsidR="00666DDE" w:rsidRPr="00810FF6">
          <w:rPr>
            <w:rStyle w:val="Hyperlink"/>
            <w:i/>
            <w:lang w:eastAsia="en-US" w:bidi="ar-SA"/>
          </w:rPr>
          <w:fldChar w:fldCharType="end"/>
        </w:r>
      </w:hyperlink>
    </w:p>
    <w:p w14:paraId="701049AA" w14:textId="6714498C" w:rsidR="00F67507" w:rsidRPr="002C72C2" w:rsidRDefault="00F67507" w:rsidP="00EB2823">
      <w:pPr>
        <w:spacing w:before="120" w:after="120" w:line="264" w:lineRule="auto"/>
        <w:rPr>
          <w:lang w:eastAsia="en-US" w:bidi="ar-SA"/>
        </w:rPr>
      </w:pPr>
      <w:r w:rsidRPr="002C72C2">
        <w:rPr>
          <w:lang w:eastAsia="en-US" w:bidi="ar-SA"/>
        </w:rPr>
        <w:t xml:space="preserve">In the context of provisioning our </w:t>
      </w:r>
      <w:r w:rsidR="005459E7" w:rsidRPr="002C72C2">
        <w:rPr>
          <w:lang w:eastAsia="en-US" w:bidi="ar-SA"/>
        </w:rPr>
        <w:t>power system</w:t>
      </w:r>
      <w:r w:rsidRPr="002C72C2">
        <w:rPr>
          <w:lang w:eastAsia="en-US" w:bidi="ar-SA"/>
        </w:rPr>
        <w:t xml:space="preserve">s to operate at 100% instantaneous renewable generation, </w:t>
      </w:r>
      <w:r w:rsidR="005459E7" w:rsidRPr="002C72C2">
        <w:rPr>
          <w:lang w:eastAsia="en-US" w:bidi="ar-SA"/>
        </w:rPr>
        <w:t>AEMO highlighted</w:t>
      </w:r>
      <w:r w:rsidRPr="002C72C2">
        <w:rPr>
          <w:lang w:eastAsia="en-US" w:bidi="ar-SA"/>
        </w:rPr>
        <w:t xml:space="preserve"> the following three broad themes as pivotal</w:t>
      </w:r>
      <w:hyperlink w:anchor="Ref_5" w:history="1">
        <w:r w:rsidR="0014749D" w:rsidRPr="00810FF6">
          <w:rPr>
            <w:rStyle w:val="Hyperlink"/>
            <w:lang w:eastAsia="en-US" w:bidi="ar-SA"/>
          </w:rPr>
          <w:fldChar w:fldCharType="begin"/>
        </w:r>
        <w:r w:rsidR="00562D82" w:rsidRPr="00810FF6">
          <w:rPr>
            <w:rStyle w:val="Hyperlink"/>
            <w:lang w:eastAsia="en-US" w:bidi="ar-SA"/>
          </w:rPr>
          <w:instrText xml:space="preserve"> ADDIN ZOTERO_ITEM CSL_CITATION {"citationID":"lYSP6Njp","properties":{"formattedCitation":"[5]","plainCitation":"[5]","noteIndex":0},"citationItems":[{"id":6,"uris":["http://zotero.org/users/local/BgaHAIQb/items/LFZSQM54","http://zotero.org/users/17348326/items/LFZSQM54"],"itemData":{"id":6,"type":"report","number":"Version 1.0","title":"Engineering Roadmap to 100% Renewables","URL":"https://aemo.com.au/-/media/files/initiatives/engineering-framework/2022/engineering-roadmap-to-100-per-cent-renewables.pdf","author":[{"family":"Australian Energy Market Operator (AEMO)","given":""}],"issued":{"date-parts":[["2022",12,1]]}}}],"schema":"https://github.com/citation-style-language/schema/raw/master/csl-citation.json"} </w:instrText>
        </w:r>
        <w:r w:rsidR="0014749D" w:rsidRPr="00810FF6">
          <w:rPr>
            <w:rStyle w:val="Hyperlink"/>
            <w:lang w:eastAsia="en-US" w:bidi="ar-SA"/>
          </w:rPr>
          <w:fldChar w:fldCharType="separate"/>
        </w:r>
        <w:r w:rsidR="00562D82" w:rsidRPr="00810FF6">
          <w:rPr>
            <w:rStyle w:val="Hyperlink"/>
          </w:rPr>
          <w:t>[5]</w:t>
        </w:r>
        <w:r w:rsidR="0014749D" w:rsidRPr="00810FF6">
          <w:rPr>
            <w:rStyle w:val="Hyperlink"/>
            <w:lang w:eastAsia="en-US" w:bidi="ar-SA"/>
          </w:rPr>
          <w:fldChar w:fldCharType="end"/>
        </w:r>
      </w:hyperlink>
      <w:r w:rsidRPr="002C72C2">
        <w:rPr>
          <w:lang w:eastAsia="en-US" w:bidi="ar-SA"/>
        </w:rPr>
        <w:t>:</w:t>
      </w:r>
    </w:p>
    <w:p w14:paraId="3BE6F97E" w14:textId="3F3C2102" w:rsidR="00F67507" w:rsidRPr="00B963DD" w:rsidRDefault="00F67507" w:rsidP="00954BAC">
      <w:pPr>
        <w:pStyle w:val="ListParagraph"/>
        <w:numPr>
          <w:ilvl w:val="0"/>
          <w:numId w:val="3"/>
        </w:numPr>
        <w:spacing w:line="264" w:lineRule="auto"/>
        <w:rPr>
          <w:bCs/>
          <w:lang w:eastAsia="en-US" w:bidi="ar-SA"/>
        </w:rPr>
      </w:pPr>
      <w:r w:rsidRPr="00B963DD">
        <w:rPr>
          <w:rFonts w:ascii="PP Mori SemiBold" w:hAnsi="PP Mori SemiBold"/>
          <w:bCs/>
          <w:lang w:eastAsia="en-US" w:bidi="ar-SA"/>
        </w:rPr>
        <w:t>Power system security</w:t>
      </w:r>
      <w:r w:rsidRPr="00B963DD">
        <w:rPr>
          <w:bCs/>
          <w:lang w:eastAsia="en-US" w:bidi="ar-SA"/>
        </w:rPr>
        <w:t xml:space="preserve"> – maintaining the secure technical operating envelope of the </w:t>
      </w:r>
      <w:r w:rsidR="7D89DA8C" w:rsidRPr="00B963DD">
        <w:rPr>
          <w:bCs/>
          <w:lang w:eastAsia="en-US" w:bidi="ar-SA"/>
        </w:rPr>
        <w:t>p</w:t>
      </w:r>
      <w:r w:rsidRPr="00B963DD">
        <w:rPr>
          <w:bCs/>
          <w:lang w:eastAsia="en-US" w:bidi="ar-SA"/>
        </w:rPr>
        <w:t>ower system under increasing renewable penetrations.</w:t>
      </w:r>
    </w:p>
    <w:p w14:paraId="26FE1EA2" w14:textId="446C04C3" w:rsidR="00F67507" w:rsidRPr="002C72C2" w:rsidRDefault="00F67507" w:rsidP="00954BAC">
      <w:pPr>
        <w:pStyle w:val="ListParagraph"/>
        <w:numPr>
          <w:ilvl w:val="0"/>
          <w:numId w:val="3"/>
        </w:numPr>
        <w:spacing w:line="264" w:lineRule="auto"/>
        <w:rPr>
          <w:lang w:eastAsia="en-US" w:bidi="ar-SA"/>
        </w:rPr>
      </w:pPr>
      <w:r w:rsidRPr="00B963DD">
        <w:rPr>
          <w:rFonts w:ascii="PP Mori SemiBold" w:hAnsi="PP Mori SemiBold"/>
          <w:bCs/>
          <w:lang w:eastAsia="en-US" w:bidi="ar-SA"/>
        </w:rPr>
        <w:t>System operability</w:t>
      </w:r>
      <w:r w:rsidRPr="00B963DD">
        <w:rPr>
          <w:bCs/>
          <w:lang w:eastAsia="en-US" w:bidi="ar-SA"/>
        </w:rPr>
        <w:t xml:space="preserve"> – the ability to securely and reliably operate the power system and transition through increasingly complex operating conditions</w:t>
      </w:r>
      <w:r w:rsidRPr="002C72C2">
        <w:rPr>
          <w:lang w:eastAsia="en-US" w:bidi="ar-SA"/>
        </w:rPr>
        <w:t>.</w:t>
      </w:r>
    </w:p>
    <w:p w14:paraId="7DE9E7BE" w14:textId="582931D8" w:rsidR="00F67507" w:rsidRPr="002C72C2" w:rsidRDefault="00F67507" w:rsidP="00954BAC">
      <w:pPr>
        <w:pStyle w:val="ListParagraph"/>
        <w:numPr>
          <w:ilvl w:val="0"/>
          <w:numId w:val="3"/>
        </w:numPr>
        <w:spacing w:line="264" w:lineRule="auto"/>
        <w:rPr>
          <w:lang w:eastAsia="en-US" w:bidi="ar-SA"/>
        </w:rPr>
      </w:pPr>
      <w:r w:rsidRPr="00B963DD">
        <w:rPr>
          <w:rFonts w:ascii="PP Mori SemiBold" w:hAnsi="PP Mori SemiBold"/>
          <w:bCs/>
          <w:lang w:eastAsia="en-US" w:bidi="ar-SA"/>
        </w:rPr>
        <w:t>Resource adequacy and capability</w:t>
      </w:r>
      <w:r w:rsidRPr="002C72C2">
        <w:rPr>
          <w:lang w:eastAsia="en-US" w:bidi="ar-SA"/>
        </w:rPr>
        <w:t xml:space="preserve"> – building the resource and network capability to unlock the renewable potential and the flexible capacity to balance variability over different timeframes.</w:t>
      </w:r>
    </w:p>
    <w:p w14:paraId="116C5B63" w14:textId="7B8CB3AE" w:rsidR="00F67507" w:rsidRPr="002C72C2" w:rsidRDefault="00F67507" w:rsidP="00C46CBA">
      <w:pPr>
        <w:spacing w:before="0" w:after="160" w:line="259" w:lineRule="auto"/>
        <w:rPr>
          <w:lang w:eastAsia="en-US" w:bidi="ar-SA"/>
        </w:rPr>
      </w:pPr>
      <w:r w:rsidRPr="002C72C2">
        <w:rPr>
          <w:lang w:eastAsia="en-US" w:bidi="ar-SA"/>
        </w:rPr>
        <w:t>Importantly, these key priorities must be pursued in a manner fully cognisant of the impacts of the numerous</w:t>
      </w:r>
      <w:r w:rsidR="00D74E83" w:rsidRPr="002C72C2">
        <w:rPr>
          <w:lang w:eastAsia="en-US" w:bidi="ar-SA"/>
        </w:rPr>
        <w:t xml:space="preserve"> </w:t>
      </w:r>
      <w:r w:rsidR="00FE4DD3">
        <w:rPr>
          <w:lang w:eastAsia="en-US" w:bidi="ar-SA"/>
        </w:rPr>
        <w:t>E</w:t>
      </w:r>
      <w:r w:rsidR="00D74E83" w:rsidRPr="002C72C2">
        <w:rPr>
          <w:lang w:eastAsia="en-US" w:bidi="ar-SA"/>
        </w:rPr>
        <w:t xml:space="preserve">merging </w:t>
      </w:r>
      <w:r w:rsidR="00FE4DD3">
        <w:rPr>
          <w:lang w:eastAsia="en-US" w:bidi="ar-SA"/>
        </w:rPr>
        <w:t>T</w:t>
      </w:r>
      <w:r w:rsidR="00D74E83" w:rsidRPr="002C72C2">
        <w:rPr>
          <w:lang w:eastAsia="en-US" w:bidi="ar-SA"/>
        </w:rPr>
        <w:t>rends</w:t>
      </w:r>
      <w:hyperlink w:anchor="Ref_6" w:history="1">
        <w:r w:rsidR="00393E3B" w:rsidRPr="00810FF6">
          <w:rPr>
            <w:rStyle w:val="Hyperlink"/>
            <w:lang w:eastAsia="en-US" w:bidi="ar-SA"/>
          </w:rPr>
          <w:fldChar w:fldCharType="begin"/>
        </w:r>
        <w:r w:rsidR="00562D82" w:rsidRPr="00810FF6">
          <w:rPr>
            <w:rStyle w:val="Hyperlink"/>
            <w:lang w:eastAsia="en-US" w:bidi="ar-SA"/>
          </w:rPr>
          <w:instrText xml:space="preserve"> ADDIN ZOTERO_ITEM CSL_CITATION {"citationID":"WMafpfzn","properties":{"formattedCitation":"[6]","plainCitation":"[6]","noteIndex":0},"citationItems":[{"id":20,"uris":["http://zotero.org/users/17348326/items/WN3TDTPI"],"itemData":{"id":20,"type":"report","collection-title":"Global Power Systems Transformation","number":"Stage 2","page":"89-155","title":"Topic 7: Power System Architecture","URL":"https://www.csiro.au/-/media/EF/Files/GPST-Roadmap/Final-Reports/Topic-7-GPST-Stage-2.pdf","author":[{"family":"Stratagen","given":""}],"issued":{"date-parts":[["2023",5]]}}}],"schema":"https://github.com/citation-style-language/schema/raw/master/csl-citation.json"} </w:instrText>
        </w:r>
        <w:r w:rsidR="00393E3B" w:rsidRPr="00810FF6">
          <w:rPr>
            <w:rStyle w:val="Hyperlink"/>
            <w:lang w:eastAsia="en-US" w:bidi="ar-SA"/>
          </w:rPr>
          <w:fldChar w:fldCharType="separate"/>
        </w:r>
        <w:r w:rsidR="00562D82" w:rsidRPr="00810FF6">
          <w:rPr>
            <w:rStyle w:val="Hyperlink"/>
          </w:rPr>
          <w:t>[6]</w:t>
        </w:r>
        <w:r w:rsidR="00393E3B" w:rsidRPr="00810FF6">
          <w:rPr>
            <w:rStyle w:val="Hyperlink"/>
            <w:lang w:eastAsia="en-US" w:bidi="ar-SA"/>
          </w:rPr>
          <w:fldChar w:fldCharType="end"/>
        </w:r>
      </w:hyperlink>
      <w:r w:rsidR="00D74E83" w:rsidRPr="002C72C2">
        <w:rPr>
          <w:lang w:eastAsia="en-US" w:bidi="ar-SA"/>
        </w:rPr>
        <w:t xml:space="preserve"> </w:t>
      </w:r>
      <w:r w:rsidRPr="002C72C2">
        <w:rPr>
          <w:lang w:eastAsia="en-US" w:bidi="ar-SA"/>
        </w:rPr>
        <w:t>that are simultaneously converging and escalating whole-system complexity</w:t>
      </w:r>
      <w:r w:rsidR="00374950">
        <w:rPr>
          <w:lang w:eastAsia="en-US" w:bidi="ar-SA"/>
        </w:rPr>
        <w:t xml:space="preserve">. </w:t>
      </w:r>
      <w:r w:rsidRPr="002C72C2">
        <w:rPr>
          <w:lang w:eastAsia="en-US" w:bidi="ar-SA"/>
        </w:rPr>
        <w:t xml:space="preserve">These include: </w:t>
      </w:r>
    </w:p>
    <w:p w14:paraId="04FAA615" w14:textId="4FB2D40B" w:rsidR="00F67507" w:rsidRPr="002C72C2" w:rsidRDefault="00F67507" w:rsidP="00954BAC">
      <w:pPr>
        <w:pStyle w:val="ListParagraph"/>
        <w:numPr>
          <w:ilvl w:val="0"/>
          <w:numId w:val="4"/>
        </w:numPr>
        <w:spacing w:line="264" w:lineRule="auto"/>
        <w:rPr>
          <w:lang w:eastAsia="en-US" w:bidi="ar-SA"/>
        </w:rPr>
      </w:pPr>
      <w:r w:rsidRPr="002C72C2">
        <w:rPr>
          <w:lang w:eastAsia="en-US" w:bidi="ar-SA"/>
        </w:rPr>
        <w:t xml:space="preserve">A rapidly escalating number and technical diversity of </w:t>
      </w:r>
      <w:r w:rsidR="00B04E34" w:rsidRPr="002C72C2">
        <w:rPr>
          <w:lang w:eastAsia="en-US" w:bidi="ar-SA"/>
        </w:rPr>
        <w:t>energy resources</w:t>
      </w:r>
    </w:p>
    <w:p w14:paraId="1EC22130" w14:textId="5B996187" w:rsidR="00F67507" w:rsidRPr="002C72C2" w:rsidRDefault="00F67507" w:rsidP="00954BAC">
      <w:pPr>
        <w:pStyle w:val="ListParagraph"/>
        <w:numPr>
          <w:ilvl w:val="0"/>
          <w:numId w:val="4"/>
        </w:numPr>
        <w:spacing w:line="264" w:lineRule="auto"/>
        <w:rPr>
          <w:lang w:eastAsia="en-US" w:bidi="ar-SA"/>
        </w:rPr>
      </w:pPr>
      <w:r w:rsidRPr="002C72C2">
        <w:rPr>
          <w:lang w:eastAsia="en-US" w:bidi="ar-SA"/>
        </w:rPr>
        <w:t xml:space="preserve">The highly variable nature of many renewable </w:t>
      </w:r>
      <w:r w:rsidR="00B04E34" w:rsidRPr="002C72C2">
        <w:rPr>
          <w:lang w:eastAsia="en-US" w:bidi="ar-SA"/>
        </w:rPr>
        <w:t>energy resources</w:t>
      </w:r>
    </w:p>
    <w:p w14:paraId="187FF2B3" w14:textId="659CC3A0" w:rsidR="00F67507" w:rsidRPr="002C72C2" w:rsidRDefault="00F67507" w:rsidP="00EB2823">
      <w:pPr>
        <w:pStyle w:val="ListParagraph"/>
        <w:spacing w:line="264" w:lineRule="auto"/>
        <w:rPr>
          <w:lang w:eastAsia="en-US" w:bidi="ar-SA"/>
        </w:rPr>
      </w:pPr>
      <w:r w:rsidRPr="002C72C2">
        <w:rPr>
          <w:lang w:eastAsia="en-US" w:bidi="ar-SA"/>
        </w:rPr>
        <w:t xml:space="preserve">Structural shifts in customer demand and the </w:t>
      </w:r>
      <w:r w:rsidR="00B04E34" w:rsidRPr="002C72C2">
        <w:rPr>
          <w:lang w:eastAsia="en-US" w:bidi="ar-SA"/>
        </w:rPr>
        <w:t>v</w:t>
      </w:r>
      <w:r w:rsidRPr="002C72C2">
        <w:rPr>
          <w:lang w:eastAsia="en-US" w:bidi="ar-SA"/>
        </w:rPr>
        <w:t>olatility of</w:t>
      </w:r>
      <w:r w:rsidR="00905D88" w:rsidRPr="002C72C2">
        <w:rPr>
          <w:lang w:eastAsia="en-US" w:bidi="ar-SA"/>
        </w:rPr>
        <w:t xml:space="preserve"> apparent</w:t>
      </w:r>
      <w:r w:rsidRPr="002C72C2">
        <w:rPr>
          <w:lang w:eastAsia="en-US" w:bidi="ar-SA"/>
        </w:rPr>
        <w:t xml:space="preserve"> load</w:t>
      </w:r>
    </w:p>
    <w:p w14:paraId="7F8E82B5" w14:textId="73DBCA44" w:rsidR="00F67507" w:rsidRPr="002C72C2" w:rsidRDefault="00F67507" w:rsidP="00954BAC">
      <w:pPr>
        <w:pStyle w:val="ListParagraph"/>
        <w:numPr>
          <w:ilvl w:val="0"/>
          <w:numId w:val="4"/>
        </w:numPr>
        <w:spacing w:line="264" w:lineRule="auto"/>
        <w:rPr>
          <w:lang w:eastAsia="en-US" w:bidi="ar-SA"/>
        </w:rPr>
      </w:pPr>
      <w:r w:rsidRPr="002C72C2">
        <w:rPr>
          <w:lang w:eastAsia="en-US" w:bidi="ar-SA"/>
        </w:rPr>
        <w:t xml:space="preserve">Increasingly volatile and stochastic behaviour of the end-to-end </w:t>
      </w:r>
      <w:r w:rsidR="005459E7" w:rsidRPr="002C72C2">
        <w:rPr>
          <w:lang w:eastAsia="en-US" w:bidi="ar-SA"/>
        </w:rPr>
        <w:t>power system</w:t>
      </w:r>
    </w:p>
    <w:p w14:paraId="1939571D" w14:textId="528CE157" w:rsidR="00F67507" w:rsidRPr="002C72C2" w:rsidRDefault="00F67507" w:rsidP="00954BAC">
      <w:pPr>
        <w:pStyle w:val="ListParagraph"/>
        <w:numPr>
          <w:ilvl w:val="0"/>
          <w:numId w:val="4"/>
        </w:numPr>
        <w:spacing w:line="264" w:lineRule="auto"/>
        <w:rPr>
          <w:lang w:eastAsia="en-US" w:bidi="ar-SA"/>
        </w:rPr>
      </w:pPr>
      <w:r w:rsidRPr="002C72C2">
        <w:rPr>
          <w:lang w:eastAsia="en-US" w:bidi="ar-SA"/>
        </w:rPr>
        <w:t xml:space="preserve">A less dispatchable </w:t>
      </w:r>
      <w:r w:rsidR="005459E7" w:rsidRPr="002C72C2">
        <w:rPr>
          <w:lang w:eastAsia="en-US" w:bidi="ar-SA"/>
        </w:rPr>
        <w:t>power system</w:t>
      </w:r>
      <w:r w:rsidRPr="002C72C2">
        <w:rPr>
          <w:lang w:eastAsia="en-US" w:bidi="ar-SA"/>
        </w:rPr>
        <w:t xml:space="preserve"> and an increasing number and scale of actors capable of influencing system stability</w:t>
      </w:r>
    </w:p>
    <w:p w14:paraId="47CFA2AA" w14:textId="7CB4A9CC" w:rsidR="00F67507" w:rsidRPr="002C72C2" w:rsidRDefault="00F67507" w:rsidP="00954BAC">
      <w:pPr>
        <w:pStyle w:val="ListParagraph"/>
        <w:numPr>
          <w:ilvl w:val="0"/>
          <w:numId w:val="4"/>
        </w:numPr>
        <w:spacing w:line="264" w:lineRule="auto"/>
        <w:rPr>
          <w:lang w:eastAsia="en-US" w:bidi="ar-SA"/>
        </w:rPr>
      </w:pPr>
      <w:r w:rsidRPr="002C72C2">
        <w:rPr>
          <w:lang w:eastAsia="en-US" w:bidi="ar-SA"/>
        </w:rPr>
        <w:t>Erosion of the ‘</w:t>
      </w:r>
      <w:r w:rsidR="00B04E34" w:rsidRPr="002C72C2">
        <w:rPr>
          <w:lang w:eastAsia="en-US" w:bidi="ar-SA"/>
        </w:rPr>
        <w:t>s</w:t>
      </w:r>
      <w:r w:rsidRPr="002C72C2">
        <w:rPr>
          <w:lang w:eastAsia="en-US" w:bidi="ar-SA"/>
        </w:rPr>
        <w:t>upply-side</w:t>
      </w:r>
      <w:r w:rsidR="00B04E34" w:rsidRPr="002C72C2">
        <w:rPr>
          <w:lang w:eastAsia="en-US" w:bidi="ar-SA"/>
        </w:rPr>
        <w:t>/d</w:t>
      </w:r>
      <w:r w:rsidRPr="002C72C2">
        <w:rPr>
          <w:lang w:eastAsia="en-US" w:bidi="ar-SA"/>
        </w:rPr>
        <w:t>emand-side’ bifurcation as the traditionally dominant operational paradigm of the</w:t>
      </w:r>
      <w:r w:rsidR="004461D1" w:rsidRPr="002C72C2">
        <w:rPr>
          <w:lang w:eastAsia="en-US" w:bidi="ar-SA"/>
        </w:rPr>
        <w:t xml:space="preserve"> power system</w:t>
      </w:r>
    </w:p>
    <w:p w14:paraId="03A03744" w14:textId="549DF0A5" w:rsidR="00F67507" w:rsidRPr="002C72C2" w:rsidRDefault="00F67507" w:rsidP="00954BAC">
      <w:pPr>
        <w:pStyle w:val="ListParagraph"/>
        <w:numPr>
          <w:ilvl w:val="0"/>
          <w:numId w:val="4"/>
        </w:numPr>
        <w:spacing w:line="264" w:lineRule="auto"/>
        <w:rPr>
          <w:lang w:eastAsia="en-US" w:bidi="ar-SA"/>
        </w:rPr>
      </w:pPr>
      <w:r w:rsidRPr="002C72C2">
        <w:rPr>
          <w:lang w:eastAsia="en-US" w:bidi="ar-SA"/>
        </w:rPr>
        <w:t>Faster system dynamics, bi-directional energy flows and multi-lateral logical relationships</w:t>
      </w:r>
    </w:p>
    <w:p w14:paraId="3474E792" w14:textId="23C278AD" w:rsidR="00F67507" w:rsidRPr="002C72C2" w:rsidRDefault="00F67507" w:rsidP="00954BAC">
      <w:pPr>
        <w:pStyle w:val="ListParagraph"/>
        <w:numPr>
          <w:ilvl w:val="0"/>
          <w:numId w:val="4"/>
        </w:numPr>
        <w:spacing w:line="264" w:lineRule="auto"/>
        <w:rPr>
          <w:lang w:eastAsia="en-US" w:bidi="ar-SA"/>
        </w:rPr>
      </w:pPr>
      <w:r w:rsidRPr="002C72C2">
        <w:rPr>
          <w:lang w:eastAsia="en-US" w:bidi="ar-SA"/>
        </w:rPr>
        <w:t>Mobility of load with the electrification of transport</w:t>
      </w:r>
    </w:p>
    <w:p w14:paraId="03E4AAE7" w14:textId="6220FA36" w:rsidR="00F67507" w:rsidRPr="002C72C2" w:rsidRDefault="00F67507" w:rsidP="00954BAC">
      <w:pPr>
        <w:pStyle w:val="ListParagraph"/>
        <w:numPr>
          <w:ilvl w:val="0"/>
          <w:numId w:val="4"/>
        </w:numPr>
        <w:spacing w:line="264" w:lineRule="auto"/>
        <w:rPr>
          <w:lang w:eastAsia="en-US" w:bidi="ar-SA"/>
        </w:rPr>
      </w:pPr>
      <w:r w:rsidRPr="002C72C2">
        <w:rPr>
          <w:lang w:eastAsia="en-US" w:bidi="ar-SA"/>
        </w:rPr>
        <w:t>Deeper interdependencies with other industry sectors (gas, hydrogen, transport, water, etc)</w:t>
      </w:r>
    </w:p>
    <w:p w14:paraId="767D11BE" w14:textId="65F92248" w:rsidR="00F67507" w:rsidRPr="002C72C2" w:rsidRDefault="00F67507" w:rsidP="00EB2823">
      <w:pPr>
        <w:spacing w:before="120" w:after="120" w:line="264" w:lineRule="auto"/>
        <w:rPr>
          <w:lang w:eastAsia="en-US" w:bidi="ar-SA"/>
        </w:rPr>
      </w:pPr>
      <w:r w:rsidRPr="002C72C2">
        <w:rPr>
          <w:lang w:eastAsia="en-US" w:bidi="ar-SA"/>
        </w:rPr>
        <w:t xml:space="preserve">As noted above, these drivers of change are impacting the mesh of seven inter-dependent structures that map across the </w:t>
      </w:r>
      <w:r w:rsidR="00C073A6" w:rsidRPr="002C72C2">
        <w:rPr>
          <w:lang w:eastAsia="en-US" w:bidi="ar-SA"/>
        </w:rPr>
        <w:t>power system</w:t>
      </w:r>
      <w:r w:rsidR="00374950">
        <w:rPr>
          <w:lang w:eastAsia="en-US" w:bidi="ar-SA"/>
        </w:rPr>
        <w:t xml:space="preserve">. </w:t>
      </w:r>
      <w:r w:rsidRPr="002C72C2">
        <w:rPr>
          <w:lang w:eastAsia="en-US" w:bidi="ar-SA"/>
        </w:rPr>
        <w:t>Successfully transitioning such a critical and complex system requires additional tools for whole-system structural analysis that were not needed in a more steady-state operating environment</w:t>
      </w:r>
      <w:r w:rsidR="00374950">
        <w:rPr>
          <w:lang w:eastAsia="en-US" w:bidi="ar-SA"/>
        </w:rPr>
        <w:t xml:space="preserve">. </w:t>
      </w:r>
      <w:r w:rsidRPr="002C72C2">
        <w:rPr>
          <w:lang w:eastAsia="en-US" w:bidi="ar-SA"/>
        </w:rPr>
        <w:t>As noted above, the failure to apply structural analysis and enhancements will expand the potential for unintended consequences, non-linear behaviours, runaway complexity, and the propagation of non-scalable characteristics</w:t>
      </w:r>
      <w:r w:rsidR="00374950">
        <w:rPr>
          <w:lang w:eastAsia="en-US" w:bidi="ar-SA"/>
        </w:rPr>
        <w:t xml:space="preserve">. </w:t>
      </w:r>
    </w:p>
    <w:p w14:paraId="371E9E36" w14:textId="73A0BC34" w:rsidR="00F67507" w:rsidRPr="00EB2823" w:rsidRDefault="00F67507" w:rsidP="00954BAC">
      <w:pPr>
        <w:pStyle w:val="Heading4"/>
        <w:numPr>
          <w:ilvl w:val="0"/>
          <w:numId w:val="54"/>
        </w:numPr>
        <w:spacing w:before="240" w:after="120" w:line="264" w:lineRule="auto"/>
        <w:rPr>
          <w:i w:val="0"/>
          <w:iCs w:val="0"/>
        </w:rPr>
      </w:pPr>
      <w:r w:rsidRPr="00EB2823">
        <w:rPr>
          <w:i w:val="0"/>
          <w:iCs w:val="0"/>
        </w:rPr>
        <w:t xml:space="preserve">Solution Requirements  </w:t>
      </w:r>
    </w:p>
    <w:p w14:paraId="300B794A" w14:textId="558DC4D2" w:rsidR="0006721E" w:rsidRPr="002C72C2" w:rsidRDefault="00F67507" w:rsidP="00EB2823">
      <w:pPr>
        <w:spacing w:before="120" w:after="120" w:line="264" w:lineRule="auto"/>
        <w:rPr>
          <w:lang w:eastAsia="en-US" w:bidi="ar-SA"/>
        </w:rPr>
      </w:pPr>
      <w:r w:rsidRPr="002C72C2">
        <w:rPr>
          <w:lang w:eastAsia="en-US" w:bidi="ar-SA"/>
        </w:rPr>
        <w:t>The significant escalation of complexity in Ultra</w:t>
      </w:r>
      <w:r w:rsidR="00F73719">
        <w:rPr>
          <w:lang w:eastAsia="en-US" w:bidi="ar-SA"/>
        </w:rPr>
        <w:t xml:space="preserve"> </w:t>
      </w:r>
      <w:r w:rsidRPr="002C72C2">
        <w:rPr>
          <w:lang w:eastAsia="en-US" w:bidi="ar-SA"/>
        </w:rPr>
        <w:t>Large Scale (ULS) must be formally managed in a manner commensurate with the</w:t>
      </w:r>
      <w:r w:rsidR="00DA2973" w:rsidRPr="002C72C2">
        <w:rPr>
          <w:lang w:eastAsia="en-US" w:bidi="ar-SA"/>
        </w:rPr>
        <w:t xml:space="preserve"> </w:t>
      </w:r>
      <w:r w:rsidRPr="002C72C2">
        <w:rPr>
          <w:lang w:eastAsia="en-US" w:bidi="ar-SA"/>
        </w:rPr>
        <w:t>scale and pace of change impacting the system</w:t>
      </w:r>
      <w:r w:rsidR="00374950">
        <w:rPr>
          <w:lang w:eastAsia="en-US" w:bidi="ar-SA"/>
        </w:rPr>
        <w:t xml:space="preserve">. </w:t>
      </w:r>
    </w:p>
    <w:p w14:paraId="1B80202D" w14:textId="208E2F56" w:rsidR="0006721E" w:rsidRPr="002C72C2" w:rsidRDefault="0006721E" w:rsidP="0006721E">
      <w:pPr>
        <w:spacing w:before="120" w:after="120" w:line="264" w:lineRule="auto"/>
        <w:rPr>
          <w:lang w:eastAsia="en-US" w:bidi="ar-SA"/>
        </w:rPr>
      </w:pPr>
      <w:r w:rsidRPr="002C72C2">
        <w:rPr>
          <w:lang w:eastAsia="en-US" w:bidi="ar-SA"/>
        </w:rPr>
        <w:t xml:space="preserve">What is not always well understood is that a </w:t>
      </w:r>
      <w:r w:rsidR="006040A8" w:rsidRPr="002C72C2">
        <w:rPr>
          <w:lang w:eastAsia="en-US" w:bidi="ar-SA"/>
        </w:rPr>
        <w:t>well</w:t>
      </w:r>
      <w:r w:rsidR="002942DB" w:rsidRPr="002C72C2">
        <w:rPr>
          <w:lang w:eastAsia="en-US" w:bidi="ar-SA"/>
        </w:rPr>
        <w:t>-designed</w:t>
      </w:r>
      <w:r w:rsidRPr="002C72C2">
        <w:rPr>
          <w:lang w:eastAsia="en-US" w:bidi="ar-SA"/>
        </w:rPr>
        <w:t xml:space="preserve"> system structure </w:t>
      </w:r>
      <w:r w:rsidR="002942DB" w:rsidRPr="002C72C2">
        <w:rPr>
          <w:lang w:eastAsia="en-US" w:bidi="ar-SA"/>
        </w:rPr>
        <w:t xml:space="preserve">both enables </w:t>
      </w:r>
      <w:r w:rsidR="00AF4C17" w:rsidRPr="002C72C2">
        <w:rPr>
          <w:lang w:eastAsia="en-US" w:bidi="ar-SA"/>
        </w:rPr>
        <w:t xml:space="preserve">complexity to be ‘tamed’ and </w:t>
      </w:r>
      <w:r w:rsidRPr="002C72C2">
        <w:rPr>
          <w:lang w:eastAsia="en-US" w:bidi="ar-SA"/>
        </w:rPr>
        <w:t>downstream decisions</w:t>
      </w:r>
      <w:r w:rsidR="002942DB" w:rsidRPr="002C72C2">
        <w:rPr>
          <w:lang w:eastAsia="en-US" w:bidi="ar-SA"/>
        </w:rPr>
        <w:t xml:space="preserve"> simplified</w:t>
      </w:r>
      <w:r w:rsidR="00374950">
        <w:rPr>
          <w:lang w:eastAsia="en-US" w:bidi="ar-SA"/>
        </w:rPr>
        <w:t xml:space="preserve">. </w:t>
      </w:r>
      <w:r w:rsidR="00AF4C17" w:rsidRPr="002C72C2">
        <w:rPr>
          <w:lang w:eastAsia="en-US" w:bidi="ar-SA"/>
        </w:rPr>
        <w:t xml:space="preserve">It </w:t>
      </w:r>
      <w:r w:rsidRPr="002C72C2">
        <w:rPr>
          <w:lang w:eastAsia="en-US" w:bidi="ar-SA"/>
        </w:rPr>
        <w:t xml:space="preserve">frees up engineers </w:t>
      </w:r>
      <w:r w:rsidR="00C31043" w:rsidRPr="002C72C2">
        <w:rPr>
          <w:lang w:eastAsia="en-US" w:bidi="ar-SA"/>
        </w:rPr>
        <w:t>and other specialists w</w:t>
      </w:r>
      <w:r w:rsidRPr="002C72C2">
        <w:rPr>
          <w:lang w:eastAsia="en-US" w:bidi="ar-SA"/>
        </w:rPr>
        <w:t xml:space="preserve">orking on individual components or </w:t>
      </w:r>
      <w:r w:rsidR="00C31043" w:rsidRPr="002C72C2">
        <w:rPr>
          <w:lang w:eastAsia="en-US" w:bidi="ar-SA"/>
        </w:rPr>
        <w:t>sub-</w:t>
      </w:r>
      <w:r w:rsidRPr="002C72C2">
        <w:rPr>
          <w:lang w:eastAsia="en-US" w:bidi="ar-SA"/>
        </w:rPr>
        <w:t xml:space="preserve">systems to </w:t>
      </w:r>
      <w:r w:rsidR="00CC5D5E" w:rsidRPr="002C72C2">
        <w:rPr>
          <w:lang w:eastAsia="en-US" w:bidi="ar-SA"/>
        </w:rPr>
        <w:t xml:space="preserve">innovate </w:t>
      </w:r>
      <w:r w:rsidRPr="002C72C2">
        <w:rPr>
          <w:lang w:eastAsia="en-US" w:bidi="ar-SA"/>
        </w:rPr>
        <w:t>with assurance that unintended consequences will not crop up to hamper or even invalidate their work.</w:t>
      </w:r>
      <w:r w:rsidRPr="002C72C2">
        <w:rPr>
          <w:rFonts w:ascii="Calibri" w:hAnsi="Calibri" w:cs="Calibri"/>
          <w:lang w:eastAsia="en-US" w:bidi="ar-SA"/>
        </w:rPr>
        <w:t> </w:t>
      </w:r>
    </w:p>
    <w:p w14:paraId="2CA83E95" w14:textId="595E45E5" w:rsidR="00F67507" w:rsidRPr="002C72C2" w:rsidRDefault="00142A12" w:rsidP="00EB2823">
      <w:pPr>
        <w:spacing w:before="120" w:after="120" w:line="264" w:lineRule="auto"/>
        <w:rPr>
          <w:lang w:eastAsia="en-US" w:bidi="ar-SA"/>
        </w:rPr>
      </w:pPr>
      <w:r w:rsidRPr="002C72C2">
        <w:rPr>
          <w:lang w:eastAsia="en-US" w:bidi="ar-SA"/>
        </w:rPr>
        <w:t xml:space="preserve">Consistent with </w:t>
      </w:r>
      <w:r w:rsidR="00784009" w:rsidRPr="002C72C2">
        <w:rPr>
          <w:lang w:eastAsia="en-US" w:bidi="ar-SA"/>
        </w:rPr>
        <w:t xml:space="preserve">complexity management in </w:t>
      </w:r>
      <w:r w:rsidR="00C073A6" w:rsidRPr="002C72C2">
        <w:rPr>
          <w:lang w:eastAsia="en-US" w:bidi="ar-SA"/>
        </w:rPr>
        <w:t>other advanced</w:t>
      </w:r>
      <w:r w:rsidR="00784009" w:rsidRPr="002C72C2">
        <w:rPr>
          <w:lang w:eastAsia="en-US" w:bidi="ar-SA"/>
        </w:rPr>
        <w:t xml:space="preserve"> </w:t>
      </w:r>
      <w:r w:rsidR="00C073A6" w:rsidRPr="002C72C2">
        <w:rPr>
          <w:lang w:eastAsia="en-US" w:bidi="ar-SA"/>
        </w:rPr>
        <w:t>secto</w:t>
      </w:r>
      <w:r w:rsidR="00784009" w:rsidRPr="002C72C2">
        <w:rPr>
          <w:lang w:eastAsia="en-US" w:bidi="ar-SA"/>
        </w:rPr>
        <w:t xml:space="preserve">rs </w:t>
      </w:r>
      <w:r w:rsidR="008917FD" w:rsidRPr="002C72C2">
        <w:rPr>
          <w:lang w:eastAsia="en-US" w:bidi="ar-SA"/>
        </w:rPr>
        <w:t>such as</w:t>
      </w:r>
      <w:r w:rsidR="00784009" w:rsidRPr="002C72C2">
        <w:rPr>
          <w:lang w:eastAsia="en-US" w:bidi="ar-SA"/>
        </w:rPr>
        <w:t xml:space="preserve"> </w:t>
      </w:r>
      <w:r w:rsidRPr="002C72C2">
        <w:rPr>
          <w:szCs w:val="24"/>
        </w:rPr>
        <w:t xml:space="preserve">aerospace, defence, mining, </w:t>
      </w:r>
      <w:r w:rsidR="00784009" w:rsidRPr="002C72C2">
        <w:rPr>
          <w:szCs w:val="24"/>
        </w:rPr>
        <w:t xml:space="preserve">etc., </w:t>
      </w:r>
      <w:r w:rsidR="008917FD" w:rsidRPr="002C72C2">
        <w:rPr>
          <w:szCs w:val="24"/>
        </w:rPr>
        <w:t xml:space="preserve">formally </w:t>
      </w:r>
      <w:r w:rsidR="00973B5F" w:rsidRPr="002C72C2">
        <w:rPr>
          <w:lang w:eastAsia="en-US" w:bidi="ar-SA"/>
        </w:rPr>
        <w:t xml:space="preserve">managing the expanding complexity </w:t>
      </w:r>
      <w:r w:rsidR="00FA602A" w:rsidRPr="002C72C2">
        <w:rPr>
          <w:lang w:eastAsia="en-US" w:bidi="ar-SA"/>
        </w:rPr>
        <w:t>intrinsic</w:t>
      </w:r>
      <w:r w:rsidR="00973B5F" w:rsidRPr="002C72C2">
        <w:rPr>
          <w:lang w:eastAsia="en-US" w:bidi="ar-SA"/>
        </w:rPr>
        <w:t xml:space="preserve"> to grid transformation </w:t>
      </w:r>
      <w:r w:rsidR="00F67507" w:rsidRPr="002C72C2">
        <w:rPr>
          <w:lang w:eastAsia="en-US" w:bidi="ar-SA"/>
        </w:rPr>
        <w:t xml:space="preserve">requires </w:t>
      </w:r>
      <w:r w:rsidR="00C31043" w:rsidRPr="002C72C2">
        <w:rPr>
          <w:lang w:eastAsia="en-US" w:bidi="ar-SA"/>
        </w:rPr>
        <w:t>a programmatic approach</w:t>
      </w:r>
      <w:r w:rsidR="00551D78" w:rsidRPr="002C72C2">
        <w:rPr>
          <w:lang w:eastAsia="en-US" w:bidi="ar-SA"/>
        </w:rPr>
        <w:t xml:space="preserve"> </w:t>
      </w:r>
      <w:r w:rsidR="00FA602A" w:rsidRPr="002C72C2">
        <w:rPr>
          <w:lang w:eastAsia="en-US" w:bidi="ar-SA"/>
        </w:rPr>
        <w:t>underpinned</w:t>
      </w:r>
      <w:r w:rsidR="00551D78" w:rsidRPr="002C72C2">
        <w:rPr>
          <w:lang w:eastAsia="en-US" w:bidi="ar-SA"/>
        </w:rPr>
        <w:t xml:space="preserve"> by </w:t>
      </w:r>
      <w:r w:rsidR="00FA602A" w:rsidRPr="002C72C2">
        <w:rPr>
          <w:lang w:eastAsia="en-US" w:bidi="ar-SA"/>
        </w:rPr>
        <w:t>established</w:t>
      </w:r>
      <w:r w:rsidR="00551D78" w:rsidRPr="002C72C2">
        <w:rPr>
          <w:lang w:eastAsia="en-US" w:bidi="ar-SA"/>
        </w:rPr>
        <w:t xml:space="preserve"> disciplines and capabilities</w:t>
      </w:r>
      <w:r w:rsidR="00374950">
        <w:rPr>
          <w:lang w:eastAsia="en-US" w:bidi="ar-SA"/>
        </w:rPr>
        <w:t xml:space="preserve">. </w:t>
      </w:r>
      <w:r w:rsidR="008B2831" w:rsidRPr="002C72C2">
        <w:rPr>
          <w:lang w:eastAsia="en-US" w:bidi="ar-SA"/>
        </w:rPr>
        <w:t xml:space="preserve">At a most basic level, this will include: </w:t>
      </w:r>
    </w:p>
    <w:p w14:paraId="4D75A01D" w14:textId="13D00209" w:rsidR="00F67507" w:rsidRPr="002C72C2" w:rsidRDefault="00F67507" w:rsidP="00954BAC">
      <w:pPr>
        <w:pStyle w:val="ListParagraph"/>
        <w:numPr>
          <w:ilvl w:val="0"/>
          <w:numId w:val="5"/>
        </w:numPr>
        <w:spacing w:line="264" w:lineRule="auto"/>
        <w:rPr>
          <w:lang w:eastAsia="en-US" w:bidi="ar-SA"/>
        </w:rPr>
      </w:pPr>
      <w:r w:rsidRPr="002C72C2">
        <w:rPr>
          <w:lang w:eastAsia="en-US" w:bidi="ar-SA"/>
        </w:rPr>
        <w:t xml:space="preserve">Detailed mapping of the current </w:t>
      </w:r>
      <w:r w:rsidR="00CC5D5E" w:rsidRPr="002C72C2">
        <w:rPr>
          <w:lang w:eastAsia="en-US" w:bidi="ar-SA"/>
        </w:rPr>
        <w:t>p</w:t>
      </w:r>
      <w:r w:rsidR="004461D1" w:rsidRPr="002C72C2">
        <w:rPr>
          <w:lang w:eastAsia="en-US" w:bidi="ar-SA"/>
        </w:rPr>
        <w:t>ower system</w:t>
      </w:r>
      <w:r w:rsidRPr="002C72C2">
        <w:rPr>
          <w:lang w:eastAsia="en-US" w:bidi="ar-SA"/>
        </w:rPr>
        <w:t xml:space="preserve"> ‘as-built’ structures and interfaces (which historically has never been rigorously specified or documented)</w:t>
      </w:r>
      <w:r w:rsidR="00BC0404">
        <w:rPr>
          <w:lang w:eastAsia="en-US" w:bidi="ar-SA"/>
        </w:rPr>
        <w:t>.</w:t>
      </w:r>
    </w:p>
    <w:p w14:paraId="348C450A" w14:textId="4EA9BEB1" w:rsidR="00F67507" w:rsidRPr="002C72C2" w:rsidRDefault="00F67507" w:rsidP="00954BAC">
      <w:pPr>
        <w:pStyle w:val="ListParagraph"/>
        <w:numPr>
          <w:ilvl w:val="0"/>
          <w:numId w:val="5"/>
        </w:numPr>
        <w:spacing w:line="264" w:lineRule="auto"/>
        <w:rPr>
          <w:lang w:eastAsia="en-US" w:bidi="ar-SA"/>
        </w:rPr>
      </w:pPr>
      <w:r w:rsidRPr="002C72C2">
        <w:rPr>
          <w:lang w:eastAsia="en-US" w:bidi="ar-SA"/>
        </w:rPr>
        <w:t>Fit-for-purpose analytical models that help ‘tame’ complexity, identify embedded structural constraints and cost-effectively ‘stress test’ proposed changes while still on paper</w:t>
      </w:r>
      <w:r w:rsidR="00BC0404">
        <w:rPr>
          <w:lang w:eastAsia="en-US" w:bidi="ar-SA"/>
        </w:rPr>
        <w:t>.</w:t>
      </w:r>
    </w:p>
    <w:p w14:paraId="04415592" w14:textId="2BAFC73F" w:rsidR="00F67507" w:rsidRPr="002C72C2" w:rsidRDefault="00F67507" w:rsidP="00954BAC">
      <w:pPr>
        <w:pStyle w:val="ListParagraph"/>
        <w:numPr>
          <w:ilvl w:val="0"/>
          <w:numId w:val="5"/>
        </w:numPr>
        <w:spacing w:line="264" w:lineRule="auto"/>
        <w:rPr>
          <w:lang w:eastAsia="en-US" w:bidi="ar-SA"/>
        </w:rPr>
      </w:pPr>
      <w:r w:rsidRPr="002C72C2">
        <w:rPr>
          <w:lang w:eastAsia="en-US" w:bidi="ar-SA"/>
        </w:rPr>
        <w:t>Rigorous examination of alternative structural configurations to ensure investments deliver maximum future optionality and scalability and avoid unintended propagation of computational constraints, latency cascading and structural cyber-security vulnerabilities in the longer term</w:t>
      </w:r>
      <w:r w:rsidR="00BC0404">
        <w:rPr>
          <w:lang w:eastAsia="en-US" w:bidi="ar-SA"/>
        </w:rPr>
        <w:t>.</w:t>
      </w:r>
    </w:p>
    <w:p w14:paraId="1EF2890A" w14:textId="3A6B11DF" w:rsidR="0002427A" w:rsidRDefault="00F67507" w:rsidP="4F89B82E">
      <w:pPr>
        <w:pStyle w:val="ListParagraph"/>
        <w:spacing w:after="0" w:line="264" w:lineRule="auto"/>
        <w:ind w:left="714" w:hanging="357"/>
        <w:rPr>
          <w:lang w:eastAsia="en-US" w:bidi="ar-SA"/>
        </w:rPr>
      </w:pPr>
      <w:r w:rsidRPr="4F89B82E">
        <w:rPr>
          <w:lang w:eastAsia="en-US" w:bidi="ar-SA"/>
        </w:rPr>
        <w:t>Dedicated professional expertise specialising in the management of systemic and structural complexity, who function in close collaboration with a diverse range of traditional subject matter experts</w:t>
      </w:r>
      <w:r w:rsidR="00374950">
        <w:rPr>
          <w:lang w:eastAsia="en-US" w:bidi="ar-SA"/>
        </w:rPr>
        <w:t xml:space="preserve">. </w:t>
      </w:r>
    </w:p>
    <w:p w14:paraId="45B28128" w14:textId="77777777" w:rsidR="008917FD" w:rsidRPr="002C72C2" w:rsidRDefault="008917FD" w:rsidP="00BE69FD">
      <w:pPr>
        <w:pStyle w:val="ListParagraph"/>
        <w:numPr>
          <w:ilvl w:val="0"/>
          <w:numId w:val="0"/>
        </w:numPr>
        <w:spacing w:before="0" w:line="264" w:lineRule="auto"/>
        <w:ind w:left="720"/>
        <w:rPr>
          <w:lang w:eastAsia="en-US" w:bidi="ar-SA"/>
        </w:rPr>
      </w:pPr>
    </w:p>
    <w:p w14:paraId="2E3B3A48" w14:textId="77777777" w:rsidR="00807EBB" w:rsidRDefault="00807EBB">
      <w:r>
        <w:rPr>
          <w:b/>
          <w:bCs/>
        </w:rPr>
        <w:br w:type="page"/>
      </w:r>
    </w:p>
    <w:tbl>
      <w:tblPr>
        <w:tblStyle w:val="GridTable5Dark"/>
        <w:tblW w:w="0" w:type="auto"/>
        <w:tblLook w:val="04A0" w:firstRow="1" w:lastRow="0" w:firstColumn="1" w:lastColumn="0" w:noHBand="0" w:noVBand="1"/>
      </w:tblPr>
      <w:tblGrid>
        <w:gridCol w:w="8210"/>
      </w:tblGrid>
      <w:tr w:rsidR="003612EB" w:rsidRPr="002F2243" w14:paraId="6FEFD97E" w14:textId="77777777" w:rsidTr="008F2E81">
        <w:trPr>
          <w:cnfStyle w:val="100000000000" w:firstRow="1" w:lastRow="0" w:firstColumn="0" w:lastColumn="0" w:oddVBand="0" w:evenVBand="0" w:oddHBand="0" w:evenHBand="0" w:firstRowFirstColumn="0" w:firstRowLastColumn="0" w:lastRowFirstColumn="0" w:lastRowLastColumn="0"/>
          <w:trHeight w:val="11903"/>
        </w:trPr>
        <w:tc>
          <w:tcPr>
            <w:cnfStyle w:val="001000000000" w:firstRow="0" w:lastRow="0" w:firstColumn="1" w:lastColumn="0" w:oddVBand="0" w:evenVBand="0" w:oddHBand="0" w:evenHBand="0" w:firstRowFirstColumn="0" w:firstRowLastColumn="0" w:lastRowFirstColumn="0" w:lastRowLastColumn="0"/>
            <w:tcW w:w="8210" w:type="dxa"/>
          </w:tcPr>
          <w:p w14:paraId="6D80703A" w14:textId="50668B77" w:rsidR="003612EB" w:rsidRPr="002C72C2" w:rsidRDefault="003612EB" w:rsidP="002019EB">
            <w:pPr>
              <w:spacing w:before="120" w:after="120" w:line="264" w:lineRule="auto"/>
              <w:ind w:left="176"/>
              <w:rPr>
                <w:rStyle w:val="Strong"/>
                <w:b w:val="0"/>
                <w:sz w:val="28"/>
                <w:lang w:eastAsia="en-US" w:bidi="ar-SA"/>
              </w:rPr>
            </w:pPr>
            <w:r w:rsidRPr="002C72C2">
              <w:rPr>
                <w:rStyle w:val="Strong"/>
                <w:b w:val="0"/>
                <w:sz w:val="28"/>
                <w:lang w:eastAsia="en-US" w:bidi="ar-SA"/>
              </w:rPr>
              <w:t xml:space="preserve">Key Concepts </w:t>
            </w:r>
            <w:r w:rsidR="00703C85">
              <w:rPr>
                <w:rStyle w:val="Strong"/>
                <w:b w:val="0"/>
                <w:sz w:val="28"/>
                <w:lang w:eastAsia="en-US" w:bidi="ar-SA"/>
              </w:rPr>
              <w:t>D</w:t>
            </w:r>
            <w:r w:rsidR="00615D43" w:rsidRPr="00F10C61">
              <w:rPr>
                <w:rFonts w:ascii="PP Mori SemiBold" w:hAnsi="PP Mori SemiBold"/>
                <w:noProof/>
                <w:sz w:val="20"/>
                <w:szCs w:val="20"/>
              </w:rPr>
              <w:drawing>
                <wp:inline distT="0" distB="0" distL="0" distR="0" wp14:anchorId="36A6729C" wp14:editId="1D5AC212">
                  <wp:extent cx="272006" cy="272006"/>
                  <wp:effectExtent l="0" t="0" r="6350" b="6350"/>
                  <wp:docPr id="1498522883"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272006" cy="272006"/>
                          </a:xfrm>
                          <a:prstGeom prst="rect">
                            <a:avLst/>
                          </a:prstGeom>
                        </pic:spPr>
                      </pic:pic>
                    </a:graphicData>
                  </a:graphic>
                </wp:inline>
              </w:drawing>
            </w:r>
          </w:p>
          <w:p w14:paraId="735E4E50" w14:textId="77777777" w:rsidR="003612EB" w:rsidRPr="00615D43" w:rsidRDefault="003612EB" w:rsidP="001C6A4E">
            <w:pPr>
              <w:pStyle w:val="Subtitle"/>
              <w:spacing w:before="180" w:after="120" w:line="264" w:lineRule="auto"/>
              <w:ind w:left="175"/>
              <w:rPr>
                <w:rStyle w:val="Emphasis"/>
                <w:rFonts w:ascii="PP Mori SemiBold" w:hAnsi="PP Mori SemiBold"/>
                <w:sz w:val="24"/>
                <w:szCs w:val="40"/>
              </w:rPr>
            </w:pPr>
            <w:r w:rsidRPr="00615D43">
              <w:rPr>
                <w:rStyle w:val="Emphasis"/>
                <w:rFonts w:ascii="PP Mori SemiBold" w:hAnsi="PP Mori SemiBold"/>
                <w:sz w:val="24"/>
                <w:szCs w:val="40"/>
              </w:rPr>
              <w:t>Complexity</w:t>
            </w:r>
          </w:p>
          <w:p w14:paraId="03EF4CFA" w14:textId="720D85BA" w:rsidR="003612EB" w:rsidRPr="002C72C2" w:rsidRDefault="003612EB" w:rsidP="00926C99">
            <w:pPr>
              <w:spacing w:before="120" w:after="120" w:line="264" w:lineRule="auto"/>
              <w:ind w:left="176"/>
              <w:rPr>
                <w:b w:val="0"/>
                <w:lang w:eastAsia="en-US" w:bidi="ar-SA"/>
              </w:rPr>
            </w:pPr>
            <w:r w:rsidRPr="002C72C2">
              <w:rPr>
                <w:b w:val="0"/>
                <w:lang w:eastAsia="en-US" w:bidi="ar-SA"/>
              </w:rPr>
              <w:t xml:space="preserve">A </w:t>
            </w:r>
            <w:r w:rsidR="00476324" w:rsidRPr="002C72C2">
              <w:rPr>
                <w:b w:val="0"/>
                <w:lang w:eastAsia="en-US" w:bidi="ar-SA"/>
              </w:rPr>
              <w:t>s</w:t>
            </w:r>
            <w:r w:rsidRPr="002C72C2">
              <w:rPr>
                <w:b w:val="0"/>
                <w:lang w:eastAsia="en-US" w:bidi="ar-SA"/>
              </w:rPr>
              <w:t>ystem is complex if it has many interrelated, interconnected, or interdependent entities and relationships</w:t>
            </w:r>
            <w:r w:rsidR="00374950">
              <w:rPr>
                <w:b w:val="0"/>
                <w:lang w:eastAsia="en-US" w:bidi="ar-SA"/>
              </w:rPr>
              <w:t xml:space="preserve">. </w:t>
            </w:r>
            <w:r w:rsidRPr="002C72C2">
              <w:rPr>
                <w:b w:val="0"/>
                <w:lang w:eastAsia="en-US" w:bidi="ar-SA"/>
              </w:rPr>
              <w:t xml:space="preserve">A high-level indicator of the complexity of any </w:t>
            </w:r>
            <w:r w:rsidR="00476324" w:rsidRPr="002C72C2">
              <w:rPr>
                <w:b w:val="0"/>
                <w:lang w:eastAsia="en-US" w:bidi="ar-SA"/>
              </w:rPr>
              <w:t>s</w:t>
            </w:r>
            <w:r w:rsidRPr="002C72C2">
              <w:rPr>
                <w:b w:val="0"/>
                <w:lang w:eastAsia="en-US" w:bidi="ar-SA"/>
              </w:rPr>
              <w:t xml:space="preserve">ystem is the amount of information required to describe its full range of functions and behaviours (i.e. words, formulae, lines of code, etc.). </w:t>
            </w:r>
          </w:p>
          <w:p w14:paraId="0E68B451" w14:textId="7DABB213" w:rsidR="003612EB" w:rsidRPr="002C72C2" w:rsidRDefault="003612EB" w:rsidP="00926C99">
            <w:pPr>
              <w:spacing w:before="120" w:after="120" w:line="264" w:lineRule="auto"/>
              <w:ind w:left="176"/>
              <w:rPr>
                <w:b w:val="0"/>
                <w:lang w:eastAsia="en-US" w:bidi="ar-SA"/>
              </w:rPr>
            </w:pPr>
            <w:r w:rsidRPr="002C72C2">
              <w:rPr>
                <w:b w:val="0"/>
                <w:lang w:eastAsia="en-US" w:bidi="ar-SA"/>
              </w:rPr>
              <w:t xml:space="preserve">It is important to note that additional </w:t>
            </w:r>
            <w:r w:rsidR="00476324" w:rsidRPr="002C72C2">
              <w:rPr>
                <w:b w:val="0"/>
                <w:lang w:eastAsia="en-US" w:bidi="ar-SA"/>
              </w:rPr>
              <w:t>c</w:t>
            </w:r>
            <w:r w:rsidRPr="002C72C2">
              <w:rPr>
                <w:b w:val="0"/>
                <w:lang w:eastAsia="en-US" w:bidi="ar-SA"/>
              </w:rPr>
              <w:t xml:space="preserve">omplexity is driven into a legacy </w:t>
            </w:r>
            <w:r w:rsidR="00476324" w:rsidRPr="002C72C2">
              <w:rPr>
                <w:b w:val="0"/>
                <w:lang w:eastAsia="en-US" w:bidi="ar-SA"/>
              </w:rPr>
              <w:t>s</w:t>
            </w:r>
            <w:r w:rsidRPr="002C72C2">
              <w:rPr>
                <w:b w:val="0"/>
                <w:lang w:eastAsia="en-US" w:bidi="ar-SA"/>
              </w:rPr>
              <w:t>ystem by ‘asking more’ of it: more functions, more interdependencies, more robustness, more flexibility, etc</w:t>
            </w:r>
            <w:r w:rsidR="00374950">
              <w:rPr>
                <w:b w:val="0"/>
                <w:lang w:eastAsia="en-US" w:bidi="ar-SA"/>
              </w:rPr>
              <w:t xml:space="preserve">. </w:t>
            </w:r>
            <w:r w:rsidRPr="002C72C2">
              <w:rPr>
                <w:b w:val="0"/>
                <w:lang w:eastAsia="en-US" w:bidi="ar-SA"/>
              </w:rPr>
              <w:t xml:space="preserve">This expansion of </w:t>
            </w:r>
            <w:r w:rsidR="00476324" w:rsidRPr="002C72C2">
              <w:rPr>
                <w:b w:val="0"/>
                <w:lang w:eastAsia="en-US" w:bidi="ar-SA"/>
              </w:rPr>
              <w:t>c</w:t>
            </w:r>
            <w:r w:rsidRPr="002C72C2">
              <w:rPr>
                <w:b w:val="0"/>
                <w:lang w:eastAsia="en-US" w:bidi="ar-SA"/>
              </w:rPr>
              <w:t xml:space="preserve">omplexity is always exacerbated by the addition of new </w:t>
            </w:r>
            <w:r w:rsidR="00476324" w:rsidRPr="002C72C2">
              <w:rPr>
                <w:b w:val="0"/>
                <w:lang w:eastAsia="en-US" w:bidi="ar-SA"/>
              </w:rPr>
              <w:t>c</w:t>
            </w:r>
            <w:r w:rsidRPr="002C72C2">
              <w:rPr>
                <w:b w:val="0"/>
                <w:lang w:eastAsia="en-US" w:bidi="ar-SA"/>
              </w:rPr>
              <w:t xml:space="preserve">omponents and may ultimately require targeted modifications to the </w:t>
            </w:r>
            <w:r w:rsidR="00476324" w:rsidRPr="002C72C2">
              <w:rPr>
                <w:b w:val="0"/>
                <w:lang w:eastAsia="en-US" w:bidi="ar-SA"/>
              </w:rPr>
              <w:t>s</w:t>
            </w:r>
            <w:r w:rsidRPr="002C72C2">
              <w:rPr>
                <w:b w:val="0"/>
                <w:lang w:eastAsia="en-US" w:bidi="ar-SA"/>
              </w:rPr>
              <w:t>tructure through the application of</w:t>
            </w:r>
            <w:r w:rsidR="00313D01">
              <w:rPr>
                <w:b w:val="0"/>
                <w:lang w:eastAsia="en-US" w:bidi="ar-SA"/>
              </w:rPr>
              <w:t xml:space="preserve"> Systems Architecture discipline</w:t>
            </w:r>
            <w:r w:rsidRPr="002C72C2">
              <w:rPr>
                <w:b w:val="0"/>
                <w:lang w:eastAsia="en-US" w:bidi="ar-SA"/>
              </w:rPr>
              <w:t>s</w:t>
            </w:r>
            <w:r w:rsidR="00374950">
              <w:rPr>
                <w:b w:val="0"/>
                <w:lang w:eastAsia="en-US" w:bidi="ar-SA"/>
              </w:rPr>
              <w:t xml:space="preserve">. </w:t>
            </w:r>
          </w:p>
          <w:p w14:paraId="61DA4251" w14:textId="57831268" w:rsidR="003612EB" w:rsidRPr="00615D43" w:rsidRDefault="003612EB" w:rsidP="001C6A4E">
            <w:pPr>
              <w:pStyle w:val="Subtitle"/>
              <w:spacing w:before="180" w:after="120" w:line="264" w:lineRule="auto"/>
              <w:ind w:left="175"/>
              <w:rPr>
                <w:rStyle w:val="Emphasis"/>
                <w:rFonts w:ascii="PP Mori SemiBold" w:hAnsi="PP Mori SemiBold"/>
                <w:sz w:val="24"/>
                <w:szCs w:val="40"/>
              </w:rPr>
            </w:pPr>
            <w:r w:rsidRPr="00615D43">
              <w:rPr>
                <w:rStyle w:val="Emphasis"/>
                <w:rFonts w:ascii="PP Mori SemiBold" w:hAnsi="PP Mori SemiBold"/>
                <w:sz w:val="24"/>
                <w:szCs w:val="40"/>
              </w:rPr>
              <w:t>Ultra Large</w:t>
            </w:r>
            <w:r w:rsidR="008F4B7C">
              <w:rPr>
                <w:rStyle w:val="Emphasis"/>
                <w:rFonts w:ascii="PP Mori SemiBold" w:hAnsi="PP Mori SemiBold"/>
                <w:sz w:val="24"/>
                <w:szCs w:val="40"/>
              </w:rPr>
              <w:t xml:space="preserve"> S</w:t>
            </w:r>
            <w:r w:rsidRPr="00615D43">
              <w:rPr>
                <w:rStyle w:val="Emphasis"/>
                <w:rFonts w:ascii="PP Mori SemiBold" w:hAnsi="PP Mori SemiBold"/>
                <w:sz w:val="24"/>
                <w:szCs w:val="40"/>
              </w:rPr>
              <w:t>cale (ULS) Complexity</w:t>
            </w:r>
          </w:p>
          <w:p w14:paraId="0D2F14CA" w14:textId="17C24F30" w:rsidR="003612EB" w:rsidRPr="002C72C2" w:rsidRDefault="003612EB" w:rsidP="001C6A4E">
            <w:pPr>
              <w:spacing w:before="0" w:after="60" w:line="264" w:lineRule="auto"/>
              <w:ind w:left="175"/>
              <w:rPr>
                <w:b w:val="0"/>
                <w:lang w:eastAsia="en-US" w:bidi="ar-SA"/>
              </w:rPr>
            </w:pPr>
            <w:r w:rsidRPr="002C72C2">
              <w:rPr>
                <w:b w:val="0"/>
                <w:lang w:eastAsia="en-US" w:bidi="ar-SA"/>
              </w:rPr>
              <w:t xml:space="preserve">Extremely large, ultra-complex </w:t>
            </w:r>
            <w:r w:rsidR="00476324" w:rsidRPr="002C72C2">
              <w:rPr>
                <w:b w:val="0"/>
                <w:lang w:eastAsia="en-US" w:bidi="ar-SA"/>
              </w:rPr>
              <w:t>s</w:t>
            </w:r>
            <w:r w:rsidRPr="002C72C2">
              <w:rPr>
                <w:b w:val="0"/>
                <w:lang w:eastAsia="en-US" w:bidi="ar-SA"/>
              </w:rPr>
              <w:t xml:space="preserve">ystems that consist of unparalleled volumes of: hardware and software; data storage and exchange; computational elements and lines of code; participants, stakeholders and end-users; </w:t>
            </w:r>
            <w:r w:rsidR="00293C3F" w:rsidRPr="002C72C2">
              <w:rPr>
                <w:b w:val="0"/>
                <w:lang w:eastAsia="en-US" w:bidi="ar-SA"/>
              </w:rPr>
              <w:t>and</w:t>
            </w:r>
            <w:r w:rsidRPr="002C72C2">
              <w:rPr>
                <w:b w:val="0"/>
                <w:lang w:eastAsia="en-US" w:bidi="ar-SA"/>
              </w:rPr>
              <w:t xml:space="preserve"> multiple complicated </w:t>
            </w:r>
            <w:r w:rsidR="00476324" w:rsidRPr="002C72C2">
              <w:rPr>
                <w:b w:val="0"/>
                <w:lang w:eastAsia="en-US" w:bidi="ar-SA"/>
              </w:rPr>
              <w:t>s</w:t>
            </w:r>
            <w:r w:rsidRPr="002C72C2">
              <w:rPr>
                <w:b w:val="0"/>
                <w:lang w:eastAsia="en-US" w:bidi="ar-SA"/>
              </w:rPr>
              <w:t>tructures interconnected in complicated ways</w:t>
            </w:r>
            <w:r w:rsidR="00374950">
              <w:rPr>
                <w:b w:val="0"/>
                <w:lang w:eastAsia="en-US" w:bidi="ar-SA"/>
              </w:rPr>
              <w:t xml:space="preserve">. </w:t>
            </w:r>
          </w:p>
          <w:p w14:paraId="623D4A6B" w14:textId="0562AC88" w:rsidR="003612EB" w:rsidRPr="002C72C2" w:rsidRDefault="003612EB" w:rsidP="00954BAC">
            <w:pPr>
              <w:pStyle w:val="ListParagraph"/>
              <w:numPr>
                <w:ilvl w:val="0"/>
                <w:numId w:val="8"/>
              </w:numPr>
              <w:spacing w:before="0" w:after="60" w:line="264" w:lineRule="auto"/>
              <w:rPr>
                <w:b w:val="0"/>
                <w:lang w:eastAsia="en-US" w:bidi="ar-SA"/>
              </w:rPr>
            </w:pPr>
            <w:r w:rsidRPr="002C72C2">
              <w:rPr>
                <w:b w:val="0"/>
                <w:lang w:eastAsia="en-US" w:bidi="ar-SA"/>
              </w:rPr>
              <w:t xml:space="preserve">A ULS </w:t>
            </w:r>
            <w:r w:rsidR="00807EBB">
              <w:rPr>
                <w:b w:val="0"/>
                <w:lang w:eastAsia="en-US" w:bidi="ar-SA"/>
              </w:rPr>
              <w:t>s</w:t>
            </w:r>
            <w:r w:rsidRPr="002C72C2">
              <w:rPr>
                <w:b w:val="0"/>
                <w:lang w:eastAsia="en-US" w:bidi="ar-SA"/>
              </w:rPr>
              <w:t>ystem also typically exhibits the following characteristics</w:t>
            </w:r>
          </w:p>
          <w:p w14:paraId="645CDE2F" w14:textId="4968DFB3" w:rsidR="003612EB" w:rsidRPr="002C72C2" w:rsidRDefault="003612EB" w:rsidP="00EB2823">
            <w:pPr>
              <w:pStyle w:val="ListParagraph"/>
              <w:spacing w:before="0" w:after="60" w:line="264" w:lineRule="auto"/>
              <w:rPr>
                <w:b w:val="0"/>
                <w:lang w:eastAsia="en-US" w:bidi="ar-SA"/>
              </w:rPr>
            </w:pPr>
            <w:r w:rsidRPr="002C72C2">
              <w:rPr>
                <w:b w:val="0"/>
                <w:lang w:eastAsia="en-US" w:bidi="ar-SA"/>
              </w:rPr>
              <w:t>Wide geographic scales (continental to precinct)</w:t>
            </w:r>
          </w:p>
          <w:p w14:paraId="59C49FD1" w14:textId="197728B8" w:rsidR="003612EB" w:rsidRPr="002C72C2" w:rsidRDefault="003612EB" w:rsidP="00954BAC">
            <w:pPr>
              <w:pStyle w:val="ListParagraph"/>
              <w:numPr>
                <w:ilvl w:val="0"/>
                <w:numId w:val="8"/>
              </w:numPr>
              <w:spacing w:before="0" w:after="60" w:line="264" w:lineRule="auto"/>
              <w:rPr>
                <w:b w:val="0"/>
                <w:lang w:eastAsia="en-US" w:bidi="ar-SA"/>
              </w:rPr>
            </w:pPr>
            <w:r w:rsidRPr="002C72C2">
              <w:rPr>
                <w:b w:val="0"/>
                <w:lang w:eastAsia="en-US" w:bidi="ar-SA"/>
              </w:rPr>
              <w:t>Wide-time scales (years to microseconds</w:t>
            </w:r>
            <w:r w:rsidR="00A47E06">
              <w:rPr>
                <w:b w:val="0"/>
                <w:lang w:eastAsia="en-US" w:bidi="ar-SA"/>
              </w:rPr>
              <w:t>)</w:t>
            </w:r>
          </w:p>
          <w:p w14:paraId="67340098" w14:textId="44B5F49F" w:rsidR="003612EB" w:rsidRPr="002C72C2" w:rsidRDefault="003612EB" w:rsidP="00954BAC">
            <w:pPr>
              <w:pStyle w:val="ListParagraph"/>
              <w:numPr>
                <w:ilvl w:val="0"/>
                <w:numId w:val="8"/>
              </w:numPr>
              <w:spacing w:before="0" w:after="60" w:line="264" w:lineRule="auto"/>
              <w:rPr>
                <w:b w:val="0"/>
                <w:lang w:eastAsia="en-US" w:bidi="ar-SA"/>
              </w:rPr>
            </w:pPr>
            <w:r w:rsidRPr="002C72C2">
              <w:rPr>
                <w:b w:val="0"/>
                <w:lang w:eastAsia="en-US" w:bidi="ar-SA"/>
              </w:rPr>
              <w:t>Long-term evolution and near continual deployments</w:t>
            </w:r>
          </w:p>
          <w:p w14:paraId="5107C818" w14:textId="137652E1" w:rsidR="003612EB" w:rsidRPr="002C72C2" w:rsidRDefault="003612EB" w:rsidP="00954BAC">
            <w:pPr>
              <w:pStyle w:val="ListParagraph"/>
              <w:numPr>
                <w:ilvl w:val="0"/>
                <w:numId w:val="8"/>
              </w:numPr>
              <w:spacing w:before="0" w:after="60" w:line="264" w:lineRule="auto"/>
              <w:rPr>
                <w:b w:val="0"/>
                <w:lang w:eastAsia="en-US" w:bidi="ar-SA"/>
              </w:rPr>
            </w:pPr>
            <w:r w:rsidRPr="002C72C2">
              <w:rPr>
                <w:b w:val="0"/>
                <w:lang w:eastAsia="en-US" w:bidi="ar-SA"/>
              </w:rPr>
              <w:t>Centralised and decentralised data, control, and development</w:t>
            </w:r>
          </w:p>
          <w:p w14:paraId="32942ABE" w14:textId="2E8C58EE" w:rsidR="003612EB" w:rsidRPr="002C72C2" w:rsidRDefault="003612EB" w:rsidP="00954BAC">
            <w:pPr>
              <w:pStyle w:val="ListParagraph"/>
              <w:numPr>
                <w:ilvl w:val="0"/>
                <w:numId w:val="8"/>
              </w:numPr>
              <w:spacing w:before="0" w:after="60" w:line="264" w:lineRule="auto"/>
              <w:rPr>
                <w:b w:val="0"/>
                <w:lang w:eastAsia="en-US" w:bidi="ar-SA"/>
              </w:rPr>
            </w:pPr>
            <w:r w:rsidRPr="002C72C2">
              <w:rPr>
                <w:b w:val="0"/>
                <w:lang w:eastAsia="en-US" w:bidi="ar-SA"/>
              </w:rPr>
              <w:t xml:space="preserve">Wide diversity of perspectives on the purpose(s) and priorities of the </w:t>
            </w:r>
            <w:r w:rsidR="00807EBB">
              <w:rPr>
                <w:b w:val="0"/>
                <w:lang w:eastAsia="en-US" w:bidi="ar-SA"/>
              </w:rPr>
              <w:t>s</w:t>
            </w:r>
            <w:r w:rsidRPr="002C72C2">
              <w:rPr>
                <w:b w:val="0"/>
                <w:lang w:eastAsia="en-US" w:bidi="ar-SA"/>
              </w:rPr>
              <w:t>ystem</w:t>
            </w:r>
          </w:p>
          <w:p w14:paraId="793895AF" w14:textId="593C770E" w:rsidR="003612EB" w:rsidRPr="002C72C2" w:rsidRDefault="003612EB" w:rsidP="00954BAC">
            <w:pPr>
              <w:pStyle w:val="ListParagraph"/>
              <w:numPr>
                <w:ilvl w:val="0"/>
                <w:numId w:val="8"/>
              </w:numPr>
              <w:spacing w:before="0" w:after="60" w:line="264" w:lineRule="auto"/>
              <w:rPr>
                <w:b w:val="0"/>
                <w:lang w:eastAsia="en-US" w:bidi="ar-SA"/>
              </w:rPr>
            </w:pPr>
            <w:r w:rsidRPr="002C72C2">
              <w:rPr>
                <w:b w:val="0"/>
                <w:lang w:eastAsia="en-US" w:bidi="ar-SA"/>
              </w:rPr>
              <w:t>Inherently conflicting diverse requirements and trade-offs</w:t>
            </w:r>
          </w:p>
          <w:p w14:paraId="0AD3528A" w14:textId="536040E5" w:rsidR="003612EB" w:rsidRPr="002C72C2" w:rsidRDefault="003612EB" w:rsidP="00954BAC">
            <w:pPr>
              <w:pStyle w:val="ListParagraph"/>
              <w:numPr>
                <w:ilvl w:val="0"/>
                <w:numId w:val="8"/>
              </w:numPr>
              <w:spacing w:before="0" w:after="60" w:line="264" w:lineRule="auto"/>
              <w:rPr>
                <w:b w:val="0"/>
                <w:lang w:eastAsia="en-US" w:bidi="ar-SA"/>
              </w:rPr>
            </w:pPr>
            <w:r w:rsidRPr="002C72C2">
              <w:rPr>
                <w:b w:val="0"/>
                <w:lang w:eastAsia="en-US" w:bidi="ar-SA"/>
              </w:rPr>
              <w:t>Heterogeneous, inconsistent, and changing elements</w:t>
            </w:r>
          </w:p>
          <w:p w14:paraId="2DD677BC" w14:textId="77777777" w:rsidR="003612EB" w:rsidRPr="00215C6A" w:rsidRDefault="003612EB" w:rsidP="00954BAC">
            <w:pPr>
              <w:pStyle w:val="ListParagraph"/>
              <w:numPr>
                <w:ilvl w:val="0"/>
                <w:numId w:val="8"/>
              </w:numPr>
              <w:spacing w:before="0" w:after="60" w:line="264" w:lineRule="auto"/>
              <w:rPr>
                <w:b w:val="0"/>
                <w:lang w:eastAsia="en-US" w:bidi="ar-SA"/>
              </w:rPr>
            </w:pPr>
            <w:r w:rsidRPr="002C72C2">
              <w:rPr>
                <w:b w:val="0"/>
                <w:lang w:eastAsia="en-US" w:bidi="ar-SA"/>
              </w:rPr>
              <w:t>Locational failures and response occur as a matter of normal operations.</w:t>
            </w:r>
          </w:p>
          <w:p w14:paraId="06A7F9D1" w14:textId="77777777" w:rsidR="002019EB" w:rsidRPr="00AB07B0" w:rsidRDefault="002019EB" w:rsidP="002019EB">
            <w:pPr>
              <w:pStyle w:val="Subtitle"/>
              <w:spacing w:after="120" w:line="264" w:lineRule="auto"/>
              <w:ind w:left="175" w:right="175"/>
              <w:rPr>
                <w:rStyle w:val="Emphasis"/>
                <w:rFonts w:ascii="PP Mori SemiBold" w:hAnsi="PP Mori SemiBold"/>
                <w:sz w:val="24"/>
                <w:szCs w:val="40"/>
              </w:rPr>
            </w:pPr>
            <w:r w:rsidRPr="00AB07B0">
              <w:rPr>
                <w:rStyle w:val="Emphasis"/>
                <w:rFonts w:ascii="PP Mori SemiBold" w:hAnsi="PP Mori SemiBold"/>
                <w:sz w:val="24"/>
                <w:szCs w:val="40"/>
              </w:rPr>
              <w:t xml:space="preserve">Rough </w:t>
            </w:r>
            <w:r>
              <w:rPr>
                <w:rStyle w:val="Emphasis"/>
                <w:rFonts w:ascii="PP Mori SemiBold" w:hAnsi="PP Mori SemiBold"/>
                <w:sz w:val="24"/>
                <w:szCs w:val="40"/>
              </w:rPr>
              <w:t>C</w:t>
            </w:r>
            <w:r w:rsidRPr="00AB07B0">
              <w:rPr>
                <w:rStyle w:val="Emphasis"/>
                <w:rFonts w:ascii="PP Mori SemiBold" w:hAnsi="PP Mori SemiBold"/>
                <w:sz w:val="24"/>
                <w:szCs w:val="40"/>
              </w:rPr>
              <w:t>onsensus</w:t>
            </w:r>
          </w:p>
          <w:p w14:paraId="0CE2B2BE" w14:textId="08EECB91" w:rsidR="00215C6A" w:rsidRPr="002019EB" w:rsidRDefault="002019EB" w:rsidP="00807EBB">
            <w:pPr>
              <w:spacing w:before="0" w:after="60" w:line="264" w:lineRule="auto"/>
              <w:ind w:left="175"/>
              <w:rPr>
                <w:b w:val="0"/>
                <w:lang w:eastAsia="en-US" w:bidi="ar-SA"/>
              </w:rPr>
            </w:pPr>
            <w:r w:rsidRPr="002C72C2">
              <w:rPr>
                <w:b w:val="0"/>
                <w:lang w:eastAsia="en-US" w:bidi="ar-SA"/>
              </w:rPr>
              <w:t xml:space="preserve">A </w:t>
            </w:r>
            <w:r w:rsidR="00583C9B">
              <w:rPr>
                <w:b w:val="0"/>
                <w:lang w:eastAsia="en-US" w:bidi="ar-SA"/>
              </w:rPr>
              <w:t xml:space="preserve">collaborative </w:t>
            </w:r>
            <w:r w:rsidRPr="002C72C2">
              <w:rPr>
                <w:b w:val="0"/>
                <w:lang w:eastAsia="en-US" w:bidi="ar-SA"/>
              </w:rPr>
              <w:t>model developed by the Internet Engineering Task Force (IETF)</w:t>
            </w:r>
            <w:hyperlink w:anchor="Ref_7" w:history="1">
              <w:r w:rsidR="00AA0B90" w:rsidRPr="00293C3F">
                <w:rPr>
                  <w:rStyle w:val="Hyperlink"/>
                  <w:lang w:eastAsia="en-US" w:bidi="ar-SA"/>
                </w:rPr>
                <w:fldChar w:fldCharType="begin"/>
              </w:r>
              <w:r w:rsidR="00562D82" w:rsidRPr="00293C3F">
                <w:rPr>
                  <w:rStyle w:val="Hyperlink"/>
                  <w:b w:val="0"/>
                  <w:bCs w:val="0"/>
                  <w:lang w:eastAsia="en-US" w:bidi="ar-SA"/>
                </w:rPr>
                <w:instrText xml:space="preserve"> ADDIN ZOTERO_ITEM CSL_CITATION {"citationID":"jY34y5pf","properties":{"formattedCitation":"[7]","plainCitation":"[7]","noteIndex":0},"citationItems":[{"id":26,"uris":["http://zotero.org/users/17348326/items/NDGSFSRR"],"itemData":{"id":26,"type":"document","abstract":"The IETF has had a long tradition of doing its technical work through\n   a consensus process, taking into account the different views among\n   IETF participants and coming to (at least rough) consensus on\n   technical matters.  In particular, the IETF is supposed not to be run\n   by a \"majority rule\" philosophy.  This is why we engage in rituals\n   like \"humming\" instead of voting.  However, more and more of our\n   actions are now indistinguishable from voting, and quite often we are\n   letting the majority win the day without consideration of minority\n   concerns.  This document explains some features of rough consensus,\n   what is not rough consensus, how we have gotten away from it, how we\n   might think about it differently, and the things we can do in order\n   to really achieve rough consensus.\n\n   Note: This document is quite consciously being put forward as\n   Informational.  It does not propose to change any IETF processes and\n   is therefore not a BCP.  It is simply a collection of principles,\n   hopefully around which the IETF can come to (at least rough)","title":"On Consensus and Humming in the IETF","title-short":"RFC 7282","URL":"https://datatracker.ietf.org/doc/html/rfc7282?utm_source=chatgpt.com","author":[{"family":"Internet Engineering Task Force (IETF)","given":""},{"family":"Resnick","given":"Pete"}],"issued":{"date-parts":[["2014",6]]}}}],"schema":"https://github.com/citation-style-language/schema/raw/master/csl-citation.json"} </w:instrText>
              </w:r>
              <w:r w:rsidR="00AA0B90" w:rsidRPr="00293C3F">
                <w:rPr>
                  <w:rStyle w:val="Hyperlink"/>
                  <w:lang w:eastAsia="en-US" w:bidi="ar-SA"/>
                </w:rPr>
                <w:fldChar w:fldCharType="separate"/>
              </w:r>
              <w:r w:rsidR="00562D82" w:rsidRPr="00293C3F">
                <w:rPr>
                  <w:rStyle w:val="Hyperlink"/>
                  <w:b w:val="0"/>
                  <w:bCs w:val="0"/>
                </w:rPr>
                <w:t>[7]</w:t>
              </w:r>
              <w:r w:rsidR="00AA0B90" w:rsidRPr="00293C3F">
                <w:rPr>
                  <w:rStyle w:val="Hyperlink"/>
                  <w:lang w:eastAsia="en-US" w:bidi="ar-SA"/>
                </w:rPr>
                <w:fldChar w:fldCharType="end"/>
              </w:r>
            </w:hyperlink>
            <w:r w:rsidRPr="002C72C2">
              <w:rPr>
                <w:b w:val="0"/>
                <w:lang w:eastAsia="en-US" w:bidi="ar-SA"/>
              </w:rPr>
              <w:t>, the premier standards development organisation for the Internet</w:t>
            </w:r>
            <w:r w:rsidR="00B37CA3">
              <w:rPr>
                <w:b w:val="0"/>
                <w:lang w:eastAsia="en-US" w:bidi="ar-SA"/>
              </w:rPr>
              <w:t>, for effective</w:t>
            </w:r>
            <w:r w:rsidR="00D85541">
              <w:rPr>
                <w:b w:val="0"/>
                <w:lang w:eastAsia="en-US" w:bidi="ar-SA"/>
              </w:rPr>
              <w:t xml:space="preserve"> multi-stakeholder problem solving </w:t>
            </w:r>
            <w:r w:rsidR="00583C9B">
              <w:rPr>
                <w:b w:val="0"/>
                <w:lang w:eastAsia="en-US" w:bidi="ar-SA"/>
              </w:rPr>
              <w:t xml:space="preserve">in an </w:t>
            </w:r>
            <w:r w:rsidR="00D85541">
              <w:rPr>
                <w:b w:val="0"/>
                <w:lang w:eastAsia="en-US" w:bidi="ar-SA"/>
              </w:rPr>
              <w:t>ultra-complex system</w:t>
            </w:r>
            <w:r w:rsidR="00583C9B">
              <w:rPr>
                <w:b w:val="0"/>
                <w:lang w:eastAsia="en-US" w:bidi="ar-SA"/>
              </w:rPr>
              <w:t xml:space="preserve">s </w:t>
            </w:r>
            <w:r w:rsidR="00EB0944">
              <w:rPr>
                <w:b w:val="0"/>
                <w:lang w:eastAsia="en-US" w:bidi="ar-SA"/>
              </w:rPr>
              <w:t>environment</w:t>
            </w:r>
            <w:r w:rsidR="00583C9B">
              <w:rPr>
                <w:b w:val="0"/>
                <w:lang w:eastAsia="en-US" w:bidi="ar-SA"/>
              </w:rPr>
              <w:t xml:space="preserve">. </w:t>
            </w:r>
            <w:r w:rsidRPr="002C72C2">
              <w:rPr>
                <w:b w:val="0"/>
                <w:lang w:eastAsia="en-US" w:bidi="ar-SA"/>
              </w:rPr>
              <w:t>It provides a collaborative approach to achieving general agreement among multiple participants, rather than strict unanimity or a formal majority. It emphasises general alignment of the direction while allowing for areas of dissent</w:t>
            </w:r>
            <w:r w:rsidR="00374950">
              <w:rPr>
                <w:b w:val="0"/>
                <w:lang w:eastAsia="en-US" w:bidi="ar-SA"/>
              </w:rPr>
              <w:t xml:space="preserve">. </w:t>
            </w:r>
            <w:r w:rsidRPr="002C72C2">
              <w:rPr>
                <w:b w:val="0"/>
                <w:lang w:eastAsia="en-US" w:bidi="ar-SA"/>
              </w:rPr>
              <w:t>Points of disagreement are weighed and collectively explored rather than ignored. Decision making largely based on voting outcomes, without understanding and addressing meaningful technical concerns, is avoided</w:t>
            </w:r>
            <w:r w:rsidR="00807EBB">
              <w:rPr>
                <w:b w:val="0"/>
                <w:lang w:eastAsia="en-US" w:bidi="ar-SA"/>
              </w:rPr>
              <w:t xml:space="preserve">. </w:t>
            </w:r>
          </w:p>
        </w:tc>
      </w:tr>
    </w:tbl>
    <w:p w14:paraId="488138E7" w14:textId="77777777" w:rsidR="003612EB" w:rsidRPr="002C72C2" w:rsidRDefault="003612EB" w:rsidP="00EB2823">
      <w:pPr>
        <w:spacing w:before="0" w:after="160" w:line="264" w:lineRule="auto"/>
        <w:rPr>
          <w:rFonts w:ascii="PP Mori SemiBold" w:eastAsiaTheme="majorEastAsia" w:hAnsi="PP Mori SemiBold" w:cstheme="majorBidi"/>
          <w:color w:val="001D25" w:themeColor="accent1" w:themeShade="80"/>
          <w:sz w:val="24"/>
          <w:szCs w:val="30"/>
          <w:lang w:eastAsia="en-US" w:bidi="ar-SA"/>
        </w:rPr>
      </w:pPr>
      <w:r w:rsidRPr="002C72C2">
        <w:rPr>
          <w:lang w:eastAsia="en-US" w:bidi="ar-SA"/>
        </w:rPr>
        <w:br w:type="page"/>
      </w:r>
    </w:p>
    <w:p w14:paraId="37F0E827" w14:textId="36C50180" w:rsidR="003E6261" w:rsidRPr="002C72C2" w:rsidRDefault="003E6261" w:rsidP="00EB2823">
      <w:pPr>
        <w:pStyle w:val="Heading3"/>
        <w:spacing w:line="264" w:lineRule="auto"/>
        <w:rPr>
          <w:lang w:eastAsia="en-US" w:bidi="ar-SA"/>
        </w:rPr>
      </w:pPr>
      <w:bookmarkStart w:id="50" w:name="_Toc205533962"/>
      <w:r w:rsidRPr="002C72C2">
        <w:rPr>
          <w:lang w:eastAsia="en-US" w:bidi="ar-SA"/>
        </w:rPr>
        <w:t>Benefits Realisation Risks</w:t>
      </w:r>
      <w:bookmarkEnd w:id="50"/>
    </w:p>
    <w:tbl>
      <w:tblPr>
        <w:tblStyle w:val="TableGrid"/>
        <w:tblW w:w="0" w:type="auto"/>
        <w:tblLook w:val="04A0" w:firstRow="1" w:lastRow="0" w:firstColumn="1" w:lastColumn="0" w:noHBand="0" w:noVBand="1"/>
      </w:tblPr>
      <w:tblGrid>
        <w:gridCol w:w="8210"/>
      </w:tblGrid>
      <w:tr w:rsidR="00112D24" w14:paraId="36644485" w14:textId="77777777" w:rsidTr="008F2E81">
        <w:tc>
          <w:tcPr>
            <w:tcW w:w="8210" w:type="dxa"/>
            <w:shd w:val="clear" w:color="auto" w:fill="013C4C" w:themeFill="text1"/>
          </w:tcPr>
          <w:p w14:paraId="78FDA9B4" w14:textId="2F00EDB9" w:rsidR="00112D24" w:rsidRPr="00C52859" w:rsidRDefault="00DD641E" w:rsidP="00EB2823">
            <w:pPr>
              <w:spacing w:before="180" w:after="180" w:line="264" w:lineRule="auto"/>
              <w:ind w:left="176" w:right="176"/>
              <w:rPr>
                <w:i/>
                <w:iCs/>
                <w:lang w:eastAsia="en-US" w:bidi="ar-SA"/>
              </w:rPr>
            </w:pPr>
            <w:r w:rsidRPr="00C52859">
              <w:rPr>
                <w:i/>
                <w:iCs/>
                <w:lang w:eastAsia="en-US" w:bidi="ar-SA"/>
              </w:rPr>
              <w:t>Conventionally siloed, issue-in-isolation approaches to chang</w:t>
            </w:r>
            <w:r w:rsidR="00C52859">
              <w:rPr>
                <w:i/>
                <w:iCs/>
                <w:lang w:eastAsia="en-US" w:bidi="ar-SA"/>
              </w:rPr>
              <w:t xml:space="preserve">e, </w:t>
            </w:r>
            <w:r w:rsidRPr="00C52859">
              <w:rPr>
                <w:i/>
                <w:iCs/>
                <w:lang w:eastAsia="en-US" w:bidi="ar-SA"/>
              </w:rPr>
              <w:t>and the absence of formal models for holistic system transformation, place the realisation of $-billions of optimisation benefits for customers, society and the system at significant risk.</w:t>
            </w:r>
          </w:p>
        </w:tc>
      </w:tr>
    </w:tbl>
    <w:p w14:paraId="0CADDF12" w14:textId="5E2E32D3" w:rsidR="000C538C" w:rsidRPr="00FF7739" w:rsidRDefault="000C538C" w:rsidP="00954BAC">
      <w:pPr>
        <w:pStyle w:val="Heading4"/>
        <w:numPr>
          <w:ilvl w:val="0"/>
          <w:numId w:val="55"/>
        </w:numPr>
        <w:spacing w:before="240" w:after="120" w:line="264" w:lineRule="auto"/>
        <w:rPr>
          <w:i w:val="0"/>
          <w:iCs w:val="0"/>
        </w:rPr>
      </w:pPr>
      <w:r w:rsidRPr="00FF7739">
        <w:rPr>
          <w:i w:val="0"/>
          <w:iCs w:val="0"/>
        </w:rPr>
        <w:t>Cross Cutting Issue</w:t>
      </w:r>
    </w:p>
    <w:p w14:paraId="05537C20" w14:textId="0AE64C3F" w:rsidR="000C538C" w:rsidRPr="002C72C2" w:rsidRDefault="000C538C" w:rsidP="00EB2823">
      <w:pPr>
        <w:spacing w:before="120" w:after="120" w:line="264" w:lineRule="auto"/>
        <w:rPr>
          <w:lang w:eastAsia="en-US" w:bidi="ar-SA"/>
        </w:rPr>
      </w:pPr>
      <w:r w:rsidRPr="002C72C2">
        <w:rPr>
          <w:lang w:eastAsia="en-US" w:bidi="ar-SA"/>
        </w:rPr>
        <w:t xml:space="preserve">In contrast the unidirectional bulk delivery system of the 20th century, rapidly decarbonising </w:t>
      </w:r>
      <w:r w:rsidR="00766FB9" w:rsidRPr="002C72C2">
        <w:rPr>
          <w:lang w:eastAsia="en-US" w:bidi="ar-SA"/>
        </w:rPr>
        <w:t>p</w:t>
      </w:r>
      <w:r w:rsidR="0002096E" w:rsidRPr="002C72C2">
        <w:rPr>
          <w:lang w:eastAsia="en-US" w:bidi="ar-SA"/>
        </w:rPr>
        <w:t>ower system</w:t>
      </w:r>
      <w:r w:rsidRPr="002C72C2">
        <w:rPr>
          <w:lang w:eastAsia="en-US" w:bidi="ar-SA"/>
        </w:rPr>
        <w:t xml:space="preserve">s require </w:t>
      </w:r>
      <w:r w:rsidR="00466E57" w:rsidRPr="002C72C2">
        <w:rPr>
          <w:lang w:eastAsia="en-US" w:bidi="ar-SA"/>
        </w:rPr>
        <w:t>much</w:t>
      </w:r>
      <w:r w:rsidRPr="002C72C2">
        <w:rPr>
          <w:lang w:eastAsia="en-US" w:bidi="ar-SA"/>
        </w:rPr>
        <w:t xml:space="preserve"> greater levels of dynamic inter-dependence between both ends of the system</w:t>
      </w:r>
      <w:r w:rsidR="0073502A">
        <w:rPr>
          <w:lang w:eastAsia="en-US" w:bidi="ar-SA"/>
        </w:rPr>
        <w:t xml:space="preserve"> </w:t>
      </w:r>
      <w:r w:rsidR="00154881">
        <w:rPr>
          <w:lang w:eastAsia="en-US" w:bidi="ar-SA"/>
        </w:rPr>
        <w:fldChar w:fldCharType="begin"/>
      </w:r>
      <w:r w:rsidR="00F14AFD">
        <w:rPr>
          <w:lang w:eastAsia="en-US" w:bidi="ar-SA"/>
        </w:rPr>
        <w:instrText xml:space="preserve"> ADDIN ZOTERO_ITEM CSL_CITATION {"citationID":"Y7cM9TR4","properties":{"formattedCitation":"[8], [9]","plainCitation":"[8], [9]","noteIndex":0},"citationItems":[{"id":29,"uris":["http://zotero.org/users/17348326/items/RTAW48WM"],"itemData":{"id":29,"type":"report","title":"System Operation: Innovation Landscape (collection)","URL":"https://www.irena.org/-/media/Files/IRENA/Agency/Publication/2020/Jul/IRENA_System_Operation_Collection_2020.pdf","author":[{"family":"International Renewable Energy Agency (IRENA)","given":""}],"issued":{"date-parts":[["2020",7]]}}},{"id":30,"uris":["http://zotero.org/users/17348326/items/YSH4UJZ7"],"itemData":{"id":30,"type":"report","title":"Coordination of Distributed Energy Resources; International System Architecture Insights for Future Market Design","URL":"https://energypedia.info/images/4/47/069_Coordination_of_Distributed_Energy_Resources%3B_International_System_Architecture_Insights_for_Future_.pdf","author":[{"family":"Newport Consortium","given":""}],"issued":{"date-parts":[["2018",5,31]]}}}],"schema":"https://github.com/citation-style-language/schema/raw/master/csl-citation.json"} </w:instrText>
      </w:r>
      <w:r w:rsidR="00154881">
        <w:rPr>
          <w:lang w:eastAsia="en-US" w:bidi="ar-SA"/>
        </w:rPr>
        <w:fldChar w:fldCharType="separate"/>
      </w:r>
      <w:hyperlink w:anchor="Ref_8" w:history="1">
        <w:r w:rsidR="00CD796D" w:rsidRPr="001D55B4">
          <w:rPr>
            <w:rStyle w:val="Hyperlink"/>
          </w:rPr>
          <w:t>[8]</w:t>
        </w:r>
      </w:hyperlink>
      <w:r w:rsidR="00CD796D" w:rsidRPr="00CD796D">
        <w:t xml:space="preserve">, </w:t>
      </w:r>
      <w:hyperlink w:anchor="Ref_9" w:history="1">
        <w:r w:rsidR="00CD796D" w:rsidRPr="001D55B4">
          <w:rPr>
            <w:rStyle w:val="Hyperlink"/>
          </w:rPr>
          <w:t>[9]</w:t>
        </w:r>
      </w:hyperlink>
      <w:r w:rsidR="00154881">
        <w:rPr>
          <w:lang w:eastAsia="en-US" w:bidi="ar-SA"/>
        </w:rPr>
        <w:fldChar w:fldCharType="end"/>
      </w:r>
      <w:r w:rsidR="006E7608">
        <w:rPr>
          <w:lang w:eastAsia="en-US" w:bidi="ar-SA"/>
        </w:rPr>
        <w:t xml:space="preserve">, </w:t>
      </w:r>
      <w:hyperlink w:anchor="Ref_10" w:history="1">
        <w:r w:rsidR="00F14AFD" w:rsidRPr="001D55B4">
          <w:rPr>
            <w:rStyle w:val="Hyperlink"/>
            <w:lang w:eastAsia="en-US" w:bidi="ar-SA"/>
          </w:rPr>
          <w:fldChar w:fldCharType="begin"/>
        </w:r>
        <w:r w:rsidR="000242B0" w:rsidRPr="001D55B4">
          <w:rPr>
            <w:rStyle w:val="Hyperlink"/>
            <w:lang w:eastAsia="en-US" w:bidi="ar-SA"/>
          </w:rPr>
          <w:instrText xml:space="preserve"> ADDIN ZOTERO_ITEM CSL_CITATION {"citationID":"jNKyZRPq","properties":{"formattedCitation":"[10]","plainCitation":"[10]","noteIndex":0},"citationItems":[{"id":31,"uris":["http://zotero.org/users/17348326/items/K8FVINDG"],"itemData":{"id":31,"type":"report","title":"Evaluation of Combinations of Coordination Schemes and Products for Grid Services (Deliverable D6.2, Chapter</w:instrText>
        </w:r>
        <w:r w:rsidR="000242B0" w:rsidRPr="001D55B4">
          <w:rPr>
            <w:rStyle w:val="Hyperlink"/>
            <w:rFonts w:ascii="Cambria Math" w:hAnsi="Cambria Math" w:cs="Cambria Math"/>
            <w:lang w:eastAsia="en-US" w:bidi="ar-SA"/>
          </w:rPr>
          <w:instrText> </w:instrText>
        </w:r>
        <w:r w:rsidR="000242B0" w:rsidRPr="001D55B4">
          <w:rPr>
            <w:rStyle w:val="Hyperlink"/>
            <w:lang w:eastAsia="en-US" w:bidi="ar-SA"/>
          </w:rPr>
          <w:instrText xml:space="preserve">4)","URL":"https://zenodo.org/records/5871555","author":[{"family":"CoordiNet Project","given":""}],"issued":{"date-parts":[["2022"]]}}}],"schema":"https://github.com/citation-style-language/schema/raw/master/csl-citation.json"} </w:instrText>
        </w:r>
        <w:r w:rsidR="00F14AFD" w:rsidRPr="001D55B4">
          <w:rPr>
            <w:rStyle w:val="Hyperlink"/>
            <w:lang w:eastAsia="en-US" w:bidi="ar-SA"/>
          </w:rPr>
          <w:fldChar w:fldCharType="separate"/>
        </w:r>
        <w:r w:rsidR="00F14AFD" w:rsidRPr="001D55B4">
          <w:rPr>
            <w:rStyle w:val="Hyperlink"/>
          </w:rPr>
          <w:t>[10]</w:t>
        </w:r>
        <w:r w:rsidR="00F14AFD" w:rsidRPr="001D55B4">
          <w:rPr>
            <w:rStyle w:val="Hyperlink"/>
            <w:lang w:eastAsia="en-US" w:bidi="ar-SA"/>
          </w:rPr>
          <w:fldChar w:fldCharType="end"/>
        </w:r>
      </w:hyperlink>
      <w:r w:rsidR="00374950">
        <w:rPr>
          <w:lang w:eastAsia="en-US" w:bidi="ar-SA"/>
        </w:rPr>
        <w:t xml:space="preserve">. </w:t>
      </w:r>
      <w:r w:rsidR="00FA2642" w:rsidRPr="002C72C2">
        <w:rPr>
          <w:lang w:eastAsia="en-US" w:bidi="ar-SA"/>
        </w:rPr>
        <w:t xml:space="preserve">This will </w:t>
      </w:r>
      <w:r w:rsidR="00F70BD2" w:rsidRPr="002C72C2">
        <w:rPr>
          <w:lang w:eastAsia="en-US" w:bidi="ar-SA"/>
        </w:rPr>
        <w:t>require</w:t>
      </w:r>
      <w:r w:rsidR="00FA2642" w:rsidRPr="002C72C2">
        <w:rPr>
          <w:lang w:eastAsia="en-US" w:bidi="ar-SA"/>
        </w:rPr>
        <w:t xml:space="preserve"> the </w:t>
      </w:r>
      <w:r w:rsidRPr="002C72C2">
        <w:rPr>
          <w:lang w:eastAsia="en-US" w:bidi="ar-SA"/>
        </w:rPr>
        <w:t xml:space="preserve">bulk power, transmission and distribution systems – and </w:t>
      </w:r>
      <w:r w:rsidR="00FA2642" w:rsidRPr="002C72C2">
        <w:rPr>
          <w:lang w:eastAsia="en-US" w:bidi="ar-SA"/>
        </w:rPr>
        <w:t>Australia’s</w:t>
      </w:r>
      <w:r w:rsidRPr="002C72C2">
        <w:rPr>
          <w:lang w:eastAsia="en-US" w:bidi="ar-SA"/>
        </w:rPr>
        <w:t xml:space="preserve"> rapidly expanding fleet of </w:t>
      </w:r>
      <w:r w:rsidR="00766FB9" w:rsidRPr="002C72C2">
        <w:rPr>
          <w:lang w:eastAsia="en-US" w:bidi="ar-SA"/>
        </w:rPr>
        <w:t>CER/DER</w:t>
      </w:r>
      <w:r w:rsidRPr="002C72C2">
        <w:rPr>
          <w:lang w:eastAsia="en-US" w:bidi="ar-SA"/>
        </w:rPr>
        <w:t xml:space="preserve"> – </w:t>
      </w:r>
      <w:r w:rsidR="00FA2642" w:rsidRPr="002C72C2">
        <w:rPr>
          <w:lang w:eastAsia="en-US" w:bidi="ar-SA"/>
        </w:rPr>
        <w:t>to</w:t>
      </w:r>
      <w:r w:rsidRPr="002C72C2">
        <w:rPr>
          <w:lang w:eastAsia="en-US" w:bidi="ar-SA"/>
        </w:rPr>
        <w:t xml:space="preserve"> be made capable of functioning </w:t>
      </w:r>
      <w:r w:rsidR="00466E57" w:rsidRPr="002C72C2">
        <w:rPr>
          <w:lang w:eastAsia="en-US" w:bidi="ar-SA"/>
        </w:rPr>
        <w:t xml:space="preserve">together in a </w:t>
      </w:r>
      <w:r w:rsidR="00F70BD2" w:rsidRPr="002C72C2">
        <w:rPr>
          <w:lang w:eastAsia="en-US" w:bidi="ar-SA"/>
        </w:rPr>
        <w:t xml:space="preserve">significantly </w:t>
      </w:r>
      <w:r w:rsidR="00466E57" w:rsidRPr="002C72C2">
        <w:rPr>
          <w:lang w:eastAsia="en-US" w:bidi="ar-SA"/>
        </w:rPr>
        <w:t>more coordinated</w:t>
      </w:r>
      <w:r w:rsidRPr="002C72C2">
        <w:rPr>
          <w:lang w:eastAsia="en-US" w:bidi="ar-SA"/>
        </w:rPr>
        <w:t>, end-to-end manner</w:t>
      </w:r>
      <w:r w:rsidR="00374950">
        <w:rPr>
          <w:lang w:eastAsia="en-US" w:bidi="ar-SA"/>
        </w:rPr>
        <w:t xml:space="preserve">. </w:t>
      </w:r>
    </w:p>
    <w:p w14:paraId="6ECD8F25" w14:textId="7864FBA2" w:rsidR="000C538C" w:rsidRPr="002C72C2" w:rsidRDefault="000C538C" w:rsidP="00EB2823">
      <w:pPr>
        <w:spacing w:before="120" w:after="120" w:line="264" w:lineRule="auto"/>
        <w:rPr>
          <w:lang w:eastAsia="en-US" w:bidi="ar-SA"/>
        </w:rPr>
      </w:pPr>
      <w:r w:rsidRPr="002C72C2">
        <w:rPr>
          <w:lang w:eastAsia="en-US" w:bidi="ar-SA"/>
        </w:rPr>
        <w:t>Despite a general recognition of the magnitude of transformation now unfolding,</w:t>
      </w:r>
      <w:r w:rsidR="00F70BD2" w:rsidRPr="002C72C2">
        <w:rPr>
          <w:lang w:eastAsia="en-US" w:bidi="ar-SA"/>
        </w:rPr>
        <w:t xml:space="preserve"> however, </w:t>
      </w:r>
      <w:r w:rsidRPr="002C72C2">
        <w:rPr>
          <w:lang w:eastAsia="en-US" w:bidi="ar-SA"/>
        </w:rPr>
        <w:t>Australia currently lacks</w:t>
      </w:r>
      <w:r w:rsidR="003745A8" w:rsidRPr="002C72C2">
        <w:rPr>
          <w:lang w:eastAsia="en-US" w:bidi="ar-SA"/>
        </w:rPr>
        <w:t xml:space="preserve"> a holistic approach to transformation desig</w:t>
      </w:r>
      <w:r w:rsidR="009130D2" w:rsidRPr="002C72C2">
        <w:rPr>
          <w:lang w:eastAsia="en-US" w:bidi="ar-SA"/>
        </w:rPr>
        <w:t>n in the electric power sector</w:t>
      </w:r>
      <w:r w:rsidR="00374950">
        <w:rPr>
          <w:lang w:eastAsia="en-US" w:bidi="ar-SA"/>
        </w:rPr>
        <w:t xml:space="preserve">. </w:t>
      </w:r>
      <w:r w:rsidR="00206E84" w:rsidRPr="002C72C2">
        <w:rPr>
          <w:lang w:eastAsia="en-US" w:bidi="ar-SA"/>
        </w:rPr>
        <w:t xml:space="preserve">Its absence means Australia’s </w:t>
      </w:r>
      <w:r w:rsidRPr="002C72C2">
        <w:rPr>
          <w:lang w:eastAsia="en-US" w:bidi="ar-SA"/>
        </w:rPr>
        <w:t>strategic context for integrated, collective action</w:t>
      </w:r>
      <w:r w:rsidR="00206E84" w:rsidRPr="002C72C2">
        <w:rPr>
          <w:lang w:eastAsia="en-US" w:bidi="ar-SA"/>
        </w:rPr>
        <w:t xml:space="preserve"> is limited, </w:t>
      </w:r>
      <w:r w:rsidRPr="002C72C2">
        <w:rPr>
          <w:lang w:eastAsia="en-US" w:bidi="ar-SA"/>
        </w:rPr>
        <w:t>further compounded by</w:t>
      </w:r>
      <w:r w:rsidR="002B36EB" w:rsidRPr="002C72C2">
        <w:rPr>
          <w:lang w:eastAsia="en-US" w:bidi="ar-SA"/>
        </w:rPr>
        <w:t xml:space="preserve"> </w:t>
      </w:r>
      <w:r w:rsidRPr="002C72C2">
        <w:rPr>
          <w:lang w:eastAsia="en-US" w:bidi="ar-SA"/>
        </w:rPr>
        <w:t>the absence of an emerging whole-system vision and the limited application of systems-based tools</w:t>
      </w:r>
      <w:r w:rsidR="002B36EB" w:rsidRPr="002C72C2">
        <w:rPr>
          <w:lang w:eastAsia="en-US" w:bidi="ar-SA"/>
        </w:rPr>
        <w:t xml:space="preserve"> (as outlined in Sections </w:t>
      </w:r>
      <w:hyperlink w:anchor="_Limited_Shared_Future" w:history="1">
        <w:r w:rsidR="002B36EB" w:rsidRPr="004468C7">
          <w:rPr>
            <w:rStyle w:val="Hyperlink"/>
            <w:lang w:eastAsia="en-US" w:bidi="ar-SA"/>
          </w:rPr>
          <w:t>4.1.1</w:t>
        </w:r>
      </w:hyperlink>
      <w:r w:rsidR="002B36EB" w:rsidRPr="002C72C2">
        <w:rPr>
          <w:lang w:eastAsia="en-US" w:bidi="ar-SA"/>
        </w:rPr>
        <w:t xml:space="preserve"> and </w:t>
      </w:r>
      <w:hyperlink w:anchor="_Inadequate_Complexity_Management" w:history="1">
        <w:r w:rsidR="002B36EB" w:rsidRPr="00181E78">
          <w:rPr>
            <w:rStyle w:val="Hyperlink"/>
            <w:lang w:eastAsia="en-US" w:bidi="ar-SA"/>
          </w:rPr>
          <w:t>4.1.2</w:t>
        </w:r>
      </w:hyperlink>
      <w:r w:rsidR="002B36EB" w:rsidRPr="002C72C2">
        <w:rPr>
          <w:lang w:eastAsia="en-US" w:bidi="ar-SA"/>
        </w:rPr>
        <w:t xml:space="preserve"> above).</w:t>
      </w:r>
    </w:p>
    <w:p w14:paraId="45DCA18E" w14:textId="1450BD37" w:rsidR="00C53A15" w:rsidRPr="002C72C2" w:rsidRDefault="000C538C" w:rsidP="00EB2823">
      <w:pPr>
        <w:spacing w:before="120" w:after="120" w:line="264" w:lineRule="auto"/>
        <w:rPr>
          <w:lang w:eastAsia="en-US" w:bidi="ar-SA"/>
        </w:rPr>
      </w:pPr>
      <w:r w:rsidRPr="002C72C2">
        <w:rPr>
          <w:lang w:eastAsia="en-US" w:bidi="ar-SA"/>
        </w:rPr>
        <w:t xml:space="preserve">In a sector </w:t>
      </w:r>
      <w:r w:rsidR="007A458D" w:rsidRPr="002C72C2">
        <w:rPr>
          <w:lang w:eastAsia="en-US" w:bidi="ar-SA"/>
        </w:rPr>
        <w:t xml:space="preserve">often </w:t>
      </w:r>
      <w:r w:rsidR="00CD340A" w:rsidRPr="002C72C2">
        <w:rPr>
          <w:lang w:eastAsia="en-US" w:bidi="ar-SA"/>
        </w:rPr>
        <w:t xml:space="preserve">focused on </w:t>
      </w:r>
      <w:r w:rsidR="007A458D" w:rsidRPr="002C72C2">
        <w:rPr>
          <w:lang w:eastAsia="en-US" w:bidi="ar-SA"/>
        </w:rPr>
        <w:t xml:space="preserve">tangible </w:t>
      </w:r>
      <w:r w:rsidR="00CD340A" w:rsidRPr="002C72C2">
        <w:rPr>
          <w:lang w:eastAsia="en-US" w:bidi="ar-SA"/>
        </w:rPr>
        <w:t>solutions</w:t>
      </w:r>
      <w:r w:rsidRPr="002C72C2">
        <w:rPr>
          <w:lang w:eastAsia="en-US" w:bidi="ar-SA"/>
        </w:rPr>
        <w:t>, there may be a temptation to dismiss the need for</w:t>
      </w:r>
      <w:r w:rsidR="004B4117" w:rsidRPr="002C72C2">
        <w:rPr>
          <w:lang w:eastAsia="en-US" w:bidi="ar-SA"/>
        </w:rPr>
        <w:t xml:space="preserve"> </w:t>
      </w:r>
      <w:r w:rsidR="007A458D" w:rsidRPr="002C72C2">
        <w:rPr>
          <w:lang w:eastAsia="en-US" w:bidi="ar-SA"/>
        </w:rPr>
        <w:t xml:space="preserve">formal </w:t>
      </w:r>
      <w:r w:rsidR="004B4117" w:rsidRPr="002C72C2">
        <w:rPr>
          <w:lang w:eastAsia="en-US" w:bidi="ar-SA"/>
        </w:rPr>
        <w:t>transformation design</w:t>
      </w:r>
      <w:r w:rsidR="007A458D" w:rsidRPr="002C72C2">
        <w:rPr>
          <w:lang w:eastAsia="en-US" w:bidi="ar-SA"/>
        </w:rPr>
        <w:t>,</w:t>
      </w:r>
      <w:r w:rsidR="004B4117" w:rsidRPr="002C72C2">
        <w:rPr>
          <w:lang w:eastAsia="en-US" w:bidi="ar-SA"/>
        </w:rPr>
        <w:t xml:space="preserve"> underpinned by </w:t>
      </w:r>
      <w:r w:rsidR="00725B6F" w:rsidRPr="002C72C2">
        <w:rPr>
          <w:lang w:eastAsia="en-US" w:bidi="ar-SA"/>
        </w:rPr>
        <w:t xml:space="preserve">a well-considered </w:t>
      </w:r>
      <w:r w:rsidRPr="002C72C2">
        <w:rPr>
          <w:lang w:eastAsia="en-US" w:bidi="ar-SA"/>
        </w:rPr>
        <w:t>‘theory of change’</w:t>
      </w:r>
      <w:r w:rsidR="007A458D" w:rsidRPr="002C72C2">
        <w:rPr>
          <w:lang w:eastAsia="en-US" w:bidi="ar-SA"/>
        </w:rPr>
        <w:t>,</w:t>
      </w:r>
      <w:r w:rsidRPr="002C72C2">
        <w:rPr>
          <w:lang w:eastAsia="en-US" w:bidi="ar-SA"/>
        </w:rPr>
        <w:t xml:space="preserve"> as overly academi</w:t>
      </w:r>
      <w:r w:rsidR="004B4117" w:rsidRPr="002C72C2">
        <w:rPr>
          <w:lang w:eastAsia="en-US" w:bidi="ar-SA"/>
        </w:rPr>
        <w:t>c</w:t>
      </w:r>
      <w:r w:rsidR="00374950">
        <w:rPr>
          <w:lang w:eastAsia="en-US" w:bidi="ar-SA"/>
        </w:rPr>
        <w:t xml:space="preserve">. </w:t>
      </w:r>
      <w:r w:rsidR="00725B6F" w:rsidRPr="002C72C2">
        <w:rPr>
          <w:lang w:eastAsia="en-US" w:bidi="ar-SA"/>
        </w:rPr>
        <w:t>However, t</w:t>
      </w:r>
      <w:r w:rsidRPr="002C72C2">
        <w:rPr>
          <w:lang w:eastAsia="en-US" w:bidi="ar-SA"/>
        </w:rPr>
        <w:t xml:space="preserve">his overlooks that the sector </w:t>
      </w:r>
      <w:r w:rsidR="00725B6F" w:rsidRPr="002C72C2">
        <w:rPr>
          <w:lang w:eastAsia="en-US" w:bidi="ar-SA"/>
        </w:rPr>
        <w:t>already has</w:t>
      </w:r>
      <w:r w:rsidR="004B4117" w:rsidRPr="002C72C2">
        <w:rPr>
          <w:lang w:eastAsia="en-US" w:bidi="ar-SA"/>
        </w:rPr>
        <w:t xml:space="preserve"> a long-standing</w:t>
      </w:r>
      <w:r w:rsidRPr="002C72C2">
        <w:rPr>
          <w:lang w:eastAsia="en-US" w:bidi="ar-SA"/>
        </w:rPr>
        <w:t xml:space="preserve">, albeit tacit, theory </w:t>
      </w:r>
      <w:r w:rsidR="004B4117" w:rsidRPr="002C72C2">
        <w:rPr>
          <w:lang w:eastAsia="en-US" w:bidi="ar-SA"/>
        </w:rPr>
        <w:t xml:space="preserve">and practice </w:t>
      </w:r>
      <w:r w:rsidRPr="002C72C2">
        <w:rPr>
          <w:lang w:eastAsia="en-US" w:bidi="ar-SA"/>
        </w:rPr>
        <w:t>of change</w:t>
      </w:r>
      <w:r w:rsidR="00374950">
        <w:rPr>
          <w:lang w:eastAsia="en-US" w:bidi="ar-SA"/>
        </w:rPr>
        <w:t xml:space="preserve">. </w:t>
      </w:r>
      <w:r w:rsidR="00725B6F" w:rsidRPr="002C72C2">
        <w:rPr>
          <w:lang w:eastAsia="en-US" w:bidi="ar-SA"/>
        </w:rPr>
        <w:t xml:space="preserve">Informed by </w:t>
      </w:r>
      <w:r w:rsidR="004B4117" w:rsidRPr="002C72C2">
        <w:rPr>
          <w:lang w:eastAsia="en-US" w:bidi="ar-SA"/>
        </w:rPr>
        <w:t xml:space="preserve">decades of comparatively </w:t>
      </w:r>
      <w:r w:rsidRPr="002C72C2">
        <w:rPr>
          <w:lang w:eastAsia="en-US" w:bidi="ar-SA"/>
        </w:rPr>
        <w:t>slow, incremental change</w:t>
      </w:r>
      <w:r w:rsidR="00725B6F" w:rsidRPr="002C72C2">
        <w:rPr>
          <w:lang w:eastAsia="en-US" w:bidi="ar-SA"/>
        </w:rPr>
        <w:t xml:space="preserve"> in a highly regulated context</w:t>
      </w:r>
      <w:r w:rsidRPr="002C72C2">
        <w:rPr>
          <w:lang w:eastAsia="en-US" w:bidi="ar-SA"/>
        </w:rPr>
        <w:t xml:space="preserve">, the sector has tended to apply a quite linear and reductionistic approach to addressing issues in relative isolation. </w:t>
      </w:r>
    </w:p>
    <w:p w14:paraId="761ACE16" w14:textId="6546781A" w:rsidR="00042671" w:rsidRPr="00E422C6" w:rsidRDefault="00C53A15" w:rsidP="00042671">
      <w:pPr>
        <w:rPr>
          <w:sz w:val="16"/>
          <w:szCs w:val="16"/>
        </w:rPr>
      </w:pPr>
      <w:r w:rsidRPr="002C72C2">
        <w:rPr>
          <w:lang w:eastAsia="en-US" w:bidi="ar-SA"/>
        </w:rPr>
        <w:t xml:space="preserve">As noted earlier, </w:t>
      </w:r>
      <w:r w:rsidR="00ED4C51" w:rsidRPr="002C72C2">
        <w:rPr>
          <w:lang w:eastAsia="en-US" w:bidi="ar-SA"/>
        </w:rPr>
        <w:t xml:space="preserve">however, </w:t>
      </w:r>
      <w:r w:rsidRPr="002C72C2">
        <w:rPr>
          <w:lang w:eastAsia="en-US" w:bidi="ar-SA"/>
        </w:rPr>
        <w:t>are some of humanity’s largest and complex systems</w:t>
      </w:r>
      <w:r w:rsidR="00232CA8" w:rsidRPr="002C72C2">
        <w:rPr>
          <w:lang w:eastAsia="en-US" w:bidi="ar-SA"/>
        </w:rPr>
        <w:t>, electricity systems are now transform</w:t>
      </w:r>
      <w:r w:rsidR="00A83285" w:rsidRPr="002C72C2">
        <w:rPr>
          <w:lang w:eastAsia="en-US" w:bidi="ar-SA"/>
        </w:rPr>
        <w:t>ing in unprecedented ways</w:t>
      </w:r>
      <w:r w:rsidR="00374950">
        <w:rPr>
          <w:lang w:eastAsia="en-US" w:bidi="ar-SA"/>
        </w:rPr>
        <w:t xml:space="preserve">. </w:t>
      </w:r>
      <w:r w:rsidR="00A83285" w:rsidRPr="002C72C2">
        <w:rPr>
          <w:lang w:eastAsia="en-US" w:bidi="ar-SA"/>
        </w:rPr>
        <w:t xml:space="preserve">In such a context, the need to address </w:t>
      </w:r>
      <w:r w:rsidR="00CA79D7" w:rsidRPr="002C72C2">
        <w:rPr>
          <w:lang w:eastAsia="en-US" w:bidi="ar-SA"/>
        </w:rPr>
        <w:t>ur</w:t>
      </w:r>
      <w:r w:rsidR="000A60C2" w:rsidRPr="002C72C2">
        <w:rPr>
          <w:lang w:eastAsia="en-US" w:bidi="ar-SA"/>
        </w:rPr>
        <w:t xml:space="preserve">gent targeted </w:t>
      </w:r>
      <w:r w:rsidR="000075E5" w:rsidRPr="002C72C2">
        <w:rPr>
          <w:lang w:eastAsia="en-US" w:bidi="ar-SA"/>
        </w:rPr>
        <w:t>initiatives will remain constant</w:t>
      </w:r>
      <w:r w:rsidR="00374950">
        <w:rPr>
          <w:lang w:eastAsia="en-US" w:bidi="ar-SA"/>
        </w:rPr>
        <w:t xml:space="preserve">. </w:t>
      </w:r>
      <w:r w:rsidR="000075E5" w:rsidRPr="002C72C2">
        <w:rPr>
          <w:lang w:eastAsia="en-US" w:bidi="ar-SA"/>
        </w:rPr>
        <w:t xml:space="preserve">However, </w:t>
      </w:r>
      <w:r w:rsidR="00F07A87" w:rsidRPr="002C72C2">
        <w:rPr>
          <w:lang w:eastAsia="en-US" w:bidi="ar-SA"/>
        </w:rPr>
        <w:t xml:space="preserve">full benefits realisation </w:t>
      </w:r>
      <w:r w:rsidR="00A638B4" w:rsidRPr="002C72C2">
        <w:rPr>
          <w:lang w:eastAsia="en-US" w:bidi="ar-SA"/>
        </w:rPr>
        <w:t>of a secure, future-ready grid capable of delivering $-billions in customer savings</w:t>
      </w:r>
      <w:r w:rsidR="003A20CE" w:rsidRPr="002C72C2">
        <w:rPr>
          <w:lang w:eastAsia="en-US" w:bidi="ar-SA"/>
        </w:rPr>
        <w:t xml:space="preserve"> demands holistic transformation design in </w:t>
      </w:r>
      <w:r w:rsidR="00CA79D7" w:rsidRPr="002C72C2">
        <w:rPr>
          <w:lang w:eastAsia="en-US" w:bidi="ar-SA"/>
        </w:rPr>
        <w:t xml:space="preserve">such </w:t>
      </w:r>
      <w:r w:rsidR="003A20CE" w:rsidRPr="002C72C2">
        <w:rPr>
          <w:lang w:eastAsia="en-US" w:bidi="ar-SA"/>
        </w:rPr>
        <w:t xml:space="preserve">a </w:t>
      </w:r>
      <w:r w:rsidR="0063734A" w:rsidRPr="002C72C2">
        <w:rPr>
          <w:lang w:eastAsia="en-US" w:bidi="ar-SA"/>
        </w:rPr>
        <w:t>complex</w:t>
      </w:r>
      <w:r w:rsidR="00CA79D7" w:rsidRPr="002C72C2">
        <w:rPr>
          <w:lang w:eastAsia="en-US" w:bidi="ar-SA"/>
        </w:rPr>
        <w:t xml:space="preserve">, </w:t>
      </w:r>
      <w:r w:rsidR="0063734A" w:rsidRPr="002C72C2">
        <w:rPr>
          <w:lang w:eastAsia="en-US" w:bidi="ar-SA"/>
        </w:rPr>
        <w:t>multi-faceted</w:t>
      </w:r>
      <w:r w:rsidR="003A20CE" w:rsidRPr="002C72C2">
        <w:rPr>
          <w:lang w:eastAsia="en-US" w:bidi="ar-SA"/>
        </w:rPr>
        <w:t xml:space="preserve"> </w:t>
      </w:r>
      <w:r w:rsidR="003A20CE" w:rsidRPr="006812E7">
        <w:rPr>
          <w:szCs w:val="18"/>
          <w:lang w:eastAsia="en-US" w:bidi="ar-SA"/>
        </w:rPr>
        <w:t>context</w:t>
      </w:r>
      <w:r w:rsidR="007741F0" w:rsidRPr="006812E7">
        <w:rPr>
          <w:szCs w:val="18"/>
          <w:lang w:eastAsia="en-US" w:bidi="ar-SA"/>
        </w:rPr>
        <w:t xml:space="preserve"> </w:t>
      </w:r>
      <w:hyperlink w:anchor="Ref_11" w:history="1">
        <w:r w:rsidR="00042671" w:rsidRPr="006812E7">
          <w:rPr>
            <w:rStyle w:val="Hyperlink"/>
            <w:szCs w:val="18"/>
          </w:rPr>
          <w:fldChar w:fldCharType="begin"/>
        </w:r>
        <w:r w:rsidR="00042671" w:rsidRPr="006812E7">
          <w:rPr>
            <w:rStyle w:val="Hyperlink"/>
            <w:szCs w:val="18"/>
          </w:rPr>
          <w:instrText xml:space="preserve"> ADDIN ZOTERO_ITEM CSL_CITATION {"citationID":"bgCgKJwb","properties":{"formattedCitation":"[11]","plainCitation":"[11]","noteIndex":21},"citationItems":[{"id":32,"uris":["http://zotero.org/users/17348326/items/PF32IPZ9"],"itemData":{"id":32,"type":"document","publisher":"IEA - ISGAN","source":"ISGAN Annex 6 Power T&amp;D Systems","title":"Power Transmission &amp; Distribution Systems, micro vs MEGA: trends influencing the development of the power system. Discussion Paper.","URL":"https://www.iea-isgan.org/wp-content/uploads/2020/05/ISGAN_DiscussionPaper_Annex6_microVsMEGA_2020.pdf","author":[{"family":"Oleinikova","given":"Irina"},{"family":"Hillberg","given":"Emil"}],"issued":{"date-parts":[["2020",5]]}}}],"schema":"https://github.com/citation-style-language/schema/raw/master/csl-citation.json"} </w:instrText>
        </w:r>
        <w:r w:rsidR="00042671" w:rsidRPr="006812E7">
          <w:rPr>
            <w:rStyle w:val="Hyperlink"/>
            <w:szCs w:val="18"/>
          </w:rPr>
          <w:fldChar w:fldCharType="separate"/>
        </w:r>
        <w:r w:rsidR="00042671" w:rsidRPr="006812E7">
          <w:rPr>
            <w:rStyle w:val="Hyperlink"/>
            <w:szCs w:val="18"/>
          </w:rPr>
          <w:t>[11]</w:t>
        </w:r>
        <w:r w:rsidR="00042671" w:rsidRPr="006812E7">
          <w:rPr>
            <w:rStyle w:val="Hyperlink"/>
            <w:szCs w:val="18"/>
          </w:rPr>
          <w:fldChar w:fldCharType="end"/>
        </w:r>
      </w:hyperlink>
      <w:r w:rsidR="00042671" w:rsidRPr="006812E7">
        <w:rPr>
          <w:szCs w:val="18"/>
        </w:rPr>
        <w:t xml:space="preserve">, </w:t>
      </w:r>
      <w:hyperlink w:anchor="Ref_12" w:history="1">
        <w:r w:rsidR="00042671" w:rsidRPr="006812E7">
          <w:rPr>
            <w:rStyle w:val="Hyperlink"/>
            <w:szCs w:val="18"/>
          </w:rPr>
          <w:fldChar w:fldCharType="begin"/>
        </w:r>
        <w:r w:rsidR="00042671" w:rsidRPr="006812E7">
          <w:rPr>
            <w:rStyle w:val="Hyperlink"/>
            <w:szCs w:val="18"/>
          </w:rPr>
          <w:instrText xml:space="preserve"> ADDIN ZOTERO_ITEM CSL_CITATION {"citationID":"XzU1Jg7d","properties":{"formattedCitation":"[12]","plainCitation":"[12]","noteIndex":21},"citationItems":[{"id":33,"uris":["http://zotero.org/users/17348326/items/KANEAQNN"],"itemData":{"id":33,"type":"report","title":"2030 Demand-Side Flexibility. Quantification of Benefits in the EU.","URL":"https://smarten.eu/wp-content/uploads/2022/10/SmartEN-DSF-benefits-2030-Report_DIGITAL-1.pdf","author":[{"family":"SmartEN","given":""}],"issued":{"date-parts":[["2022",9]]}}}],"schema":"https://github.com/citation-style-language/schema/raw/master/csl-citation.json"} </w:instrText>
        </w:r>
        <w:r w:rsidR="00042671" w:rsidRPr="006812E7">
          <w:rPr>
            <w:rStyle w:val="Hyperlink"/>
            <w:szCs w:val="18"/>
          </w:rPr>
          <w:fldChar w:fldCharType="separate"/>
        </w:r>
        <w:r w:rsidR="00042671" w:rsidRPr="006812E7">
          <w:rPr>
            <w:rStyle w:val="Hyperlink"/>
            <w:szCs w:val="18"/>
          </w:rPr>
          <w:t>[12]</w:t>
        </w:r>
        <w:r w:rsidR="00042671" w:rsidRPr="006812E7">
          <w:rPr>
            <w:rStyle w:val="Hyperlink"/>
            <w:szCs w:val="18"/>
          </w:rPr>
          <w:fldChar w:fldCharType="end"/>
        </w:r>
      </w:hyperlink>
      <w:r w:rsidR="00042671" w:rsidRPr="006812E7">
        <w:rPr>
          <w:szCs w:val="18"/>
        </w:rPr>
        <w:t xml:space="preserve">, </w:t>
      </w:r>
      <w:hyperlink w:anchor="Ref_13" w:history="1">
        <w:r w:rsidR="00042671" w:rsidRPr="006812E7">
          <w:rPr>
            <w:rStyle w:val="Hyperlink"/>
            <w:szCs w:val="18"/>
          </w:rPr>
          <w:fldChar w:fldCharType="begin"/>
        </w:r>
        <w:r w:rsidR="00042671" w:rsidRPr="006812E7">
          <w:rPr>
            <w:rStyle w:val="Hyperlink"/>
            <w:szCs w:val="18"/>
          </w:rPr>
          <w:instrText xml:space="preserve"> ADDIN ZOTERO_ITEM CSL_CITATION {"citationID":"M6HG6ITl","properties":{"formattedCitation":"[13]","plainCitation":"[13]","noteIndex":21},"citationItems":[{"id":34,"uris":["http://zotero.org/users/17348326/items/8XXRPGVB"],"itemData":{"id":34,"type":"dataset","title":"Valuing Load Flexibility in the NEM","URL":"https://arena.gov.au/knowledge-bank/valuing-load-flexibility-in-the-nem/","author":[{"family":"Australian Renewable Energy Agency (ARENA)","given":""}],"issued":{"date-parts":[["2022"]]}}}],"schema":"https://github.com/citation-style-language/schema/raw/master/csl-citation.json"} </w:instrText>
        </w:r>
        <w:r w:rsidR="00042671" w:rsidRPr="006812E7">
          <w:rPr>
            <w:rStyle w:val="Hyperlink"/>
            <w:szCs w:val="18"/>
          </w:rPr>
          <w:fldChar w:fldCharType="separate"/>
        </w:r>
        <w:r w:rsidR="00042671" w:rsidRPr="006812E7">
          <w:rPr>
            <w:rStyle w:val="Hyperlink"/>
            <w:szCs w:val="18"/>
          </w:rPr>
          <w:t>[13]</w:t>
        </w:r>
        <w:r w:rsidR="00042671" w:rsidRPr="006812E7">
          <w:rPr>
            <w:rStyle w:val="Hyperlink"/>
            <w:szCs w:val="18"/>
          </w:rPr>
          <w:fldChar w:fldCharType="end"/>
        </w:r>
      </w:hyperlink>
      <w:r w:rsidR="00042671" w:rsidRPr="006812E7">
        <w:rPr>
          <w:szCs w:val="18"/>
        </w:rPr>
        <w:t xml:space="preserve">, </w:t>
      </w:r>
      <w:hyperlink w:anchor="Ref_14" w:history="1">
        <w:r w:rsidR="00042671" w:rsidRPr="006812E7">
          <w:rPr>
            <w:rStyle w:val="Hyperlink"/>
            <w:szCs w:val="18"/>
          </w:rPr>
          <w:fldChar w:fldCharType="begin"/>
        </w:r>
        <w:r w:rsidR="00042671" w:rsidRPr="006812E7">
          <w:rPr>
            <w:rStyle w:val="Hyperlink"/>
            <w:szCs w:val="18"/>
          </w:rPr>
          <w:instrText xml:space="preserve"> ADDIN ZOTERO_ITEM CSL_CITATION {"citationID":"QYn7ulDg","properties":{"formattedCitation":"[14]","plainCitation":"[14]","noteIndex":21},"citationItems":[{"id":35,"uris":["http://zotero.org/users/17348326/items/ID6MT8L8"],"itemData":{"id":35,"type":"report","number":"V.5 (Final Report)","title":"Potential network benefits from more efficient DER integration","URL":"https://www.datocms-assets.com/32572/1629948077-baringaesbpublishable-reportconsolidatedfinal-reportv5-0.pdf","author":[{"family":"Baringa Partners","given":""}],"issued":{"date-parts":[["2021",6,18]]}}}],"schema":"https://github.com/citation-style-language/schema/raw/master/csl-citation.json"} </w:instrText>
        </w:r>
        <w:r w:rsidR="00042671" w:rsidRPr="006812E7">
          <w:rPr>
            <w:rStyle w:val="Hyperlink"/>
            <w:szCs w:val="18"/>
          </w:rPr>
          <w:fldChar w:fldCharType="separate"/>
        </w:r>
        <w:r w:rsidR="00042671" w:rsidRPr="006812E7">
          <w:rPr>
            <w:rStyle w:val="Hyperlink"/>
            <w:szCs w:val="18"/>
          </w:rPr>
          <w:t>[14]</w:t>
        </w:r>
        <w:r w:rsidR="00042671" w:rsidRPr="006812E7">
          <w:rPr>
            <w:rStyle w:val="Hyperlink"/>
            <w:szCs w:val="18"/>
          </w:rPr>
          <w:fldChar w:fldCharType="end"/>
        </w:r>
      </w:hyperlink>
      <w:r w:rsidR="00042671" w:rsidRPr="006812E7">
        <w:rPr>
          <w:szCs w:val="18"/>
        </w:rPr>
        <w:t>.</w:t>
      </w:r>
    </w:p>
    <w:p w14:paraId="25642E0F" w14:textId="7D611228" w:rsidR="000C538C" w:rsidRPr="002C72C2" w:rsidRDefault="003A20CE" w:rsidP="00EB2823">
      <w:pPr>
        <w:spacing w:before="120" w:after="120" w:line="264" w:lineRule="auto"/>
        <w:rPr>
          <w:lang w:eastAsia="en-US" w:bidi="ar-SA"/>
        </w:rPr>
      </w:pPr>
      <w:r w:rsidRPr="002C72C2">
        <w:rPr>
          <w:lang w:eastAsia="en-US" w:bidi="ar-SA"/>
        </w:rPr>
        <w:t xml:space="preserve"> </w:t>
      </w:r>
      <w:r w:rsidR="000C538C" w:rsidRPr="002C72C2">
        <w:rPr>
          <w:lang w:eastAsia="en-US" w:bidi="ar-SA"/>
        </w:rPr>
        <w:t xml:space="preserve">Conversely, </w:t>
      </w:r>
      <w:r w:rsidR="00184AB3" w:rsidRPr="002C72C2">
        <w:rPr>
          <w:lang w:eastAsia="en-US" w:bidi="ar-SA"/>
        </w:rPr>
        <w:t>the lack of f</w:t>
      </w:r>
      <w:r w:rsidR="000C538C" w:rsidRPr="002C72C2">
        <w:rPr>
          <w:lang w:eastAsia="en-US" w:bidi="ar-SA"/>
        </w:rPr>
        <w:t xml:space="preserve">ormal transition methodologies and </w:t>
      </w:r>
      <w:r w:rsidR="00184AB3" w:rsidRPr="002C72C2">
        <w:rPr>
          <w:lang w:eastAsia="en-US" w:bidi="ar-SA"/>
        </w:rPr>
        <w:t xml:space="preserve">supporting </w:t>
      </w:r>
      <w:r w:rsidR="000C538C" w:rsidRPr="002C72C2">
        <w:rPr>
          <w:lang w:eastAsia="en-US" w:bidi="ar-SA"/>
        </w:rPr>
        <w:t xml:space="preserve">tools </w:t>
      </w:r>
      <w:r w:rsidR="00DB0847" w:rsidRPr="002C72C2">
        <w:rPr>
          <w:lang w:eastAsia="en-US" w:bidi="ar-SA"/>
        </w:rPr>
        <w:t>will sig</w:t>
      </w:r>
      <w:r w:rsidR="000C538C" w:rsidRPr="002C72C2">
        <w:rPr>
          <w:lang w:eastAsia="en-US" w:bidi="ar-SA"/>
        </w:rPr>
        <w:t>nificantly elevate</w:t>
      </w:r>
      <w:r w:rsidR="00DB0847" w:rsidRPr="002C72C2">
        <w:rPr>
          <w:lang w:eastAsia="en-US" w:bidi="ar-SA"/>
        </w:rPr>
        <w:t xml:space="preserve"> benefits realisation risks </w:t>
      </w:r>
      <w:r w:rsidR="00E54BCB" w:rsidRPr="002C72C2">
        <w:rPr>
          <w:lang w:eastAsia="en-US" w:bidi="ar-SA"/>
        </w:rPr>
        <w:t xml:space="preserve">through the misalignment of </w:t>
      </w:r>
      <w:r w:rsidR="008651F2" w:rsidRPr="002C72C2">
        <w:rPr>
          <w:lang w:eastAsia="en-US" w:bidi="ar-SA"/>
        </w:rPr>
        <w:t>s</w:t>
      </w:r>
      <w:r w:rsidR="000C538C" w:rsidRPr="002C72C2">
        <w:rPr>
          <w:lang w:eastAsia="en-US" w:bidi="ar-SA"/>
        </w:rPr>
        <w:t>takeholder</w:t>
      </w:r>
      <w:r w:rsidR="00E54BCB" w:rsidRPr="002C72C2">
        <w:rPr>
          <w:lang w:eastAsia="en-US" w:bidi="ar-SA"/>
        </w:rPr>
        <w:t>s</w:t>
      </w:r>
      <w:r w:rsidR="00F91D05" w:rsidRPr="002C72C2">
        <w:rPr>
          <w:lang w:eastAsia="en-US" w:bidi="ar-SA"/>
        </w:rPr>
        <w:t xml:space="preserve">, solutions and structural relationships, </w:t>
      </w:r>
      <w:r w:rsidR="0089423A" w:rsidRPr="002C72C2">
        <w:rPr>
          <w:lang w:eastAsia="en-US" w:bidi="ar-SA"/>
        </w:rPr>
        <w:t xml:space="preserve">all directly impacting the </w:t>
      </w:r>
      <w:r w:rsidR="00F91D05" w:rsidRPr="002C72C2">
        <w:rPr>
          <w:lang w:eastAsia="en-US" w:bidi="ar-SA"/>
        </w:rPr>
        <w:t xml:space="preserve">potential </w:t>
      </w:r>
      <w:r w:rsidR="008651F2" w:rsidRPr="002C72C2">
        <w:rPr>
          <w:lang w:eastAsia="en-US" w:bidi="ar-SA"/>
        </w:rPr>
        <w:t>for whole-system optimisation</w:t>
      </w:r>
      <w:r w:rsidR="000C538C" w:rsidRPr="002C72C2">
        <w:rPr>
          <w:lang w:eastAsia="en-US" w:bidi="ar-SA"/>
        </w:rPr>
        <w:t xml:space="preserve">. </w:t>
      </w:r>
    </w:p>
    <w:p w14:paraId="48DA95D8" w14:textId="77777777" w:rsidR="003F0335" w:rsidRPr="00FF7739" w:rsidRDefault="003F0335" w:rsidP="00954BAC">
      <w:pPr>
        <w:pStyle w:val="Heading4"/>
        <w:numPr>
          <w:ilvl w:val="0"/>
          <w:numId w:val="55"/>
        </w:numPr>
        <w:spacing w:before="240" w:after="120" w:line="264" w:lineRule="auto"/>
        <w:ind w:left="357" w:hanging="357"/>
        <w:rPr>
          <w:i w:val="0"/>
          <w:iCs w:val="0"/>
        </w:rPr>
      </w:pPr>
      <w:r w:rsidRPr="00FF7739">
        <w:rPr>
          <w:i w:val="0"/>
          <w:iCs w:val="0"/>
        </w:rPr>
        <w:t>Contributing Factors</w:t>
      </w:r>
    </w:p>
    <w:p w14:paraId="6E568A4D" w14:textId="77777777" w:rsidR="003F0335" w:rsidRPr="002C72C2" w:rsidRDefault="003F0335" w:rsidP="00EB2823">
      <w:pPr>
        <w:spacing w:before="120" w:after="120" w:line="264" w:lineRule="auto"/>
        <w:rPr>
          <w:lang w:eastAsia="en-US" w:bidi="ar-SA"/>
        </w:rPr>
      </w:pPr>
      <w:r w:rsidRPr="002C72C2">
        <w:rPr>
          <w:lang w:eastAsia="en-US" w:bidi="ar-SA"/>
        </w:rPr>
        <w:t xml:space="preserve">While Australia is not unique, given the globally unparalleled pace and scale of the NEM’s transformation, the following factors exacerbate the impacts of this cross-cutting issue: </w:t>
      </w:r>
    </w:p>
    <w:p w14:paraId="0904A1D7" w14:textId="3052A3EA" w:rsidR="003F0335" w:rsidRPr="002C72C2" w:rsidRDefault="003F0335" w:rsidP="00EB2823">
      <w:pPr>
        <w:pStyle w:val="ListParagraph"/>
        <w:spacing w:line="264" w:lineRule="auto"/>
        <w:rPr>
          <w:lang w:eastAsia="en-US" w:bidi="ar-SA"/>
        </w:rPr>
      </w:pPr>
      <w:r w:rsidRPr="002C72C2">
        <w:rPr>
          <w:lang w:eastAsia="en-US" w:bidi="ar-SA"/>
        </w:rPr>
        <w:t>At a practical level, the vast majority of power sector expertise is currently focused on the historical segments of the supply chain; there are comparatively few entities or resources that consistently focus on the end-to-end system (from customer to bulk power / bulk power to customer)</w:t>
      </w:r>
      <w:r w:rsidR="001834DF">
        <w:rPr>
          <w:lang w:eastAsia="en-US" w:bidi="ar-SA"/>
        </w:rPr>
        <w:t>.</w:t>
      </w:r>
    </w:p>
    <w:p w14:paraId="11C15DF2" w14:textId="4E9A51EC" w:rsidR="003F0335" w:rsidRPr="002C72C2" w:rsidRDefault="003F0335" w:rsidP="00954BAC">
      <w:pPr>
        <w:pStyle w:val="ListParagraph"/>
        <w:numPr>
          <w:ilvl w:val="0"/>
          <w:numId w:val="6"/>
        </w:numPr>
        <w:spacing w:line="264" w:lineRule="auto"/>
        <w:rPr>
          <w:lang w:eastAsia="en-US" w:bidi="ar-SA"/>
        </w:rPr>
      </w:pPr>
      <w:r w:rsidRPr="002C72C2">
        <w:rPr>
          <w:lang w:eastAsia="en-US" w:bidi="ar-SA"/>
        </w:rPr>
        <w:t>Each of the historical supply chain segments (e.g., bulk power, transmission, distribution, energy retail, etc.) has developed a depth of expertise in their own context but have a comparatively limited expertise in or comprehension of other segments</w:t>
      </w:r>
      <w:r w:rsidR="001834DF">
        <w:rPr>
          <w:lang w:eastAsia="en-US" w:bidi="ar-SA"/>
        </w:rPr>
        <w:t>.</w:t>
      </w:r>
    </w:p>
    <w:p w14:paraId="3777E0DD" w14:textId="1145B523" w:rsidR="00251CD8" w:rsidRDefault="003F0335" w:rsidP="00954BAC">
      <w:pPr>
        <w:pStyle w:val="ListParagraph"/>
        <w:numPr>
          <w:ilvl w:val="0"/>
          <w:numId w:val="6"/>
        </w:numPr>
        <w:spacing w:line="264" w:lineRule="auto"/>
        <w:rPr>
          <w:lang w:eastAsia="en-US" w:bidi="ar-SA"/>
        </w:rPr>
      </w:pPr>
      <w:r w:rsidRPr="002C72C2">
        <w:rPr>
          <w:lang w:eastAsia="en-US" w:bidi="ar-SA"/>
        </w:rPr>
        <w:t xml:space="preserve">The lack of shared, fit-for-purpose methodologies for structural analysis of the entire </w:t>
      </w:r>
      <w:r w:rsidR="00C247E5" w:rsidRPr="002C72C2">
        <w:rPr>
          <w:lang w:eastAsia="en-US" w:bidi="ar-SA"/>
        </w:rPr>
        <w:t>power s</w:t>
      </w:r>
      <w:r w:rsidRPr="002C72C2">
        <w:rPr>
          <w:lang w:eastAsia="en-US" w:bidi="ar-SA"/>
        </w:rPr>
        <w:t xml:space="preserve">ystem result in the misapplication of </w:t>
      </w:r>
      <w:r w:rsidR="00B67E2A" w:rsidRPr="002C72C2">
        <w:rPr>
          <w:lang w:eastAsia="en-US" w:bidi="ar-SA"/>
        </w:rPr>
        <w:t>applications</w:t>
      </w:r>
      <w:r w:rsidR="00DF11ED">
        <w:t>. F</w:t>
      </w:r>
      <w:r w:rsidR="00251CD8">
        <w:rPr>
          <w:lang w:eastAsia="en-US" w:bidi="ar-SA"/>
        </w:rPr>
        <w:t>or example,</w:t>
      </w:r>
      <w:r w:rsidR="00251CD8" w:rsidRPr="00251CD8">
        <w:rPr>
          <w:lang w:eastAsia="en-US" w:bidi="ar-SA"/>
        </w:rPr>
        <w:t xml:space="preserve"> </w:t>
      </w:r>
      <w:r w:rsidR="00251CD8" w:rsidRPr="000F4009">
        <w:rPr>
          <w:lang w:eastAsia="en-US" w:bidi="ar-SA"/>
        </w:rPr>
        <w:t>Enterprise Architecture</w:t>
      </w:r>
      <w:r w:rsidR="00251CD8">
        <w:rPr>
          <w:lang w:eastAsia="en-US" w:bidi="ar-SA"/>
        </w:rPr>
        <w:t>’s</w:t>
      </w:r>
      <w:r w:rsidR="00251CD8" w:rsidRPr="000F4009">
        <w:rPr>
          <w:lang w:eastAsia="en-US" w:bidi="ar-SA"/>
        </w:rPr>
        <w:t xml:space="preserve"> </w:t>
      </w:r>
      <w:r w:rsidR="00251CD8">
        <w:rPr>
          <w:lang w:eastAsia="en-US" w:bidi="ar-SA"/>
        </w:rPr>
        <w:t>f</w:t>
      </w:r>
      <w:r w:rsidR="00251CD8" w:rsidRPr="00251CD8">
        <w:rPr>
          <w:lang w:eastAsia="en-US" w:bidi="ar-SA"/>
        </w:rPr>
        <w:t>ocus is primarily on the IT/OT system architecture within a particular enterprise</w:t>
      </w:r>
      <w:r w:rsidR="008E5B6B">
        <w:rPr>
          <w:lang w:eastAsia="en-US" w:bidi="ar-SA"/>
        </w:rPr>
        <w:t>,</w:t>
      </w:r>
      <w:r w:rsidR="00251CD8" w:rsidRPr="00251CD8">
        <w:rPr>
          <w:lang w:eastAsia="en-US" w:bidi="ar-SA"/>
        </w:rPr>
        <w:t xml:space="preserve"> </w:t>
      </w:r>
      <w:r w:rsidR="00251CD8" w:rsidRPr="000F4009">
        <w:rPr>
          <w:lang w:eastAsia="en-US" w:bidi="ar-SA"/>
        </w:rPr>
        <w:t>the Smart Grid Architecture Model</w:t>
      </w:r>
      <w:r w:rsidR="008E5B6B">
        <w:rPr>
          <w:lang w:eastAsia="en-US" w:bidi="ar-SA"/>
        </w:rPr>
        <w:t xml:space="preserve"> </w:t>
      </w:r>
      <w:r w:rsidR="008E5B6B" w:rsidRPr="008E5B6B">
        <w:rPr>
          <w:lang w:eastAsia="en-US" w:bidi="ar-SA"/>
        </w:rPr>
        <w:t>was developed to analyse discrete smart grid project use cases</w:t>
      </w:r>
      <w:r w:rsidR="00DF11ED">
        <w:rPr>
          <w:lang w:eastAsia="en-US" w:bidi="ar-SA"/>
        </w:rPr>
        <w:t>,</w:t>
      </w:r>
      <w:r w:rsidRPr="002C72C2">
        <w:rPr>
          <w:lang w:eastAsia="en-US" w:bidi="ar-SA"/>
        </w:rPr>
        <w:t xml:space="preserve"> </w:t>
      </w:r>
      <w:r w:rsidR="00A8491E">
        <w:rPr>
          <w:lang w:eastAsia="en-US" w:bidi="ar-SA"/>
        </w:rPr>
        <w:t>and</w:t>
      </w:r>
      <w:r w:rsidRPr="002C72C2">
        <w:rPr>
          <w:lang w:eastAsia="en-US" w:bidi="ar-SA"/>
        </w:rPr>
        <w:t xml:space="preserve"> subjective workshopping</w:t>
      </w:r>
      <w:r w:rsidR="0030373F">
        <w:rPr>
          <w:lang w:eastAsia="en-US" w:bidi="ar-SA"/>
        </w:rPr>
        <w:t xml:space="preserve"> often oversimplifies</w:t>
      </w:r>
      <w:r w:rsidR="00991493">
        <w:rPr>
          <w:lang w:eastAsia="en-US" w:bidi="ar-SA"/>
        </w:rPr>
        <w:t xml:space="preserve"> issues to </w:t>
      </w:r>
      <w:r w:rsidR="005C087A">
        <w:rPr>
          <w:lang w:eastAsia="en-US" w:bidi="ar-SA"/>
        </w:rPr>
        <w:t>facilitate indicative</w:t>
      </w:r>
      <w:r w:rsidR="00991493">
        <w:rPr>
          <w:lang w:eastAsia="en-US" w:bidi="ar-SA"/>
        </w:rPr>
        <w:t xml:space="preserve"> </w:t>
      </w:r>
      <w:r w:rsidR="005C087A">
        <w:rPr>
          <w:lang w:eastAsia="en-US" w:bidi="ar-SA"/>
        </w:rPr>
        <w:t>statistics</w:t>
      </w:r>
      <w:r w:rsidR="00991493">
        <w:rPr>
          <w:lang w:eastAsia="en-US" w:bidi="ar-SA"/>
        </w:rPr>
        <w:t xml:space="preserve"> at the cost of </w:t>
      </w:r>
      <w:r w:rsidR="006005C1">
        <w:rPr>
          <w:lang w:eastAsia="en-US" w:bidi="ar-SA"/>
        </w:rPr>
        <w:t>thorough root cause analysis</w:t>
      </w:r>
      <w:r w:rsidR="009A6D5D">
        <w:rPr>
          <w:lang w:eastAsia="en-US" w:bidi="ar-SA"/>
        </w:rPr>
        <w:t xml:space="preserve">. </w:t>
      </w:r>
      <w:r w:rsidR="006005C1">
        <w:rPr>
          <w:lang w:eastAsia="en-US" w:bidi="ar-SA"/>
        </w:rPr>
        <w:t xml:space="preserve">None of these </w:t>
      </w:r>
      <w:r w:rsidRPr="002C72C2">
        <w:rPr>
          <w:lang w:eastAsia="en-US" w:bidi="ar-SA"/>
        </w:rPr>
        <w:t>provide</w:t>
      </w:r>
      <w:r w:rsidR="006005C1">
        <w:rPr>
          <w:lang w:eastAsia="en-US" w:bidi="ar-SA"/>
        </w:rPr>
        <w:t xml:space="preserve"> </w:t>
      </w:r>
      <w:r w:rsidRPr="002C72C2">
        <w:rPr>
          <w:lang w:eastAsia="en-US" w:bidi="ar-SA"/>
        </w:rPr>
        <w:t xml:space="preserve">the necessary empirical rigour </w:t>
      </w:r>
      <w:r w:rsidR="006005C1">
        <w:rPr>
          <w:lang w:eastAsia="en-US" w:bidi="ar-SA"/>
        </w:rPr>
        <w:t>required to</w:t>
      </w:r>
      <w:r w:rsidR="005A53D0">
        <w:rPr>
          <w:lang w:eastAsia="en-US" w:bidi="ar-SA"/>
        </w:rPr>
        <w:t xml:space="preserve"> map in detail the </w:t>
      </w:r>
      <w:r w:rsidRPr="002C72C2">
        <w:rPr>
          <w:lang w:eastAsia="en-US" w:bidi="ar-SA"/>
        </w:rPr>
        <w:t>interfaces between all sub</w:t>
      </w:r>
      <w:r w:rsidR="00C247E5" w:rsidRPr="002C72C2">
        <w:rPr>
          <w:lang w:eastAsia="en-US" w:bidi="ar-SA"/>
        </w:rPr>
        <w:t>-</w:t>
      </w:r>
      <w:r w:rsidRPr="002C72C2">
        <w:rPr>
          <w:lang w:eastAsia="en-US" w:bidi="ar-SA"/>
        </w:rPr>
        <w:t>systems</w:t>
      </w:r>
      <w:r w:rsidR="005A53D0">
        <w:rPr>
          <w:lang w:eastAsia="en-US" w:bidi="ar-SA"/>
        </w:rPr>
        <w:t>.</w:t>
      </w:r>
    </w:p>
    <w:p w14:paraId="5601EE63" w14:textId="7B05A429" w:rsidR="003F0335" w:rsidRPr="002C72C2" w:rsidRDefault="003F0335" w:rsidP="00EB2823">
      <w:pPr>
        <w:pStyle w:val="ListParagraph"/>
        <w:spacing w:line="264" w:lineRule="auto"/>
        <w:rPr>
          <w:lang w:eastAsia="en-US" w:bidi="ar-SA"/>
        </w:rPr>
      </w:pPr>
      <w:r w:rsidRPr="002C72C2">
        <w:rPr>
          <w:lang w:eastAsia="en-US" w:bidi="ar-SA"/>
        </w:rPr>
        <w:t>While there is currently a significant amount of effort focused on standards and interoperability, full benefits realisation will be at risk without a shared view of the emerging future architectural requirements</w:t>
      </w:r>
      <w:hyperlink w:anchor="Ref_15" w:history="1">
        <w:r w:rsidR="00803982" w:rsidRPr="008A3D49">
          <w:rPr>
            <w:rStyle w:val="Hyperlink"/>
            <w:lang w:eastAsia="en-US" w:bidi="ar-SA"/>
          </w:rPr>
          <w:fldChar w:fldCharType="begin"/>
        </w:r>
        <w:r w:rsidR="00732E28" w:rsidRPr="008A3D49">
          <w:rPr>
            <w:rStyle w:val="Hyperlink"/>
            <w:lang w:eastAsia="en-US" w:bidi="ar-SA"/>
          </w:rPr>
          <w:instrText xml:space="preserve"> ADDIN ZOTERO_ITEM CSL_CITATION {"citationID":"ocCcfmOp","properties":{"formattedCitation":"[15]","plainCitation":"[15]","noteIndex":0},"citationItems":[{"id":21,"uris":["http://zotero.org/users/17348326/items/Q7IH5J5J"],"itemData":{"id":21,"type":"article-magazine","container-title":"Healthcare IT News","title":"Architecture a must for interoperability - Six reasons why it's imperative","URL":"https://www.healthcareitnews.com/news/architecture-must-interoperability","author":[{"family":"Loonsk","given":"John"}],"issued":{"date-parts":[["2014",12,5]]}}}],"schema":"https://github.com/citation-style-language/schema/raw/master/csl-citation.json"} </w:instrText>
        </w:r>
        <w:r w:rsidR="00803982" w:rsidRPr="008A3D49">
          <w:rPr>
            <w:rStyle w:val="Hyperlink"/>
            <w:lang w:eastAsia="en-US" w:bidi="ar-SA"/>
          </w:rPr>
          <w:fldChar w:fldCharType="separate"/>
        </w:r>
        <w:r w:rsidR="00732E28" w:rsidRPr="008A3D49">
          <w:rPr>
            <w:rStyle w:val="Hyperlink"/>
          </w:rPr>
          <w:t>[15]</w:t>
        </w:r>
        <w:r w:rsidR="00803982" w:rsidRPr="008A3D49">
          <w:rPr>
            <w:rStyle w:val="Hyperlink"/>
            <w:lang w:eastAsia="en-US" w:bidi="ar-SA"/>
          </w:rPr>
          <w:fldChar w:fldCharType="end"/>
        </w:r>
      </w:hyperlink>
      <w:r w:rsidRPr="002C72C2">
        <w:rPr>
          <w:lang w:eastAsia="en-US" w:bidi="ar-SA"/>
        </w:rPr>
        <w:t xml:space="preserve"> needed to support a future similar to AEMO’s ‘Step Change’ scenario</w:t>
      </w:r>
      <w:hyperlink w:anchor="Ref_1" w:history="1">
        <w:r w:rsidR="00CE4C8C" w:rsidRPr="008A3D49">
          <w:rPr>
            <w:rStyle w:val="Hyperlink"/>
            <w:lang w:eastAsia="en-US" w:bidi="ar-SA"/>
          </w:rPr>
          <w:fldChar w:fldCharType="begin"/>
        </w:r>
        <w:r w:rsidR="00CE4C8C" w:rsidRPr="008A3D49">
          <w:rPr>
            <w:rStyle w:val="Hyperlink"/>
            <w:lang w:eastAsia="en-US" w:bidi="ar-SA"/>
          </w:rPr>
          <w:instrText xml:space="preserve"> ADDIN ZOTERO_ITEM CSL_CITATION {"citationID":"TdfV7R3F","properties":{"formattedCitation":"[1]","plainCitation":"[1]","noteIndex":0},"citationItems":[{"id":1,"uris":["http://zotero.org/users/local/BgaHAIQb/items/ZKYT9SXV","http://zotero.org/users/17348326/items/ZKYT9SXV"],"itemData":{"id":1,"type":"report","number":"Version 1.0","publisher":"AEMO","title":"2024 Integrated System Plan (ISP),","URL":"https://aemo.com.au/-/media/files/major-publications/isp/2024/2024-integrated-system-plan-isp.pdf","author":[{"family":"Australian Energy Market Operator (AEMO)","given":""}],"issued":{"date-parts":[["2024",6]]}}}],"schema":"https://github.com/citation-style-language/schema/raw/master/csl-citation.json"} </w:instrText>
        </w:r>
        <w:r w:rsidR="00CE4C8C" w:rsidRPr="008A3D49">
          <w:rPr>
            <w:rStyle w:val="Hyperlink"/>
            <w:lang w:eastAsia="en-US" w:bidi="ar-SA"/>
          </w:rPr>
          <w:fldChar w:fldCharType="separate"/>
        </w:r>
        <w:r w:rsidR="00CE4C8C" w:rsidRPr="008A3D49">
          <w:rPr>
            <w:rStyle w:val="Hyperlink"/>
          </w:rPr>
          <w:t>[1]</w:t>
        </w:r>
        <w:r w:rsidR="00CE4C8C" w:rsidRPr="008A3D49">
          <w:rPr>
            <w:rStyle w:val="Hyperlink"/>
            <w:lang w:eastAsia="en-US" w:bidi="ar-SA"/>
          </w:rPr>
          <w:fldChar w:fldCharType="end"/>
        </w:r>
      </w:hyperlink>
      <w:r w:rsidR="008A3D49">
        <w:rPr>
          <w:lang w:eastAsia="en-US" w:bidi="ar-SA"/>
        </w:rPr>
        <w:t>.</w:t>
      </w:r>
    </w:p>
    <w:p w14:paraId="232331B8" w14:textId="5D44BB65" w:rsidR="003F0335" w:rsidRPr="002F2243" w:rsidRDefault="003F0335" w:rsidP="3BD89B71">
      <w:pPr>
        <w:pStyle w:val="ListParagraph"/>
        <w:spacing w:line="264" w:lineRule="auto"/>
        <w:ind w:left="714" w:hanging="357"/>
        <w:rPr>
          <w:lang w:eastAsia="en-US" w:bidi="ar-SA"/>
        </w:rPr>
      </w:pPr>
      <w:r w:rsidRPr="3BD89B71">
        <w:rPr>
          <w:lang w:eastAsia="en-US" w:bidi="ar-SA"/>
        </w:rPr>
        <w:t xml:space="preserve">The absence of a shared, detailed mapping of the as-built </w:t>
      </w:r>
      <w:r w:rsidR="009E45DF">
        <w:rPr>
          <w:lang w:eastAsia="en-US" w:bidi="ar-SA"/>
        </w:rPr>
        <w:t>p</w:t>
      </w:r>
      <w:r w:rsidR="00C247E5" w:rsidRPr="3BD89B71">
        <w:rPr>
          <w:lang w:eastAsia="en-US" w:bidi="ar-SA"/>
        </w:rPr>
        <w:t xml:space="preserve">ower </w:t>
      </w:r>
      <w:r w:rsidR="009E45DF">
        <w:rPr>
          <w:lang w:eastAsia="en-US" w:bidi="ar-SA"/>
        </w:rPr>
        <w:t>s</w:t>
      </w:r>
      <w:r w:rsidR="00C247E5" w:rsidRPr="3BD89B71">
        <w:rPr>
          <w:lang w:eastAsia="en-US" w:bidi="ar-SA"/>
        </w:rPr>
        <w:t xml:space="preserve">ystem </w:t>
      </w:r>
      <w:r w:rsidR="00C80BBD">
        <w:rPr>
          <w:lang w:eastAsia="en-US" w:bidi="ar-SA"/>
        </w:rPr>
        <w:t>a</w:t>
      </w:r>
      <w:r w:rsidRPr="3BD89B71">
        <w:rPr>
          <w:lang w:eastAsia="en-US" w:bidi="ar-SA"/>
        </w:rPr>
        <w:t>rchitecture compounds key knowledge gaps between the supply chain segments and makes navigating toward holistic, future-ready solutions an unprecedented challenge.</w:t>
      </w:r>
    </w:p>
    <w:p w14:paraId="18372CF3" w14:textId="77777777" w:rsidR="003F0335" w:rsidRPr="00FF7739" w:rsidRDefault="003F0335" w:rsidP="00954BAC">
      <w:pPr>
        <w:pStyle w:val="Heading4"/>
        <w:numPr>
          <w:ilvl w:val="0"/>
          <w:numId w:val="55"/>
        </w:numPr>
        <w:spacing w:before="240" w:after="120" w:line="264" w:lineRule="auto"/>
        <w:ind w:left="357" w:hanging="357"/>
        <w:rPr>
          <w:i w:val="0"/>
          <w:iCs w:val="0"/>
        </w:rPr>
      </w:pPr>
      <w:r w:rsidRPr="00FF7739">
        <w:rPr>
          <w:i w:val="0"/>
          <w:iCs w:val="0"/>
        </w:rPr>
        <w:t xml:space="preserve">Solution Requirements </w:t>
      </w:r>
    </w:p>
    <w:p w14:paraId="17C4163C" w14:textId="0D58BC1A" w:rsidR="003F0335" w:rsidRPr="002C72C2" w:rsidRDefault="003F0335" w:rsidP="00EB2823">
      <w:pPr>
        <w:spacing w:before="120" w:after="120" w:line="264" w:lineRule="auto"/>
        <w:rPr>
          <w:lang w:eastAsia="en-US" w:bidi="ar-SA"/>
        </w:rPr>
      </w:pPr>
      <w:r w:rsidRPr="002C72C2">
        <w:rPr>
          <w:lang w:eastAsia="en-US" w:bidi="ar-SA"/>
        </w:rPr>
        <w:t>Efficiently navigating the scale of transformation impacting the NEM over the next decade to realise $-billions of optimisation benefits for customers requires a new level of whole-system, multi-stakeholder collaboration</w:t>
      </w:r>
      <w:r w:rsidR="00374950">
        <w:rPr>
          <w:lang w:eastAsia="en-US" w:bidi="ar-SA"/>
        </w:rPr>
        <w:t xml:space="preserve">. </w:t>
      </w:r>
      <w:r w:rsidRPr="002C72C2">
        <w:rPr>
          <w:lang w:eastAsia="en-US" w:bidi="ar-SA"/>
        </w:rPr>
        <w:t>Given the massive complexity of this undertaking, timely progress will require enhanced stakeholder alignment supported by shared methodologies for developing holistic, integrated solutions</w:t>
      </w:r>
      <w:r w:rsidR="00374950">
        <w:rPr>
          <w:lang w:eastAsia="en-US" w:bidi="ar-SA"/>
        </w:rPr>
        <w:t xml:space="preserve">. </w:t>
      </w:r>
      <w:r w:rsidRPr="002C72C2">
        <w:rPr>
          <w:lang w:eastAsia="en-US" w:bidi="ar-SA"/>
        </w:rPr>
        <w:t xml:space="preserve">In addition to the requirements outlined in </w:t>
      </w:r>
      <w:r w:rsidR="00B67E2A" w:rsidRPr="002C72C2">
        <w:rPr>
          <w:lang w:eastAsia="en-US" w:bidi="ar-SA"/>
        </w:rPr>
        <w:t xml:space="preserve">Sections </w:t>
      </w:r>
      <w:hyperlink w:anchor="_Limited_Shared_Future" w:history="1">
        <w:r w:rsidR="00B67E2A" w:rsidRPr="00A007DC">
          <w:rPr>
            <w:rStyle w:val="Hyperlink"/>
            <w:lang w:eastAsia="en-US" w:bidi="ar-SA"/>
          </w:rPr>
          <w:t>4.1.1</w:t>
        </w:r>
      </w:hyperlink>
      <w:r w:rsidR="00B67E2A" w:rsidRPr="002C72C2">
        <w:rPr>
          <w:lang w:eastAsia="en-US" w:bidi="ar-SA"/>
        </w:rPr>
        <w:t xml:space="preserve"> and </w:t>
      </w:r>
      <w:hyperlink w:anchor="_Inadequate_Complexity_Management" w:history="1">
        <w:r w:rsidR="00B67E2A" w:rsidRPr="003E24EB">
          <w:rPr>
            <w:rStyle w:val="Hyperlink"/>
            <w:lang w:eastAsia="en-US" w:bidi="ar-SA"/>
          </w:rPr>
          <w:t>4.1.2</w:t>
        </w:r>
      </w:hyperlink>
      <w:r w:rsidR="00B67E2A" w:rsidRPr="002C72C2">
        <w:rPr>
          <w:lang w:eastAsia="en-US" w:bidi="ar-SA"/>
        </w:rPr>
        <w:t xml:space="preserve"> above, </w:t>
      </w:r>
      <w:r w:rsidRPr="002C72C2">
        <w:rPr>
          <w:lang w:eastAsia="en-US" w:bidi="ar-SA"/>
        </w:rPr>
        <w:t xml:space="preserve">this will require: </w:t>
      </w:r>
    </w:p>
    <w:p w14:paraId="5895B8DD" w14:textId="63F27FB4" w:rsidR="003F0335" w:rsidRPr="002C72C2" w:rsidRDefault="003F0335" w:rsidP="00954BAC">
      <w:pPr>
        <w:pStyle w:val="ListParagraph"/>
        <w:numPr>
          <w:ilvl w:val="0"/>
          <w:numId w:val="7"/>
        </w:numPr>
        <w:spacing w:line="264" w:lineRule="auto"/>
        <w:rPr>
          <w:lang w:eastAsia="en-US" w:bidi="ar-SA"/>
        </w:rPr>
      </w:pPr>
      <w:r w:rsidRPr="002C72C2">
        <w:rPr>
          <w:lang w:eastAsia="en-US" w:bidi="ar-SA"/>
        </w:rPr>
        <w:t>Objective, evidence-based methodologies that provide a ‘neutral’ set of tools that technical and non-technical stakeholders across the supply chain can learn, share and collaboratively apply to solve complex problems in a verifiable manner that builds trust</w:t>
      </w:r>
      <w:r w:rsidR="0034721C">
        <w:rPr>
          <w:lang w:eastAsia="en-US" w:bidi="ar-SA"/>
        </w:rPr>
        <w:t>.</w:t>
      </w:r>
    </w:p>
    <w:p w14:paraId="02E1D18D" w14:textId="13E7F5F9" w:rsidR="003F0335" w:rsidRPr="002C72C2" w:rsidRDefault="003F0335" w:rsidP="00954BAC">
      <w:pPr>
        <w:pStyle w:val="ListParagraph"/>
        <w:numPr>
          <w:ilvl w:val="0"/>
          <w:numId w:val="7"/>
        </w:numPr>
        <w:spacing w:line="264" w:lineRule="auto"/>
        <w:rPr>
          <w:lang w:eastAsia="en-US" w:bidi="ar-SA"/>
        </w:rPr>
      </w:pPr>
      <w:r w:rsidRPr="002C72C2">
        <w:rPr>
          <w:lang w:eastAsia="en-US" w:bidi="ar-SA"/>
        </w:rPr>
        <w:t>Principles-based approaches that maximise latitude for innovative while also ensuring stakeholders can collaborate effectively to deliver holistic solutions with well-defined interfaces</w:t>
      </w:r>
      <w:r w:rsidR="0034721C">
        <w:rPr>
          <w:lang w:eastAsia="en-US" w:bidi="ar-SA"/>
        </w:rPr>
        <w:t>.</w:t>
      </w:r>
    </w:p>
    <w:p w14:paraId="2C30CAD7" w14:textId="64389751" w:rsidR="003F0335" w:rsidRPr="002C72C2" w:rsidRDefault="003F0335" w:rsidP="00954BAC">
      <w:pPr>
        <w:pStyle w:val="ListParagraph"/>
        <w:numPr>
          <w:ilvl w:val="0"/>
          <w:numId w:val="7"/>
        </w:numPr>
        <w:spacing w:line="264" w:lineRule="auto"/>
        <w:rPr>
          <w:lang w:eastAsia="en-US" w:bidi="ar-SA"/>
        </w:rPr>
      </w:pPr>
      <w:r w:rsidRPr="002C72C2">
        <w:rPr>
          <w:lang w:eastAsia="en-US" w:bidi="ar-SA"/>
        </w:rPr>
        <w:t>A range of open-source materials and analytical tools being made available that enable diverse stakeholders to individually evaluate and better contribute to options analysis</w:t>
      </w:r>
      <w:r w:rsidR="0034721C">
        <w:rPr>
          <w:lang w:eastAsia="en-US" w:bidi="ar-SA"/>
        </w:rPr>
        <w:t>.</w:t>
      </w:r>
    </w:p>
    <w:p w14:paraId="66E271EC" w14:textId="20EFE173" w:rsidR="003F0335" w:rsidRPr="002C72C2" w:rsidRDefault="003F0335" w:rsidP="00954BAC">
      <w:pPr>
        <w:pStyle w:val="ListParagraph"/>
        <w:numPr>
          <w:ilvl w:val="0"/>
          <w:numId w:val="7"/>
        </w:numPr>
        <w:spacing w:line="264" w:lineRule="auto"/>
        <w:rPr>
          <w:lang w:eastAsia="en-US" w:bidi="ar-SA"/>
        </w:rPr>
      </w:pPr>
      <w:r w:rsidRPr="002C72C2">
        <w:rPr>
          <w:lang w:eastAsia="en-US" w:bidi="ar-SA"/>
        </w:rPr>
        <w:t>A full set of agreed definitions and key concepts that enhance the quality and timeliness of stakeholder participation and solution co-design</w:t>
      </w:r>
      <w:r w:rsidR="0034721C">
        <w:rPr>
          <w:lang w:eastAsia="en-US" w:bidi="ar-SA"/>
        </w:rPr>
        <w:t>.</w:t>
      </w:r>
    </w:p>
    <w:p w14:paraId="18395715" w14:textId="0C200EB1" w:rsidR="003F0335" w:rsidRPr="002C72C2" w:rsidRDefault="003F0335" w:rsidP="00954BAC">
      <w:pPr>
        <w:pStyle w:val="ListParagraph"/>
        <w:numPr>
          <w:ilvl w:val="0"/>
          <w:numId w:val="7"/>
        </w:numPr>
        <w:spacing w:line="264" w:lineRule="auto"/>
        <w:rPr>
          <w:lang w:eastAsia="en-US" w:bidi="ar-SA"/>
        </w:rPr>
      </w:pPr>
      <w:r w:rsidRPr="002C72C2">
        <w:rPr>
          <w:lang w:eastAsia="en-US" w:bidi="ar-SA"/>
        </w:rPr>
        <w:t>As stakeholder confidence grows, application of the same tools to collaboratively develop structural mapping of what the NEM will require to function reliably and cost-efficiently in a future similar to the AEMO Step Change scenario</w:t>
      </w:r>
      <w:hyperlink w:anchor="Ref_1" w:history="1">
        <w:r w:rsidR="00E20205" w:rsidRPr="0034721C">
          <w:rPr>
            <w:rStyle w:val="Hyperlink"/>
            <w:lang w:eastAsia="en-US" w:bidi="ar-SA"/>
          </w:rPr>
          <w:fldChar w:fldCharType="begin"/>
        </w:r>
        <w:r w:rsidR="00E20205" w:rsidRPr="0034721C">
          <w:rPr>
            <w:rStyle w:val="Hyperlink"/>
            <w:lang w:eastAsia="en-US" w:bidi="ar-SA"/>
          </w:rPr>
          <w:instrText xml:space="preserve"> ADDIN ZOTERO_ITEM CSL_CITATION {"citationID":"2HVY2qQX","properties":{"formattedCitation":"[1]","plainCitation":"[1]","noteIndex":0},"citationItems":[{"id":1,"uris":["http://zotero.org/users/local/BgaHAIQb/items/ZKYT9SXV","http://zotero.org/users/17348326/items/ZKYT9SXV"],"itemData":{"id":1,"type":"report","number":"Version 1.0","publisher":"AEMO","title":"2024 Integrated System Plan (ISP),","URL":"https://aemo.com.au/-/media/files/major-publications/isp/2024/2024-integrated-system-plan-isp.pdf","author":[{"family":"Australian Energy Market Operator (AEMO)","given":""}],"issued":{"date-parts":[["2024",6]]}}}],"schema":"https://github.com/citation-style-language/schema/raw/master/csl-citation.json"} </w:instrText>
        </w:r>
        <w:r w:rsidR="00E20205" w:rsidRPr="0034721C">
          <w:rPr>
            <w:rStyle w:val="Hyperlink"/>
            <w:lang w:eastAsia="en-US" w:bidi="ar-SA"/>
          </w:rPr>
          <w:fldChar w:fldCharType="separate"/>
        </w:r>
        <w:r w:rsidR="00E20205" w:rsidRPr="0034721C">
          <w:rPr>
            <w:rStyle w:val="Hyperlink"/>
          </w:rPr>
          <w:t>[1]</w:t>
        </w:r>
        <w:r w:rsidR="00E20205" w:rsidRPr="0034721C">
          <w:rPr>
            <w:rStyle w:val="Hyperlink"/>
            <w:lang w:eastAsia="en-US" w:bidi="ar-SA"/>
          </w:rPr>
          <w:fldChar w:fldCharType="end"/>
        </w:r>
      </w:hyperlink>
      <w:r w:rsidR="00374950">
        <w:rPr>
          <w:lang w:eastAsia="en-US" w:bidi="ar-SA"/>
        </w:rPr>
        <w:t xml:space="preserve">. </w:t>
      </w:r>
    </w:p>
    <w:p w14:paraId="3D9B179E" w14:textId="77777777" w:rsidR="00164020" w:rsidRDefault="00164020">
      <w:pPr>
        <w:spacing w:before="0" w:after="160" w:line="259" w:lineRule="auto"/>
        <w:rPr>
          <w:lang w:eastAsia="en-US" w:bidi="ar-SA"/>
        </w:rPr>
      </w:pPr>
      <w:r>
        <w:rPr>
          <w:lang w:eastAsia="en-US" w:bidi="ar-SA"/>
        </w:rPr>
        <w:br w:type="page"/>
      </w:r>
    </w:p>
    <w:p w14:paraId="38CF807C" w14:textId="3ABE9D08" w:rsidR="000C538C" w:rsidRDefault="003F0335" w:rsidP="00EB2823">
      <w:pPr>
        <w:spacing w:before="120" w:after="120" w:line="264" w:lineRule="auto"/>
        <w:rPr>
          <w:lang w:eastAsia="en-US" w:bidi="ar-SA"/>
        </w:rPr>
      </w:pPr>
      <w:r w:rsidRPr="002C72C2">
        <w:rPr>
          <w:lang w:eastAsia="en-US" w:bidi="ar-SA"/>
        </w:rPr>
        <w:t xml:space="preserve">Ultimately this will provide significant efficiency gains in multi-stakeholder engagement through the management of complexity, more tangible trade-off choices and enhanced stakeholder buy-in. It should also be noted that the application of such tools and methodologies may need to focus on ‘robust’ rather than purely optimisation-based methods, since such methods can result in systemic brittleness. </w:t>
      </w:r>
      <w:r w:rsidR="00CB5DC6">
        <w:rPr>
          <w:lang w:eastAsia="en-US" w:bidi="ar-SA"/>
        </w:rPr>
        <w:t>In this context, a</w:t>
      </w:r>
      <w:r w:rsidR="00CB5DC6" w:rsidRPr="00CB5DC6">
        <w:rPr>
          <w:lang w:eastAsia="en-US" w:bidi="ar-SA"/>
        </w:rPr>
        <w:t xml:space="preserve"> brittle system is a system characterised by a sudden and steep decline in performance as the system state changes</w:t>
      </w:r>
      <w:r w:rsidR="00CB5DC6">
        <w:rPr>
          <w:lang w:eastAsia="en-US" w:bidi="ar-SA"/>
        </w:rPr>
        <w:t xml:space="preserve">, often </w:t>
      </w:r>
      <w:r w:rsidR="00CB5DC6" w:rsidRPr="00CB5DC6">
        <w:rPr>
          <w:lang w:eastAsia="en-US" w:bidi="ar-SA"/>
        </w:rPr>
        <w:t>due to input parameters that exceed a specified input, or environmental conditions that exceed specified operating boundaries.</w:t>
      </w:r>
      <w:r w:rsidRPr="002C72C2">
        <w:rPr>
          <w:lang w:eastAsia="en-US" w:bidi="ar-SA"/>
        </w:rPr>
        <w:t xml:space="preserve"> In practice, this means that such a system can suddenly fail to operate in a reasonable way when operating conditions depart significantly from nominal.</w:t>
      </w:r>
    </w:p>
    <w:p w14:paraId="21470E41" w14:textId="3DFA9C5E" w:rsidR="00364264" w:rsidRDefault="00364264">
      <w:pPr>
        <w:spacing w:before="0" w:after="160" w:line="259" w:lineRule="auto"/>
        <w:rPr>
          <w:lang w:eastAsia="en-US" w:bidi="ar-SA"/>
        </w:rPr>
      </w:pPr>
      <w:r>
        <w:rPr>
          <w:lang w:eastAsia="en-US" w:bidi="ar-SA"/>
        </w:rPr>
        <w:br w:type="page"/>
      </w:r>
    </w:p>
    <w:tbl>
      <w:tblPr>
        <w:tblStyle w:val="GridTable4"/>
        <w:tblW w:w="0" w:type="auto"/>
        <w:tblLook w:val="04A0" w:firstRow="1" w:lastRow="0" w:firstColumn="1" w:lastColumn="0" w:noHBand="0" w:noVBand="1"/>
      </w:tblPr>
      <w:tblGrid>
        <w:gridCol w:w="8210"/>
      </w:tblGrid>
      <w:tr w:rsidR="00FF734C" w:rsidRPr="002F2243" w14:paraId="727DC952" w14:textId="77777777" w:rsidTr="008F2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0" w:type="dxa"/>
          </w:tcPr>
          <w:p w14:paraId="78AECBD2" w14:textId="3D90C464" w:rsidR="00FF734C" w:rsidRPr="002F2243" w:rsidRDefault="00FF734C" w:rsidP="00FD49A7">
            <w:pPr>
              <w:spacing w:before="120" w:line="264" w:lineRule="auto"/>
              <w:ind w:left="174" w:right="172"/>
              <w:rPr>
                <w:rStyle w:val="Strong"/>
                <w:b w:val="0"/>
                <w:bCs w:val="0"/>
                <w:sz w:val="28"/>
              </w:rPr>
            </w:pPr>
            <w:r w:rsidRPr="002F2243">
              <w:rPr>
                <w:rStyle w:val="Strong"/>
                <w:b w:val="0"/>
                <w:bCs w:val="0"/>
                <w:sz w:val="28"/>
              </w:rPr>
              <w:t xml:space="preserve">Key Concepts </w:t>
            </w:r>
            <w:r w:rsidR="00B95B8B">
              <w:rPr>
                <w:rStyle w:val="Strong"/>
                <w:b w:val="0"/>
                <w:bCs w:val="0"/>
                <w:sz w:val="28"/>
              </w:rPr>
              <w:t>E</w:t>
            </w:r>
            <w:r w:rsidR="00875162" w:rsidRPr="00F10C61">
              <w:rPr>
                <w:rFonts w:ascii="PP Mori SemiBold" w:hAnsi="PP Mori SemiBold"/>
                <w:noProof/>
                <w:sz w:val="20"/>
                <w:szCs w:val="20"/>
              </w:rPr>
              <w:drawing>
                <wp:inline distT="0" distB="0" distL="0" distR="0" wp14:anchorId="43A52C91" wp14:editId="32AB98D5">
                  <wp:extent cx="272006" cy="272006"/>
                  <wp:effectExtent l="0" t="0" r="6350" b="6350"/>
                  <wp:docPr id="1382933543"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272006" cy="272006"/>
                          </a:xfrm>
                          <a:prstGeom prst="rect">
                            <a:avLst/>
                          </a:prstGeom>
                        </pic:spPr>
                      </pic:pic>
                    </a:graphicData>
                  </a:graphic>
                </wp:inline>
              </w:drawing>
            </w:r>
          </w:p>
          <w:p w14:paraId="64CE268E" w14:textId="16A31FDD" w:rsidR="00FF734C" w:rsidRPr="00875162" w:rsidRDefault="00FF734C" w:rsidP="00FD49A7">
            <w:pPr>
              <w:pStyle w:val="Subtitle"/>
              <w:spacing w:before="180" w:after="120" w:line="264" w:lineRule="auto"/>
              <w:ind w:left="174" w:right="172"/>
              <w:rPr>
                <w:rStyle w:val="Emphasis"/>
                <w:rFonts w:ascii="PP Mori SemiBold" w:hAnsi="PP Mori SemiBold"/>
                <w:sz w:val="24"/>
                <w:szCs w:val="40"/>
              </w:rPr>
            </w:pPr>
            <w:r w:rsidRPr="00875162">
              <w:rPr>
                <w:rStyle w:val="Emphasis"/>
                <w:rFonts w:ascii="PP Mori SemiBold" w:hAnsi="PP Mori SemiBold"/>
                <w:sz w:val="24"/>
                <w:szCs w:val="40"/>
              </w:rPr>
              <w:t>Network of Structures</w:t>
            </w:r>
          </w:p>
          <w:p w14:paraId="54BF9979" w14:textId="78D0A1A7" w:rsidR="006378AA" w:rsidRDefault="0089602E" w:rsidP="003907CA">
            <w:pPr>
              <w:spacing w:before="0" w:line="264" w:lineRule="auto"/>
              <w:ind w:left="176" w:right="170"/>
              <w:rPr>
                <w:bCs w:val="0"/>
                <w:lang w:eastAsia="en-US" w:bidi="ar-SA"/>
              </w:rPr>
            </w:pPr>
            <w:r w:rsidRPr="0089602E">
              <w:rPr>
                <w:b w:val="0"/>
                <w:lang w:eastAsia="en-US" w:bidi="ar-SA"/>
              </w:rPr>
              <w:t xml:space="preserve">While </w:t>
            </w:r>
            <w:r w:rsidR="003907CA">
              <w:rPr>
                <w:b w:val="0"/>
                <w:lang w:eastAsia="en-US" w:bidi="ar-SA"/>
              </w:rPr>
              <w:t xml:space="preserve">it is customary to </w:t>
            </w:r>
            <w:r w:rsidRPr="0089602E">
              <w:rPr>
                <w:b w:val="0"/>
                <w:lang w:eastAsia="en-US" w:bidi="ar-SA"/>
              </w:rPr>
              <w:t>refer to</w:t>
            </w:r>
            <w:r w:rsidR="00DA3123">
              <w:rPr>
                <w:b w:val="0"/>
                <w:lang w:eastAsia="en-US" w:bidi="ar-SA"/>
              </w:rPr>
              <w:t xml:space="preserve"> </w:t>
            </w:r>
            <w:r w:rsidRPr="0089602E">
              <w:rPr>
                <w:b w:val="0"/>
                <w:lang w:eastAsia="en-US" w:bidi="ar-SA"/>
              </w:rPr>
              <w:t>the power system</w:t>
            </w:r>
            <w:r w:rsidR="008948B8">
              <w:rPr>
                <w:b w:val="0"/>
                <w:lang w:eastAsia="en-US" w:bidi="ar-SA"/>
              </w:rPr>
              <w:t xml:space="preserve"> in the </w:t>
            </w:r>
            <w:r w:rsidRPr="0089602E">
              <w:rPr>
                <w:b w:val="0"/>
                <w:lang w:eastAsia="en-US" w:bidi="ar-SA"/>
              </w:rPr>
              <w:t xml:space="preserve">singular, </w:t>
            </w:r>
            <w:r w:rsidR="00393089">
              <w:rPr>
                <w:b w:val="0"/>
                <w:lang w:eastAsia="en-US" w:bidi="ar-SA"/>
              </w:rPr>
              <w:t>a</w:t>
            </w:r>
            <w:r w:rsidR="00FD49A7">
              <w:rPr>
                <w:b w:val="0"/>
                <w:lang w:eastAsia="en-US" w:bidi="ar-SA"/>
              </w:rPr>
              <w:t xml:space="preserve"> m</w:t>
            </w:r>
            <w:r w:rsidRPr="0089602E">
              <w:rPr>
                <w:b w:val="0"/>
                <w:lang w:eastAsia="en-US" w:bidi="ar-SA"/>
              </w:rPr>
              <w:t xml:space="preserve">odern </w:t>
            </w:r>
            <w:r w:rsidR="00393089">
              <w:rPr>
                <w:b w:val="0"/>
                <w:lang w:eastAsia="en-US" w:bidi="ar-SA"/>
              </w:rPr>
              <w:t xml:space="preserve">electricity system is in reality </w:t>
            </w:r>
            <w:r w:rsidRPr="0089602E">
              <w:rPr>
                <w:b w:val="0"/>
                <w:lang w:eastAsia="en-US" w:bidi="ar-SA"/>
              </w:rPr>
              <w:t>a ‘super-system’ of seven structures</w:t>
            </w:r>
            <w:r w:rsidR="00047219">
              <w:rPr>
                <w:b w:val="0"/>
                <w:lang w:eastAsia="en-US" w:bidi="ar-SA"/>
              </w:rPr>
              <w:t>, four of which are functionally interdependent on a days-to</w:t>
            </w:r>
            <w:r w:rsidR="00DB2EF1">
              <w:rPr>
                <w:b w:val="0"/>
                <w:lang w:eastAsia="en-US" w:bidi="ar-SA"/>
              </w:rPr>
              <w:t>-sub second timescale</w:t>
            </w:r>
            <w:r w:rsidR="003B2D77">
              <w:rPr>
                <w:b w:val="0"/>
                <w:lang w:eastAsia="en-US" w:bidi="ar-SA"/>
              </w:rPr>
              <w:t xml:space="preserve"> (coral nodes)</w:t>
            </w:r>
            <w:r w:rsidR="00DB2EF1">
              <w:rPr>
                <w:b w:val="0"/>
                <w:lang w:eastAsia="en-US" w:bidi="ar-SA"/>
              </w:rPr>
              <w:t xml:space="preserve">. </w:t>
            </w:r>
          </w:p>
          <w:p w14:paraId="22D8ADEB" w14:textId="5E47FAD8" w:rsidR="0089602E" w:rsidRPr="0089602E" w:rsidRDefault="00B96D27" w:rsidP="003907CA">
            <w:pPr>
              <w:spacing w:before="0" w:line="264" w:lineRule="auto"/>
              <w:ind w:left="176" w:right="170"/>
              <w:rPr>
                <w:b w:val="0"/>
                <w:lang w:eastAsia="en-US" w:bidi="ar-SA"/>
              </w:rPr>
            </w:pPr>
            <w:r w:rsidRPr="00B63609">
              <w:rPr>
                <w:noProof/>
                <w:szCs w:val="18"/>
              </w:rPr>
              <w:drawing>
                <wp:anchor distT="0" distB="0" distL="114300" distR="114300" simplePos="0" relativeHeight="251658240" behindDoc="1" locked="0" layoutInCell="1" allowOverlap="1" wp14:anchorId="333B2462" wp14:editId="0FDE1068">
                  <wp:simplePos x="0" y="0"/>
                  <wp:positionH relativeFrom="column">
                    <wp:posOffset>2171727</wp:posOffset>
                  </wp:positionH>
                  <wp:positionV relativeFrom="paragraph">
                    <wp:posOffset>647203</wp:posOffset>
                  </wp:positionV>
                  <wp:extent cx="2943225" cy="2943225"/>
                  <wp:effectExtent l="0" t="0" r="9525" b="9525"/>
                  <wp:wrapTight wrapText="bothSides">
                    <wp:wrapPolygon edited="0">
                      <wp:start x="9786" y="140"/>
                      <wp:lineTo x="5732" y="2656"/>
                      <wp:lineTo x="3495" y="3495"/>
                      <wp:lineTo x="1538" y="4474"/>
                      <wp:lineTo x="1398" y="5592"/>
                      <wp:lineTo x="1398" y="7130"/>
                      <wp:lineTo x="699" y="9367"/>
                      <wp:lineTo x="559" y="11604"/>
                      <wp:lineTo x="0" y="12163"/>
                      <wp:lineTo x="0" y="14540"/>
                      <wp:lineTo x="1678" y="16078"/>
                      <wp:lineTo x="4614" y="20551"/>
                      <wp:lineTo x="5872" y="21530"/>
                      <wp:lineTo x="6012" y="21530"/>
                      <wp:lineTo x="15379" y="21530"/>
                      <wp:lineTo x="15518" y="21530"/>
                      <wp:lineTo x="16777" y="20551"/>
                      <wp:lineTo x="18175" y="18315"/>
                      <wp:lineTo x="21530" y="14400"/>
                      <wp:lineTo x="21530" y="12443"/>
                      <wp:lineTo x="20831" y="11604"/>
                      <wp:lineTo x="20691" y="9367"/>
                      <wp:lineTo x="19992" y="7130"/>
                      <wp:lineTo x="19992" y="4614"/>
                      <wp:lineTo x="18315" y="3635"/>
                      <wp:lineTo x="15658" y="2656"/>
                      <wp:lineTo x="11604" y="140"/>
                      <wp:lineTo x="9786" y="140"/>
                    </wp:wrapPolygon>
                  </wp:wrapTight>
                  <wp:docPr id="627515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anchor>
              </w:drawing>
            </w:r>
            <w:r w:rsidR="008948B8">
              <w:rPr>
                <w:b w:val="0"/>
                <w:lang w:eastAsia="en-US" w:bidi="ar-SA"/>
              </w:rPr>
              <w:t xml:space="preserve">Formally categorised as </w:t>
            </w:r>
            <w:r w:rsidR="00CF34E0">
              <w:rPr>
                <w:b w:val="0"/>
                <w:lang w:eastAsia="en-US" w:bidi="ar-SA"/>
              </w:rPr>
              <w:t>Ultra</w:t>
            </w:r>
            <w:r w:rsidR="00F73719">
              <w:rPr>
                <w:b w:val="0"/>
                <w:lang w:eastAsia="en-US" w:bidi="ar-SA"/>
              </w:rPr>
              <w:t xml:space="preserve"> </w:t>
            </w:r>
            <w:r w:rsidR="00CF34E0">
              <w:rPr>
                <w:b w:val="0"/>
                <w:lang w:eastAsia="en-US" w:bidi="ar-SA"/>
              </w:rPr>
              <w:t xml:space="preserve">Large Scale (ULS) </w:t>
            </w:r>
            <w:r w:rsidR="00DA6D5A">
              <w:rPr>
                <w:b w:val="0"/>
                <w:lang w:eastAsia="en-US" w:bidi="ar-SA"/>
              </w:rPr>
              <w:t>complex systems</w:t>
            </w:r>
            <w:r w:rsidR="005343D8">
              <w:rPr>
                <w:b w:val="0"/>
                <w:lang w:eastAsia="en-US" w:bidi="ar-SA"/>
              </w:rPr>
              <w:t xml:space="preserve"> </w:t>
            </w:r>
            <w:r w:rsidR="005343D8">
              <w:rPr>
                <w:lang w:eastAsia="en-US" w:bidi="ar-SA"/>
              </w:rPr>
              <w:fldChar w:fldCharType="begin"/>
            </w:r>
            <w:r w:rsidR="005343D8">
              <w:rPr>
                <w:b w:val="0"/>
                <w:lang w:eastAsia="en-US" w:bidi="ar-SA"/>
              </w:rPr>
              <w:instrText xml:space="preserve"> ADDIN ZOTERO_ITEM CSL_CITATION {"citationID":"Vc7bm6gT","properties":{"formattedCitation":"[16]","plainCitation":"[16]","noteIndex":0},"citationItems":[{"id":19,"uris":["http://zotero.org/users/17348326/items/XGLM75FF"],"itemData":{"id":19,"type":"book","event-place":"Pittsburgh","ISBN":"978-0-9786956-0-6","language":"eng","number-of-pages":"134","publisher":"Software Engineering Institute, Carnegie Mellon Univ","publisher-place":"Pittsburgh","source":"K10plus ISBN","title":"Ultra-large-scale systems: the software challenge of the future","title-short":"Ultra-large-scale systems","editor":[{"family":"Feiler","given":"Peter"},{"family":"Pollak","given":"Bill"},{"literal":"Carnegie Mellon University"}],"issued":{"date-parts":[["2006"]]}}}],"schema":"https://github.com/citation-style-language/schema/raw/master/csl-citation.json"} </w:instrText>
            </w:r>
            <w:r w:rsidR="005343D8">
              <w:rPr>
                <w:lang w:eastAsia="en-US" w:bidi="ar-SA"/>
              </w:rPr>
              <w:fldChar w:fldCharType="separate"/>
            </w:r>
            <w:r w:rsidR="005343D8" w:rsidRPr="00732E28">
              <w:t>[16]</w:t>
            </w:r>
            <w:r w:rsidR="005343D8">
              <w:rPr>
                <w:lang w:eastAsia="en-US" w:bidi="ar-SA"/>
              </w:rPr>
              <w:fldChar w:fldCharType="end"/>
            </w:r>
            <w:r w:rsidR="00DA6D5A">
              <w:rPr>
                <w:b w:val="0"/>
                <w:lang w:eastAsia="en-US" w:bidi="ar-SA"/>
              </w:rPr>
              <w:t>,</w:t>
            </w:r>
            <w:r w:rsidR="005343D8">
              <w:rPr>
                <w:b w:val="0"/>
                <w:lang w:eastAsia="en-US" w:bidi="ar-SA"/>
              </w:rPr>
              <w:t xml:space="preserve"> GW-scale </w:t>
            </w:r>
            <w:r w:rsidR="008C640E">
              <w:rPr>
                <w:b w:val="0"/>
                <w:lang w:eastAsia="en-US" w:bidi="ar-SA"/>
              </w:rPr>
              <w:t>power system</w:t>
            </w:r>
            <w:r w:rsidR="005343D8">
              <w:rPr>
                <w:b w:val="0"/>
                <w:lang w:eastAsia="en-US" w:bidi="ar-SA"/>
              </w:rPr>
              <w:t>s</w:t>
            </w:r>
            <w:r w:rsidR="00CF34E0">
              <w:rPr>
                <w:b w:val="0"/>
                <w:lang w:eastAsia="en-US" w:bidi="ar-SA"/>
              </w:rPr>
              <w:t xml:space="preserve"> </w:t>
            </w:r>
            <w:r w:rsidR="005343D8">
              <w:rPr>
                <w:b w:val="0"/>
                <w:lang w:eastAsia="en-US" w:bidi="ar-SA"/>
              </w:rPr>
              <w:t xml:space="preserve">like the NEM </w:t>
            </w:r>
            <w:r w:rsidR="00DB2EF1">
              <w:rPr>
                <w:b w:val="0"/>
                <w:lang w:eastAsia="en-US" w:bidi="ar-SA"/>
              </w:rPr>
              <w:t xml:space="preserve">and WEM </w:t>
            </w:r>
            <w:r w:rsidR="0089602E" w:rsidRPr="0089602E">
              <w:rPr>
                <w:b w:val="0"/>
                <w:lang w:eastAsia="en-US" w:bidi="ar-SA"/>
              </w:rPr>
              <w:t>consist of a</w:t>
            </w:r>
            <w:r w:rsidR="00B7497A">
              <w:rPr>
                <w:b w:val="0"/>
                <w:lang w:eastAsia="en-US" w:bidi="ar-SA"/>
              </w:rPr>
              <w:t xml:space="preserve">n intricate </w:t>
            </w:r>
            <w:r w:rsidR="0089602E" w:rsidRPr="0089602E">
              <w:rPr>
                <w:b w:val="0"/>
                <w:lang w:eastAsia="en-US" w:bidi="ar-SA"/>
              </w:rPr>
              <w:t xml:space="preserve">web of the following </w:t>
            </w:r>
            <w:r w:rsidR="005343D8">
              <w:rPr>
                <w:b w:val="0"/>
                <w:lang w:eastAsia="en-US" w:bidi="ar-SA"/>
              </w:rPr>
              <w:t xml:space="preserve">seven </w:t>
            </w:r>
            <w:r w:rsidR="0089602E" w:rsidRPr="0089602E">
              <w:rPr>
                <w:b w:val="0"/>
                <w:lang w:eastAsia="en-US" w:bidi="ar-SA"/>
              </w:rPr>
              <w:t>inter-dependent structures</w:t>
            </w:r>
            <w:r w:rsidR="005343D8">
              <w:rPr>
                <w:b w:val="0"/>
                <w:lang w:eastAsia="en-US" w:bidi="ar-SA"/>
              </w:rPr>
              <w:t xml:space="preserve"> </w:t>
            </w:r>
            <w:r w:rsidR="006378AA">
              <w:rPr>
                <w:b w:val="0"/>
                <w:lang w:eastAsia="en-US" w:bidi="ar-SA"/>
              </w:rPr>
              <w:t xml:space="preserve">that </w:t>
            </w:r>
            <w:r w:rsidR="005343D8">
              <w:rPr>
                <w:b w:val="0"/>
                <w:lang w:eastAsia="en-US" w:bidi="ar-SA"/>
              </w:rPr>
              <w:t>must</w:t>
            </w:r>
            <w:r w:rsidR="006378AA">
              <w:rPr>
                <w:b w:val="0"/>
                <w:lang w:eastAsia="en-US" w:bidi="ar-SA"/>
              </w:rPr>
              <w:t xml:space="preserve"> ultimately </w:t>
            </w:r>
            <w:r w:rsidR="005343D8">
              <w:rPr>
                <w:b w:val="0"/>
                <w:lang w:eastAsia="en-US" w:bidi="ar-SA"/>
              </w:rPr>
              <w:t>be transformed holistically</w:t>
            </w:r>
            <w:r w:rsidR="0089602E" w:rsidRPr="0089602E">
              <w:rPr>
                <w:b w:val="0"/>
                <w:lang w:eastAsia="en-US" w:bidi="ar-SA"/>
              </w:rPr>
              <w:t xml:space="preserve">: </w:t>
            </w:r>
          </w:p>
          <w:p w14:paraId="6D94E1AA" w14:textId="44E05446" w:rsidR="0089602E" w:rsidRPr="006D14D6" w:rsidRDefault="0089602E" w:rsidP="00954BAC">
            <w:pPr>
              <w:numPr>
                <w:ilvl w:val="0"/>
                <w:numId w:val="78"/>
              </w:numPr>
              <w:spacing w:before="120" w:after="0" w:line="276" w:lineRule="auto"/>
              <w:ind w:left="599" w:right="172" w:hanging="283"/>
              <w:rPr>
                <w:b w:val="0"/>
                <w:bCs w:val="0"/>
                <w:szCs w:val="18"/>
              </w:rPr>
            </w:pPr>
            <w:r w:rsidRPr="006D14D6">
              <w:rPr>
                <w:b w:val="0"/>
                <w:bCs w:val="0"/>
                <w:szCs w:val="18"/>
              </w:rPr>
              <w:t>Electricity Infrastructure (Power Flows)</w:t>
            </w:r>
          </w:p>
          <w:p w14:paraId="03A23A09" w14:textId="5D53E1EC" w:rsidR="0089602E" w:rsidRPr="006D14D6" w:rsidRDefault="0089602E" w:rsidP="00954BAC">
            <w:pPr>
              <w:numPr>
                <w:ilvl w:val="0"/>
                <w:numId w:val="78"/>
              </w:numPr>
              <w:spacing w:before="120" w:after="0" w:line="276" w:lineRule="auto"/>
              <w:ind w:left="599" w:right="172" w:hanging="283"/>
              <w:rPr>
                <w:b w:val="0"/>
                <w:bCs w:val="0"/>
                <w:szCs w:val="18"/>
              </w:rPr>
            </w:pPr>
            <w:r w:rsidRPr="006D14D6">
              <w:rPr>
                <w:b w:val="0"/>
                <w:bCs w:val="0"/>
                <w:szCs w:val="18"/>
              </w:rPr>
              <w:t>Digital Infrastructure (Information/Data Exchange, Storage and Processing)</w:t>
            </w:r>
          </w:p>
          <w:p w14:paraId="019927BE" w14:textId="3AC8CF09" w:rsidR="0089602E" w:rsidRPr="006D14D6" w:rsidRDefault="0089602E" w:rsidP="00954BAC">
            <w:pPr>
              <w:numPr>
                <w:ilvl w:val="0"/>
                <w:numId w:val="78"/>
              </w:numPr>
              <w:spacing w:before="120" w:after="0" w:line="276" w:lineRule="auto"/>
              <w:ind w:left="599" w:right="172" w:hanging="283"/>
              <w:rPr>
                <w:b w:val="0"/>
                <w:bCs w:val="0"/>
                <w:szCs w:val="18"/>
              </w:rPr>
            </w:pPr>
            <w:r w:rsidRPr="006D14D6">
              <w:rPr>
                <w:b w:val="0"/>
                <w:bCs w:val="0"/>
                <w:szCs w:val="18"/>
              </w:rPr>
              <w:t>Operational Coordination Structure</w:t>
            </w:r>
          </w:p>
          <w:p w14:paraId="7EEF8097" w14:textId="62D92265" w:rsidR="00B63609" w:rsidRPr="00B63609" w:rsidRDefault="0089602E" w:rsidP="00954BAC">
            <w:pPr>
              <w:numPr>
                <w:ilvl w:val="0"/>
                <w:numId w:val="78"/>
              </w:numPr>
              <w:spacing w:before="120" w:after="0" w:line="276" w:lineRule="auto"/>
              <w:ind w:left="599" w:right="172" w:hanging="283"/>
              <w:rPr>
                <w:szCs w:val="18"/>
              </w:rPr>
            </w:pPr>
            <w:r w:rsidRPr="006D14D6">
              <w:rPr>
                <w:b w:val="0"/>
                <w:bCs w:val="0"/>
                <w:szCs w:val="18"/>
              </w:rPr>
              <w:t>Transactional Structure</w:t>
            </w:r>
          </w:p>
          <w:p w14:paraId="7F4356B7" w14:textId="3F0972DB" w:rsidR="0089602E" w:rsidRPr="006D14D6" w:rsidRDefault="0089602E" w:rsidP="00954BAC">
            <w:pPr>
              <w:numPr>
                <w:ilvl w:val="0"/>
                <w:numId w:val="78"/>
              </w:numPr>
              <w:spacing w:before="120" w:after="0" w:line="276" w:lineRule="auto"/>
              <w:ind w:left="599" w:right="172" w:hanging="283"/>
              <w:rPr>
                <w:b w:val="0"/>
                <w:bCs w:val="0"/>
                <w:szCs w:val="18"/>
              </w:rPr>
            </w:pPr>
            <w:r w:rsidRPr="006D14D6">
              <w:rPr>
                <w:b w:val="0"/>
                <w:bCs w:val="0"/>
                <w:szCs w:val="18"/>
              </w:rPr>
              <w:t>Industry / Market Structure</w:t>
            </w:r>
            <w:r w:rsidRPr="006D14D6">
              <w:rPr>
                <w:rFonts w:ascii="Calibri" w:hAnsi="Calibri" w:cs="Calibri"/>
                <w:b w:val="0"/>
                <w:bCs w:val="0"/>
                <w:szCs w:val="18"/>
              </w:rPr>
              <w:t> </w:t>
            </w:r>
          </w:p>
          <w:p w14:paraId="5562B147" w14:textId="7B5995DB" w:rsidR="0089602E" w:rsidRPr="006D14D6" w:rsidRDefault="0089602E" w:rsidP="00954BAC">
            <w:pPr>
              <w:numPr>
                <w:ilvl w:val="0"/>
                <w:numId w:val="78"/>
              </w:numPr>
              <w:spacing w:before="120" w:after="0" w:line="276" w:lineRule="auto"/>
              <w:ind w:left="599" w:right="172" w:hanging="283"/>
              <w:rPr>
                <w:b w:val="0"/>
                <w:bCs w:val="0"/>
                <w:szCs w:val="18"/>
              </w:rPr>
            </w:pPr>
            <w:r w:rsidRPr="006D14D6">
              <w:rPr>
                <w:b w:val="0"/>
                <w:bCs w:val="0"/>
                <w:szCs w:val="18"/>
              </w:rPr>
              <w:t>Regulatory Structure</w:t>
            </w:r>
            <w:r w:rsidRPr="006D14D6">
              <w:rPr>
                <w:rFonts w:ascii="Calibri" w:hAnsi="Calibri" w:cs="Calibri"/>
                <w:b w:val="0"/>
                <w:bCs w:val="0"/>
                <w:szCs w:val="18"/>
              </w:rPr>
              <w:t> </w:t>
            </w:r>
          </w:p>
          <w:p w14:paraId="4637C1F1" w14:textId="36D6DD42" w:rsidR="0089602E" w:rsidRPr="006D14D6" w:rsidRDefault="0089602E" w:rsidP="00954BAC">
            <w:pPr>
              <w:numPr>
                <w:ilvl w:val="0"/>
                <w:numId w:val="78"/>
              </w:numPr>
              <w:spacing w:before="120" w:after="0" w:line="276" w:lineRule="auto"/>
              <w:ind w:left="599" w:right="172" w:hanging="283"/>
              <w:rPr>
                <w:b w:val="0"/>
                <w:bCs w:val="0"/>
                <w:szCs w:val="18"/>
              </w:rPr>
            </w:pPr>
            <w:r w:rsidRPr="006D14D6">
              <w:rPr>
                <w:b w:val="0"/>
                <w:bCs w:val="0"/>
                <w:szCs w:val="18"/>
              </w:rPr>
              <w:t>Sector Coupling Structures (Gas, Water, Transport, etc)</w:t>
            </w:r>
            <w:r w:rsidRPr="006D14D6">
              <w:rPr>
                <w:rFonts w:ascii="Calibri" w:hAnsi="Calibri" w:cs="Calibri"/>
                <w:b w:val="0"/>
                <w:bCs w:val="0"/>
                <w:szCs w:val="18"/>
              </w:rPr>
              <w:t> </w:t>
            </w:r>
          </w:p>
          <w:p w14:paraId="419D3556" w14:textId="005C829C" w:rsidR="00D22DDE" w:rsidRDefault="00F60E08" w:rsidP="00D22DDE">
            <w:pPr>
              <w:spacing w:line="264" w:lineRule="auto"/>
              <w:ind w:left="174" w:right="172"/>
              <w:rPr>
                <w:bCs w:val="0"/>
                <w:lang w:eastAsia="en-US" w:bidi="ar-SA"/>
              </w:rPr>
            </w:pPr>
            <w:r>
              <w:rPr>
                <w:b w:val="0"/>
                <w:lang w:eastAsia="en-US" w:bidi="ar-SA"/>
              </w:rPr>
              <w:t xml:space="preserve">The </w:t>
            </w:r>
            <w:r w:rsidR="00634C14">
              <w:rPr>
                <w:b w:val="0"/>
                <w:lang w:eastAsia="en-US" w:bidi="ar-SA"/>
              </w:rPr>
              <w:t xml:space="preserve">legacy </w:t>
            </w:r>
            <w:r>
              <w:rPr>
                <w:b w:val="0"/>
                <w:lang w:eastAsia="en-US" w:bidi="ar-SA"/>
              </w:rPr>
              <w:t xml:space="preserve">configuration of these </w:t>
            </w:r>
            <w:r w:rsidR="005343D8">
              <w:rPr>
                <w:b w:val="0"/>
                <w:lang w:eastAsia="en-US" w:bidi="ar-SA"/>
              </w:rPr>
              <w:t xml:space="preserve">seven </w:t>
            </w:r>
            <w:r w:rsidR="00634C14">
              <w:rPr>
                <w:b w:val="0"/>
                <w:lang w:eastAsia="en-US" w:bidi="ar-SA"/>
              </w:rPr>
              <w:t>str</w:t>
            </w:r>
            <w:r w:rsidR="00FF734C" w:rsidRPr="009726E7">
              <w:rPr>
                <w:b w:val="0"/>
                <w:lang w:eastAsia="en-US" w:bidi="ar-SA"/>
              </w:rPr>
              <w:t xml:space="preserve">uctures </w:t>
            </w:r>
            <w:r w:rsidR="005566ED" w:rsidRPr="009726E7">
              <w:rPr>
                <w:b w:val="0"/>
                <w:lang w:eastAsia="en-US" w:bidi="ar-SA"/>
              </w:rPr>
              <w:t xml:space="preserve">progressively </w:t>
            </w:r>
            <w:r w:rsidR="00FF734C" w:rsidRPr="009726E7">
              <w:rPr>
                <w:b w:val="0"/>
                <w:lang w:eastAsia="en-US" w:bidi="ar-SA"/>
              </w:rPr>
              <w:t xml:space="preserve">evolved over </w:t>
            </w:r>
            <w:r>
              <w:rPr>
                <w:b w:val="0"/>
                <w:lang w:eastAsia="en-US" w:bidi="ar-SA"/>
              </w:rPr>
              <w:t xml:space="preserve">many </w:t>
            </w:r>
            <w:r w:rsidR="00FF734C" w:rsidRPr="009726E7">
              <w:rPr>
                <w:b w:val="0"/>
                <w:lang w:eastAsia="en-US" w:bidi="ar-SA"/>
              </w:rPr>
              <w:t xml:space="preserve">decades </w:t>
            </w:r>
            <w:r w:rsidR="005566ED">
              <w:rPr>
                <w:b w:val="0"/>
                <w:lang w:eastAsia="en-US" w:bidi="ar-SA"/>
              </w:rPr>
              <w:t xml:space="preserve">for the purpose of enabling a </w:t>
            </w:r>
            <w:r w:rsidR="00FF734C" w:rsidRPr="009726E7">
              <w:rPr>
                <w:b w:val="0"/>
                <w:lang w:eastAsia="en-US" w:bidi="ar-SA"/>
              </w:rPr>
              <w:t xml:space="preserve">highly centralised, unidirectional </w:t>
            </w:r>
            <w:r w:rsidR="004113FC" w:rsidRPr="009726E7">
              <w:rPr>
                <w:b w:val="0"/>
                <w:lang w:eastAsia="en-US" w:bidi="ar-SA"/>
              </w:rPr>
              <w:t>p</w:t>
            </w:r>
            <w:r w:rsidR="00FF734C" w:rsidRPr="009726E7">
              <w:rPr>
                <w:b w:val="0"/>
                <w:lang w:eastAsia="en-US" w:bidi="ar-SA"/>
              </w:rPr>
              <w:t xml:space="preserve">ower </w:t>
            </w:r>
            <w:r w:rsidR="004113FC" w:rsidRPr="009726E7">
              <w:rPr>
                <w:b w:val="0"/>
                <w:lang w:eastAsia="en-US" w:bidi="ar-SA"/>
              </w:rPr>
              <w:t>s</w:t>
            </w:r>
            <w:r w:rsidR="00FF734C" w:rsidRPr="009726E7">
              <w:rPr>
                <w:b w:val="0"/>
                <w:lang w:eastAsia="en-US" w:bidi="ar-SA"/>
              </w:rPr>
              <w:t>ystem</w:t>
            </w:r>
            <w:r w:rsidR="00374950">
              <w:rPr>
                <w:b w:val="0"/>
                <w:lang w:eastAsia="en-US" w:bidi="ar-SA"/>
              </w:rPr>
              <w:t xml:space="preserve">. </w:t>
            </w:r>
            <w:r w:rsidR="00D22DDE">
              <w:rPr>
                <w:b w:val="0"/>
                <w:lang w:eastAsia="en-US" w:bidi="ar-SA"/>
              </w:rPr>
              <w:t xml:space="preserve">In their current form, they </w:t>
            </w:r>
            <w:r w:rsidR="00D22DDE" w:rsidRPr="009726E7">
              <w:rPr>
                <w:b w:val="0"/>
                <w:lang w:eastAsia="en-US" w:bidi="ar-SA"/>
              </w:rPr>
              <w:t xml:space="preserve">are subject to </w:t>
            </w:r>
            <w:r w:rsidR="00E05E38">
              <w:rPr>
                <w:b w:val="0"/>
                <w:lang w:eastAsia="en-US" w:bidi="ar-SA"/>
              </w:rPr>
              <w:t xml:space="preserve">many </w:t>
            </w:r>
            <w:r w:rsidR="00D22DDE" w:rsidRPr="009726E7">
              <w:rPr>
                <w:b w:val="0"/>
                <w:lang w:eastAsia="en-US" w:bidi="ar-SA"/>
              </w:rPr>
              <w:t xml:space="preserve">hidden interactions, cross-couplings, constraints and dependencies </w:t>
            </w:r>
            <w:r w:rsidR="00D22DDE">
              <w:rPr>
                <w:b w:val="0"/>
                <w:lang w:eastAsia="en-US" w:bidi="ar-SA"/>
              </w:rPr>
              <w:t>that</w:t>
            </w:r>
            <w:r w:rsidR="00D22DDE" w:rsidRPr="009726E7">
              <w:rPr>
                <w:b w:val="0"/>
                <w:lang w:eastAsia="en-US" w:bidi="ar-SA"/>
              </w:rPr>
              <w:t xml:space="preserve"> </w:t>
            </w:r>
            <w:r>
              <w:rPr>
                <w:b w:val="0"/>
                <w:lang w:eastAsia="en-US" w:bidi="ar-SA"/>
              </w:rPr>
              <w:t xml:space="preserve">make </w:t>
            </w:r>
            <w:r w:rsidR="00D22DDE" w:rsidRPr="009726E7">
              <w:rPr>
                <w:b w:val="0"/>
                <w:lang w:eastAsia="en-US" w:bidi="ar-SA"/>
              </w:rPr>
              <w:t>change</w:t>
            </w:r>
            <w:r w:rsidR="00E05E38">
              <w:rPr>
                <w:b w:val="0"/>
                <w:lang w:eastAsia="en-US" w:bidi="ar-SA"/>
              </w:rPr>
              <w:t xml:space="preserve"> difficult </w:t>
            </w:r>
            <w:r w:rsidR="00D22DDE">
              <w:rPr>
                <w:b w:val="0"/>
                <w:lang w:eastAsia="en-US" w:bidi="ar-SA"/>
              </w:rPr>
              <w:t>– many of which are largely invisible</w:t>
            </w:r>
            <w:r w:rsidR="00E05E38">
              <w:rPr>
                <w:b w:val="0"/>
                <w:lang w:eastAsia="en-US" w:bidi="ar-SA"/>
              </w:rPr>
              <w:t xml:space="preserve"> without structural analysis. </w:t>
            </w:r>
          </w:p>
          <w:p w14:paraId="736D5140" w14:textId="1873171E" w:rsidR="00634C14" w:rsidRDefault="00634C14" w:rsidP="00B7497A">
            <w:pPr>
              <w:spacing w:line="264" w:lineRule="auto"/>
              <w:ind w:left="174" w:right="172"/>
              <w:rPr>
                <w:bCs w:val="0"/>
                <w:lang w:eastAsia="en-US" w:bidi="ar-SA"/>
              </w:rPr>
            </w:pPr>
            <w:r>
              <w:rPr>
                <w:b w:val="0"/>
                <w:lang w:eastAsia="en-US" w:bidi="ar-SA"/>
              </w:rPr>
              <w:t xml:space="preserve">As </w:t>
            </w:r>
            <w:r w:rsidR="00906FF1">
              <w:rPr>
                <w:b w:val="0"/>
                <w:lang w:eastAsia="en-US" w:bidi="ar-SA"/>
              </w:rPr>
              <w:t>power systems are transformed to enable far more dynamic</w:t>
            </w:r>
            <w:r w:rsidR="00380C65">
              <w:rPr>
                <w:b w:val="0"/>
                <w:lang w:eastAsia="en-US" w:bidi="ar-SA"/>
              </w:rPr>
              <w:t xml:space="preserve">, bidirectional and whole-system operation, </w:t>
            </w:r>
            <w:r w:rsidR="00E05E38">
              <w:rPr>
                <w:b w:val="0"/>
                <w:lang w:eastAsia="en-US" w:bidi="ar-SA"/>
              </w:rPr>
              <w:t>provisioning</w:t>
            </w:r>
            <w:r w:rsidR="00D22DDE">
              <w:rPr>
                <w:b w:val="0"/>
                <w:lang w:eastAsia="en-US" w:bidi="ar-SA"/>
              </w:rPr>
              <w:t xml:space="preserve"> these</w:t>
            </w:r>
            <w:r w:rsidR="00380C65">
              <w:rPr>
                <w:b w:val="0"/>
                <w:lang w:eastAsia="en-US" w:bidi="ar-SA"/>
              </w:rPr>
              <w:t xml:space="preserve"> underlying structures</w:t>
            </w:r>
            <w:r w:rsidR="00E05E38">
              <w:rPr>
                <w:b w:val="0"/>
                <w:lang w:eastAsia="en-US" w:bidi="ar-SA"/>
              </w:rPr>
              <w:t xml:space="preserve"> </w:t>
            </w:r>
            <w:r w:rsidR="00D22DDE">
              <w:rPr>
                <w:b w:val="0"/>
                <w:lang w:eastAsia="en-US" w:bidi="ar-SA"/>
              </w:rPr>
              <w:t>to meet future needs becomes critical</w:t>
            </w:r>
            <w:r w:rsidR="00374950">
              <w:rPr>
                <w:b w:val="0"/>
                <w:lang w:eastAsia="en-US" w:bidi="ar-SA"/>
              </w:rPr>
              <w:t xml:space="preserve">. </w:t>
            </w:r>
            <w:r w:rsidR="00304A06">
              <w:rPr>
                <w:b w:val="0"/>
                <w:lang w:eastAsia="en-US" w:bidi="ar-SA"/>
              </w:rPr>
              <w:t xml:space="preserve">While much effort </w:t>
            </w:r>
            <w:r w:rsidR="00E05E38">
              <w:rPr>
                <w:b w:val="0"/>
                <w:lang w:eastAsia="en-US" w:bidi="ar-SA"/>
              </w:rPr>
              <w:t xml:space="preserve">is necessarily </w:t>
            </w:r>
            <w:r w:rsidR="00304A06">
              <w:rPr>
                <w:b w:val="0"/>
                <w:lang w:eastAsia="en-US" w:bidi="ar-SA"/>
              </w:rPr>
              <w:t xml:space="preserve">focused on the </w:t>
            </w:r>
            <w:r w:rsidR="00E05E38">
              <w:rPr>
                <w:b w:val="0"/>
                <w:lang w:eastAsia="en-US" w:bidi="ar-SA"/>
              </w:rPr>
              <w:t xml:space="preserve">many </w:t>
            </w:r>
            <w:r w:rsidR="00304A06">
              <w:rPr>
                <w:b w:val="0"/>
                <w:lang w:eastAsia="en-US" w:bidi="ar-SA"/>
              </w:rPr>
              <w:t xml:space="preserve">new system elements </w:t>
            </w:r>
            <w:r w:rsidR="00E05E38">
              <w:rPr>
                <w:b w:val="0"/>
                <w:lang w:eastAsia="en-US" w:bidi="ar-SA"/>
              </w:rPr>
              <w:t>needed</w:t>
            </w:r>
            <w:r w:rsidR="00304A06">
              <w:rPr>
                <w:b w:val="0"/>
                <w:lang w:eastAsia="en-US" w:bidi="ar-SA"/>
              </w:rPr>
              <w:t xml:space="preserve"> (</w:t>
            </w:r>
            <w:r w:rsidR="000511CC">
              <w:rPr>
                <w:b w:val="0"/>
                <w:lang w:eastAsia="en-US" w:bidi="ar-SA"/>
              </w:rPr>
              <w:t>e.g. transmission links, energy storage</w:t>
            </w:r>
            <w:r w:rsidR="00E05E38">
              <w:rPr>
                <w:b w:val="0"/>
                <w:lang w:eastAsia="en-US" w:bidi="ar-SA"/>
              </w:rPr>
              <w:t xml:space="preserve"> systems</w:t>
            </w:r>
            <w:r w:rsidR="000511CC">
              <w:rPr>
                <w:b w:val="0"/>
                <w:lang w:eastAsia="en-US" w:bidi="ar-SA"/>
              </w:rPr>
              <w:t>, tariff</w:t>
            </w:r>
            <w:r w:rsidR="00E05E38">
              <w:rPr>
                <w:b w:val="0"/>
                <w:lang w:eastAsia="en-US" w:bidi="ar-SA"/>
              </w:rPr>
              <w:t xml:space="preserve"> </w:t>
            </w:r>
            <w:r w:rsidR="000511CC">
              <w:rPr>
                <w:b w:val="0"/>
                <w:lang w:eastAsia="en-US" w:bidi="ar-SA"/>
              </w:rPr>
              <w:t xml:space="preserve">reforms, etc.), the </w:t>
            </w:r>
            <w:r w:rsidR="00D22DDE" w:rsidRPr="009726E7">
              <w:rPr>
                <w:b w:val="0"/>
                <w:lang w:eastAsia="en-US" w:bidi="ar-SA"/>
              </w:rPr>
              <w:t xml:space="preserve">underlying structure of </w:t>
            </w:r>
            <w:r w:rsidR="00E05E38">
              <w:rPr>
                <w:b w:val="0"/>
                <w:lang w:eastAsia="en-US" w:bidi="ar-SA"/>
              </w:rPr>
              <w:t xml:space="preserve">a complex </w:t>
            </w:r>
            <w:r w:rsidR="00D22DDE" w:rsidRPr="009726E7">
              <w:rPr>
                <w:b w:val="0"/>
                <w:lang w:eastAsia="en-US" w:bidi="ar-SA"/>
              </w:rPr>
              <w:t xml:space="preserve">system establishes its essential capabilities and has a disproportionate impact on what it can reliably and cost-effectively </w:t>
            </w:r>
            <w:r w:rsidR="00AA1906">
              <w:rPr>
                <w:b w:val="0"/>
                <w:lang w:eastAsia="en-US" w:bidi="ar-SA"/>
              </w:rPr>
              <w:t>do</w:t>
            </w:r>
            <w:r w:rsidR="00374950">
              <w:rPr>
                <w:b w:val="0"/>
                <w:lang w:eastAsia="en-US" w:bidi="ar-SA"/>
              </w:rPr>
              <w:t xml:space="preserve">. </w:t>
            </w:r>
          </w:p>
          <w:p w14:paraId="63814D42" w14:textId="6484D97F" w:rsidR="00B717E1" w:rsidRPr="002C72C2" w:rsidRDefault="00FF734C" w:rsidP="00B7497A">
            <w:pPr>
              <w:spacing w:line="264" w:lineRule="auto"/>
              <w:ind w:left="174" w:right="172"/>
              <w:rPr>
                <w:lang w:eastAsia="en-US" w:bidi="ar-SA"/>
              </w:rPr>
            </w:pPr>
            <w:r w:rsidRPr="009726E7">
              <w:rPr>
                <w:b w:val="0"/>
                <w:lang w:eastAsia="en-US" w:bidi="ar-SA"/>
              </w:rPr>
              <w:t>The Network of Structures paradigm</w:t>
            </w:r>
            <w:r w:rsidR="00CC6B50">
              <w:rPr>
                <w:b w:val="0"/>
                <w:lang w:eastAsia="en-US" w:bidi="ar-SA"/>
              </w:rPr>
              <w:t xml:space="preserve"> </w:t>
            </w:r>
            <w:r w:rsidR="00CC6B50" w:rsidRPr="009726E7">
              <w:rPr>
                <w:b w:val="0"/>
                <w:lang w:eastAsia="en-US" w:bidi="ar-SA"/>
              </w:rPr>
              <w:t xml:space="preserve">provides </w:t>
            </w:r>
            <w:r w:rsidR="00CC6B50">
              <w:rPr>
                <w:b w:val="0"/>
                <w:lang w:eastAsia="en-US" w:bidi="ar-SA"/>
              </w:rPr>
              <w:t xml:space="preserve">an essential framework for the holistic </w:t>
            </w:r>
            <w:r w:rsidR="00CC6B50" w:rsidRPr="009726E7">
              <w:rPr>
                <w:b w:val="0"/>
                <w:lang w:eastAsia="en-US" w:bidi="ar-SA"/>
              </w:rPr>
              <w:t>analysis, mapping, and optimisation of current and future system</w:t>
            </w:r>
            <w:r w:rsidR="00CC6B50">
              <w:rPr>
                <w:b w:val="0"/>
                <w:lang w:eastAsia="en-US" w:bidi="ar-SA"/>
              </w:rPr>
              <w:t xml:space="preserve"> structures</w:t>
            </w:r>
            <w:r w:rsidR="0036750C">
              <w:rPr>
                <w:b w:val="0"/>
                <w:lang w:eastAsia="en-US" w:bidi="ar-SA"/>
              </w:rPr>
              <w:t xml:space="preserve"> </w:t>
            </w:r>
            <w:hyperlink w:anchor="Ref_17" w:history="1">
              <w:r w:rsidR="000567C4" w:rsidRPr="008C257E">
                <w:rPr>
                  <w:rStyle w:val="Hyperlink"/>
                  <w:lang w:eastAsia="en-US" w:bidi="ar-SA"/>
                </w:rPr>
                <w:fldChar w:fldCharType="begin"/>
              </w:r>
              <w:r w:rsidR="00732E28" w:rsidRPr="008C257E">
                <w:rPr>
                  <w:rStyle w:val="Hyperlink"/>
                  <w:b w:val="0"/>
                  <w:bCs w:val="0"/>
                  <w:lang w:eastAsia="en-US" w:bidi="ar-SA"/>
                </w:rPr>
                <w:instrText xml:space="preserve"> ADDIN ZOTERO_ITEM CSL_CITATION {"citationID":"Z9hJkZAr","properties":{"formattedCitation":"[17]","plainCitation":"[17]","noteIndex":0},"citationItems":[{"id":27,"uris":["http://zotero.org/users/17348326/items/ISPIC3XZ"],"itemData":{"id":27,"type":"document","title":"The Network of Structures Grid Model Paradigm","URL":"https://gridarchitecture.pnnl.gov/media/advanced/The%20Network%20of%20Structures.pdf","author":[{"family":"Pacific Northwest National Laboratory (PNNL)","given":""}],"issued":{"date-parts":[["2014"]]}}}],"schema":"https://github.com/citation-style-language/schema/raw/master/csl-citation.json"} </w:instrText>
              </w:r>
              <w:r w:rsidR="000567C4" w:rsidRPr="008C257E">
                <w:rPr>
                  <w:rStyle w:val="Hyperlink"/>
                  <w:lang w:eastAsia="en-US" w:bidi="ar-SA"/>
                </w:rPr>
                <w:fldChar w:fldCharType="separate"/>
              </w:r>
              <w:r w:rsidR="00732E28" w:rsidRPr="008C257E">
                <w:rPr>
                  <w:rStyle w:val="Hyperlink"/>
                  <w:b w:val="0"/>
                  <w:bCs w:val="0"/>
                </w:rPr>
                <w:t>[17]</w:t>
              </w:r>
              <w:r w:rsidR="000567C4" w:rsidRPr="008C257E">
                <w:rPr>
                  <w:rStyle w:val="Hyperlink"/>
                  <w:lang w:eastAsia="en-US" w:bidi="ar-SA"/>
                </w:rPr>
                <w:fldChar w:fldCharType="end"/>
              </w:r>
            </w:hyperlink>
            <w:r w:rsidR="00374950">
              <w:rPr>
                <w:b w:val="0"/>
                <w:lang w:eastAsia="en-US" w:bidi="ar-SA"/>
              </w:rPr>
              <w:t xml:space="preserve">. </w:t>
            </w:r>
          </w:p>
        </w:tc>
      </w:tr>
    </w:tbl>
    <w:p w14:paraId="7C107674" w14:textId="3FA56BF9" w:rsidR="003E6261" w:rsidRPr="002C72C2" w:rsidRDefault="003E6261" w:rsidP="00EB2823">
      <w:pPr>
        <w:pStyle w:val="Heading2"/>
        <w:spacing w:line="264" w:lineRule="auto"/>
        <w:rPr>
          <w:lang w:eastAsia="en-US" w:bidi="ar-SA"/>
        </w:rPr>
      </w:pPr>
      <w:bookmarkStart w:id="51" w:name="_Toc205533963"/>
      <w:r w:rsidRPr="002C72C2">
        <w:rPr>
          <w:lang w:eastAsia="en-US" w:bidi="ar-SA"/>
        </w:rPr>
        <w:t xml:space="preserve">Core Structural </w:t>
      </w:r>
      <w:r w:rsidR="00957B32" w:rsidRPr="002C72C2">
        <w:rPr>
          <w:lang w:eastAsia="en-US" w:bidi="ar-SA"/>
        </w:rPr>
        <w:t>&amp; Operability Issues</w:t>
      </w:r>
      <w:bookmarkEnd w:id="51"/>
    </w:p>
    <w:p w14:paraId="49FC3C95" w14:textId="749E1D54" w:rsidR="00112D24" w:rsidRPr="002C72C2" w:rsidRDefault="003611CE" w:rsidP="00B978FC">
      <w:pPr>
        <w:spacing w:before="180" w:line="264" w:lineRule="auto"/>
        <w:rPr>
          <w:rFonts w:ascii="PP Mori SemiBold" w:eastAsiaTheme="majorEastAsia" w:hAnsi="PP Mori SemiBold" w:cstheme="majorBidi"/>
          <w:color w:val="001D25" w:themeColor="accent1" w:themeShade="80"/>
          <w:sz w:val="24"/>
          <w:szCs w:val="30"/>
          <w:lang w:eastAsia="en-US" w:bidi="ar-SA"/>
        </w:rPr>
      </w:pPr>
      <w:r>
        <w:rPr>
          <w:lang w:eastAsia="en-US" w:bidi="ar-SA"/>
        </w:rPr>
        <w:t xml:space="preserve">The following section </w:t>
      </w:r>
      <w:r w:rsidR="008164F6">
        <w:rPr>
          <w:lang w:eastAsia="en-US" w:bidi="ar-SA"/>
        </w:rPr>
        <w:t>explores</w:t>
      </w:r>
      <w:r w:rsidR="009C29DB">
        <w:rPr>
          <w:lang w:eastAsia="en-US" w:bidi="ar-SA"/>
        </w:rPr>
        <w:t xml:space="preserve"> seven </w:t>
      </w:r>
      <w:r w:rsidR="007E6AEC">
        <w:rPr>
          <w:lang w:eastAsia="en-US" w:bidi="ar-SA"/>
        </w:rPr>
        <w:t>c</w:t>
      </w:r>
      <w:r w:rsidR="007E6AEC" w:rsidRPr="007E6AEC">
        <w:rPr>
          <w:lang w:eastAsia="en-US" w:bidi="ar-SA"/>
        </w:rPr>
        <w:t>ritical structural matters that will require holistic consideration and targeted interventions as Australia’s power systems transform from a unidirectional past to an increasingly dynamic and bidirectional future</w:t>
      </w:r>
      <w:r w:rsidR="00374950">
        <w:rPr>
          <w:lang w:eastAsia="en-US" w:bidi="ar-SA"/>
        </w:rPr>
        <w:t xml:space="preserve">. </w:t>
      </w:r>
    </w:p>
    <w:p w14:paraId="1E5B5913" w14:textId="59DB37E5" w:rsidR="003E6261" w:rsidRPr="002C72C2" w:rsidRDefault="003E6261" w:rsidP="00EB2823">
      <w:pPr>
        <w:pStyle w:val="Heading3"/>
        <w:spacing w:line="264" w:lineRule="auto"/>
        <w:rPr>
          <w:lang w:eastAsia="en-US" w:bidi="ar-SA"/>
        </w:rPr>
      </w:pPr>
      <w:bookmarkStart w:id="52" w:name="_Foundational_Structural_Shifts"/>
      <w:bookmarkStart w:id="53" w:name="_Toc205533964"/>
      <w:bookmarkStart w:id="54" w:name="S_421"/>
      <w:bookmarkEnd w:id="52"/>
      <w:r w:rsidRPr="002C72C2">
        <w:rPr>
          <w:lang w:eastAsia="en-US" w:bidi="ar-SA"/>
        </w:rPr>
        <w:t>Foundational Structural Shifts</w:t>
      </w:r>
      <w:bookmarkEnd w:id="53"/>
    </w:p>
    <w:tbl>
      <w:tblPr>
        <w:tblStyle w:val="TableGrid"/>
        <w:tblW w:w="0" w:type="auto"/>
        <w:tblLook w:val="04A0" w:firstRow="1" w:lastRow="0" w:firstColumn="1" w:lastColumn="0" w:noHBand="0" w:noVBand="1"/>
      </w:tblPr>
      <w:tblGrid>
        <w:gridCol w:w="8210"/>
      </w:tblGrid>
      <w:tr w:rsidR="00112D24" w14:paraId="45A4D23F" w14:textId="77777777" w:rsidTr="008F2E81">
        <w:tc>
          <w:tcPr>
            <w:tcW w:w="8210" w:type="dxa"/>
            <w:shd w:val="clear" w:color="auto" w:fill="013C4C" w:themeFill="text1"/>
          </w:tcPr>
          <w:bookmarkEnd w:id="54"/>
          <w:p w14:paraId="6CAD0BA6" w14:textId="1A334ABB" w:rsidR="00112D24" w:rsidRPr="004C217A" w:rsidRDefault="00DD641E" w:rsidP="00EB2823">
            <w:pPr>
              <w:spacing w:before="180" w:after="180" w:line="264" w:lineRule="auto"/>
              <w:ind w:left="176" w:right="176"/>
              <w:rPr>
                <w:i/>
                <w:lang w:eastAsia="en-US" w:bidi="ar-SA"/>
              </w:rPr>
            </w:pPr>
            <w:r w:rsidRPr="004C217A">
              <w:rPr>
                <w:i/>
                <w:lang w:eastAsia="en-US" w:bidi="ar-SA"/>
              </w:rPr>
              <w:t>A range of inherent constraints are embedded in the legacy grid structures developed for unidirectional power flows and passive consumers</w:t>
            </w:r>
            <w:r w:rsidR="00374950">
              <w:rPr>
                <w:i/>
                <w:lang w:eastAsia="en-US" w:bidi="ar-SA"/>
              </w:rPr>
              <w:t xml:space="preserve">. </w:t>
            </w:r>
            <w:r w:rsidRPr="004C217A">
              <w:rPr>
                <w:i/>
                <w:lang w:eastAsia="en-US" w:bidi="ar-SA"/>
              </w:rPr>
              <w:t>These constraints become increasingly problematic as decarbonisation advances and power flows become more bidirectional and volatile</w:t>
            </w:r>
            <w:r w:rsidR="00374950">
              <w:rPr>
                <w:i/>
                <w:lang w:eastAsia="en-US" w:bidi="ar-SA"/>
              </w:rPr>
              <w:t xml:space="preserve">. </w:t>
            </w:r>
            <w:r w:rsidRPr="004C217A">
              <w:rPr>
                <w:i/>
                <w:lang w:eastAsia="en-US" w:bidi="ar-SA"/>
              </w:rPr>
              <w:t>Impacting the various segments of the grid, their impact is compounded where no single entity is responsible to ensure the system architecture of the end-to-end system is both scalable and future ready</w:t>
            </w:r>
            <w:r w:rsidR="00374950">
              <w:rPr>
                <w:i/>
                <w:lang w:eastAsia="en-US" w:bidi="ar-SA"/>
              </w:rPr>
              <w:t xml:space="preserve">. </w:t>
            </w:r>
          </w:p>
        </w:tc>
      </w:tr>
    </w:tbl>
    <w:p w14:paraId="4884375D" w14:textId="7CFA0EDA" w:rsidR="00DB57AB" w:rsidRPr="00E105B5" w:rsidRDefault="00DB57AB" w:rsidP="00954BAC">
      <w:pPr>
        <w:pStyle w:val="Heading4"/>
        <w:numPr>
          <w:ilvl w:val="0"/>
          <w:numId w:val="51"/>
        </w:numPr>
        <w:spacing w:before="240" w:after="120" w:line="264" w:lineRule="auto"/>
        <w:rPr>
          <w:i w:val="0"/>
          <w:iCs w:val="0"/>
        </w:rPr>
      </w:pPr>
      <w:r w:rsidRPr="00E105B5">
        <w:rPr>
          <w:i w:val="0"/>
          <w:iCs w:val="0"/>
        </w:rPr>
        <w:t>Cross Cutting Issue</w:t>
      </w:r>
    </w:p>
    <w:p w14:paraId="134CCCDF" w14:textId="48725DA4" w:rsidR="00DB57AB" w:rsidRPr="002C72C2" w:rsidRDefault="00FA602A" w:rsidP="00EB2823">
      <w:pPr>
        <w:spacing w:before="120" w:after="120" w:line="264" w:lineRule="auto"/>
        <w:rPr>
          <w:lang w:eastAsia="en-US" w:bidi="ar-SA"/>
        </w:rPr>
      </w:pPr>
      <w:r w:rsidRPr="002C72C2">
        <w:rPr>
          <w:lang w:eastAsia="en-US" w:bidi="ar-SA"/>
        </w:rPr>
        <w:t xml:space="preserve">Australia’s NEM </w:t>
      </w:r>
      <w:r w:rsidR="00DB57AB" w:rsidRPr="002C72C2">
        <w:rPr>
          <w:lang w:eastAsia="en-US" w:bidi="ar-SA"/>
        </w:rPr>
        <w:t xml:space="preserve">is transitioning from hundreds of large, dispatchable, synchronous generators to a future involving tens of millions of diverse and highly dynamic resources which are </w:t>
      </w:r>
      <w:r w:rsidRPr="002C72C2">
        <w:rPr>
          <w:lang w:eastAsia="en-US" w:bidi="ar-SA"/>
        </w:rPr>
        <w:t xml:space="preserve">connected </w:t>
      </w:r>
      <w:r w:rsidR="00C24338" w:rsidRPr="002C72C2">
        <w:rPr>
          <w:lang w:eastAsia="en-US" w:bidi="ar-SA"/>
        </w:rPr>
        <w:t xml:space="preserve">across </w:t>
      </w:r>
      <w:r w:rsidR="00DB57AB" w:rsidRPr="002C72C2">
        <w:rPr>
          <w:lang w:eastAsia="en-US" w:bidi="ar-SA"/>
        </w:rPr>
        <w:t>the system</w:t>
      </w:r>
      <w:r w:rsidR="00374950">
        <w:rPr>
          <w:lang w:eastAsia="en-US" w:bidi="ar-SA"/>
        </w:rPr>
        <w:t xml:space="preserve">. </w:t>
      </w:r>
      <w:r w:rsidR="00DB57AB" w:rsidRPr="002C72C2">
        <w:rPr>
          <w:lang w:eastAsia="en-US" w:bidi="ar-SA"/>
        </w:rPr>
        <w:t xml:space="preserve">With the progressive withdrawal of conventional generation, a wide range of energy and system services will need to be </w:t>
      </w:r>
      <w:r w:rsidR="000C0AB5" w:rsidRPr="002C72C2">
        <w:rPr>
          <w:lang w:eastAsia="en-US" w:bidi="ar-SA"/>
        </w:rPr>
        <w:t xml:space="preserve">provided from new sources, including </w:t>
      </w:r>
      <w:r w:rsidR="007C6842" w:rsidRPr="002C72C2">
        <w:rPr>
          <w:lang w:eastAsia="en-US" w:bidi="ar-SA"/>
        </w:rPr>
        <w:t xml:space="preserve">energy resources located on the demand-side of the system. </w:t>
      </w:r>
      <w:r w:rsidR="00FF70FD">
        <w:rPr>
          <w:lang w:eastAsia="en-US" w:bidi="ar-SA"/>
        </w:rPr>
        <w:t xml:space="preserve">In this context, it is worth noting that </w:t>
      </w:r>
      <w:r w:rsidR="00FF70FD" w:rsidRPr="00FF70FD">
        <w:rPr>
          <w:lang w:eastAsia="en-US" w:bidi="ar-SA"/>
        </w:rPr>
        <w:t>the term ‘demand-side’ is becoming increasingly imprecise</w:t>
      </w:r>
      <w:r w:rsidR="000D7171">
        <w:rPr>
          <w:lang w:eastAsia="en-US" w:bidi="ar-SA"/>
        </w:rPr>
        <w:t xml:space="preserve">, as </w:t>
      </w:r>
      <w:r w:rsidR="00FF70FD" w:rsidRPr="00FF70FD">
        <w:rPr>
          <w:lang w:eastAsia="en-US" w:bidi="ar-SA"/>
        </w:rPr>
        <w:t>Australia’s distribution system</w:t>
      </w:r>
      <w:r w:rsidR="00A56B73">
        <w:rPr>
          <w:lang w:eastAsia="en-US" w:bidi="ar-SA"/>
        </w:rPr>
        <w:t xml:space="preserve">s </w:t>
      </w:r>
      <w:r w:rsidR="00854E29">
        <w:rPr>
          <w:lang w:eastAsia="en-US" w:bidi="ar-SA"/>
        </w:rPr>
        <w:t xml:space="preserve">are </w:t>
      </w:r>
      <w:r w:rsidR="00A56B73">
        <w:rPr>
          <w:lang w:eastAsia="en-US" w:bidi="ar-SA"/>
        </w:rPr>
        <w:t>becom</w:t>
      </w:r>
      <w:r w:rsidR="00854E29">
        <w:rPr>
          <w:lang w:eastAsia="en-US" w:bidi="ar-SA"/>
        </w:rPr>
        <w:t xml:space="preserve">ing </w:t>
      </w:r>
      <w:r w:rsidR="00A56B73">
        <w:rPr>
          <w:lang w:eastAsia="en-US" w:bidi="ar-SA"/>
        </w:rPr>
        <w:t>a</w:t>
      </w:r>
      <w:r w:rsidR="00FF70FD" w:rsidRPr="00FF70FD">
        <w:rPr>
          <w:lang w:eastAsia="en-US" w:bidi="ar-SA"/>
        </w:rPr>
        <w:t xml:space="preserve">n increasingly hybridised location of demand, consumption, supply, storage, flexibility and essential system services. </w:t>
      </w:r>
    </w:p>
    <w:p w14:paraId="045C3193" w14:textId="25FACCFB" w:rsidR="00DB57AB" w:rsidRPr="002C72C2" w:rsidRDefault="007C6842" w:rsidP="00EB2823">
      <w:pPr>
        <w:spacing w:before="120" w:after="120" w:line="264" w:lineRule="auto"/>
        <w:rPr>
          <w:lang w:eastAsia="en-US" w:bidi="ar-SA"/>
        </w:rPr>
      </w:pPr>
      <w:r w:rsidRPr="002C72C2">
        <w:rPr>
          <w:lang w:eastAsia="en-US" w:bidi="ar-SA"/>
        </w:rPr>
        <w:t xml:space="preserve">Historically, </w:t>
      </w:r>
      <w:r w:rsidR="00DB57AB" w:rsidRPr="002C72C2">
        <w:rPr>
          <w:lang w:eastAsia="en-US" w:bidi="ar-SA"/>
        </w:rPr>
        <w:t xml:space="preserve">GW-scale </w:t>
      </w:r>
      <w:r w:rsidRPr="002C72C2">
        <w:rPr>
          <w:lang w:eastAsia="en-US" w:bidi="ar-SA"/>
        </w:rPr>
        <w:t xml:space="preserve">power systems </w:t>
      </w:r>
      <w:r w:rsidR="00DB57AB" w:rsidRPr="002C72C2">
        <w:rPr>
          <w:lang w:eastAsia="en-US" w:bidi="ar-SA"/>
        </w:rPr>
        <w:t xml:space="preserve">developed around a </w:t>
      </w:r>
      <w:r w:rsidR="00266621" w:rsidRPr="002C72C2">
        <w:rPr>
          <w:lang w:eastAsia="en-US" w:bidi="ar-SA"/>
        </w:rPr>
        <w:t xml:space="preserve">dominant </w:t>
      </w:r>
      <w:r w:rsidR="00DB57AB" w:rsidRPr="002C72C2">
        <w:rPr>
          <w:lang w:eastAsia="en-US" w:bidi="ar-SA"/>
        </w:rPr>
        <w:t>‘</w:t>
      </w:r>
      <w:r w:rsidR="00266621" w:rsidRPr="002C72C2">
        <w:rPr>
          <w:lang w:eastAsia="en-US" w:bidi="ar-SA"/>
        </w:rPr>
        <w:t>su</w:t>
      </w:r>
      <w:r w:rsidR="00DB57AB" w:rsidRPr="002C72C2">
        <w:rPr>
          <w:lang w:eastAsia="en-US" w:bidi="ar-SA"/>
        </w:rPr>
        <w:t>pply-side</w:t>
      </w:r>
      <w:r w:rsidR="00266621" w:rsidRPr="002C72C2">
        <w:rPr>
          <w:lang w:eastAsia="en-US" w:bidi="ar-SA"/>
        </w:rPr>
        <w:t>/d</w:t>
      </w:r>
      <w:r w:rsidR="00DB57AB" w:rsidRPr="002C72C2">
        <w:rPr>
          <w:lang w:eastAsia="en-US" w:bidi="ar-SA"/>
        </w:rPr>
        <w:t>emand-side’ bifurcation</w:t>
      </w:r>
      <w:r w:rsidR="00374950">
        <w:rPr>
          <w:lang w:eastAsia="en-US" w:bidi="ar-SA"/>
        </w:rPr>
        <w:t xml:space="preserve">. </w:t>
      </w:r>
      <w:r w:rsidR="00DB57AB" w:rsidRPr="002C72C2">
        <w:rPr>
          <w:lang w:eastAsia="en-US" w:bidi="ar-SA"/>
        </w:rPr>
        <w:t xml:space="preserve">This acted as one of the most dominant paradigms of the global electric sector and, although now </w:t>
      </w:r>
      <w:r w:rsidR="00266621" w:rsidRPr="002C72C2">
        <w:rPr>
          <w:lang w:eastAsia="en-US" w:bidi="ar-SA"/>
        </w:rPr>
        <w:t>eroding</w:t>
      </w:r>
      <w:r w:rsidR="00DB57AB" w:rsidRPr="002C72C2">
        <w:rPr>
          <w:lang w:eastAsia="en-US" w:bidi="ar-SA"/>
        </w:rPr>
        <w:t>, continues to shape much of the thinking of the sector</w:t>
      </w:r>
      <w:r w:rsidR="00374950">
        <w:rPr>
          <w:lang w:eastAsia="en-US" w:bidi="ar-SA"/>
        </w:rPr>
        <w:t xml:space="preserve">. </w:t>
      </w:r>
      <w:r w:rsidR="00DB57AB" w:rsidRPr="002C72C2">
        <w:rPr>
          <w:lang w:eastAsia="en-US" w:bidi="ar-SA"/>
        </w:rPr>
        <w:t xml:space="preserve">In parallel, as this paradigm erodes, two new bifurcations of </w:t>
      </w:r>
      <w:r w:rsidR="00266621" w:rsidRPr="002C72C2">
        <w:rPr>
          <w:lang w:eastAsia="en-US" w:bidi="ar-SA"/>
        </w:rPr>
        <w:t>e</w:t>
      </w:r>
      <w:r w:rsidR="004A1D08" w:rsidRPr="002C72C2">
        <w:rPr>
          <w:lang w:eastAsia="en-US" w:bidi="ar-SA"/>
        </w:rPr>
        <w:t>nergy resources</w:t>
      </w:r>
      <w:r w:rsidR="00DB57AB" w:rsidRPr="002C72C2">
        <w:rPr>
          <w:lang w:eastAsia="en-US" w:bidi="ar-SA"/>
        </w:rPr>
        <w:t xml:space="preserve"> </w:t>
      </w:r>
      <w:r w:rsidR="00266621" w:rsidRPr="002C72C2">
        <w:rPr>
          <w:lang w:eastAsia="en-US" w:bidi="ar-SA"/>
        </w:rPr>
        <w:t xml:space="preserve">is </w:t>
      </w:r>
      <w:r w:rsidR="00B449E5" w:rsidRPr="002C72C2">
        <w:rPr>
          <w:lang w:eastAsia="en-US" w:bidi="ar-SA"/>
        </w:rPr>
        <w:t xml:space="preserve">occurring as </w:t>
      </w:r>
      <w:r w:rsidR="00DB57AB" w:rsidRPr="002C72C2">
        <w:rPr>
          <w:lang w:eastAsia="en-US" w:bidi="ar-SA"/>
        </w:rPr>
        <w:t>locational and functional</w:t>
      </w:r>
      <w:r w:rsidR="000E422F" w:rsidRPr="002C72C2">
        <w:rPr>
          <w:lang w:eastAsia="en-US" w:bidi="ar-SA"/>
        </w:rPr>
        <w:t xml:space="preserve">/investment </w:t>
      </w:r>
      <w:r w:rsidR="00DB57AB" w:rsidRPr="002C72C2">
        <w:rPr>
          <w:lang w:eastAsia="en-US" w:bidi="ar-SA"/>
        </w:rPr>
        <w:t xml:space="preserve">categories </w:t>
      </w:r>
      <w:r w:rsidR="00B449E5" w:rsidRPr="002C72C2">
        <w:rPr>
          <w:lang w:eastAsia="en-US" w:bidi="ar-SA"/>
        </w:rPr>
        <w:t>emerge</w:t>
      </w:r>
      <w:r w:rsidR="00DB57AB" w:rsidRPr="002C72C2">
        <w:rPr>
          <w:lang w:eastAsia="en-US" w:bidi="ar-SA"/>
        </w:rPr>
        <w:t xml:space="preserve">. </w:t>
      </w:r>
    </w:p>
    <w:p w14:paraId="3F61CD0D" w14:textId="2814A48B" w:rsidR="002734B6" w:rsidRDefault="00DB57AB" w:rsidP="00EB2823">
      <w:pPr>
        <w:spacing w:before="120" w:after="120" w:line="264" w:lineRule="auto"/>
        <w:rPr>
          <w:lang w:eastAsia="en-US" w:bidi="ar-SA"/>
        </w:rPr>
      </w:pPr>
      <w:r w:rsidRPr="197ECEA8">
        <w:rPr>
          <w:lang w:eastAsia="en-US" w:bidi="ar-SA"/>
        </w:rPr>
        <w:t xml:space="preserve">Given the increasing </w:t>
      </w:r>
      <w:r w:rsidR="008A7CC1" w:rsidRPr="197ECEA8">
        <w:rPr>
          <w:lang w:eastAsia="en-US" w:bidi="ar-SA"/>
        </w:rPr>
        <w:t>v</w:t>
      </w:r>
      <w:r w:rsidRPr="197ECEA8">
        <w:rPr>
          <w:lang w:eastAsia="en-US" w:bidi="ar-SA"/>
        </w:rPr>
        <w:t xml:space="preserve">olatility </w:t>
      </w:r>
      <w:r w:rsidR="007E42FF" w:rsidRPr="197ECEA8">
        <w:rPr>
          <w:lang w:eastAsia="en-US" w:bidi="ar-SA"/>
        </w:rPr>
        <w:t xml:space="preserve">and bi-directionality </w:t>
      </w:r>
      <w:r w:rsidRPr="197ECEA8">
        <w:rPr>
          <w:lang w:eastAsia="en-US" w:bidi="ar-SA"/>
        </w:rPr>
        <w:t xml:space="preserve">of a decarbonising </w:t>
      </w:r>
      <w:r w:rsidR="008A7CC1" w:rsidRPr="197ECEA8">
        <w:rPr>
          <w:lang w:eastAsia="en-US" w:bidi="ar-SA"/>
        </w:rPr>
        <w:t>power s</w:t>
      </w:r>
      <w:r w:rsidRPr="197ECEA8">
        <w:rPr>
          <w:lang w:eastAsia="en-US" w:bidi="ar-SA"/>
        </w:rPr>
        <w:t>ystem, and the</w:t>
      </w:r>
      <w:r w:rsidR="0022682F" w:rsidRPr="197ECEA8">
        <w:rPr>
          <w:lang w:eastAsia="en-US" w:bidi="ar-SA"/>
        </w:rPr>
        <w:t xml:space="preserve"> </w:t>
      </w:r>
      <w:r w:rsidR="00020167" w:rsidRPr="197ECEA8">
        <w:rPr>
          <w:lang w:eastAsia="en-US" w:bidi="ar-SA"/>
        </w:rPr>
        <w:t xml:space="preserve">emergence of </w:t>
      </w:r>
      <w:r w:rsidR="00444BCC" w:rsidRPr="197ECEA8">
        <w:rPr>
          <w:lang w:eastAsia="en-US" w:bidi="ar-SA"/>
        </w:rPr>
        <w:t xml:space="preserve">near ubiquitous </w:t>
      </w:r>
      <w:r w:rsidR="00342D7B" w:rsidRPr="197ECEA8">
        <w:rPr>
          <w:lang w:eastAsia="en-US" w:bidi="ar-SA"/>
        </w:rPr>
        <w:t>energy resources</w:t>
      </w:r>
      <w:r w:rsidR="00421648" w:rsidRPr="197ECEA8">
        <w:rPr>
          <w:lang w:eastAsia="en-US" w:bidi="ar-SA"/>
        </w:rPr>
        <w:t xml:space="preserve">, </w:t>
      </w:r>
      <w:r w:rsidRPr="197ECEA8">
        <w:rPr>
          <w:lang w:eastAsia="en-US" w:bidi="ar-SA"/>
        </w:rPr>
        <w:t xml:space="preserve">a more holistic approach to system </w:t>
      </w:r>
      <w:r w:rsidR="00421648" w:rsidRPr="197ECEA8">
        <w:rPr>
          <w:lang w:eastAsia="en-US" w:bidi="ar-SA"/>
        </w:rPr>
        <w:t>o</w:t>
      </w:r>
      <w:r w:rsidRPr="197ECEA8">
        <w:rPr>
          <w:lang w:eastAsia="en-US" w:bidi="ar-SA"/>
        </w:rPr>
        <w:t xml:space="preserve">perability </w:t>
      </w:r>
      <w:r w:rsidR="00421648" w:rsidRPr="197ECEA8">
        <w:rPr>
          <w:lang w:eastAsia="en-US" w:bidi="ar-SA"/>
        </w:rPr>
        <w:t>and Transmission-Distribution Coordinatio</w:t>
      </w:r>
      <w:r w:rsidR="00444BCC" w:rsidRPr="197ECEA8">
        <w:rPr>
          <w:lang w:eastAsia="en-US" w:bidi="ar-SA"/>
        </w:rPr>
        <w:t xml:space="preserve">n (TDC) </w:t>
      </w:r>
      <w:r w:rsidR="00421648" w:rsidRPr="197ECEA8">
        <w:rPr>
          <w:lang w:eastAsia="en-US" w:bidi="ar-SA"/>
        </w:rPr>
        <w:t>become</w:t>
      </w:r>
      <w:r w:rsidR="00444BCC" w:rsidRPr="197ECEA8">
        <w:rPr>
          <w:lang w:eastAsia="en-US" w:bidi="ar-SA"/>
        </w:rPr>
        <w:t>s</w:t>
      </w:r>
      <w:r w:rsidR="00421648" w:rsidRPr="197ECEA8">
        <w:rPr>
          <w:lang w:eastAsia="en-US" w:bidi="ar-SA"/>
        </w:rPr>
        <w:t xml:space="preserve"> critical</w:t>
      </w:r>
      <w:r w:rsidR="00374950">
        <w:rPr>
          <w:lang w:eastAsia="en-US" w:bidi="ar-SA"/>
        </w:rPr>
        <w:t xml:space="preserve">. </w:t>
      </w:r>
    </w:p>
    <w:p w14:paraId="7D6259E3" w14:textId="6CECDF1F" w:rsidR="002734B6" w:rsidRDefault="00DB57AB" w:rsidP="002734B6">
      <w:pPr>
        <w:spacing w:before="120" w:after="120" w:line="264" w:lineRule="auto"/>
        <w:rPr>
          <w:lang w:eastAsia="en-US" w:bidi="ar-SA"/>
        </w:rPr>
      </w:pPr>
      <w:r w:rsidRPr="002C72C2">
        <w:rPr>
          <w:lang w:eastAsia="en-US" w:bidi="ar-SA"/>
        </w:rPr>
        <w:t xml:space="preserve">Importantly, </w:t>
      </w:r>
      <w:r w:rsidR="002734B6" w:rsidRPr="002C72C2">
        <w:rPr>
          <w:lang w:eastAsia="en-US" w:bidi="ar-SA"/>
        </w:rPr>
        <w:t>it cannot be assumed that the existing structures, designed for a unidirectional past, will be sufficiently scalable or extensible to accommodate such a level of transformative change. Nor may it be possible to provision the NEM for a ‘Step Change’ type future without a dedicated process for ensuring the adequacy of the systems end-to-end underpinning architecture</w:t>
      </w:r>
      <w:r w:rsidR="00374950">
        <w:rPr>
          <w:lang w:eastAsia="en-US" w:bidi="ar-SA"/>
        </w:rPr>
        <w:t xml:space="preserve">. </w:t>
      </w:r>
    </w:p>
    <w:p w14:paraId="12EF6AF8" w14:textId="77777777" w:rsidR="001517DE" w:rsidRDefault="001517DE">
      <w:pPr>
        <w:spacing w:before="0" w:after="160" w:line="259" w:lineRule="auto"/>
        <w:rPr>
          <w:rFonts w:ascii="PP Mori SemiBold" w:eastAsiaTheme="majorEastAsia" w:hAnsi="PP Mori SemiBold" w:cstheme="majorBidi"/>
          <w:color w:val="002C38" w:themeColor="accent1" w:themeShade="BF"/>
        </w:rPr>
      </w:pPr>
      <w:r>
        <w:rPr>
          <w:i/>
          <w:iCs/>
        </w:rPr>
        <w:br w:type="page"/>
      </w:r>
    </w:p>
    <w:p w14:paraId="7C843CD6" w14:textId="15EF2872" w:rsidR="00DB57AB" w:rsidRPr="00E105B5" w:rsidRDefault="00DB57AB" w:rsidP="00954BAC">
      <w:pPr>
        <w:pStyle w:val="Heading4"/>
        <w:numPr>
          <w:ilvl w:val="0"/>
          <w:numId w:val="51"/>
        </w:numPr>
        <w:spacing w:before="240" w:after="120" w:line="264" w:lineRule="auto"/>
        <w:ind w:left="357" w:hanging="357"/>
        <w:rPr>
          <w:i w:val="0"/>
          <w:iCs w:val="0"/>
        </w:rPr>
      </w:pPr>
      <w:r w:rsidRPr="00E105B5">
        <w:rPr>
          <w:i w:val="0"/>
          <w:iCs w:val="0"/>
        </w:rPr>
        <w:t>Contributing Factors</w:t>
      </w:r>
    </w:p>
    <w:p w14:paraId="781ECCDC" w14:textId="18F1466E" w:rsidR="00DB57AB" w:rsidRPr="000C6DBE" w:rsidRDefault="00DB57AB" w:rsidP="00EB2823">
      <w:pPr>
        <w:spacing w:before="180" w:after="120" w:line="264" w:lineRule="auto"/>
        <w:rPr>
          <w:rStyle w:val="IntenseEmphasis"/>
          <w:color w:val="013C4C" w:themeColor="text1"/>
        </w:rPr>
      </w:pPr>
      <w:r w:rsidRPr="000C6DBE">
        <w:rPr>
          <w:rStyle w:val="IntenseEmphasis"/>
          <w:color w:val="013C4C" w:themeColor="text1"/>
        </w:rPr>
        <w:t xml:space="preserve">Erosion of </w:t>
      </w:r>
      <w:r w:rsidR="006A175D">
        <w:rPr>
          <w:rStyle w:val="IntenseEmphasis"/>
          <w:color w:val="013C4C" w:themeColor="text1"/>
        </w:rPr>
        <w:t xml:space="preserve">a Defining </w:t>
      </w:r>
      <w:r w:rsidRPr="000C6DBE">
        <w:rPr>
          <w:rStyle w:val="IntenseEmphasis"/>
          <w:color w:val="013C4C" w:themeColor="text1"/>
        </w:rPr>
        <w:t>Paradigm</w:t>
      </w:r>
    </w:p>
    <w:p w14:paraId="47496C66" w14:textId="552EC987" w:rsidR="000D1571" w:rsidRPr="00DC1126" w:rsidRDefault="000D1571" w:rsidP="000D1571">
      <w:pPr>
        <w:spacing w:before="120" w:after="120" w:line="264" w:lineRule="auto"/>
        <w:rPr>
          <w:lang w:eastAsia="en-US" w:bidi="ar-SA"/>
        </w:rPr>
      </w:pPr>
      <w:r w:rsidRPr="00DC1126">
        <w:rPr>
          <w:lang w:eastAsia="en-US" w:bidi="ar-SA"/>
        </w:rPr>
        <w:t>Australia’s GW-scale power systems developed over the last century around an entrenched ‘supply-side/demand-side’ bifurcation</w:t>
      </w:r>
      <w:r>
        <w:rPr>
          <w:lang w:eastAsia="en-US" w:bidi="ar-SA"/>
        </w:rPr>
        <w:t xml:space="preserve">.  This </w:t>
      </w:r>
      <w:r w:rsidRPr="00DC1126">
        <w:rPr>
          <w:lang w:eastAsia="en-US" w:bidi="ar-SA"/>
        </w:rPr>
        <w:t>acted as one of the most dominant organising paradigms of the sector</w:t>
      </w:r>
      <w:r>
        <w:rPr>
          <w:lang w:eastAsia="en-US" w:bidi="ar-SA"/>
        </w:rPr>
        <w:t xml:space="preserve"> </w:t>
      </w:r>
      <w:r w:rsidRPr="00DC1126">
        <w:rPr>
          <w:lang w:eastAsia="en-US" w:bidi="ar-SA"/>
        </w:rPr>
        <w:t xml:space="preserve">based on the following assumptions: </w:t>
      </w:r>
    </w:p>
    <w:p w14:paraId="0E36A330" w14:textId="33C42AF9" w:rsidR="00DB57AB" w:rsidRPr="002C72C2" w:rsidRDefault="00DB57AB" w:rsidP="00954BAC">
      <w:pPr>
        <w:pStyle w:val="ListParagraph"/>
        <w:numPr>
          <w:ilvl w:val="0"/>
          <w:numId w:val="9"/>
        </w:numPr>
        <w:spacing w:line="264" w:lineRule="auto"/>
        <w:rPr>
          <w:lang w:eastAsia="en-US" w:bidi="ar-SA"/>
        </w:rPr>
      </w:pPr>
      <w:r w:rsidRPr="002C72C2">
        <w:rPr>
          <w:lang w:eastAsia="en-US" w:bidi="ar-SA"/>
        </w:rPr>
        <w:t>A</w:t>
      </w:r>
      <w:r w:rsidR="00A70135" w:rsidRPr="002C72C2">
        <w:rPr>
          <w:lang w:eastAsia="en-US" w:bidi="ar-SA"/>
        </w:rPr>
        <w:t>n upstream ‘</w:t>
      </w:r>
      <w:r w:rsidR="002734B6" w:rsidRPr="002C72C2">
        <w:rPr>
          <w:lang w:eastAsia="en-US" w:bidi="ar-SA"/>
        </w:rPr>
        <w:t>s</w:t>
      </w:r>
      <w:r w:rsidRPr="002C72C2">
        <w:rPr>
          <w:lang w:eastAsia="en-US" w:bidi="ar-SA"/>
        </w:rPr>
        <w:t>upply-side’ of the system which consisted of a fleet of centralised MW-scale generators connected to the HV transmission system</w:t>
      </w:r>
      <w:r w:rsidR="00FA2C17">
        <w:rPr>
          <w:lang w:eastAsia="en-US" w:bidi="ar-SA"/>
        </w:rPr>
        <w:t>.</w:t>
      </w:r>
    </w:p>
    <w:p w14:paraId="611F0F66" w14:textId="049BBFB7" w:rsidR="00DB57AB" w:rsidRPr="002C72C2" w:rsidRDefault="00DB57AB" w:rsidP="00954BAC">
      <w:pPr>
        <w:pStyle w:val="ListParagraph"/>
        <w:numPr>
          <w:ilvl w:val="0"/>
          <w:numId w:val="9"/>
        </w:numPr>
        <w:spacing w:line="264" w:lineRule="auto"/>
        <w:rPr>
          <w:lang w:eastAsia="en-US" w:bidi="ar-SA"/>
        </w:rPr>
      </w:pPr>
      <w:r w:rsidRPr="002C72C2">
        <w:rPr>
          <w:lang w:eastAsia="en-US" w:bidi="ar-SA"/>
        </w:rPr>
        <w:t>A</w:t>
      </w:r>
      <w:r w:rsidR="00A70135" w:rsidRPr="002C72C2">
        <w:rPr>
          <w:lang w:eastAsia="en-US" w:bidi="ar-SA"/>
        </w:rPr>
        <w:t xml:space="preserve"> downstream</w:t>
      </w:r>
      <w:r w:rsidRPr="002C72C2">
        <w:rPr>
          <w:lang w:eastAsia="en-US" w:bidi="ar-SA"/>
        </w:rPr>
        <w:t xml:space="preserve"> ‘</w:t>
      </w:r>
      <w:r w:rsidR="002734B6" w:rsidRPr="002C72C2">
        <w:rPr>
          <w:lang w:eastAsia="en-US" w:bidi="ar-SA"/>
        </w:rPr>
        <w:t>d</w:t>
      </w:r>
      <w:r w:rsidRPr="002C72C2">
        <w:rPr>
          <w:lang w:eastAsia="en-US" w:bidi="ar-SA"/>
        </w:rPr>
        <w:t xml:space="preserve">emand-side’ of the system where customers were connected to the LV distribution system and </w:t>
      </w:r>
      <w:r w:rsidR="009A0BAF" w:rsidRPr="002C72C2">
        <w:rPr>
          <w:lang w:eastAsia="en-US" w:bidi="ar-SA"/>
        </w:rPr>
        <w:t xml:space="preserve">only consumed </w:t>
      </w:r>
      <w:r w:rsidRPr="002C72C2">
        <w:rPr>
          <w:lang w:eastAsia="en-US" w:bidi="ar-SA"/>
        </w:rPr>
        <w:t>energy (i.e.</w:t>
      </w:r>
      <w:r w:rsidR="009A0BAF" w:rsidRPr="002C72C2">
        <w:rPr>
          <w:lang w:eastAsia="en-US" w:bidi="ar-SA"/>
        </w:rPr>
        <w:t xml:space="preserve"> they did not produce or store energy</w:t>
      </w:r>
      <w:r w:rsidRPr="002C72C2">
        <w:rPr>
          <w:lang w:eastAsia="en-US" w:bidi="ar-SA"/>
        </w:rPr>
        <w:t>)</w:t>
      </w:r>
      <w:r w:rsidR="00FA2C17">
        <w:rPr>
          <w:lang w:eastAsia="en-US" w:bidi="ar-SA"/>
        </w:rPr>
        <w:t>.</w:t>
      </w:r>
    </w:p>
    <w:p w14:paraId="7F9EA746" w14:textId="6BE6836A" w:rsidR="00DB57AB" w:rsidRPr="00B34E2E" w:rsidRDefault="00DB57AB" w:rsidP="00EB2823">
      <w:pPr>
        <w:pStyle w:val="ListParagraph"/>
        <w:spacing w:line="264" w:lineRule="auto"/>
        <w:rPr>
          <w:lang w:eastAsia="en-US" w:bidi="ar-SA"/>
        </w:rPr>
      </w:pPr>
      <w:r w:rsidRPr="24F2ACA7">
        <w:rPr>
          <w:lang w:eastAsia="en-US" w:bidi="ar-SA"/>
        </w:rPr>
        <w:t xml:space="preserve">Unidirectional bulk </w:t>
      </w:r>
      <w:r w:rsidR="009A0BAF">
        <w:rPr>
          <w:lang w:eastAsia="en-US" w:bidi="ar-SA"/>
        </w:rPr>
        <w:t>r</w:t>
      </w:r>
      <w:r w:rsidRPr="24F2ACA7">
        <w:rPr>
          <w:lang w:eastAsia="en-US" w:bidi="ar-SA"/>
        </w:rPr>
        <w:t xml:space="preserve">eal </w:t>
      </w:r>
      <w:r w:rsidR="009A0BAF">
        <w:rPr>
          <w:lang w:eastAsia="en-US" w:bidi="ar-SA"/>
        </w:rPr>
        <w:t>p</w:t>
      </w:r>
      <w:r w:rsidRPr="24F2ACA7">
        <w:rPr>
          <w:lang w:eastAsia="en-US" w:bidi="ar-SA"/>
        </w:rPr>
        <w:t xml:space="preserve">ower flow from the </w:t>
      </w:r>
      <w:r w:rsidR="00A70135">
        <w:rPr>
          <w:lang w:eastAsia="en-US" w:bidi="ar-SA"/>
        </w:rPr>
        <w:t>supply-side to the demand-side</w:t>
      </w:r>
      <w:r w:rsidR="00FA2C17">
        <w:rPr>
          <w:lang w:eastAsia="en-US" w:bidi="ar-SA"/>
        </w:rPr>
        <w:t>.</w:t>
      </w:r>
    </w:p>
    <w:p w14:paraId="048425DD" w14:textId="23E507C0" w:rsidR="00DB57AB" w:rsidRPr="002C72C2" w:rsidRDefault="00DB57AB" w:rsidP="00954BAC">
      <w:pPr>
        <w:pStyle w:val="ListParagraph"/>
        <w:numPr>
          <w:ilvl w:val="0"/>
          <w:numId w:val="9"/>
        </w:numPr>
        <w:spacing w:line="264" w:lineRule="auto"/>
        <w:rPr>
          <w:lang w:eastAsia="en-US" w:bidi="ar-SA"/>
        </w:rPr>
      </w:pPr>
      <w:r w:rsidRPr="002C72C2">
        <w:rPr>
          <w:lang w:eastAsia="en-US" w:bidi="ar-SA"/>
        </w:rPr>
        <w:t xml:space="preserve">Almost all </w:t>
      </w:r>
      <w:r w:rsidR="00A70135" w:rsidRPr="002C72C2">
        <w:rPr>
          <w:lang w:eastAsia="en-US" w:bidi="ar-SA"/>
        </w:rPr>
        <w:t>e</w:t>
      </w:r>
      <w:r w:rsidRPr="002C72C2">
        <w:rPr>
          <w:lang w:eastAsia="en-US" w:bidi="ar-SA"/>
        </w:rPr>
        <w:t xml:space="preserve">ssential </w:t>
      </w:r>
      <w:r w:rsidR="00A70135" w:rsidRPr="002C72C2">
        <w:rPr>
          <w:lang w:eastAsia="en-US" w:bidi="ar-SA"/>
        </w:rPr>
        <w:t>s</w:t>
      </w:r>
      <w:r w:rsidRPr="002C72C2">
        <w:rPr>
          <w:lang w:eastAsia="en-US" w:bidi="ar-SA"/>
        </w:rPr>
        <w:t xml:space="preserve">ystem </w:t>
      </w:r>
      <w:r w:rsidR="00A70135" w:rsidRPr="002C72C2">
        <w:rPr>
          <w:lang w:eastAsia="en-US" w:bidi="ar-SA"/>
        </w:rPr>
        <w:t>s</w:t>
      </w:r>
      <w:r w:rsidRPr="002C72C2">
        <w:rPr>
          <w:lang w:eastAsia="en-US" w:bidi="ar-SA"/>
        </w:rPr>
        <w:t xml:space="preserve">ervices were provided by the fleet of </w:t>
      </w:r>
      <w:r w:rsidR="00A70135" w:rsidRPr="002C72C2">
        <w:rPr>
          <w:lang w:eastAsia="en-US" w:bidi="ar-SA"/>
        </w:rPr>
        <w:t xml:space="preserve">upstream </w:t>
      </w:r>
      <w:r w:rsidRPr="002C72C2">
        <w:rPr>
          <w:lang w:eastAsia="en-US" w:bidi="ar-SA"/>
        </w:rPr>
        <w:t>synchronous, generators</w:t>
      </w:r>
      <w:r w:rsidR="00FA2C17">
        <w:rPr>
          <w:lang w:eastAsia="en-US" w:bidi="ar-SA"/>
        </w:rPr>
        <w:t>.</w:t>
      </w:r>
    </w:p>
    <w:p w14:paraId="748111FB" w14:textId="19851B69" w:rsidR="001D0CD0" w:rsidRDefault="00C11B53" w:rsidP="00954BAC">
      <w:pPr>
        <w:numPr>
          <w:ilvl w:val="0"/>
          <w:numId w:val="9"/>
        </w:numPr>
        <w:spacing w:before="120" w:after="120" w:line="264" w:lineRule="auto"/>
        <w:rPr>
          <w:lang w:eastAsia="en-US" w:bidi="ar-SA"/>
        </w:rPr>
      </w:pPr>
      <w:r>
        <w:rPr>
          <w:lang w:eastAsia="en-US" w:bidi="ar-SA"/>
        </w:rPr>
        <w:t>C</w:t>
      </w:r>
      <w:r w:rsidRPr="00DC1126">
        <w:rPr>
          <w:lang w:eastAsia="en-US" w:bidi="ar-SA"/>
        </w:rPr>
        <w:t>ustomer demand was considered the primary independent variable</w:t>
      </w:r>
      <w:r>
        <w:rPr>
          <w:lang w:eastAsia="en-US" w:bidi="ar-SA"/>
        </w:rPr>
        <w:t xml:space="preserve"> and therefore s</w:t>
      </w:r>
      <w:r w:rsidR="001D0CD0">
        <w:rPr>
          <w:lang w:eastAsia="en-US" w:bidi="ar-SA"/>
        </w:rPr>
        <w:t xml:space="preserve">ystem operation was </w:t>
      </w:r>
      <w:r w:rsidR="001D0CD0" w:rsidRPr="00DC1126">
        <w:rPr>
          <w:lang w:eastAsia="en-US" w:bidi="ar-SA"/>
        </w:rPr>
        <w:t>based on a demand-following model</w:t>
      </w:r>
      <w:r>
        <w:rPr>
          <w:lang w:eastAsia="en-US" w:bidi="ar-SA"/>
        </w:rPr>
        <w:t xml:space="preserve">.  </w:t>
      </w:r>
    </w:p>
    <w:p w14:paraId="169BBD34" w14:textId="77777777" w:rsidR="001D0CD0" w:rsidRPr="00DC1126" w:rsidRDefault="001D0CD0" w:rsidP="00954BAC">
      <w:pPr>
        <w:numPr>
          <w:ilvl w:val="0"/>
          <w:numId w:val="9"/>
        </w:numPr>
        <w:spacing w:before="120" w:after="120" w:line="264" w:lineRule="auto"/>
        <w:rPr>
          <w:lang w:eastAsia="en-US" w:bidi="ar-SA"/>
        </w:rPr>
      </w:pPr>
      <w:r>
        <w:rPr>
          <w:lang w:eastAsia="en-US" w:bidi="ar-SA"/>
        </w:rPr>
        <w:t xml:space="preserve">Supply-demand balancing was largely managed top-down with the majority of system flexibility provided by dispatchable coal-fired generation. </w:t>
      </w:r>
      <w:r w:rsidRPr="00DC1126">
        <w:rPr>
          <w:lang w:eastAsia="en-US" w:bidi="ar-SA"/>
        </w:rPr>
        <w:t xml:space="preserve"> </w:t>
      </w:r>
    </w:p>
    <w:p w14:paraId="7E4E7FDA" w14:textId="56DAB112" w:rsidR="00DB57AB" w:rsidRPr="002C72C2" w:rsidRDefault="00DB57AB" w:rsidP="00EB2823">
      <w:pPr>
        <w:spacing w:before="120" w:after="120" w:line="264" w:lineRule="auto"/>
        <w:rPr>
          <w:lang w:eastAsia="en-US" w:bidi="ar-SA"/>
        </w:rPr>
      </w:pPr>
      <w:r w:rsidRPr="002C72C2">
        <w:rPr>
          <w:lang w:eastAsia="en-US" w:bidi="ar-SA"/>
        </w:rPr>
        <w:t>The transformational forces discussed earlier, however, are reshaping global electric systems</w:t>
      </w:r>
      <w:r w:rsidR="00374950">
        <w:rPr>
          <w:lang w:eastAsia="en-US" w:bidi="ar-SA"/>
        </w:rPr>
        <w:t xml:space="preserve">. </w:t>
      </w:r>
      <w:r w:rsidRPr="002C72C2">
        <w:rPr>
          <w:lang w:eastAsia="en-US" w:bidi="ar-SA"/>
        </w:rPr>
        <w:t xml:space="preserve">The significance of the erosion of this paradigm, which played a pivotal role in shaping the legacy </w:t>
      </w:r>
      <w:r w:rsidR="00F6473F" w:rsidRPr="002C72C2">
        <w:rPr>
          <w:lang w:eastAsia="en-US" w:bidi="ar-SA"/>
        </w:rPr>
        <w:t xml:space="preserve">power </w:t>
      </w:r>
      <w:r w:rsidR="002A5117" w:rsidRPr="002C72C2">
        <w:rPr>
          <w:lang w:eastAsia="en-US" w:bidi="ar-SA"/>
        </w:rPr>
        <w:t>systems underpinning</w:t>
      </w:r>
      <w:r w:rsidRPr="002C72C2">
        <w:rPr>
          <w:lang w:eastAsia="en-US" w:bidi="ar-SA"/>
        </w:rPr>
        <w:t xml:space="preserve"> </w:t>
      </w:r>
      <w:r w:rsidR="003C3132">
        <w:rPr>
          <w:lang w:eastAsia="en-US" w:bidi="ar-SA"/>
        </w:rPr>
        <w:t>a</w:t>
      </w:r>
      <w:r w:rsidRPr="002C72C2">
        <w:rPr>
          <w:lang w:eastAsia="en-US" w:bidi="ar-SA"/>
        </w:rPr>
        <w:t>rchitecture cannot be overstated</w:t>
      </w:r>
      <w:r w:rsidR="00374950">
        <w:rPr>
          <w:lang w:eastAsia="en-US" w:bidi="ar-SA"/>
        </w:rPr>
        <w:t xml:space="preserve">. </w:t>
      </w:r>
      <w:r w:rsidRPr="002C72C2">
        <w:rPr>
          <w:lang w:eastAsia="en-US" w:bidi="ar-SA"/>
        </w:rPr>
        <w:t>As AEMO has noted:</w:t>
      </w:r>
    </w:p>
    <w:p w14:paraId="248BD30C" w14:textId="6E57DC8A" w:rsidR="00DB57AB" w:rsidRPr="002C72C2" w:rsidRDefault="00DB57AB" w:rsidP="00A70135">
      <w:pPr>
        <w:spacing w:before="120" w:after="120" w:line="264" w:lineRule="auto"/>
        <w:ind w:left="426"/>
        <w:rPr>
          <w:i/>
          <w:lang w:eastAsia="en-US" w:bidi="ar-SA"/>
        </w:rPr>
      </w:pPr>
      <w:r w:rsidRPr="002C72C2">
        <w:rPr>
          <w:i/>
          <w:lang w:eastAsia="en-US" w:bidi="ar-SA"/>
        </w:rPr>
        <w:t>“As penetrations of passive DPV continue to increase and become significant at the regional level, the aggregated impact affects almost all core duties of the bulk system operator in some way…</w:t>
      </w:r>
      <w:r w:rsidR="002A5117" w:rsidRPr="002C72C2">
        <w:rPr>
          <w:i/>
          <w:lang w:eastAsia="en-US" w:bidi="ar-SA"/>
        </w:rPr>
        <w:t>”</w:t>
      </w:r>
      <w:hyperlink w:anchor="Ref_18" w:history="1">
        <w:r w:rsidR="00AA4F4F" w:rsidRPr="00B31860">
          <w:rPr>
            <w:rStyle w:val="Hyperlink"/>
            <w:i/>
            <w:lang w:eastAsia="en-US" w:bidi="ar-SA"/>
          </w:rPr>
          <w:fldChar w:fldCharType="begin"/>
        </w:r>
        <w:r w:rsidR="00732E28" w:rsidRPr="00B31860">
          <w:rPr>
            <w:rStyle w:val="Hyperlink"/>
            <w:i/>
            <w:lang w:eastAsia="en-US" w:bidi="ar-SA"/>
          </w:rPr>
          <w:instrText xml:space="preserve"> ADDIN ZOTERO_ITEM CSL_CITATION {"citationID":"Rr0lHYWn","properties":{"formattedCitation":"[18]","plainCitation":"[18]","noteIndex":0},"citationItems":[{"id":7,"uris":["http://zotero.org/users/local/BgaHAIQb/items/ZYSU3XNH","http://zotero.org/users/17348326/items/ZYSU3XNH"],"itemData":{"id":7,"type":"report","number":"Version 2.0","title":"Renewable Integration Study – Stage 1: Appendix A – High Penetrations of Distributed Solar PV,","URL":"https://aemo.com.au/-/media/files/major-publications/ris/2020/ris-stage-1-appendix-a.pdf","author":[{"family":"Australian Energy Market Operator (AEMO)","given":""}],"issued":{"date-parts":[["2020",5,1]]}}}],"schema":"https://github.com/citation-style-language/schema/raw/master/csl-citation.json"} </w:instrText>
        </w:r>
        <w:r w:rsidR="00AA4F4F" w:rsidRPr="00B31860">
          <w:rPr>
            <w:rStyle w:val="Hyperlink"/>
            <w:i/>
            <w:lang w:eastAsia="en-US" w:bidi="ar-SA"/>
          </w:rPr>
          <w:fldChar w:fldCharType="separate"/>
        </w:r>
        <w:r w:rsidR="00732E28" w:rsidRPr="00B31860">
          <w:rPr>
            <w:rStyle w:val="Hyperlink"/>
          </w:rPr>
          <w:t>[18]</w:t>
        </w:r>
        <w:r w:rsidR="00AA4F4F" w:rsidRPr="00B31860">
          <w:rPr>
            <w:rStyle w:val="Hyperlink"/>
            <w:i/>
            <w:lang w:eastAsia="en-US" w:bidi="ar-SA"/>
          </w:rPr>
          <w:fldChar w:fldCharType="end"/>
        </w:r>
      </w:hyperlink>
    </w:p>
    <w:p w14:paraId="232C28C9" w14:textId="5DE5939A" w:rsidR="00DB57AB" w:rsidRPr="002C72C2" w:rsidRDefault="00DB57AB" w:rsidP="00EB2823">
      <w:pPr>
        <w:spacing w:before="120" w:after="120" w:line="264" w:lineRule="auto"/>
        <w:rPr>
          <w:lang w:eastAsia="en-US" w:bidi="ar-SA"/>
        </w:rPr>
      </w:pPr>
      <w:r w:rsidRPr="002C72C2">
        <w:rPr>
          <w:lang w:eastAsia="en-US" w:bidi="ar-SA"/>
        </w:rPr>
        <w:t>This is especially the case in Australia due to our world-leading scale and pace of Distributed PV (DPV) adoption by customers</w:t>
      </w:r>
      <w:r w:rsidR="00374950">
        <w:rPr>
          <w:lang w:eastAsia="en-US" w:bidi="ar-SA"/>
        </w:rPr>
        <w:t xml:space="preserve">. </w:t>
      </w:r>
      <w:r w:rsidRPr="002C72C2">
        <w:rPr>
          <w:lang w:eastAsia="en-US" w:bidi="ar-SA"/>
        </w:rPr>
        <w:t xml:space="preserve">While our distribution systems remain the location of major load centres, they are transforming to host an ever-expanding fleet of </w:t>
      </w:r>
      <w:r w:rsidR="00F6473F" w:rsidRPr="002C72C2">
        <w:rPr>
          <w:lang w:eastAsia="en-US" w:bidi="ar-SA"/>
        </w:rPr>
        <w:t xml:space="preserve">CER/DER </w:t>
      </w:r>
      <w:r w:rsidR="0040713C" w:rsidRPr="002C72C2">
        <w:rPr>
          <w:lang w:eastAsia="en-US" w:bidi="ar-SA"/>
        </w:rPr>
        <w:t>and</w:t>
      </w:r>
      <w:r w:rsidRPr="002C72C2">
        <w:rPr>
          <w:lang w:eastAsia="en-US" w:bidi="ar-SA"/>
        </w:rPr>
        <w:t xml:space="preserve"> Electric Vehicles (EV). Although its visible effects are emerging gradually, the overall trajectory involves one of the most profound changes in a century of grid operations</w:t>
      </w:r>
      <w:r w:rsidR="00374950">
        <w:rPr>
          <w:lang w:eastAsia="en-US" w:bidi="ar-SA"/>
        </w:rPr>
        <w:t xml:space="preserve">. </w:t>
      </w:r>
      <w:r w:rsidRPr="002C72C2">
        <w:rPr>
          <w:lang w:eastAsia="en-US" w:bidi="ar-SA"/>
        </w:rPr>
        <w:t xml:space="preserve">As such, all seven cyber-physical, transactional and regulatory structures illustrated by the Network of </w:t>
      </w:r>
      <w:r w:rsidR="0040713C" w:rsidRPr="002C72C2">
        <w:rPr>
          <w:lang w:eastAsia="en-US" w:bidi="ar-SA"/>
        </w:rPr>
        <w:t>Structures</w:t>
      </w:r>
      <w:r w:rsidR="008911D2" w:rsidRPr="00854E29">
        <w:rPr>
          <w:rStyle w:val="FootnoteReference"/>
        </w:rPr>
        <w:footnoteReference w:id="10"/>
      </w:r>
      <w:r w:rsidR="0040713C" w:rsidRPr="002C72C2">
        <w:rPr>
          <w:lang w:eastAsia="en-US" w:bidi="ar-SA"/>
        </w:rPr>
        <w:t xml:space="preserve"> are</w:t>
      </w:r>
      <w:r w:rsidRPr="002C72C2">
        <w:rPr>
          <w:lang w:eastAsia="en-US" w:bidi="ar-SA"/>
        </w:rPr>
        <w:t xml:space="preserve"> experiencing increasing stress as this defining paradigm erodes, and system dynamics fundamentally change. </w:t>
      </w:r>
    </w:p>
    <w:p w14:paraId="64835320" w14:textId="21F2E9BD" w:rsidR="00DB57AB" w:rsidRDefault="00DB57AB" w:rsidP="00EB2823">
      <w:pPr>
        <w:spacing w:before="120" w:after="120" w:line="264" w:lineRule="auto"/>
        <w:rPr>
          <w:lang w:eastAsia="en-US" w:bidi="ar-SA"/>
        </w:rPr>
      </w:pPr>
      <w:r w:rsidRPr="002C72C2">
        <w:rPr>
          <w:lang w:eastAsia="en-US" w:bidi="ar-SA"/>
        </w:rPr>
        <w:t xml:space="preserve">It is noteworthy that mass adoption of </w:t>
      </w:r>
      <w:r w:rsidR="00DC6BE9">
        <w:rPr>
          <w:lang w:eastAsia="en-US" w:bidi="ar-SA"/>
        </w:rPr>
        <w:t>DPV</w:t>
      </w:r>
      <w:r w:rsidRPr="002C72C2">
        <w:rPr>
          <w:lang w:eastAsia="en-US" w:bidi="ar-SA"/>
        </w:rPr>
        <w:t xml:space="preserve"> in Australia is largely customer-driven and agnostic to traditional bulk power, transmission, and distribution system boundaries and planning conventions</w:t>
      </w:r>
      <w:r w:rsidR="00374950">
        <w:rPr>
          <w:lang w:eastAsia="en-US" w:bidi="ar-SA"/>
        </w:rPr>
        <w:t xml:space="preserve">. </w:t>
      </w:r>
      <w:r w:rsidR="00C62E91" w:rsidRPr="002C72C2">
        <w:rPr>
          <w:lang w:eastAsia="en-US" w:bidi="ar-SA"/>
        </w:rPr>
        <w:t>In the process, e</w:t>
      </w:r>
      <w:r w:rsidR="004A1D08" w:rsidRPr="002C72C2">
        <w:rPr>
          <w:lang w:eastAsia="en-US" w:bidi="ar-SA"/>
        </w:rPr>
        <w:t>nergy</w:t>
      </w:r>
      <w:r w:rsidRPr="002C72C2">
        <w:rPr>
          <w:lang w:eastAsia="en-US" w:bidi="ar-SA"/>
        </w:rPr>
        <w:t xml:space="preserve"> </w:t>
      </w:r>
      <w:r w:rsidR="00C62E91" w:rsidRPr="002C72C2">
        <w:rPr>
          <w:lang w:eastAsia="en-US" w:bidi="ar-SA"/>
        </w:rPr>
        <w:t>r</w:t>
      </w:r>
      <w:r w:rsidRPr="002C72C2">
        <w:rPr>
          <w:lang w:eastAsia="en-US" w:bidi="ar-SA"/>
        </w:rPr>
        <w:t xml:space="preserve">esources </w:t>
      </w:r>
      <w:r w:rsidR="00D43B71" w:rsidRPr="002C72C2">
        <w:rPr>
          <w:lang w:eastAsia="en-US" w:bidi="ar-SA"/>
        </w:rPr>
        <w:t xml:space="preserve">are now bifurcating into two </w:t>
      </w:r>
      <w:r w:rsidR="00DC73FF" w:rsidRPr="002C72C2">
        <w:rPr>
          <w:lang w:eastAsia="en-US" w:bidi="ar-SA"/>
        </w:rPr>
        <w:t xml:space="preserve">new </w:t>
      </w:r>
      <w:r w:rsidRPr="002C72C2">
        <w:rPr>
          <w:lang w:eastAsia="en-US" w:bidi="ar-SA"/>
        </w:rPr>
        <w:t>locational and functional</w:t>
      </w:r>
      <w:r w:rsidR="00DC73FF" w:rsidRPr="002C72C2">
        <w:rPr>
          <w:lang w:eastAsia="en-US" w:bidi="ar-SA"/>
        </w:rPr>
        <w:t xml:space="preserve">/investment </w:t>
      </w:r>
      <w:r w:rsidRPr="002C72C2">
        <w:rPr>
          <w:lang w:eastAsia="en-US" w:bidi="ar-SA"/>
        </w:rPr>
        <w:t>categories as</w:t>
      </w:r>
      <w:r w:rsidR="00DC73FF" w:rsidRPr="002C72C2">
        <w:rPr>
          <w:lang w:eastAsia="en-US" w:bidi="ar-SA"/>
        </w:rPr>
        <w:t xml:space="preserve"> discussed below</w:t>
      </w:r>
      <w:r w:rsidR="00374950">
        <w:rPr>
          <w:lang w:eastAsia="en-US" w:bidi="ar-SA"/>
        </w:rPr>
        <w:t xml:space="preserve">. </w:t>
      </w:r>
    </w:p>
    <w:p w14:paraId="1EDFE626" w14:textId="77777777" w:rsidR="009656A1" w:rsidRPr="002C72C2" w:rsidRDefault="009656A1" w:rsidP="00EB2823">
      <w:pPr>
        <w:spacing w:before="120" w:after="120" w:line="264" w:lineRule="auto"/>
        <w:rPr>
          <w:lang w:eastAsia="en-US" w:bidi="ar-SA"/>
        </w:rPr>
      </w:pPr>
    </w:p>
    <w:p w14:paraId="038E23AC" w14:textId="77777777" w:rsidR="003315E9" w:rsidRDefault="003315E9">
      <w:pPr>
        <w:spacing w:before="0" w:after="160" w:line="259" w:lineRule="auto"/>
        <w:rPr>
          <w:rStyle w:val="IntenseEmphasis"/>
        </w:rPr>
      </w:pPr>
      <w:r>
        <w:rPr>
          <w:rStyle w:val="IntenseEmphasis"/>
        </w:rPr>
        <w:br w:type="page"/>
      </w:r>
    </w:p>
    <w:p w14:paraId="1D18DCE0" w14:textId="27401DE3" w:rsidR="00DB57AB" w:rsidRPr="00DB108C" w:rsidRDefault="00DB57AB" w:rsidP="00EB2823">
      <w:pPr>
        <w:spacing w:before="180" w:after="120" w:line="264" w:lineRule="auto"/>
        <w:rPr>
          <w:rStyle w:val="IntenseEmphasis"/>
        </w:rPr>
      </w:pPr>
      <w:r w:rsidRPr="00DB108C">
        <w:rPr>
          <w:rStyle w:val="IntenseEmphasis"/>
        </w:rPr>
        <w:t xml:space="preserve">Energy </w:t>
      </w:r>
      <w:r w:rsidR="005115B1">
        <w:rPr>
          <w:rStyle w:val="IntenseEmphasis"/>
        </w:rPr>
        <w:t>r</w:t>
      </w:r>
      <w:r w:rsidRPr="00DB108C">
        <w:rPr>
          <w:rStyle w:val="IntenseEmphasis"/>
        </w:rPr>
        <w:t xml:space="preserve">esources are </w:t>
      </w:r>
      <w:r w:rsidR="00D603F2">
        <w:rPr>
          <w:rStyle w:val="IntenseEmphasis"/>
        </w:rPr>
        <w:t>b</w:t>
      </w:r>
      <w:r w:rsidRPr="00DB108C">
        <w:rPr>
          <w:rStyle w:val="IntenseEmphasis"/>
        </w:rPr>
        <w:t xml:space="preserve">ifurcating into </w:t>
      </w:r>
      <w:r w:rsidR="00D603F2">
        <w:rPr>
          <w:rStyle w:val="IntenseEmphasis"/>
        </w:rPr>
        <w:t>t</w:t>
      </w:r>
      <w:r w:rsidRPr="00DB108C">
        <w:rPr>
          <w:rStyle w:val="IntenseEmphasis"/>
        </w:rPr>
        <w:t xml:space="preserve">wo </w:t>
      </w:r>
      <w:r w:rsidR="00D603F2">
        <w:rPr>
          <w:rStyle w:val="IntenseEmphasis"/>
        </w:rPr>
        <w:t>l</w:t>
      </w:r>
      <w:r w:rsidRPr="00DB108C">
        <w:rPr>
          <w:rStyle w:val="IntenseEmphasis"/>
        </w:rPr>
        <w:t xml:space="preserve">ocational </w:t>
      </w:r>
      <w:r w:rsidR="00D603F2">
        <w:rPr>
          <w:rStyle w:val="IntenseEmphasis"/>
        </w:rPr>
        <w:t>c</w:t>
      </w:r>
      <w:r w:rsidRPr="00DB108C">
        <w:rPr>
          <w:rStyle w:val="IntenseEmphasis"/>
        </w:rPr>
        <w:t>lasses</w:t>
      </w:r>
    </w:p>
    <w:p w14:paraId="3346875D" w14:textId="65C4253E" w:rsidR="00DB57AB" w:rsidRPr="002C72C2" w:rsidRDefault="00023CA4" w:rsidP="00EB2823">
      <w:pPr>
        <w:spacing w:before="120" w:after="120" w:line="264" w:lineRule="auto"/>
        <w:rPr>
          <w:lang w:eastAsia="en-US" w:bidi="ar-SA"/>
        </w:rPr>
      </w:pPr>
      <w:r w:rsidRPr="002C72C2">
        <w:rPr>
          <w:lang w:eastAsia="en-US" w:bidi="ar-SA"/>
        </w:rPr>
        <w:t>A</w:t>
      </w:r>
      <w:r w:rsidR="00DB57AB" w:rsidRPr="002C72C2">
        <w:rPr>
          <w:lang w:eastAsia="en-US" w:bidi="ar-SA"/>
        </w:rPr>
        <w:t xml:space="preserve">ustralia’s fleet of </w:t>
      </w:r>
      <w:r w:rsidRPr="002C72C2">
        <w:rPr>
          <w:lang w:eastAsia="en-US" w:bidi="ar-SA"/>
        </w:rPr>
        <w:t>e</w:t>
      </w:r>
      <w:r w:rsidR="00DB57AB" w:rsidRPr="002C72C2">
        <w:rPr>
          <w:lang w:eastAsia="en-US" w:bidi="ar-SA"/>
        </w:rPr>
        <w:t xml:space="preserve">nergy </w:t>
      </w:r>
      <w:r w:rsidRPr="002C72C2">
        <w:rPr>
          <w:lang w:eastAsia="en-US" w:bidi="ar-SA"/>
        </w:rPr>
        <w:t>r</w:t>
      </w:r>
      <w:r w:rsidR="00DB57AB" w:rsidRPr="002C72C2">
        <w:rPr>
          <w:lang w:eastAsia="en-US" w:bidi="ar-SA"/>
        </w:rPr>
        <w:t xml:space="preserve">esources is bifurcating into two major locational classes: </w:t>
      </w:r>
      <w:r w:rsidRPr="002C72C2">
        <w:rPr>
          <w:lang w:eastAsia="en-US" w:bidi="ar-SA"/>
        </w:rPr>
        <w:t>c</w:t>
      </w:r>
      <w:r w:rsidR="00DB57AB" w:rsidRPr="002C72C2">
        <w:rPr>
          <w:lang w:eastAsia="en-US" w:bidi="ar-SA"/>
        </w:rPr>
        <w:t xml:space="preserve">entralised and </w:t>
      </w:r>
      <w:r w:rsidR="000C510C">
        <w:rPr>
          <w:lang w:eastAsia="en-US" w:bidi="ar-SA"/>
        </w:rPr>
        <w:t>distributed</w:t>
      </w:r>
      <w:r w:rsidR="00374950">
        <w:rPr>
          <w:lang w:eastAsia="en-US" w:bidi="ar-SA"/>
        </w:rPr>
        <w:t xml:space="preserve">. </w:t>
      </w:r>
      <w:r w:rsidR="00DB57AB" w:rsidRPr="002C72C2">
        <w:rPr>
          <w:lang w:eastAsia="en-US" w:bidi="ar-SA"/>
        </w:rPr>
        <w:t xml:space="preserve">This involves an historically unprecedented shift: </w:t>
      </w:r>
    </w:p>
    <w:p w14:paraId="33C3CE55" w14:textId="3D20B412" w:rsidR="00DB57AB" w:rsidRPr="002C72C2" w:rsidRDefault="00DB57AB" w:rsidP="00954BAC">
      <w:pPr>
        <w:pStyle w:val="ListParagraph"/>
        <w:numPr>
          <w:ilvl w:val="0"/>
          <w:numId w:val="10"/>
        </w:numPr>
        <w:spacing w:line="264" w:lineRule="auto"/>
        <w:rPr>
          <w:lang w:eastAsia="en-US" w:bidi="ar-SA"/>
        </w:rPr>
      </w:pPr>
      <w:r w:rsidRPr="000C510C">
        <w:rPr>
          <w:i/>
          <w:iCs/>
          <w:lang w:eastAsia="en-US" w:bidi="ar-SA"/>
        </w:rPr>
        <w:t>From</w:t>
      </w:r>
      <w:r w:rsidRPr="002C72C2">
        <w:rPr>
          <w:lang w:eastAsia="en-US" w:bidi="ar-SA"/>
        </w:rPr>
        <w:t xml:space="preserve"> a past where over 95% of Australia’s generation fleet was concentrated at one extremity of the </w:t>
      </w:r>
      <w:r w:rsidR="005B1BF9" w:rsidRPr="002C72C2">
        <w:rPr>
          <w:lang w:eastAsia="en-US" w:bidi="ar-SA"/>
        </w:rPr>
        <w:t>p</w:t>
      </w:r>
      <w:r w:rsidRPr="002C72C2">
        <w:rPr>
          <w:lang w:eastAsia="en-US" w:bidi="ar-SA"/>
        </w:rPr>
        <w:t xml:space="preserve">ower </w:t>
      </w:r>
      <w:r w:rsidR="005B1BF9" w:rsidRPr="002C72C2">
        <w:rPr>
          <w:lang w:eastAsia="en-US" w:bidi="ar-SA"/>
        </w:rPr>
        <w:t>s</w:t>
      </w:r>
      <w:r w:rsidRPr="002C72C2">
        <w:rPr>
          <w:lang w:eastAsia="en-US" w:bidi="ar-SA"/>
        </w:rPr>
        <w:t>ystem (HV-connected)</w:t>
      </w:r>
      <w:r w:rsidR="00B31860">
        <w:rPr>
          <w:lang w:eastAsia="en-US" w:bidi="ar-SA"/>
        </w:rPr>
        <w:t>.</w:t>
      </w:r>
    </w:p>
    <w:p w14:paraId="79CF5AA8" w14:textId="249F7DB6" w:rsidR="00DB57AB" w:rsidRPr="002C72C2" w:rsidRDefault="00DB57AB" w:rsidP="00954BAC">
      <w:pPr>
        <w:pStyle w:val="ListParagraph"/>
        <w:numPr>
          <w:ilvl w:val="0"/>
          <w:numId w:val="10"/>
        </w:numPr>
        <w:spacing w:line="264" w:lineRule="auto"/>
        <w:rPr>
          <w:lang w:eastAsia="en-US" w:bidi="ar-SA"/>
        </w:rPr>
      </w:pPr>
      <w:r w:rsidRPr="000C510C">
        <w:rPr>
          <w:i/>
          <w:iCs/>
          <w:lang w:eastAsia="en-US" w:bidi="ar-SA"/>
        </w:rPr>
        <w:t>To</w:t>
      </w:r>
      <w:r w:rsidRPr="002C72C2">
        <w:rPr>
          <w:lang w:eastAsia="en-US" w:bidi="ar-SA"/>
        </w:rPr>
        <w:t xml:space="preserve"> a fast-emerging future where the generation fleet is </w:t>
      </w:r>
      <w:r w:rsidR="00A76F81">
        <w:rPr>
          <w:lang w:eastAsia="en-US" w:bidi="ar-SA"/>
        </w:rPr>
        <w:t>located</w:t>
      </w:r>
      <w:r w:rsidRPr="002C72C2">
        <w:rPr>
          <w:lang w:eastAsia="en-US" w:bidi="ar-SA"/>
        </w:rPr>
        <w:t xml:space="preserve"> across two opposite extremities of the </w:t>
      </w:r>
      <w:r w:rsidR="005B1BF9" w:rsidRPr="002C72C2">
        <w:rPr>
          <w:lang w:eastAsia="en-US" w:bidi="ar-SA"/>
        </w:rPr>
        <w:t>p</w:t>
      </w:r>
      <w:r w:rsidRPr="002C72C2">
        <w:rPr>
          <w:lang w:eastAsia="en-US" w:bidi="ar-SA"/>
        </w:rPr>
        <w:t xml:space="preserve">ower </w:t>
      </w:r>
      <w:r w:rsidR="005B1BF9" w:rsidRPr="002C72C2">
        <w:rPr>
          <w:lang w:eastAsia="en-US" w:bidi="ar-SA"/>
        </w:rPr>
        <w:t>s</w:t>
      </w:r>
      <w:r w:rsidRPr="002C72C2">
        <w:rPr>
          <w:lang w:eastAsia="en-US" w:bidi="ar-SA"/>
        </w:rPr>
        <w:t>ystem</w:t>
      </w:r>
      <w:r w:rsidR="00374950">
        <w:rPr>
          <w:lang w:eastAsia="en-US" w:bidi="ar-SA"/>
        </w:rPr>
        <w:t xml:space="preserve">. </w:t>
      </w:r>
      <w:r w:rsidRPr="002C72C2">
        <w:rPr>
          <w:lang w:eastAsia="en-US" w:bidi="ar-SA"/>
        </w:rPr>
        <w:t xml:space="preserve">Under AEMO’s widely </w:t>
      </w:r>
      <w:r w:rsidR="00C3797B">
        <w:rPr>
          <w:lang w:eastAsia="en-US" w:bidi="ar-SA"/>
        </w:rPr>
        <w:t>noted</w:t>
      </w:r>
      <w:r w:rsidRPr="002C72C2">
        <w:rPr>
          <w:lang w:eastAsia="en-US" w:bidi="ar-SA"/>
        </w:rPr>
        <w:t xml:space="preserve"> 2050 Step Change scenario</w:t>
      </w:r>
      <w:hyperlink w:anchor="Ref_1" w:history="1">
        <w:r w:rsidR="001F736B" w:rsidRPr="00AD0FA3">
          <w:rPr>
            <w:rStyle w:val="Hyperlink"/>
            <w:lang w:eastAsia="en-US" w:bidi="ar-SA"/>
          </w:rPr>
          <w:fldChar w:fldCharType="begin"/>
        </w:r>
        <w:r w:rsidR="001F736B" w:rsidRPr="00AD0FA3">
          <w:rPr>
            <w:rStyle w:val="Hyperlink"/>
            <w:lang w:eastAsia="en-US" w:bidi="ar-SA"/>
          </w:rPr>
          <w:instrText xml:space="preserve"> ADDIN ZOTERO_ITEM CSL_CITATION {"citationID":"o37Ioi5X","properties":{"formattedCitation":"[1]","plainCitation":"[1]","noteIndex":0},"citationItems":[{"id":1,"uris":["http://zotero.org/users/local/BgaHAIQb/items/ZKYT9SXV","http://zotero.org/users/17348326/items/ZKYT9SXV"],"itemData":{"id":1,"type":"report","number":"Version 1.0","publisher":"AEMO","title":"2024 Integrated System Plan (ISP),","URL":"https://aemo.com.au/-/media/files/major-publications/isp/2024/2024-integrated-system-plan-isp.pdf","author":[{"family":"Australian Energy Market Operator (AEMO)","given":""}],"issued":{"date-parts":[["2024",6]]}}}],"schema":"https://github.com/citation-style-language/schema/raw/master/csl-citation.json"} </w:instrText>
        </w:r>
        <w:r w:rsidR="001F736B" w:rsidRPr="00AD0FA3">
          <w:rPr>
            <w:rStyle w:val="Hyperlink"/>
            <w:lang w:eastAsia="en-US" w:bidi="ar-SA"/>
          </w:rPr>
          <w:fldChar w:fldCharType="separate"/>
        </w:r>
        <w:r w:rsidR="001F736B" w:rsidRPr="00AD0FA3">
          <w:rPr>
            <w:rStyle w:val="Hyperlink"/>
          </w:rPr>
          <w:t>[1]</w:t>
        </w:r>
        <w:r w:rsidR="001F736B" w:rsidRPr="00AD0FA3">
          <w:rPr>
            <w:rStyle w:val="Hyperlink"/>
            <w:lang w:eastAsia="en-US" w:bidi="ar-SA"/>
          </w:rPr>
          <w:fldChar w:fldCharType="end"/>
        </w:r>
      </w:hyperlink>
      <w:r w:rsidRPr="002C72C2">
        <w:rPr>
          <w:lang w:eastAsia="en-US" w:bidi="ar-SA"/>
        </w:rPr>
        <w:t>, this will involve:</w:t>
      </w:r>
    </w:p>
    <w:p w14:paraId="22D5DFAF" w14:textId="64DCC3B4" w:rsidR="00D91EA0" w:rsidRPr="007F74A3" w:rsidRDefault="00D91EA0" w:rsidP="00954BAC">
      <w:pPr>
        <w:numPr>
          <w:ilvl w:val="1"/>
          <w:numId w:val="12"/>
        </w:numPr>
        <w:spacing w:before="120" w:after="120" w:line="264" w:lineRule="auto"/>
        <w:ind w:left="1134" w:hanging="425"/>
        <w:rPr>
          <w:lang w:eastAsia="en-US" w:bidi="ar-SA"/>
        </w:rPr>
      </w:pPr>
      <w:r w:rsidRPr="007F74A3">
        <w:rPr>
          <w:lang w:eastAsia="en-US" w:bidi="ar-SA"/>
        </w:rPr>
        <w:t xml:space="preserve">A progressive narrowing of the differential between HV-connected generation capacity in comparison to the </w:t>
      </w:r>
      <w:r>
        <w:rPr>
          <w:lang w:eastAsia="en-US" w:bidi="ar-SA"/>
        </w:rPr>
        <w:t>proportion</w:t>
      </w:r>
      <w:r w:rsidRPr="007F74A3">
        <w:rPr>
          <w:lang w:eastAsia="en-US" w:bidi="ar-SA"/>
        </w:rPr>
        <w:t xml:space="preserve"> that is LV-connected.</w:t>
      </w:r>
    </w:p>
    <w:p w14:paraId="01F311C6" w14:textId="1A87C8BB" w:rsidR="00D91EA0" w:rsidRPr="007F74A3" w:rsidRDefault="00D91EA0" w:rsidP="00954BAC">
      <w:pPr>
        <w:numPr>
          <w:ilvl w:val="1"/>
          <w:numId w:val="12"/>
        </w:numPr>
        <w:spacing w:before="120" w:after="120" w:line="264" w:lineRule="auto"/>
        <w:ind w:left="1134" w:hanging="425"/>
        <w:rPr>
          <w:lang w:eastAsia="en-US" w:bidi="ar-SA"/>
        </w:rPr>
      </w:pPr>
      <w:r w:rsidRPr="007F74A3">
        <w:rPr>
          <w:lang w:eastAsia="en-US" w:bidi="ar-SA"/>
        </w:rPr>
        <w:t xml:space="preserve">Significant regions of NEM increasingly needing to be capable of operating reliably during periods where 100% of instantaneous demand is met by </w:t>
      </w:r>
      <w:r>
        <w:rPr>
          <w:lang w:eastAsia="en-US" w:bidi="ar-SA"/>
        </w:rPr>
        <w:t xml:space="preserve">renewable </w:t>
      </w:r>
      <w:r w:rsidRPr="007F74A3">
        <w:rPr>
          <w:lang w:eastAsia="en-US" w:bidi="ar-SA"/>
        </w:rPr>
        <w:t>sources, both HV-connected and LV-connected.</w:t>
      </w:r>
    </w:p>
    <w:p w14:paraId="2728CE40" w14:textId="77777777" w:rsidR="00D91EA0" w:rsidRPr="007F74A3" w:rsidRDefault="00D91EA0" w:rsidP="00954BAC">
      <w:pPr>
        <w:numPr>
          <w:ilvl w:val="1"/>
          <w:numId w:val="12"/>
        </w:numPr>
        <w:spacing w:before="120" w:after="120" w:line="264" w:lineRule="auto"/>
        <w:ind w:left="1134" w:hanging="425"/>
        <w:rPr>
          <w:lang w:eastAsia="en-US" w:bidi="ar-SA"/>
        </w:rPr>
      </w:pPr>
      <w:r>
        <w:rPr>
          <w:lang w:eastAsia="en-US" w:bidi="ar-SA"/>
        </w:rPr>
        <w:t>Whole r</w:t>
      </w:r>
      <w:r w:rsidRPr="007F74A3">
        <w:rPr>
          <w:lang w:eastAsia="en-US" w:bidi="ar-SA"/>
        </w:rPr>
        <w:t>egions experiencing</w:t>
      </w:r>
      <w:r>
        <w:rPr>
          <w:lang w:eastAsia="en-US" w:bidi="ar-SA"/>
        </w:rPr>
        <w:t xml:space="preserve"> increasing time windows</w:t>
      </w:r>
      <w:r w:rsidRPr="007F74A3">
        <w:rPr>
          <w:lang w:eastAsia="en-US" w:bidi="ar-SA"/>
        </w:rPr>
        <w:t xml:space="preserve"> periods where 100% of instantaneous demand is met by LV-connected DPV, especially at solar zenith on days with low levels of demand.</w:t>
      </w:r>
    </w:p>
    <w:p w14:paraId="15FD7013" w14:textId="29EF58CA" w:rsidR="00D91EA0" w:rsidRDefault="00D91EA0" w:rsidP="00954BAC">
      <w:pPr>
        <w:numPr>
          <w:ilvl w:val="1"/>
          <w:numId w:val="12"/>
        </w:numPr>
        <w:spacing w:before="120" w:after="120" w:line="264" w:lineRule="auto"/>
        <w:ind w:left="1134" w:hanging="425"/>
        <w:rPr>
          <w:lang w:eastAsia="en-US" w:bidi="ar-SA"/>
        </w:rPr>
      </w:pPr>
      <w:r>
        <w:rPr>
          <w:lang w:eastAsia="en-US" w:bidi="ar-SA"/>
        </w:rPr>
        <w:t>Power system operations becoming increasingly ‘t</w:t>
      </w:r>
      <w:r w:rsidRPr="007F74A3">
        <w:rPr>
          <w:lang w:eastAsia="en-US" w:bidi="ar-SA"/>
        </w:rPr>
        <w:t xml:space="preserve">idal’ </w:t>
      </w:r>
      <w:r>
        <w:rPr>
          <w:lang w:eastAsia="en-US" w:bidi="ar-SA"/>
        </w:rPr>
        <w:t xml:space="preserve">as </w:t>
      </w:r>
      <w:r w:rsidRPr="007F74A3">
        <w:rPr>
          <w:lang w:eastAsia="en-US" w:bidi="ar-SA"/>
        </w:rPr>
        <w:t>these regions</w:t>
      </w:r>
      <w:r>
        <w:rPr>
          <w:lang w:eastAsia="en-US" w:bidi="ar-SA"/>
        </w:rPr>
        <w:t xml:space="preserve"> are increasingly supplied by local generation during daylight hours and then largely dependent upon </w:t>
      </w:r>
      <w:r w:rsidRPr="007F74A3">
        <w:rPr>
          <w:lang w:eastAsia="en-US" w:bidi="ar-SA"/>
        </w:rPr>
        <w:t>utility-scale wind generation and other centralised resources</w:t>
      </w:r>
      <w:r>
        <w:rPr>
          <w:lang w:eastAsia="en-US" w:bidi="ar-SA"/>
        </w:rPr>
        <w:t xml:space="preserve"> overnight</w:t>
      </w:r>
      <w:r w:rsidR="00C172D3">
        <w:rPr>
          <w:lang w:eastAsia="en-US" w:bidi="ar-SA"/>
        </w:rPr>
        <w:t xml:space="preserve">. </w:t>
      </w:r>
    </w:p>
    <w:p w14:paraId="36C1521C" w14:textId="77777777" w:rsidR="00D91EA0" w:rsidRPr="007F74A3" w:rsidRDefault="00D91EA0" w:rsidP="00954BAC">
      <w:pPr>
        <w:numPr>
          <w:ilvl w:val="1"/>
          <w:numId w:val="12"/>
        </w:numPr>
        <w:spacing w:before="120" w:after="120" w:line="264" w:lineRule="auto"/>
        <w:ind w:left="1134" w:hanging="425"/>
        <w:rPr>
          <w:lang w:eastAsia="en-US" w:bidi="ar-SA"/>
        </w:rPr>
      </w:pPr>
      <w:r w:rsidRPr="007F74A3">
        <w:rPr>
          <w:lang w:eastAsia="en-US" w:bidi="ar-SA"/>
        </w:rPr>
        <w:t xml:space="preserve">Over time, the entire NEM must be provisioned to operate reliably for increasing </w:t>
      </w:r>
      <w:r>
        <w:rPr>
          <w:lang w:eastAsia="en-US" w:bidi="ar-SA"/>
        </w:rPr>
        <w:t>frequency and duration of time windows</w:t>
      </w:r>
      <w:r w:rsidRPr="007F74A3">
        <w:rPr>
          <w:lang w:eastAsia="en-US" w:bidi="ar-SA"/>
        </w:rPr>
        <w:t xml:space="preserve"> where 100% of instantaneous demand is </w:t>
      </w:r>
      <w:r>
        <w:rPr>
          <w:lang w:eastAsia="en-US" w:bidi="ar-SA"/>
        </w:rPr>
        <w:t xml:space="preserve">served </w:t>
      </w:r>
      <w:r w:rsidRPr="007F74A3">
        <w:rPr>
          <w:lang w:eastAsia="en-US" w:bidi="ar-SA"/>
        </w:rPr>
        <w:t xml:space="preserve">by </w:t>
      </w:r>
      <w:r>
        <w:rPr>
          <w:lang w:eastAsia="en-US" w:bidi="ar-SA"/>
        </w:rPr>
        <w:t>IBR</w:t>
      </w:r>
      <w:r w:rsidRPr="007F74A3">
        <w:rPr>
          <w:lang w:eastAsia="en-US" w:bidi="ar-SA"/>
        </w:rPr>
        <w:t xml:space="preserve">, whether centralised, decentralised or a combination of both. </w:t>
      </w:r>
    </w:p>
    <w:p w14:paraId="4511F709" w14:textId="67D4570B" w:rsidR="001B74B1" w:rsidRDefault="001B74B1" w:rsidP="001B74B1">
      <w:pPr>
        <w:spacing w:before="120" w:after="120" w:line="264" w:lineRule="auto"/>
        <w:rPr>
          <w:lang w:eastAsia="en-US" w:bidi="ar-SA"/>
        </w:rPr>
      </w:pPr>
      <w:r w:rsidRPr="007F74A3">
        <w:rPr>
          <w:lang w:eastAsia="en-US" w:bidi="ar-SA"/>
        </w:rPr>
        <w:t xml:space="preserve">Such changes are structural in </w:t>
      </w:r>
      <w:r>
        <w:rPr>
          <w:lang w:eastAsia="en-US" w:bidi="ar-SA"/>
        </w:rPr>
        <w:t xml:space="preserve">nature, not peripheral.  They fundamentally change the </w:t>
      </w:r>
      <w:r w:rsidRPr="007F74A3">
        <w:rPr>
          <w:lang w:eastAsia="en-US" w:bidi="ar-SA"/>
        </w:rPr>
        <w:t xml:space="preserve">physics-based operability of any GW-scale power system. </w:t>
      </w:r>
    </w:p>
    <w:p w14:paraId="0B993552" w14:textId="6E97F6F0" w:rsidR="00DB57AB" w:rsidRPr="000A2EA8" w:rsidRDefault="00DB57AB" w:rsidP="00EB2823">
      <w:pPr>
        <w:spacing w:before="180" w:after="120" w:line="264" w:lineRule="auto"/>
        <w:rPr>
          <w:rStyle w:val="IntenseEmphasis"/>
        </w:rPr>
      </w:pPr>
      <w:r w:rsidRPr="000A2EA8">
        <w:rPr>
          <w:rStyle w:val="IntenseEmphasis"/>
        </w:rPr>
        <w:t xml:space="preserve">Energy </w:t>
      </w:r>
      <w:r w:rsidR="00F01442">
        <w:rPr>
          <w:rStyle w:val="IntenseEmphasis"/>
        </w:rPr>
        <w:t>r</w:t>
      </w:r>
      <w:r w:rsidRPr="000A2EA8">
        <w:rPr>
          <w:rStyle w:val="IntenseEmphasis"/>
        </w:rPr>
        <w:t xml:space="preserve">esources are </w:t>
      </w:r>
      <w:r w:rsidR="00023CA4">
        <w:rPr>
          <w:rStyle w:val="IntenseEmphasis"/>
        </w:rPr>
        <w:t>B</w:t>
      </w:r>
      <w:r w:rsidRPr="000A2EA8">
        <w:rPr>
          <w:rStyle w:val="IntenseEmphasis"/>
        </w:rPr>
        <w:t xml:space="preserve">ifurcating into </w:t>
      </w:r>
      <w:r w:rsidR="00023CA4">
        <w:rPr>
          <w:rStyle w:val="IntenseEmphasis"/>
        </w:rPr>
        <w:t>T</w:t>
      </w:r>
      <w:r w:rsidRPr="000A2EA8">
        <w:rPr>
          <w:rStyle w:val="IntenseEmphasis"/>
        </w:rPr>
        <w:t xml:space="preserve">wo </w:t>
      </w:r>
      <w:r w:rsidR="00023CA4">
        <w:rPr>
          <w:rStyle w:val="IntenseEmphasis"/>
        </w:rPr>
        <w:t>F</w:t>
      </w:r>
      <w:r w:rsidRPr="000A2EA8">
        <w:rPr>
          <w:rStyle w:val="IntenseEmphasis"/>
        </w:rPr>
        <w:t>unctional/</w:t>
      </w:r>
      <w:r w:rsidR="00023CA4">
        <w:rPr>
          <w:rStyle w:val="IntenseEmphasis"/>
        </w:rPr>
        <w:t>I</w:t>
      </w:r>
      <w:r w:rsidR="000E422F">
        <w:rPr>
          <w:rStyle w:val="IntenseEmphasis"/>
        </w:rPr>
        <w:t>nvestment</w:t>
      </w:r>
      <w:r w:rsidRPr="000A2EA8">
        <w:rPr>
          <w:rStyle w:val="IntenseEmphasis"/>
        </w:rPr>
        <w:t xml:space="preserve"> </w:t>
      </w:r>
      <w:r w:rsidR="00023CA4">
        <w:rPr>
          <w:rStyle w:val="IntenseEmphasis"/>
        </w:rPr>
        <w:t>C</w:t>
      </w:r>
      <w:r w:rsidRPr="000A2EA8">
        <w:rPr>
          <w:rStyle w:val="IntenseEmphasis"/>
        </w:rPr>
        <w:t>lasses</w:t>
      </w:r>
    </w:p>
    <w:p w14:paraId="0F9F4709" w14:textId="152BF745" w:rsidR="00DB57AB" w:rsidRPr="002C72C2" w:rsidRDefault="00023CA4" w:rsidP="00EB2823">
      <w:pPr>
        <w:spacing w:before="120" w:after="120" w:line="264" w:lineRule="auto"/>
        <w:rPr>
          <w:lang w:eastAsia="en-US" w:bidi="ar-SA"/>
        </w:rPr>
      </w:pPr>
      <w:r w:rsidRPr="002C72C2">
        <w:rPr>
          <w:lang w:eastAsia="en-US" w:bidi="ar-SA"/>
        </w:rPr>
        <w:t>A</w:t>
      </w:r>
      <w:r w:rsidR="00DB57AB" w:rsidRPr="002C72C2">
        <w:rPr>
          <w:lang w:eastAsia="en-US" w:bidi="ar-SA"/>
        </w:rPr>
        <w:t xml:space="preserve">ustralia’s fleet of </w:t>
      </w:r>
      <w:r w:rsidRPr="002C72C2">
        <w:rPr>
          <w:lang w:eastAsia="en-US" w:bidi="ar-SA"/>
        </w:rPr>
        <w:t>e</w:t>
      </w:r>
      <w:r w:rsidR="00DB57AB" w:rsidRPr="002C72C2">
        <w:rPr>
          <w:lang w:eastAsia="en-US" w:bidi="ar-SA"/>
        </w:rPr>
        <w:t xml:space="preserve">nergy </w:t>
      </w:r>
      <w:r w:rsidRPr="002C72C2">
        <w:rPr>
          <w:lang w:eastAsia="en-US" w:bidi="ar-SA"/>
        </w:rPr>
        <w:t>r</w:t>
      </w:r>
      <w:r w:rsidR="00DB57AB" w:rsidRPr="002C72C2">
        <w:rPr>
          <w:lang w:eastAsia="en-US" w:bidi="ar-SA"/>
        </w:rPr>
        <w:t xml:space="preserve">esources is </w:t>
      </w:r>
      <w:r w:rsidRPr="002C72C2">
        <w:rPr>
          <w:lang w:eastAsia="en-US" w:bidi="ar-SA"/>
        </w:rPr>
        <w:t xml:space="preserve">also </w:t>
      </w:r>
      <w:r w:rsidR="00DB57AB" w:rsidRPr="002C72C2">
        <w:rPr>
          <w:lang w:eastAsia="en-US" w:bidi="ar-SA"/>
        </w:rPr>
        <w:t xml:space="preserve">bifurcating into two primary functional/investment classes: </w:t>
      </w:r>
      <w:r w:rsidR="00A848DA">
        <w:rPr>
          <w:lang w:eastAsia="en-US" w:bidi="ar-SA"/>
        </w:rPr>
        <w:t>m</w:t>
      </w:r>
      <w:r w:rsidR="00DB57AB" w:rsidRPr="002C72C2">
        <w:rPr>
          <w:lang w:eastAsia="en-US" w:bidi="ar-SA"/>
        </w:rPr>
        <w:t xml:space="preserve">erchant and </w:t>
      </w:r>
      <w:r w:rsidR="00A848DA">
        <w:rPr>
          <w:lang w:eastAsia="en-US" w:bidi="ar-SA"/>
        </w:rPr>
        <w:t>p</w:t>
      </w:r>
      <w:r w:rsidR="00DB57AB" w:rsidRPr="002C72C2">
        <w:rPr>
          <w:lang w:eastAsia="en-US" w:bidi="ar-SA"/>
        </w:rPr>
        <w:t>rivate</w:t>
      </w:r>
      <w:r w:rsidR="00374950">
        <w:rPr>
          <w:lang w:eastAsia="en-US" w:bidi="ar-SA"/>
        </w:rPr>
        <w:t xml:space="preserve">. </w:t>
      </w:r>
      <w:r w:rsidR="00DB57AB" w:rsidRPr="002C72C2">
        <w:rPr>
          <w:lang w:eastAsia="en-US" w:bidi="ar-SA"/>
        </w:rPr>
        <w:t xml:space="preserve">This involves another historically unprecedented shift: </w:t>
      </w:r>
    </w:p>
    <w:p w14:paraId="6C74D93E" w14:textId="58970ECD" w:rsidR="00DB57AB" w:rsidRPr="002C72C2" w:rsidRDefault="00DB57AB" w:rsidP="00954BAC">
      <w:pPr>
        <w:pStyle w:val="ListParagraph"/>
        <w:numPr>
          <w:ilvl w:val="0"/>
          <w:numId w:val="11"/>
        </w:numPr>
        <w:spacing w:line="264" w:lineRule="auto"/>
        <w:rPr>
          <w:lang w:eastAsia="en-US" w:bidi="ar-SA"/>
        </w:rPr>
      </w:pPr>
      <w:r w:rsidRPr="002C72C2">
        <w:rPr>
          <w:lang w:eastAsia="en-US" w:bidi="ar-SA"/>
        </w:rPr>
        <w:t xml:space="preserve">From a past where the generation fleet was largely merchant resources installed for the primary or singular purpose of providing energy and services to the relevant markets; and, </w:t>
      </w:r>
    </w:p>
    <w:p w14:paraId="59BF0979" w14:textId="3E8B3842" w:rsidR="00DB57AB" w:rsidRPr="002C72C2" w:rsidRDefault="00DB57AB" w:rsidP="00954BAC">
      <w:pPr>
        <w:pStyle w:val="ListParagraph"/>
        <w:numPr>
          <w:ilvl w:val="0"/>
          <w:numId w:val="11"/>
        </w:numPr>
        <w:spacing w:line="264" w:lineRule="auto"/>
        <w:rPr>
          <w:lang w:eastAsia="en-US" w:bidi="ar-SA"/>
        </w:rPr>
      </w:pPr>
      <w:r w:rsidRPr="002C72C2">
        <w:rPr>
          <w:lang w:eastAsia="en-US" w:bidi="ar-SA"/>
        </w:rPr>
        <w:t>To a future where the proportion of private, customer-owned generation, storage and flexible capacity – as compared with traditional merchant resources – is trending upward</w:t>
      </w:r>
      <w:r w:rsidR="00374950">
        <w:rPr>
          <w:lang w:eastAsia="en-US" w:bidi="ar-SA"/>
        </w:rPr>
        <w:t xml:space="preserve">. </w:t>
      </w:r>
    </w:p>
    <w:p w14:paraId="0995F7FA" w14:textId="77777777" w:rsidR="00441D3D" w:rsidRDefault="00441D3D">
      <w:pPr>
        <w:spacing w:before="0" w:after="160" w:line="259" w:lineRule="auto"/>
        <w:rPr>
          <w:lang w:eastAsia="en-US" w:bidi="ar-SA"/>
        </w:rPr>
      </w:pPr>
      <w:r>
        <w:rPr>
          <w:lang w:eastAsia="en-US" w:bidi="ar-SA"/>
        </w:rPr>
        <w:br w:type="page"/>
      </w:r>
    </w:p>
    <w:p w14:paraId="10DB3ACE" w14:textId="6D5FA6FC" w:rsidR="00DB57AB" w:rsidRPr="002C72C2" w:rsidRDefault="00DB57AB" w:rsidP="00EB2823">
      <w:pPr>
        <w:spacing w:before="120" w:after="120" w:line="264" w:lineRule="auto"/>
        <w:rPr>
          <w:lang w:eastAsia="en-US" w:bidi="ar-SA"/>
        </w:rPr>
      </w:pPr>
      <w:r w:rsidRPr="002C72C2">
        <w:rPr>
          <w:lang w:eastAsia="en-US" w:bidi="ar-SA"/>
        </w:rPr>
        <w:t xml:space="preserve">Many of these customer-owned </w:t>
      </w:r>
      <w:r w:rsidR="00023CA4" w:rsidRPr="002C72C2">
        <w:rPr>
          <w:lang w:eastAsia="en-US" w:bidi="ar-SA"/>
        </w:rPr>
        <w:t>CER</w:t>
      </w:r>
      <w:r w:rsidRPr="002C72C2">
        <w:rPr>
          <w:lang w:eastAsia="en-US" w:bidi="ar-SA"/>
        </w:rPr>
        <w:t xml:space="preserve"> and EVs have under</w:t>
      </w:r>
      <w:r w:rsidR="00023CA4" w:rsidRPr="002C72C2">
        <w:rPr>
          <w:lang w:eastAsia="en-US" w:bidi="ar-SA"/>
        </w:rPr>
        <w:t>-</w:t>
      </w:r>
      <w:r w:rsidRPr="002C72C2">
        <w:rPr>
          <w:lang w:eastAsia="en-US" w:bidi="ar-SA"/>
        </w:rPr>
        <w:t xml:space="preserve">utilised capacity and capabilities that would be of value for providing </w:t>
      </w:r>
      <w:r w:rsidR="00023CA4" w:rsidRPr="002C72C2">
        <w:rPr>
          <w:lang w:eastAsia="en-US" w:bidi="ar-SA"/>
        </w:rPr>
        <w:t xml:space="preserve">beneficial services to the </w:t>
      </w:r>
      <w:r w:rsidRPr="002C72C2">
        <w:rPr>
          <w:lang w:eastAsia="en-US" w:bidi="ar-SA"/>
        </w:rPr>
        <w:t xml:space="preserve">wider </w:t>
      </w:r>
      <w:r w:rsidR="00023CA4" w:rsidRPr="002C72C2">
        <w:rPr>
          <w:lang w:eastAsia="en-US" w:bidi="ar-SA"/>
        </w:rPr>
        <w:t>p</w:t>
      </w:r>
      <w:r w:rsidRPr="002C72C2">
        <w:rPr>
          <w:lang w:eastAsia="en-US" w:bidi="ar-SA"/>
        </w:rPr>
        <w:t xml:space="preserve">ower </w:t>
      </w:r>
      <w:r w:rsidR="00023CA4" w:rsidRPr="002C72C2">
        <w:rPr>
          <w:lang w:eastAsia="en-US" w:bidi="ar-SA"/>
        </w:rPr>
        <w:t>s</w:t>
      </w:r>
      <w:r w:rsidRPr="002C72C2">
        <w:rPr>
          <w:lang w:eastAsia="en-US" w:bidi="ar-SA"/>
        </w:rPr>
        <w:t>ystem</w:t>
      </w:r>
      <w:r w:rsidR="00023CA4" w:rsidRPr="002C72C2">
        <w:rPr>
          <w:lang w:eastAsia="en-US" w:bidi="ar-SA"/>
        </w:rPr>
        <w:t xml:space="preserve"> in exchange for a share of the resulting value</w:t>
      </w:r>
      <w:r w:rsidR="00374950">
        <w:rPr>
          <w:lang w:eastAsia="en-US" w:bidi="ar-SA"/>
        </w:rPr>
        <w:t xml:space="preserve">. </w:t>
      </w:r>
      <w:r w:rsidRPr="002C72C2">
        <w:rPr>
          <w:lang w:eastAsia="en-US" w:bidi="ar-SA"/>
        </w:rPr>
        <w:t>However, as they were not primarily deployed as merchant resources, Australia risks a massive duplication of capital investment where this underutilised capacity is not efficiently and equitably unlocked</w:t>
      </w:r>
      <w:r w:rsidR="00374950">
        <w:rPr>
          <w:lang w:eastAsia="en-US" w:bidi="ar-SA"/>
        </w:rPr>
        <w:t xml:space="preserve">. </w:t>
      </w:r>
    </w:p>
    <w:p w14:paraId="456BAE21" w14:textId="683CEF99" w:rsidR="00DB57AB" w:rsidRPr="002C72C2" w:rsidRDefault="00DB57AB" w:rsidP="00EB2823">
      <w:pPr>
        <w:spacing w:before="120" w:after="120" w:line="264" w:lineRule="auto"/>
        <w:rPr>
          <w:lang w:eastAsia="en-US" w:bidi="ar-SA"/>
        </w:rPr>
      </w:pPr>
      <w:r w:rsidRPr="002C72C2">
        <w:rPr>
          <w:lang w:eastAsia="en-US" w:bidi="ar-SA"/>
        </w:rPr>
        <w:t xml:space="preserve">Being installed primarily for customer purposes, however, the large-scale sourcing of this capacity will involve: </w:t>
      </w:r>
    </w:p>
    <w:p w14:paraId="4F03F1CB" w14:textId="29C3914B" w:rsidR="00DB57AB" w:rsidRPr="002C72C2" w:rsidRDefault="00DB57AB" w:rsidP="00954BAC">
      <w:pPr>
        <w:pStyle w:val="ListParagraph"/>
        <w:numPr>
          <w:ilvl w:val="0"/>
          <w:numId w:val="12"/>
        </w:numPr>
        <w:spacing w:line="264" w:lineRule="auto"/>
        <w:rPr>
          <w:lang w:eastAsia="en-US" w:bidi="ar-SA"/>
        </w:rPr>
      </w:pPr>
      <w:r w:rsidRPr="002C72C2">
        <w:rPr>
          <w:lang w:eastAsia="en-US" w:bidi="ar-SA"/>
        </w:rPr>
        <w:t xml:space="preserve">Significantly different motivational dynamics and engagement </w:t>
      </w:r>
      <w:r w:rsidR="002A5117" w:rsidRPr="002C72C2">
        <w:rPr>
          <w:lang w:eastAsia="en-US" w:bidi="ar-SA"/>
        </w:rPr>
        <w:t>models</w:t>
      </w:r>
    </w:p>
    <w:p w14:paraId="655FCF5C" w14:textId="04510730" w:rsidR="00DB57AB" w:rsidRPr="002C72C2" w:rsidRDefault="00DB57AB" w:rsidP="00954BAC">
      <w:pPr>
        <w:pStyle w:val="ListParagraph"/>
        <w:numPr>
          <w:ilvl w:val="0"/>
          <w:numId w:val="12"/>
        </w:numPr>
        <w:spacing w:line="264" w:lineRule="auto"/>
        <w:rPr>
          <w:lang w:eastAsia="en-US" w:bidi="ar-SA"/>
        </w:rPr>
      </w:pPr>
      <w:r w:rsidRPr="002C72C2">
        <w:rPr>
          <w:lang w:eastAsia="en-US" w:bidi="ar-SA"/>
        </w:rPr>
        <w:t xml:space="preserve">Advanced forms of </w:t>
      </w:r>
      <w:r w:rsidR="003049B5" w:rsidRPr="002C72C2">
        <w:rPr>
          <w:lang w:eastAsia="en-US" w:bidi="ar-SA"/>
        </w:rPr>
        <w:t>v</w:t>
      </w:r>
      <w:r w:rsidR="001949FB" w:rsidRPr="002C72C2">
        <w:rPr>
          <w:lang w:eastAsia="en-US" w:bidi="ar-SA"/>
        </w:rPr>
        <w:t>isibility and</w:t>
      </w:r>
      <w:r w:rsidRPr="002C72C2">
        <w:rPr>
          <w:lang w:eastAsia="en-US" w:bidi="ar-SA"/>
        </w:rPr>
        <w:t xml:space="preserve"> </w:t>
      </w:r>
      <w:r w:rsidR="003049B5" w:rsidRPr="002C72C2">
        <w:rPr>
          <w:lang w:eastAsia="en-US" w:bidi="ar-SA"/>
        </w:rPr>
        <w:t>o</w:t>
      </w:r>
      <w:r w:rsidRPr="002C72C2">
        <w:rPr>
          <w:lang w:eastAsia="en-US" w:bidi="ar-SA"/>
        </w:rPr>
        <w:t xml:space="preserve">perational </w:t>
      </w:r>
      <w:r w:rsidR="003049B5" w:rsidRPr="002C72C2">
        <w:rPr>
          <w:lang w:eastAsia="en-US" w:bidi="ar-SA"/>
        </w:rPr>
        <w:t>c</w:t>
      </w:r>
      <w:r w:rsidR="001949FB" w:rsidRPr="002C72C2">
        <w:rPr>
          <w:lang w:eastAsia="en-US" w:bidi="ar-SA"/>
        </w:rPr>
        <w:t>oordination to</w:t>
      </w:r>
      <w:r w:rsidRPr="002C72C2">
        <w:rPr>
          <w:lang w:eastAsia="en-US" w:bidi="ar-SA"/>
        </w:rPr>
        <w:t xml:space="preserve"> ensure the right physics-based services are dynamically sourced when and where required mos</w:t>
      </w:r>
      <w:r w:rsidR="00993D5A">
        <w:rPr>
          <w:lang w:eastAsia="en-US" w:bidi="ar-SA"/>
        </w:rPr>
        <w:t>t</w:t>
      </w:r>
    </w:p>
    <w:p w14:paraId="27A2FBBA" w14:textId="68691A66" w:rsidR="00DB57AB" w:rsidRPr="002C72C2" w:rsidRDefault="00DB57AB" w:rsidP="00954BAC">
      <w:pPr>
        <w:pStyle w:val="ListParagraph"/>
        <w:numPr>
          <w:ilvl w:val="0"/>
          <w:numId w:val="12"/>
        </w:numPr>
        <w:spacing w:line="264" w:lineRule="auto"/>
        <w:rPr>
          <w:lang w:eastAsia="en-US" w:bidi="ar-SA"/>
        </w:rPr>
      </w:pPr>
      <w:r w:rsidRPr="002C72C2">
        <w:rPr>
          <w:lang w:eastAsia="en-US" w:bidi="ar-SA"/>
        </w:rPr>
        <w:t>New procurement and remuneration models that are:</w:t>
      </w:r>
    </w:p>
    <w:p w14:paraId="329FD95A" w14:textId="7361D3B7" w:rsidR="00DB57AB" w:rsidRPr="002C72C2" w:rsidRDefault="00DB57AB" w:rsidP="00954BAC">
      <w:pPr>
        <w:pStyle w:val="ListParagraph"/>
        <w:numPr>
          <w:ilvl w:val="1"/>
          <w:numId w:val="12"/>
        </w:numPr>
        <w:spacing w:line="264" w:lineRule="auto"/>
        <w:ind w:left="1134" w:hanging="425"/>
        <w:rPr>
          <w:lang w:eastAsia="en-US" w:bidi="ar-SA"/>
        </w:rPr>
      </w:pPr>
      <w:r w:rsidRPr="002C72C2">
        <w:rPr>
          <w:lang w:eastAsia="en-US" w:bidi="ar-SA"/>
        </w:rPr>
        <w:t xml:space="preserve">Capable of reflecting the dynamically changing temporal and spatial value of different </w:t>
      </w:r>
      <w:r w:rsidR="002E3FDC" w:rsidRPr="002C72C2">
        <w:rPr>
          <w:lang w:eastAsia="en-US" w:bidi="ar-SA"/>
        </w:rPr>
        <w:t xml:space="preserve">grid services </w:t>
      </w:r>
      <w:r w:rsidRPr="002C72C2">
        <w:rPr>
          <w:lang w:eastAsia="en-US" w:bidi="ar-SA"/>
        </w:rPr>
        <w:t>at much higher resolution than traditional tariff models</w:t>
      </w:r>
      <w:r w:rsidR="00B07586">
        <w:rPr>
          <w:lang w:eastAsia="en-US" w:bidi="ar-SA"/>
        </w:rPr>
        <w:t>,</w:t>
      </w:r>
      <w:r w:rsidRPr="002C72C2">
        <w:rPr>
          <w:lang w:eastAsia="en-US" w:bidi="ar-SA"/>
        </w:rPr>
        <w:t xml:space="preserve"> and</w:t>
      </w:r>
      <w:r w:rsidR="00CC118A">
        <w:rPr>
          <w:lang w:eastAsia="en-US" w:bidi="ar-SA"/>
        </w:rPr>
        <w:t>,</w:t>
      </w:r>
    </w:p>
    <w:p w14:paraId="39620FD0" w14:textId="126F032C" w:rsidR="00DB57AB" w:rsidRPr="002C72C2" w:rsidRDefault="00DB57AB" w:rsidP="00954BAC">
      <w:pPr>
        <w:pStyle w:val="ListParagraph"/>
        <w:numPr>
          <w:ilvl w:val="1"/>
          <w:numId w:val="12"/>
        </w:numPr>
        <w:spacing w:line="264" w:lineRule="auto"/>
        <w:ind w:left="1134" w:hanging="425"/>
        <w:rPr>
          <w:lang w:eastAsia="en-US" w:bidi="ar-SA"/>
        </w:rPr>
      </w:pPr>
      <w:r w:rsidRPr="002C72C2">
        <w:rPr>
          <w:lang w:eastAsia="en-US" w:bidi="ar-SA"/>
        </w:rPr>
        <w:t xml:space="preserve">Supported by advanced automation to ensure the customer experience is seamless, effortless, and consistent with contract conditions approved by the customer. </w:t>
      </w:r>
    </w:p>
    <w:p w14:paraId="6C747B17" w14:textId="77777777" w:rsidR="00DB57AB" w:rsidRPr="0037465E" w:rsidRDefault="00DB57AB" w:rsidP="00EB2823">
      <w:pPr>
        <w:spacing w:before="180" w:after="120" w:line="264" w:lineRule="auto"/>
        <w:rPr>
          <w:rStyle w:val="IntenseEmphasis"/>
        </w:rPr>
      </w:pPr>
      <w:r w:rsidRPr="0037465E">
        <w:rPr>
          <w:rStyle w:val="IntenseEmphasis"/>
        </w:rPr>
        <w:t>Legacy Structures, Functions &amp; Roles Under Stress</w:t>
      </w:r>
    </w:p>
    <w:p w14:paraId="4B6826D6" w14:textId="41953151" w:rsidR="00DB57AB" w:rsidRPr="002C72C2" w:rsidRDefault="00DB57AB" w:rsidP="00EB2823">
      <w:pPr>
        <w:spacing w:before="120" w:after="120" w:line="264" w:lineRule="auto"/>
        <w:rPr>
          <w:lang w:eastAsia="en-US" w:bidi="ar-SA"/>
        </w:rPr>
      </w:pPr>
      <w:r w:rsidRPr="002C72C2">
        <w:rPr>
          <w:lang w:eastAsia="en-US" w:bidi="ar-SA"/>
        </w:rPr>
        <w:t>Structurally, where the once dominant ‘supply-side</w:t>
      </w:r>
      <w:r w:rsidR="00BE680A" w:rsidRPr="002C72C2">
        <w:rPr>
          <w:lang w:eastAsia="en-US" w:bidi="ar-SA"/>
        </w:rPr>
        <w:t>/</w:t>
      </w:r>
      <w:r w:rsidRPr="002C72C2">
        <w:rPr>
          <w:lang w:eastAsia="en-US" w:bidi="ar-SA"/>
        </w:rPr>
        <w:t>demand-side’ bifurcation is experiencing erosion, coupled with the increasing</w:t>
      </w:r>
      <w:r w:rsidR="00BE680A" w:rsidRPr="002C72C2">
        <w:rPr>
          <w:lang w:eastAsia="en-US" w:bidi="ar-SA"/>
        </w:rPr>
        <w:t xml:space="preserve"> v</w:t>
      </w:r>
      <w:r w:rsidRPr="002C72C2">
        <w:rPr>
          <w:lang w:eastAsia="en-US" w:bidi="ar-SA"/>
        </w:rPr>
        <w:t xml:space="preserve">olatility of a decarbonising </w:t>
      </w:r>
      <w:r w:rsidR="00BE680A" w:rsidRPr="002C72C2">
        <w:rPr>
          <w:lang w:eastAsia="en-US" w:bidi="ar-SA"/>
        </w:rPr>
        <w:t>power s</w:t>
      </w:r>
      <w:r w:rsidRPr="002C72C2">
        <w:rPr>
          <w:lang w:eastAsia="en-US" w:bidi="ar-SA"/>
        </w:rPr>
        <w:t xml:space="preserve">ystem, a significantly more integrated and holistic approach to system </w:t>
      </w:r>
      <w:r w:rsidR="008A777B" w:rsidRPr="002C72C2">
        <w:rPr>
          <w:lang w:eastAsia="en-US" w:bidi="ar-SA"/>
        </w:rPr>
        <w:t>o</w:t>
      </w:r>
      <w:r w:rsidRPr="002C72C2">
        <w:rPr>
          <w:lang w:eastAsia="en-US" w:bidi="ar-SA"/>
        </w:rPr>
        <w:t>perability will be required to ensure secure and least-cost operation</w:t>
      </w:r>
      <w:r w:rsidR="00374950">
        <w:rPr>
          <w:lang w:eastAsia="en-US" w:bidi="ar-SA"/>
        </w:rPr>
        <w:t xml:space="preserve">. </w:t>
      </w:r>
      <w:r w:rsidRPr="002C72C2">
        <w:rPr>
          <w:lang w:eastAsia="en-US" w:bidi="ar-SA"/>
        </w:rPr>
        <w:t>In this context, the relationship between the upstream bulk power</w:t>
      </w:r>
      <w:r w:rsidR="008A777B" w:rsidRPr="002C72C2">
        <w:rPr>
          <w:lang w:eastAsia="en-US" w:bidi="ar-SA"/>
        </w:rPr>
        <w:t>/</w:t>
      </w:r>
      <w:r w:rsidRPr="002C72C2">
        <w:rPr>
          <w:lang w:eastAsia="en-US" w:bidi="ar-SA"/>
        </w:rPr>
        <w:t>transmission system and the downstream distribution system(s) becomes even more critical and dynamically inter</w:t>
      </w:r>
      <w:r w:rsidR="008A777B" w:rsidRPr="002C72C2">
        <w:rPr>
          <w:lang w:eastAsia="en-US" w:bidi="ar-SA"/>
        </w:rPr>
        <w:t>-</w:t>
      </w:r>
      <w:r w:rsidRPr="002C72C2">
        <w:rPr>
          <w:lang w:eastAsia="en-US" w:bidi="ar-SA"/>
        </w:rPr>
        <w:t>dependent</w:t>
      </w:r>
      <w:r w:rsidR="00374950">
        <w:rPr>
          <w:lang w:eastAsia="en-US" w:bidi="ar-SA"/>
        </w:rPr>
        <w:t xml:space="preserve">. </w:t>
      </w:r>
    </w:p>
    <w:p w14:paraId="75A6CBC9" w14:textId="7A1BB1B3" w:rsidR="00DB57AB" w:rsidRPr="002C72C2" w:rsidRDefault="00DB57AB" w:rsidP="00EB2823">
      <w:pPr>
        <w:spacing w:before="120" w:after="120" w:line="264" w:lineRule="auto"/>
        <w:rPr>
          <w:lang w:eastAsia="en-US" w:bidi="ar-SA"/>
        </w:rPr>
      </w:pPr>
      <w:r w:rsidRPr="002C72C2">
        <w:rPr>
          <w:lang w:eastAsia="en-US" w:bidi="ar-SA"/>
        </w:rPr>
        <w:t>The range of functions performed across the Transmission-Distribution Interface (TDI), therefore, must be expanded, formalised and automated</w:t>
      </w:r>
      <w:r w:rsidR="00374950">
        <w:rPr>
          <w:lang w:eastAsia="en-US" w:bidi="ar-SA"/>
        </w:rPr>
        <w:t xml:space="preserve">. </w:t>
      </w:r>
      <w:r w:rsidRPr="002C72C2">
        <w:rPr>
          <w:lang w:eastAsia="en-US" w:bidi="ar-SA"/>
        </w:rPr>
        <w:t>This will involve enhanced data exchange and formalised roles and protocols for the integrated management of system operations</w:t>
      </w:r>
      <w:r w:rsidR="00374950">
        <w:rPr>
          <w:lang w:eastAsia="en-US" w:bidi="ar-SA"/>
        </w:rPr>
        <w:t xml:space="preserve">. </w:t>
      </w:r>
      <w:r w:rsidRPr="002C72C2">
        <w:rPr>
          <w:lang w:eastAsia="en-US" w:bidi="ar-SA"/>
        </w:rPr>
        <w:t xml:space="preserve">It includes a focus on matters such as </w:t>
      </w:r>
      <w:r w:rsidR="71A8C7A1" w:rsidRPr="002C72C2">
        <w:rPr>
          <w:lang w:eastAsia="en-US" w:bidi="ar-SA"/>
        </w:rPr>
        <w:t xml:space="preserve">system balance, </w:t>
      </w:r>
      <w:r w:rsidRPr="002C72C2">
        <w:rPr>
          <w:lang w:eastAsia="en-US" w:bidi="ar-SA"/>
        </w:rPr>
        <w:t xml:space="preserve">frequency control, congestion management, voltage control and involves appropriate levels of real-time or near real-time </w:t>
      </w:r>
      <w:r w:rsidR="008A777B" w:rsidRPr="002C72C2">
        <w:rPr>
          <w:lang w:eastAsia="en-US" w:bidi="ar-SA"/>
        </w:rPr>
        <w:t>CER/</w:t>
      </w:r>
      <w:r w:rsidRPr="002C72C2">
        <w:rPr>
          <w:lang w:eastAsia="en-US" w:bidi="ar-SA"/>
        </w:rPr>
        <w:t xml:space="preserve">DER </w:t>
      </w:r>
      <w:r w:rsidR="008A777B" w:rsidRPr="002C72C2">
        <w:rPr>
          <w:lang w:eastAsia="en-US" w:bidi="ar-SA"/>
        </w:rPr>
        <w:t>v</w:t>
      </w:r>
      <w:r w:rsidRPr="002C72C2">
        <w:rPr>
          <w:lang w:eastAsia="en-US" w:bidi="ar-SA"/>
        </w:rPr>
        <w:t xml:space="preserve">isibility, </w:t>
      </w:r>
      <w:r w:rsidR="008A777B" w:rsidRPr="002C72C2">
        <w:rPr>
          <w:lang w:eastAsia="en-US" w:bidi="ar-SA"/>
        </w:rPr>
        <w:t>f</w:t>
      </w:r>
      <w:r w:rsidRPr="002C72C2">
        <w:rPr>
          <w:lang w:eastAsia="en-US" w:bidi="ar-SA"/>
        </w:rPr>
        <w:t xml:space="preserve">orecasting and </w:t>
      </w:r>
      <w:r w:rsidR="008A777B" w:rsidRPr="002C72C2">
        <w:rPr>
          <w:lang w:eastAsia="en-US" w:bidi="ar-SA"/>
        </w:rPr>
        <w:t>r</w:t>
      </w:r>
      <w:r w:rsidRPr="002C72C2">
        <w:rPr>
          <w:lang w:eastAsia="en-US" w:bidi="ar-SA"/>
        </w:rPr>
        <w:t xml:space="preserve">esource </w:t>
      </w:r>
      <w:r w:rsidR="008A777B" w:rsidRPr="002C72C2">
        <w:rPr>
          <w:lang w:eastAsia="en-US" w:bidi="ar-SA"/>
        </w:rPr>
        <w:t>a</w:t>
      </w:r>
      <w:r w:rsidRPr="002C72C2">
        <w:rPr>
          <w:lang w:eastAsia="en-US" w:bidi="ar-SA"/>
        </w:rPr>
        <w:t>dequacy analysis</w:t>
      </w:r>
      <w:r w:rsidR="00374950">
        <w:rPr>
          <w:lang w:eastAsia="en-US" w:bidi="ar-SA"/>
        </w:rPr>
        <w:t xml:space="preserve">. </w:t>
      </w:r>
    </w:p>
    <w:p w14:paraId="1AE4DB61" w14:textId="40051949" w:rsidR="00DB57AB" w:rsidRPr="002C72C2" w:rsidRDefault="00DB57AB" w:rsidP="00EB2823">
      <w:pPr>
        <w:spacing w:before="120" w:after="120" w:line="264" w:lineRule="auto"/>
        <w:rPr>
          <w:lang w:eastAsia="en-US" w:bidi="ar-SA"/>
        </w:rPr>
      </w:pPr>
      <w:r w:rsidRPr="002C72C2">
        <w:rPr>
          <w:lang w:eastAsia="en-US" w:bidi="ar-SA"/>
        </w:rPr>
        <w:t xml:space="preserve">As noted above, the dispatch of centralised generation has been historically based on a </w:t>
      </w:r>
      <w:r w:rsidR="008A777B" w:rsidRPr="002C72C2">
        <w:rPr>
          <w:lang w:eastAsia="en-US" w:bidi="ar-SA"/>
        </w:rPr>
        <w:t>d</w:t>
      </w:r>
      <w:r w:rsidRPr="002C72C2">
        <w:rPr>
          <w:lang w:eastAsia="en-US" w:bidi="ar-SA"/>
        </w:rPr>
        <w:t>emand-following paradigm.</w:t>
      </w:r>
      <w:r w:rsidR="00520E6D">
        <w:rPr>
          <w:lang w:eastAsia="en-US" w:bidi="ar-SA"/>
        </w:rPr>
        <w:t xml:space="preserve"> </w:t>
      </w:r>
      <w:r w:rsidRPr="002C72C2">
        <w:rPr>
          <w:lang w:eastAsia="en-US" w:bidi="ar-SA"/>
        </w:rPr>
        <w:t>To illustrate the significance of this erosion of the ‘</w:t>
      </w:r>
      <w:r w:rsidR="008A777B" w:rsidRPr="002C72C2">
        <w:rPr>
          <w:lang w:eastAsia="en-US" w:bidi="ar-SA"/>
        </w:rPr>
        <w:t>s</w:t>
      </w:r>
      <w:r w:rsidRPr="002C72C2">
        <w:rPr>
          <w:lang w:eastAsia="en-US" w:bidi="ar-SA"/>
        </w:rPr>
        <w:t>upply-side</w:t>
      </w:r>
      <w:r w:rsidR="008A777B" w:rsidRPr="002C72C2">
        <w:rPr>
          <w:lang w:eastAsia="en-US" w:bidi="ar-SA"/>
        </w:rPr>
        <w:t>/d</w:t>
      </w:r>
      <w:r w:rsidRPr="002C72C2">
        <w:rPr>
          <w:lang w:eastAsia="en-US" w:bidi="ar-SA"/>
        </w:rPr>
        <w:t xml:space="preserve">emand-side’ bifurcation, and the expanding role of the TDI, the international literature increasingly </w:t>
      </w:r>
      <w:r w:rsidR="00927DD4">
        <w:rPr>
          <w:lang w:eastAsia="en-US" w:bidi="ar-SA"/>
        </w:rPr>
        <w:t>supports</w:t>
      </w:r>
      <w:r w:rsidRPr="002C72C2">
        <w:rPr>
          <w:lang w:eastAsia="en-US" w:bidi="ar-SA"/>
        </w:rPr>
        <w:t xml:space="preserve"> the need for consideration of paradigm variants that include </w:t>
      </w:r>
      <w:r w:rsidR="008A777B" w:rsidRPr="002C72C2">
        <w:rPr>
          <w:lang w:eastAsia="en-US" w:bidi="ar-SA"/>
        </w:rPr>
        <w:t>s</w:t>
      </w:r>
      <w:r w:rsidRPr="002C72C2">
        <w:rPr>
          <w:lang w:eastAsia="en-US" w:bidi="ar-SA"/>
        </w:rPr>
        <w:t>upply-following features.</w:t>
      </w:r>
      <w:r w:rsidR="00B657A2" w:rsidRPr="00B657A2">
        <w:rPr>
          <w:lang w:eastAsia="en-US" w:bidi="ar-SA"/>
        </w:rPr>
        <w:t xml:space="preserve"> In this </w:t>
      </w:r>
      <w:r w:rsidR="0044479A">
        <w:rPr>
          <w:lang w:eastAsia="en-US" w:bidi="ar-SA"/>
        </w:rPr>
        <w:t>context</w:t>
      </w:r>
      <w:r w:rsidR="00B657A2" w:rsidRPr="00B657A2">
        <w:rPr>
          <w:lang w:eastAsia="en-US" w:bidi="ar-SA"/>
        </w:rPr>
        <w:t xml:space="preserve">, large volumes of LV-connected flexible loads and resources are </w:t>
      </w:r>
      <w:r w:rsidR="0044479A">
        <w:rPr>
          <w:lang w:eastAsia="en-US" w:bidi="ar-SA"/>
        </w:rPr>
        <w:t>o</w:t>
      </w:r>
      <w:r w:rsidR="00B657A2" w:rsidRPr="00B657A2">
        <w:rPr>
          <w:lang w:eastAsia="en-US" w:bidi="ar-SA"/>
        </w:rPr>
        <w:t>rchestrated to dynamically follow the output of high</w:t>
      </w:r>
      <w:r w:rsidR="0044479A">
        <w:rPr>
          <w:lang w:eastAsia="en-US" w:bidi="ar-SA"/>
        </w:rPr>
        <w:t xml:space="preserve"> VRE</w:t>
      </w:r>
      <w:r w:rsidR="00374950">
        <w:rPr>
          <w:lang w:eastAsia="en-US" w:bidi="ar-SA"/>
        </w:rPr>
        <w:t xml:space="preserve">. </w:t>
      </w:r>
    </w:p>
    <w:p w14:paraId="58C0C75E" w14:textId="1ED38013" w:rsidR="00DB57AB" w:rsidRPr="002C72C2" w:rsidRDefault="00DB57AB" w:rsidP="00EB2823">
      <w:pPr>
        <w:spacing w:before="120" w:after="120" w:line="264" w:lineRule="auto"/>
        <w:rPr>
          <w:lang w:eastAsia="en-US" w:bidi="ar-SA"/>
        </w:rPr>
      </w:pPr>
      <w:r w:rsidRPr="002C72C2">
        <w:rPr>
          <w:lang w:eastAsia="en-US" w:bidi="ar-SA"/>
        </w:rPr>
        <w:t xml:space="preserve">Finally, as the Laws of Physics interact with the entire </w:t>
      </w:r>
      <w:r w:rsidR="008A777B" w:rsidRPr="002C72C2">
        <w:rPr>
          <w:lang w:eastAsia="en-US" w:bidi="ar-SA"/>
        </w:rPr>
        <w:t>power s</w:t>
      </w:r>
      <w:r w:rsidRPr="002C72C2">
        <w:rPr>
          <w:lang w:eastAsia="en-US" w:bidi="ar-SA"/>
        </w:rPr>
        <w:t xml:space="preserve">ystem blind to its historic demarcations and delegations of </w:t>
      </w:r>
      <w:r w:rsidR="008A777B" w:rsidRPr="002C72C2">
        <w:rPr>
          <w:lang w:eastAsia="en-US" w:bidi="ar-SA"/>
        </w:rPr>
        <w:t>roles and r</w:t>
      </w:r>
      <w:r w:rsidRPr="002C72C2">
        <w:rPr>
          <w:lang w:eastAsia="en-US" w:bidi="ar-SA"/>
        </w:rPr>
        <w:t>esponsibilities, in the context unparalleled structural shifts, no single entity is responsible for ensuring the adequacy of the end-to-end power system’s underpinning architecture</w:t>
      </w:r>
      <w:r w:rsidR="00374950">
        <w:rPr>
          <w:lang w:eastAsia="en-US" w:bidi="ar-SA"/>
        </w:rPr>
        <w:t xml:space="preserve">. </w:t>
      </w:r>
    </w:p>
    <w:p w14:paraId="76AD44A6" w14:textId="77777777" w:rsidR="00DB57AB" w:rsidRPr="000A2EA8" w:rsidRDefault="00DB57AB" w:rsidP="00954BAC">
      <w:pPr>
        <w:pStyle w:val="Heading4"/>
        <w:numPr>
          <w:ilvl w:val="0"/>
          <w:numId w:val="51"/>
        </w:numPr>
        <w:spacing w:before="240" w:after="120" w:line="264" w:lineRule="auto"/>
        <w:ind w:left="357" w:hanging="357"/>
        <w:rPr>
          <w:i w:val="0"/>
          <w:iCs w:val="0"/>
        </w:rPr>
      </w:pPr>
      <w:r w:rsidRPr="000A2EA8">
        <w:rPr>
          <w:i w:val="0"/>
          <w:iCs w:val="0"/>
        </w:rPr>
        <w:t xml:space="preserve">Solution Requirements </w:t>
      </w:r>
    </w:p>
    <w:p w14:paraId="702F9CE5" w14:textId="639A8634" w:rsidR="00DB57AB" w:rsidRPr="002C72C2" w:rsidRDefault="00DB57AB" w:rsidP="00EB2823">
      <w:pPr>
        <w:spacing w:before="120" w:after="120" w:line="264" w:lineRule="auto"/>
        <w:rPr>
          <w:lang w:eastAsia="en-US" w:bidi="ar-SA"/>
        </w:rPr>
      </w:pPr>
      <w:r w:rsidRPr="002C72C2">
        <w:rPr>
          <w:lang w:eastAsia="en-US" w:bidi="ar-SA"/>
        </w:rPr>
        <w:t xml:space="preserve">Given the once-in-a-century magnitude of transformation impacting GW-scale </w:t>
      </w:r>
      <w:r w:rsidR="008A777B" w:rsidRPr="002C72C2">
        <w:rPr>
          <w:lang w:eastAsia="en-US" w:bidi="ar-SA"/>
        </w:rPr>
        <w:t>power s</w:t>
      </w:r>
      <w:r w:rsidRPr="002C72C2">
        <w:rPr>
          <w:lang w:eastAsia="en-US" w:bidi="ar-SA"/>
        </w:rPr>
        <w:t>ystems such as the NEM</w:t>
      </w:r>
      <w:r w:rsidR="008A777B" w:rsidRPr="002C72C2">
        <w:rPr>
          <w:lang w:eastAsia="en-US" w:bidi="ar-SA"/>
        </w:rPr>
        <w:t xml:space="preserve"> and WEM,</w:t>
      </w:r>
      <w:r w:rsidRPr="002C72C2">
        <w:rPr>
          <w:lang w:eastAsia="en-US" w:bidi="ar-SA"/>
        </w:rPr>
        <w:t xml:space="preserve"> it is simply no longer tenable to advance transformational solutions that assume (</w:t>
      </w:r>
      <w:r w:rsidR="00774048" w:rsidRPr="002C72C2">
        <w:rPr>
          <w:lang w:eastAsia="en-US" w:bidi="ar-SA"/>
        </w:rPr>
        <w:t xml:space="preserve">either </w:t>
      </w:r>
      <w:r w:rsidRPr="002C72C2">
        <w:rPr>
          <w:lang w:eastAsia="en-US" w:bidi="ar-SA"/>
        </w:rPr>
        <w:t xml:space="preserve">explicitly, or perhaps more commonly, implicitly) a largely unchanged </w:t>
      </w:r>
      <w:r w:rsidR="00774048" w:rsidRPr="002C72C2">
        <w:rPr>
          <w:lang w:eastAsia="en-US" w:bidi="ar-SA"/>
        </w:rPr>
        <w:t>s</w:t>
      </w:r>
      <w:r w:rsidRPr="002C72C2">
        <w:rPr>
          <w:lang w:eastAsia="en-US" w:bidi="ar-SA"/>
        </w:rPr>
        <w:t xml:space="preserve">upply-side / </w:t>
      </w:r>
      <w:r w:rsidR="00774048" w:rsidRPr="002C72C2">
        <w:rPr>
          <w:lang w:eastAsia="en-US" w:bidi="ar-SA"/>
        </w:rPr>
        <w:t>d</w:t>
      </w:r>
      <w:r w:rsidRPr="002C72C2">
        <w:rPr>
          <w:lang w:eastAsia="en-US" w:bidi="ar-SA"/>
        </w:rPr>
        <w:t>emand-side bifurcation</w:t>
      </w:r>
      <w:r w:rsidR="00374950">
        <w:rPr>
          <w:lang w:eastAsia="en-US" w:bidi="ar-SA"/>
        </w:rPr>
        <w:t xml:space="preserve">. </w:t>
      </w:r>
    </w:p>
    <w:p w14:paraId="76852C79" w14:textId="4E861858" w:rsidR="003E57C0" w:rsidRDefault="00DB57AB" w:rsidP="0044479A">
      <w:pPr>
        <w:spacing w:before="120" w:after="120" w:line="264" w:lineRule="auto"/>
        <w:rPr>
          <w:lang w:eastAsia="en-US" w:bidi="ar-SA"/>
        </w:rPr>
      </w:pPr>
      <w:r w:rsidRPr="002C72C2">
        <w:rPr>
          <w:lang w:eastAsia="en-US" w:bidi="ar-SA"/>
        </w:rPr>
        <w:t xml:space="preserve">As this most dominant of historical paradigms continues to erode, transformational initiatives must confront the full implications of this profound structural shift for the future </w:t>
      </w:r>
      <w:r w:rsidR="00B83584" w:rsidRPr="002C72C2">
        <w:rPr>
          <w:lang w:eastAsia="en-US" w:bidi="ar-SA"/>
        </w:rPr>
        <w:t>o</w:t>
      </w:r>
      <w:r w:rsidRPr="002C72C2">
        <w:rPr>
          <w:lang w:eastAsia="en-US" w:bidi="ar-SA"/>
        </w:rPr>
        <w:t xml:space="preserve">perability of decarbonised </w:t>
      </w:r>
      <w:r w:rsidR="00B83584" w:rsidRPr="002C72C2">
        <w:rPr>
          <w:lang w:eastAsia="en-US" w:bidi="ar-SA"/>
        </w:rPr>
        <w:t>power s</w:t>
      </w:r>
      <w:r w:rsidRPr="002C72C2">
        <w:rPr>
          <w:lang w:eastAsia="en-US" w:bidi="ar-SA"/>
        </w:rPr>
        <w:t>ystems</w:t>
      </w:r>
      <w:r w:rsidR="00374950">
        <w:rPr>
          <w:lang w:eastAsia="en-US" w:bidi="ar-SA"/>
        </w:rPr>
        <w:t xml:space="preserve">. </w:t>
      </w:r>
      <w:r w:rsidRPr="002C72C2">
        <w:rPr>
          <w:lang w:eastAsia="en-US" w:bidi="ar-SA"/>
        </w:rPr>
        <w:t xml:space="preserve">The vast increase in </w:t>
      </w:r>
      <w:r w:rsidR="00E30A00" w:rsidRPr="002C72C2">
        <w:rPr>
          <w:lang w:eastAsia="en-US" w:bidi="ar-SA"/>
        </w:rPr>
        <w:t>both</w:t>
      </w:r>
      <w:r w:rsidRPr="002C72C2">
        <w:rPr>
          <w:lang w:eastAsia="en-US" w:bidi="ar-SA"/>
        </w:rPr>
        <w:t xml:space="preserve"> </w:t>
      </w:r>
      <w:r w:rsidR="00B83584" w:rsidRPr="002C72C2">
        <w:rPr>
          <w:lang w:eastAsia="en-US" w:bidi="ar-SA"/>
        </w:rPr>
        <w:t>v</w:t>
      </w:r>
      <w:r w:rsidRPr="002C72C2">
        <w:rPr>
          <w:lang w:eastAsia="en-US" w:bidi="ar-SA"/>
        </w:rPr>
        <w:t>olatility</w:t>
      </w:r>
      <w:r w:rsidR="00E30A00" w:rsidRPr="002C72C2">
        <w:rPr>
          <w:lang w:eastAsia="en-US" w:bidi="ar-SA"/>
        </w:rPr>
        <w:t xml:space="preserve"> and </w:t>
      </w:r>
      <w:r w:rsidR="00E95DE5" w:rsidRPr="002C72C2">
        <w:rPr>
          <w:lang w:eastAsia="en-US" w:bidi="ar-SA"/>
        </w:rPr>
        <w:t>bidirectionality</w:t>
      </w:r>
      <w:r w:rsidR="00E30A00" w:rsidRPr="002C72C2">
        <w:rPr>
          <w:lang w:eastAsia="en-US" w:bidi="ar-SA"/>
        </w:rPr>
        <w:t xml:space="preserve"> </w:t>
      </w:r>
      <w:r w:rsidRPr="002C72C2">
        <w:rPr>
          <w:lang w:eastAsia="en-US" w:bidi="ar-SA"/>
        </w:rPr>
        <w:t xml:space="preserve">experienced </w:t>
      </w:r>
      <w:r w:rsidR="00E30A00" w:rsidRPr="002C72C2">
        <w:rPr>
          <w:lang w:eastAsia="en-US" w:bidi="ar-SA"/>
        </w:rPr>
        <w:t xml:space="preserve">by Australia’s </w:t>
      </w:r>
      <w:r w:rsidR="00B83584" w:rsidRPr="002C72C2">
        <w:rPr>
          <w:lang w:eastAsia="en-US" w:bidi="ar-SA"/>
        </w:rPr>
        <w:t>power s</w:t>
      </w:r>
      <w:r w:rsidRPr="002C72C2">
        <w:rPr>
          <w:lang w:eastAsia="en-US" w:bidi="ar-SA"/>
        </w:rPr>
        <w:t>ystem</w:t>
      </w:r>
      <w:r w:rsidR="00E30A00" w:rsidRPr="002C72C2">
        <w:rPr>
          <w:lang w:eastAsia="en-US" w:bidi="ar-SA"/>
        </w:rPr>
        <w:t>s</w:t>
      </w:r>
      <w:r w:rsidRPr="002C72C2">
        <w:rPr>
          <w:lang w:eastAsia="en-US" w:bidi="ar-SA"/>
        </w:rPr>
        <w:t>, and the emerging new bifurcation</w:t>
      </w:r>
      <w:r w:rsidR="00E30A00" w:rsidRPr="002C72C2">
        <w:rPr>
          <w:lang w:eastAsia="en-US" w:bidi="ar-SA"/>
        </w:rPr>
        <w:t>s</w:t>
      </w:r>
      <w:r w:rsidRPr="002C72C2">
        <w:rPr>
          <w:lang w:eastAsia="en-US" w:bidi="ar-SA"/>
        </w:rPr>
        <w:t xml:space="preserve"> of </w:t>
      </w:r>
      <w:r w:rsidR="00B83584" w:rsidRPr="002C72C2">
        <w:rPr>
          <w:lang w:eastAsia="en-US" w:bidi="ar-SA"/>
        </w:rPr>
        <w:t>energy r</w:t>
      </w:r>
      <w:r w:rsidRPr="002C72C2">
        <w:rPr>
          <w:lang w:eastAsia="en-US" w:bidi="ar-SA"/>
        </w:rPr>
        <w:t xml:space="preserve">esources </w:t>
      </w:r>
      <w:r w:rsidR="00127E38" w:rsidRPr="002C72C2">
        <w:rPr>
          <w:lang w:eastAsia="en-US" w:bidi="ar-SA"/>
        </w:rPr>
        <w:t xml:space="preserve">into distinct </w:t>
      </w:r>
      <w:r w:rsidR="002C7D90" w:rsidRPr="002C72C2">
        <w:rPr>
          <w:lang w:eastAsia="en-US" w:bidi="ar-SA"/>
        </w:rPr>
        <w:t xml:space="preserve">locational and </w:t>
      </w:r>
      <w:r w:rsidR="00B42676" w:rsidRPr="002C72C2">
        <w:rPr>
          <w:lang w:eastAsia="en-US" w:bidi="ar-SA"/>
        </w:rPr>
        <w:t xml:space="preserve">functional/investment </w:t>
      </w:r>
      <w:r w:rsidR="00EB1840" w:rsidRPr="002C72C2">
        <w:rPr>
          <w:lang w:eastAsia="en-US" w:bidi="ar-SA"/>
        </w:rPr>
        <w:t>categories</w:t>
      </w:r>
      <w:r w:rsidRPr="002C72C2">
        <w:rPr>
          <w:lang w:eastAsia="en-US" w:bidi="ar-SA"/>
        </w:rPr>
        <w:t>, will require a fundamentally more holistic and structural approach to system coordinatio</w:t>
      </w:r>
      <w:r w:rsidR="00EB1840" w:rsidRPr="002C72C2">
        <w:rPr>
          <w:lang w:eastAsia="en-US" w:bidi="ar-SA"/>
        </w:rPr>
        <w:t>n</w:t>
      </w:r>
      <w:r w:rsidRPr="002C72C2">
        <w:rPr>
          <w:lang w:eastAsia="en-US" w:bidi="ar-SA"/>
        </w:rPr>
        <w:t>.</w:t>
      </w:r>
      <w:r w:rsidR="007C6191" w:rsidRPr="002C72C2">
        <w:rPr>
          <w:lang w:eastAsia="en-US" w:bidi="ar-SA"/>
        </w:rPr>
        <w:t xml:space="preserve"> </w:t>
      </w:r>
      <w:r w:rsidR="4DC52605" w:rsidRPr="002C72C2">
        <w:rPr>
          <w:lang w:eastAsia="en-US" w:bidi="ar-SA"/>
        </w:rPr>
        <w:t xml:space="preserve">Additionally, this bifurcation may require a </w:t>
      </w:r>
      <w:r w:rsidR="3AB3F25F" w:rsidRPr="002C72C2">
        <w:rPr>
          <w:lang w:eastAsia="en-US" w:bidi="ar-SA"/>
        </w:rPr>
        <w:t>similarly</w:t>
      </w:r>
      <w:r w:rsidR="4DC52605" w:rsidRPr="002C72C2">
        <w:rPr>
          <w:lang w:eastAsia="en-US" w:bidi="ar-SA"/>
        </w:rPr>
        <w:t xml:space="preserve"> bifu</w:t>
      </w:r>
      <w:r w:rsidR="7D1029DF" w:rsidRPr="002C72C2">
        <w:rPr>
          <w:lang w:eastAsia="en-US" w:bidi="ar-SA"/>
        </w:rPr>
        <w:t>r</w:t>
      </w:r>
      <w:r w:rsidR="4DC52605" w:rsidRPr="002C72C2">
        <w:rPr>
          <w:lang w:eastAsia="en-US" w:bidi="ar-SA"/>
        </w:rPr>
        <w:t xml:space="preserve">cated market </w:t>
      </w:r>
      <w:r w:rsidR="4B9BC225" w:rsidRPr="002C72C2">
        <w:rPr>
          <w:lang w:eastAsia="en-US" w:bidi="ar-SA"/>
        </w:rPr>
        <w:t>structure</w:t>
      </w:r>
      <w:r w:rsidR="4DC52605" w:rsidRPr="002C72C2">
        <w:rPr>
          <w:lang w:eastAsia="en-US" w:bidi="ar-SA"/>
        </w:rPr>
        <w:t>, wher</w:t>
      </w:r>
      <w:r w:rsidR="648751C7" w:rsidRPr="002C72C2">
        <w:rPr>
          <w:lang w:eastAsia="en-US" w:bidi="ar-SA"/>
        </w:rPr>
        <w:t>e</w:t>
      </w:r>
      <w:r w:rsidR="4DC52605" w:rsidRPr="002C72C2">
        <w:rPr>
          <w:lang w:eastAsia="en-US" w:bidi="ar-SA"/>
        </w:rPr>
        <w:t xml:space="preserve"> </w:t>
      </w:r>
      <w:r w:rsidR="007C6191" w:rsidRPr="002C72C2">
        <w:rPr>
          <w:lang w:eastAsia="en-US" w:bidi="ar-SA"/>
        </w:rPr>
        <w:t>millions of</w:t>
      </w:r>
      <w:r w:rsidR="4DC52605" w:rsidRPr="002C72C2">
        <w:rPr>
          <w:lang w:eastAsia="en-US" w:bidi="ar-SA"/>
        </w:rPr>
        <w:t xml:space="preserve"> </w:t>
      </w:r>
      <w:r w:rsidR="007C6191" w:rsidRPr="002C72C2">
        <w:rPr>
          <w:lang w:eastAsia="en-US" w:bidi="ar-SA"/>
        </w:rPr>
        <w:t xml:space="preserve">CER/DER </w:t>
      </w:r>
      <w:r w:rsidR="108A50E2" w:rsidRPr="002C72C2">
        <w:rPr>
          <w:lang w:eastAsia="en-US" w:bidi="ar-SA"/>
        </w:rPr>
        <w:t>participate</w:t>
      </w:r>
      <w:r w:rsidR="4DC52605" w:rsidRPr="002C72C2">
        <w:rPr>
          <w:lang w:eastAsia="en-US" w:bidi="ar-SA"/>
        </w:rPr>
        <w:t xml:space="preserve"> in distribu</w:t>
      </w:r>
      <w:r w:rsidR="007C6191" w:rsidRPr="002C72C2">
        <w:rPr>
          <w:lang w:eastAsia="en-US" w:bidi="ar-SA"/>
        </w:rPr>
        <w:t xml:space="preserve">tion-level </w:t>
      </w:r>
      <w:r w:rsidR="4DC52605" w:rsidRPr="002C72C2">
        <w:rPr>
          <w:lang w:eastAsia="en-US" w:bidi="ar-SA"/>
        </w:rPr>
        <w:t xml:space="preserve">markets which then must be co-optimised with the </w:t>
      </w:r>
      <w:r w:rsidR="007C6191" w:rsidRPr="002C72C2">
        <w:rPr>
          <w:lang w:eastAsia="en-US" w:bidi="ar-SA"/>
        </w:rPr>
        <w:t>bulk power markets</w:t>
      </w:r>
      <w:r w:rsidR="4DC52605" w:rsidRPr="002C72C2">
        <w:rPr>
          <w:lang w:eastAsia="en-US" w:bidi="ar-SA"/>
        </w:rPr>
        <w:t xml:space="preserve"> across the TDI</w:t>
      </w:r>
      <w:r w:rsidR="55A5C5FA" w:rsidRPr="002C72C2">
        <w:rPr>
          <w:lang w:eastAsia="en-US" w:bidi="ar-SA"/>
        </w:rPr>
        <w:t>.</w:t>
      </w:r>
    </w:p>
    <w:p w14:paraId="21A354A5" w14:textId="24629F47" w:rsidR="00DB57AB" w:rsidRPr="002C72C2" w:rsidRDefault="00DB57AB" w:rsidP="00EB2823">
      <w:pPr>
        <w:spacing w:before="120" w:after="120" w:line="264" w:lineRule="auto"/>
        <w:rPr>
          <w:lang w:eastAsia="en-US" w:bidi="ar-SA"/>
        </w:rPr>
      </w:pPr>
      <w:r w:rsidRPr="002C72C2">
        <w:rPr>
          <w:lang w:eastAsia="en-US" w:bidi="ar-SA"/>
        </w:rPr>
        <w:t xml:space="preserve">In summary, the fundamental nature of the unfolding transformation means that it is not possible to provision </w:t>
      </w:r>
      <w:r w:rsidR="0039718E" w:rsidRPr="002C72C2">
        <w:rPr>
          <w:lang w:eastAsia="en-US" w:bidi="ar-SA"/>
        </w:rPr>
        <w:t>large-scale power systems for a</w:t>
      </w:r>
      <w:r w:rsidRPr="002C72C2">
        <w:rPr>
          <w:lang w:eastAsia="en-US" w:bidi="ar-SA"/>
        </w:rPr>
        <w:t xml:space="preserve"> ‘Step Change’ type of future </w:t>
      </w:r>
      <w:r w:rsidR="0039718E" w:rsidRPr="002C72C2">
        <w:rPr>
          <w:lang w:eastAsia="en-US" w:bidi="ar-SA"/>
        </w:rPr>
        <w:t xml:space="preserve">solely </w:t>
      </w:r>
      <w:r w:rsidRPr="002C72C2">
        <w:rPr>
          <w:lang w:eastAsia="en-US" w:bidi="ar-SA"/>
        </w:rPr>
        <w:t xml:space="preserve">by the multiplication of issue-in-isolation solutions. It requires both the explicit acknowledgment of the inherently structural nature of the transformation and the need for a clear-eyed, holistic and formalised approach to ensuring its underpinning architecture are </w:t>
      </w:r>
      <w:r w:rsidR="00096DE0" w:rsidRPr="002C72C2">
        <w:rPr>
          <w:lang w:eastAsia="en-US" w:bidi="ar-SA"/>
        </w:rPr>
        <w:t xml:space="preserve">fit-for-purpose. </w:t>
      </w:r>
    </w:p>
    <w:tbl>
      <w:tblPr>
        <w:tblStyle w:val="GridTable5Dark"/>
        <w:tblW w:w="0" w:type="auto"/>
        <w:tblLook w:val="04A0" w:firstRow="1" w:lastRow="0" w:firstColumn="1" w:lastColumn="0" w:noHBand="0" w:noVBand="1"/>
      </w:tblPr>
      <w:tblGrid>
        <w:gridCol w:w="8210"/>
      </w:tblGrid>
      <w:tr w:rsidR="003765A0" w:rsidRPr="002F2243" w14:paraId="57A8B16C" w14:textId="77777777" w:rsidTr="008F2E81">
        <w:trPr>
          <w:cnfStyle w:val="100000000000" w:firstRow="1" w:lastRow="0" w:firstColumn="0" w:lastColumn="0" w:oddVBand="0" w:evenVBand="0" w:oddHBand="0" w:evenHBand="0" w:firstRowFirstColumn="0" w:firstRowLastColumn="0" w:lastRowFirstColumn="0" w:lastRowLastColumn="0"/>
          <w:trHeight w:val="10514"/>
        </w:trPr>
        <w:tc>
          <w:tcPr>
            <w:cnfStyle w:val="001000000000" w:firstRow="0" w:lastRow="0" w:firstColumn="1" w:lastColumn="0" w:oddVBand="0" w:evenVBand="0" w:oddHBand="0" w:evenHBand="0" w:firstRowFirstColumn="0" w:firstRowLastColumn="0" w:lastRowFirstColumn="0" w:lastRowLastColumn="0"/>
            <w:tcW w:w="8210" w:type="dxa"/>
          </w:tcPr>
          <w:p w14:paraId="5F7AA622" w14:textId="05C2AE4B" w:rsidR="003765A0" w:rsidRPr="002F2243" w:rsidRDefault="003765A0" w:rsidP="0043196B">
            <w:pPr>
              <w:spacing w:before="120" w:after="120" w:line="264" w:lineRule="auto"/>
              <w:ind w:left="175" w:right="169"/>
              <w:rPr>
                <w:rStyle w:val="Strong"/>
                <w:b w:val="0"/>
                <w:bCs w:val="0"/>
                <w:sz w:val="28"/>
              </w:rPr>
            </w:pPr>
            <w:r w:rsidRPr="002F2243">
              <w:rPr>
                <w:rStyle w:val="Strong"/>
                <w:b w:val="0"/>
                <w:bCs w:val="0"/>
                <w:sz w:val="28"/>
              </w:rPr>
              <w:t xml:space="preserve">Key Concepts </w:t>
            </w:r>
            <w:r w:rsidR="00B95B8B">
              <w:rPr>
                <w:rStyle w:val="Strong"/>
                <w:b w:val="0"/>
                <w:bCs w:val="0"/>
                <w:sz w:val="28"/>
              </w:rPr>
              <w:t>F</w:t>
            </w:r>
            <w:r w:rsidRPr="00F10C61">
              <w:rPr>
                <w:rFonts w:ascii="PP Mori SemiBold" w:hAnsi="PP Mori SemiBold"/>
                <w:noProof/>
                <w:sz w:val="20"/>
                <w:szCs w:val="20"/>
              </w:rPr>
              <w:drawing>
                <wp:inline distT="0" distB="0" distL="0" distR="0" wp14:anchorId="7DAB6378" wp14:editId="3313FE69">
                  <wp:extent cx="272006" cy="272006"/>
                  <wp:effectExtent l="0" t="0" r="6350" b="6350"/>
                  <wp:docPr id="1664043322"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272006" cy="272006"/>
                          </a:xfrm>
                          <a:prstGeom prst="rect">
                            <a:avLst/>
                          </a:prstGeom>
                        </pic:spPr>
                      </pic:pic>
                    </a:graphicData>
                  </a:graphic>
                </wp:inline>
              </w:drawing>
            </w:r>
          </w:p>
          <w:p w14:paraId="7F4460DB" w14:textId="77777777" w:rsidR="003765A0" w:rsidRPr="002F2243" w:rsidRDefault="003765A0" w:rsidP="0043196B">
            <w:pPr>
              <w:pStyle w:val="Subtitle"/>
              <w:spacing w:before="180" w:after="120" w:line="264" w:lineRule="auto"/>
              <w:ind w:left="175" w:right="169"/>
              <w:rPr>
                <w:rStyle w:val="Emphasis"/>
                <w:b w:val="0"/>
                <w:bCs w:val="0"/>
              </w:rPr>
            </w:pPr>
            <w:r w:rsidRPr="00014ED2">
              <w:rPr>
                <w:rStyle w:val="Emphasis"/>
                <w:rFonts w:ascii="PP Mori SemiBold" w:hAnsi="PP Mori SemiBold"/>
                <w:sz w:val="24"/>
                <w:szCs w:val="40"/>
              </w:rPr>
              <w:t>Structure</w:t>
            </w:r>
          </w:p>
          <w:p w14:paraId="7D44BC8C" w14:textId="2FA32FA6" w:rsidR="003765A0" w:rsidRPr="002C72C2" w:rsidRDefault="003765A0" w:rsidP="0043196B">
            <w:pPr>
              <w:spacing w:before="120" w:after="120" w:line="264" w:lineRule="auto"/>
              <w:ind w:left="176" w:right="169"/>
              <w:rPr>
                <w:b w:val="0"/>
                <w:lang w:eastAsia="en-US" w:bidi="ar-SA"/>
              </w:rPr>
            </w:pPr>
            <w:r w:rsidRPr="002C72C2">
              <w:rPr>
                <w:b w:val="0"/>
                <w:lang w:eastAsia="en-US" w:bidi="ar-SA"/>
              </w:rPr>
              <w:t xml:space="preserve">Every functioning </w:t>
            </w:r>
            <w:r>
              <w:rPr>
                <w:b w:val="0"/>
                <w:lang w:eastAsia="en-US" w:bidi="ar-SA"/>
              </w:rPr>
              <w:t>s</w:t>
            </w:r>
            <w:r w:rsidRPr="00346697">
              <w:rPr>
                <w:b w:val="0"/>
                <w:lang w:eastAsia="en-US" w:bidi="ar-SA"/>
              </w:rPr>
              <w:t xml:space="preserve">ystem </w:t>
            </w:r>
            <w:r w:rsidRPr="002C72C2">
              <w:rPr>
                <w:b w:val="0"/>
                <w:lang w:eastAsia="en-US" w:bidi="ar-SA"/>
              </w:rPr>
              <w:t xml:space="preserve">created by humans has an underpinning </w:t>
            </w:r>
            <w:r>
              <w:rPr>
                <w:b w:val="0"/>
                <w:lang w:eastAsia="en-US" w:bidi="ar-SA"/>
              </w:rPr>
              <w:t>s</w:t>
            </w:r>
            <w:r w:rsidRPr="00346697">
              <w:rPr>
                <w:b w:val="0"/>
                <w:lang w:eastAsia="en-US" w:bidi="ar-SA"/>
              </w:rPr>
              <w:t>tructure</w:t>
            </w:r>
            <w:r w:rsidR="00374950">
              <w:rPr>
                <w:b w:val="0"/>
                <w:lang w:eastAsia="en-US" w:bidi="ar-SA"/>
              </w:rPr>
              <w:t xml:space="preserve">. </w:t>
            </w:r>
            <w:r w:rsidRPr="002C72C2">
              <w:rPr>
                <w:b w:val="0"/>
                <w:lang w:eastAsia="en-US" w:bidi="ar-SA"/>
              </w:rPr>
              <w:t xml:space="preserve">The </w:t>
            </w:r>
            <w:r>
              <w:rPr>
                <w:b w:val="0"/>
                <w:lang w:eastAsia="en-US" w:bidi="ar-SA"/>
              </w:rPr>
              <w:t>s</w:t>
            </w:r>
            <w:r w:rsidRPr="00346697">
              <w:rPr>
                <w:b w:val="0"/>
                <w:lang w:eastAsia="en-US" w:bidi="ar-SA"/>
              </w:rPr>
              <w:t xml:space="preserve">tructure </w:t>
            </w:r>
            <w:r w:rsidRPr="002C72C2">
              <w:rPr>
                <w:b w:val="0"/>
                <w:lang w:eastAsia="en-US" w:bidi="ar-SA"/>
              </w:rPr>
              <w:t xml:space="preserve">of a </w:t>
            </w:r>
            <w:r>
              <w:rPr>
                <w:b w:val="0"/>
                <w:lang w:eastAsia="en-US" w:bidi="ar-SA"/>
              </w:rPr>
              <w:t>s</w:t>
            </w:r>
            <w:r w:rsidRPr="00346697">
              <w:rPr>
                <w:b w:val="0"/>
                <w:lang w:eastAsia="en-US" w:bidi="ar-SA"/>
              </w:rPr>
              <w:t xml:space="preserve">ystem </w:t>
            </w:r>
            <w:r w:rsidRPr="002C72C2">
              <w:rPr>
                <w:b w:val="0"/>
                <w:lang w:eastAsia="en-US" w:bidi="ar-SA"/>
              </w:rPr>
              <w:t xml:space="preserve">consists of the formal, stable connections, interactions, relationships and interdependencies that exist between the numerous </w:t>
            </w:r>
            <w:r>
              <w:rPr>
                <w:b w:val="0"/>
                <w:lang w:eastAsia="en-US" w:bidi="ar-SA"/>
              </w:rPr>
              <w:t>c</w:t>
            </w:r>
            <w:r w:rsidRPr="00346697">
              <w:rPr>
                <w:b w:val="0"/>
                <w:lang w:eastAsia="en-US" w:bidi="ar-SA"/>
              </w:rPr>
              <w:t xml:space="preserve">omponents </w:t>
            </w:r>
            <w:r w:rsidRPr="002C72C2">
              <w:rPr>
                <w:b w:val="0"/>
                <w:lang w:eastAsia="en-US" w:bidi="ar-SA"/>
              </w:rPr>
              <w:t xml:space="preserve">of the </w:t>
            </w:r>
            <w:r>
              <w:rPr>
                <w:b w:val="0"/>
                <w:lang w:eastAsia="en-US" w:bidi="ar-SA"/>
              </w:rPr>
              <w:t>s</w:t>
            </w:r>
            <w:r w:rsidRPr="00346697">
              <w:rPr>
                <w:b w:val="0"/>
                <w:lang w:eastAsia="en-US" w:bidi="ar-SA"/>
              </w:rPr>
              <w:t xml:space="preserve">ystem </w:t>
            </w:r>
            <w:r w:rsidRPr="002C72C2">
              <w:rPr>
                <w:b w:val="0"/>
                <w:lang w:eastAsia="en-US" w:bidi="ar-SA"/>
              </w:rPr>
              <w:t>and enable it to reliably achieve specific purposes.</w:t>
            </w:r>
          </w:p>
          <w:p w14:paraId="510244F7" w14:textId="77777777" w:rsidR="003765A0" w:rsidRPr="0043196B" w:rsidRDefault="003765A0" w:rsidP="0043196B">
            <w:pPr>
              <w:pStyle w:val="Subtitle"/>
              <w:spacing w:before="180" w:after="120" w:line="264" w:lineRule="auto"/>
              <w:ind w:left="175" w:right="169"/>
              <w:rPr>
                <w:rStyle w:val="Emphasis"/>
                <w:rFonts w:ascii="PP Mori SemiBold" w:hAnsi="PP Mori SemiBold"/>
                <w:sz w:val="24"/>
                <w:szCs w:val="40"/>
              </w:rPr>
            </w:pPr>
            <w:r w:rsidRPr="0043196B">
              <w:rPr>
                <w:rStyle w:val="Emphasis"/>
                <w:rFonts w:ascii="PP Mori SemiBold" w:hAnsi="PP Mori SemiBold"/>
                <w:sz w:val="24"/>
                <w:szCs w:val="40"/>
              </w:rPr>
              <w:t>Architecture</w:t>
            </w:r>
          </w:p>
          <w:p w14:paraId="0270EEB5" w14:textId="77777777" w:rsidR="00A639FD" w:rsidRPr="00A639FD" w:rsidRDefault="00A639FD" w:rsidP="0043196B">
            <w:pPr>
              <w:spacing w:before="120" w:after="120" w:line="264" w:lineRule="auto"/>
              <w:ind w:left="176" w:right="169"/>
              <w:rPr>
                <w:b w:val="0"/>
                <w:lang w:eastAsia="en-US" w:bidi="ar-SA"/>
              </w:rPr>
            </w:pPr>
            <w:r w:rsidRPr="00A639FD">
              <w:rPr>
                <w:b w:val="0"/>
                <w:lang w:eastAsia="en-US" w:bidi="ar-SA"/>
              </w:rPr>
              <w:t>A holistic conceptual framework that defines how diverse components within a system—spanning physical, informational, operational, and transactional domains—are interconnected through foundational structural relationships. This architecture enables the entire system to operate cohesively in pursuit of specific, often complex, objectives.</w:t>
            </w:r>
          </w:p>
          <w:p w14:paraId="4182549E" w14:textId="77777777" w:rsidR="00A639FD" w:rsidRPr="00A639FD" w:rsidRDefault="00A639FD" w:rsidP="0043196B">
            <w:pPr>
              <w:spacing w:before="120" w:after="120" w:line="264" w:lineRule="auto"/>
              <w:ind w:left="176" w:right="169"/>
              <w:rPr>
                <w:b w:val="0"/>
                <w:lang w:eastAsia="en-US" w:bidi="ar-SA"/>
              </w:rPr>
            </w:pPr>
            <w:r w:rsidRPr="00A639FD">
              <w:rPr>
                <w:b w:val="0"/>
                <w:lang w:eastAsia="en-US" w:bidi="ar-SA"/>
              </w:rPr>
              <w:t>At its core, a systems architecture articulates the structural linkages, interdependencies, and interactions among components, capturing the essential logic that binds them into an integrated whole. In simplified terms, while the boxes of a block diagram represent the system’s constituent elements, it is the connecting lines—the architecture—that illustrate how these elements cooperate to achieve functionality.</w:t>
            </w:r>
          </w:p>
          <w:p w14:paraId="3FF51A73" w14:textId="77777777" w:rsidR="00A639FD" w:rsidRPr="00A639FD" w:rsidRDefault="00A639FD" w:rsidP="0043196B">
            <w:pPr>
              <w:spacing w:before="120" w:after="120" w:line="264" w:lineRule="auto"/>
              <w:ind w:left="176" w:right="169"/>
              <w:rPr>
                <w:b w:val="0"/>
                <w:lang w:eastAsia="en-US" w:bidi="ar-SA"/>
              </w:rPr>
            </w:pPr>
            <w:r w:rsidRPr="00A639FD">
              <w:rPr>
                <w:b w:val="0"/>
                <w:lang w:eastAsia="en-US" w:bidi="ar-SA"/>
              </w:rPr>
              <w:t>A primary function of systems architecture is to expose and support collective reasoning about how all components interact to deliver intended capabilities. This includes identifying non-scalable legacy structures that may hinder future performance. While individual components are often more visible, it is the underlying architecture—those hidden yet critical relationships—that exerts disproportionate influence over system-wide capabilities, resilience, and limitations.</w:t>
            </w:r>
          </w:p>
          <w:p w14:paraId="1A31536B" w14:textId="77777777" w:rsidR="00A639FD" w:rsidRDefault="00A639FD" w:rsidP="0043196B">
            <w:pPr>
              <w:spacing w:before="120" w:after="120" w:line="264" w:lineRule="auto"/>
              <w:ind w:left="176" w:right="169"/>
              <w:rPr>
                <w:bCs w:val="0"/>
                <w:lang w:eastAsia="en-US" w:bidi="ar-SA"/>
              </w:rPr>
            </w:pPr>
            <w:r w:rsidRPr="00A639FD">
              <w:rPr>
                <w:b w:val="0"/>
                <w:lang w:eastAsia="en-US" w:bidi="ar-SA"/>
              </w:rPr>
              <w:t>In times of rapid change or transformation, ensuring that legacy structural relationships can adapt and scale is vital. This adaptability is crucial to maintaining secure, reliable, and cost-efficient operation in the face of evolving requirements and technological disruption.</w:t>
            </w:r>
          </w:p>
          <w:p w14:paraId="617C84A1" w14:textId="488B11A9" w:rsidR="003765A0" w:rsidRPr="0043196B" w:rsidRDefault="003765A0" w:rsidP="0043196B">
            <w:pPr>
              <w:pStyle w:val="Subtitle"/>
              <w:spacing w:before="180" w:after="120" w:line="264" w:lineRule="auto"/>
              <w:ind w:left="175" w:right="169"/>
              <w:rPr>
                <w:rStyle w:val="Emphasis"/>
                <w:rFonts w:ascii="PP Mori SemiBold" w:hAnsi="PP Mori SemiBold"/>
                <w:sz w:val="24"/>
                <w:szCs w:val="40"/>
              </w:rPr>
            </w:pPr>
            <w:r w:rsidRPr="0043196B">
              <w:rPr>
                <w:rStyle w:val="Emphasis"/>
                <w:rFonts w:ascii="PP Mori SemiBold" w:hAnsi="PP Mori SemiBold"/>
                <w:sz w:val="24"/>
                <w:szCs w:val="40"/>
              </w:rPr>
              <w:t>Scalability</w:t>
            </w:r>
          </w:p>
          <w:p w14:paraId="02F04C38" w14:textId="03DF6E7D" w:rsidR="003765A0" w:rsidRPr="00E00129" w:rsidRDefault="003765A0" w:rsidP="0043196B">
            <w:pPr>
              <w:spacing w:before="120" w:after="120" w:line="264" w:lineRule="auto"/>
              <w:ind w:left="176" w:right="169"/>
              <w:rPr>
                <w:b w:val="0"/>
                <w:lang w:eastAsia="en-US" w:bidi="ar-SA"/>
              </w:rPr>
            </w:pPr>
            <w:r w:rsidRPr="002C72C2">
              <w:rPr>
                <w:b w:val="0"/>
                <w:lang w:eastAsia="en-US" w:bidi="ar-SA"/>
              </w:rPr>
              <w:t xml:space="preserve">An architectural characteristic that takes the future scale growth of a </w:t>
            </w:r>
            <w:r>
              <w:rPr>
                <w:b w:val="0"/>
                <w:lang w:eastAsia="en-US" w:bidi="ar-SA"/>
              </w:rPr>
              <w:t>s</w:t>
            </w:r>
            <w:r w:rsidRPr="00346697">
              <w:rPr>
                <w:b w:val="0"/>
                <w:lang w:eastAsia="en-US" w:bidi="ar-SA"/>
              </w:rPr>
              <w:t xml:space="preserve">ystem </w:t>
            </w:r>
            <w:r w:rsidRPr="002C72C2">
              <w:rPr>
                <w:b w:val="0"/>
                <w:lang w:eastAsia="en-US" w:bidi="ar-SA"/>
              </w:rPr>
              <w:t>into consideration</w:t>
            </w:r>
            <w:r w:rsidR="00374950">
              <w:rPr>
                <w:b w:val="0"/>
                <w:lang w:eastAsia="en-US" w:bidi="ar-SA"/>
              </w:rPr>
              <w:t xml:space="preserve">. </w:t>
            </w:r>
            <w:r w:rsidRPr="002C72C2">
              <w:rPr>
                <w:b w:val="0"/>
                <w:lang w:eastAsia="en-US" w:bidi="ar-SA"/>
              </w:rPr>
              <w:t xml:space="preserve">It is a systemic measure of the underpinning </w:t>
            </w:r>
            <w:r>
              <w:rPr>
                <w:b w:val="0"/>
                <w:lang w:eastAsia="en-US" w:bidi="ar-SA"/>
              </w:rPr>
              <w:t>s</w:t>
            </w:r>
            <w:r w:rsidRPr="00346697">
              <w:rPr>
                <w:b w:val="0"/>
                <w:lang w:eastAsia="en-US" w:bidi="ar-SA"/>
              </w:rPr>
              <w:t xml:space="preserve">tructure’s </w:t>
            </w:r>
            <w:r w:rsidRPr="002C72C2">
              <w:rPr>
                <w:b w:val="0"/>
                <w:lang w:eastAsia="en-US" w:bidi="ar-SA"/>
              </w:rPr>
              <w:t xml:space="preserve">ability to accommodate significant increases in the number of </w:t>
            </w:r>
            <w:r>
              <w:rPr>
                <w:b w:val="0"/>
                <w:lang w:eastAsia="en-US" w:bidi="ar-SA"/>
              </w:rPr>
              <w:t>c</w:t>
            </w:r>
            <w:r w:rsidRPr="00346697">
              <w:rPr>
                <w:b w:val="0"/>
                <w:lang w:eastAsia="en-US" w:bidi="ar-SA"/>
              </w:rPr>
              <w:t xml:space="preserve">omponents </w:t>
            </w:r>
            <w:r w:rsidRPr="002C72C2">
              <w:rPr>
                <w:b w:val="0"/>
                <w:lang w:eastAsia="en-US" w:bidi="ar-SA"/>
              </w:rPr>
              <w:t xml:space="preserve">and </w:t>
            </w:r>
            <w:r>
              <w:rPr>
                <w:b w:val="0"/>
                <w:lang w:eastAsia="en-US" w:bidi="ar-SA"/>
              </w:rPr>
              <w:t>e</w:t>
            </w:r>
            <w:r w:rsidRPr="00346697">
              <w:rPr>
                <w:b w:val="0"/>
                <w:lang w:eastAsia="en-US" w:bidi="ar-SA"/>
              </w:rPr>
              <w:t xml:space="preserve">ndpoints </w:t>
            </w:r>
            <w:r w:rsidRPr="002C72C2">
              <w:rPr>
                <w:b w:val="0"/>
                <w:lang w:eastAsia="en-US" w:bidi="ar-SA"/>
              </w:rPr>
              <w:t xml:space="preserve">without degrading </w:t>
            </w:r>
            <w:r>
              <w:rPr>
                <w:b w:val="0"/>
                <w:lang w:eastAsia="en-US" w:bidi="ar-SA"/>
              </w:rPr>
              <w:t>s</w:t>
            </w:r>
            <w:r w:rsidRPr="00346697">
              <w:rPr>
                <w:b w:val="0"/>
                <w:lang w:eastAsia="en-US" w:bidi="ar-SA"/>
              </w:rPr>
              <w:t xml:space="preserve">ystem </w:t>
            </w:r>
            <w:r w:rsidRPr="002C72C2">
              <w:rPr>
                <w:b w:val="0"/>
                <w:lang w:eastAsia="en-US" w:bidi="ar-SA"/>
              </w:rPr>
              <w:t xml:space="preserve">functions and/or requiring major modifications. </w:t>
            </w:r>
          </w:p>
        </w:tc>
      </w:tr>
    </w:tbl>
    <w:p w14:paraId="6EC24B4B" w14:textId="77777777" w:rsidR="00296237" w:rsidRDefault="00296237" w:rsidP="00EB2823">
      <w:pPr>
        <w:spacing w:line="264" w:lineRule="auto"/>
      </w:pPr>
      <w:r>
        <w:rPr>
          <w:b/>
          <w:bCs/>
        </w:rPr>
        <w:br w:type="page"/>
      </w:r>
    </w:p>
    <w:p w14:paraId="00F1639E" w14:textId="5F2286F0" w:rsidR="003E6261" w:rsidRPr="002C72C2" w:rsidRDefault="001547C0" w:rsidP="00EB2823">
      <w:pPr>
        <w:pStyle w:val="Heading3"/>
        <w:spacing w:line="264" w:lineRule="auto"/>
        <w:rPr>
          <w:lang w:eastAsia="en-US" w:bidi="ar-SA"/>
        </w:rPr>
      </w:pPr>
      <w:bookmarkStart w:id="55" w:name="_Toc205533965"/>
      <w:bookmarkStart w:id="56" w:name="S_422"/>
      <w:r w:rsidRPr="002C72C2">
        <w:rPr>
          <w:lang w:eastAsia="en-US" w:bidi="ar-SA"/>
        </w:rPr>
        <w:t>Operational</w:t>
      </w:r>
      <w:r w:rsidR="003E6261" w:rsidRPr="002C72C2">
        <w:rPr>
          <w:lang w:eastAsia="en-US" w:bidi="ar-SA"/>
        </w:rPr>
        <w:t xml:space="preserve"> Visibility</w:t>
      </w:r>
      <w:r w:rsidRPr="002C72C2">
        <w:rPr>
          <w:lang w:eastAsia="en-US" w:bidi="ar-SA"/>
        </w:rPr>
        <w:t xml:space="preserve"> Risks</w:t>
      </w:r>
      <w:bookmarkEnd w:id="55"/>
    </w:p>
    <w:tbl>
      <w:tblPr>
        <w:tblStyle w:val="TableGrid"/>
        <w:tblW w:w="0" w:type="auto"/>
        <w:tblLook w:val="04A0" w:firstRow="1" w:lastRow="0" w:firstColumn="1" w:lastColumn="0" w:noHBand="0" w:noVBand="1"/>
      </w:tblPr>
      <w:tblGrid>
        <w:gridCol w:w="8210"/>
      </w:tblGrid>
      <w:tr w:rsidR="00112D24" w14:paraId="247FCDED" w14:textId="77777777" w:rsidTr="008F2E81">
        <w:tc>
          <w:tcPr>
            <w:tcW w:w="8210" w:type="dxa"/>
            <w:shd w:val="clear" w:color="auto" w:fill="013C4C" w:themeFill="text1"/>
          </w:tcPr>
          <w:bookmarkEnd w:id="56"/>
          <w:p w14:paraId="65F28907" w14:textId="2E8EA14A" w:rsidR="00112D24" w:rsidRPr="009821C9" w:rsidRDefault="00BA4474" w:rsidP="004274B1">
            <w:pPr>
              <w:spacing w:before="180" w:after="180" w:line="264" w:lineRule="auto"/>
              <w:ind w:left="170" w:right="170"/>
              <w:rPr>
                <w:i/>
                <w:iCs/>
                <w:lang w:eastAsia="en-US" w:bidi="ar-SA"/>
              </w:rPr>
            </w:pPr>
            <w:r w:rsidRPr="009821C9">
              <w:rPr>
                <w:i/>
                <w:iCs/>
                <w:lang w:eastAsia="en-US" w:bidi="ar-SA"/>
              </w:rPr>
              <w:t>As profound structural and operational shifts increase, the lack of a layered, end-to-end approach for providing operational visibility, especially of the growing fleet of millions of CER/DER, risks compromising the operability, reliability and cost-efficiency of the bulk power, transmission and distribution systems serving the NEM and WEM</w:t>
            </w:r>
            <w:r w:rsidR="00374950">
              <w:rPr>
                <w:i/>
                <w:iCs/>
                <w:lang w:eastAsia="en-US" w:bidi="ar-SA"/>
              </w:rPr>
              <w:t xml:space="preserve">. </w:t>
            </w:r>
          </w:p>
        </w:tc>
      </w:tr>
    </w:tbl>
    <w:p w14:paraId="3CDB40AB" w14:textId="77777777" w:rsidR="00077C31" w:rsidRPr="00FF7739" w:rsidRDefault="00077C31" w:rsidP="00954BAC">
      <w:pPr>
        <w:pStyle w:val="Heading4"/>
        <w:numPr>
          <w:ilvl w:val="0"/>
          <w:numId w:val="52"/>
        </w:numPr>
        <w:spacing w:before="240" w:after="120" w:line="264" w:lineRule="auto"/>
        <w:rPr>
          <w:i w:val="0"/>
          <w:iCs w:val="0"/>
        </w:rPr>
      </w:pPr>
      <w:r w:rsidRPr="00FF7739">
        <w:rPr>
          <w:i w:val="0"/>
          <w:iCs w:val="0"/>
        </w:rPr>
        <w:t>Cross Cutting Issue</w:t>
      </w:r>
    </w:p>
    <w:p w14:paraId="424CADAC" w14:textId="52950734" w:rsidR="00077C31" w:rsidRPr="002C72C2" w:rsidRDefault="00077C31" w:rsidP="00EB2823">
      <w:pPr>
        <w:spacing w:before="120" w:after="120" w:line="264" w:lineRule="auto"/>
        <w:rPr>
          <w:lang w:eastAsia="en-US" w:bidi="ar-SA"/>
        </w:rPr>
      </w:pPr>
      <w:r w:rsidRPr="002C72C2">
        <w:rPr>
          <w:lang w:eastAsia="en-US" w:bidi="ar-SA"/>
        </w:rPr>
        <w:t xml:space="preserve">Two critical aspects of </w:t>
      </w:r>
      <w:r w:rsidR="003F251D" w:rsidRPr="002C72C2">
        <w:rPr>
          <w:lang w:eastAsia="en-US" w:bidi="ar-SA"/>
        </w:rPr>
        <w:t xml:space="preserve">power system operability </w:t>
      </w:r>
      <w:r w:rsidRPr="002C72C2">
        <w:rPr>
          <w:lang w:eastAsia="en-US" w:bidi="ar-SA"/>
        </w:rPr>
        <w:t xml:space="preserve">are its </w:t>
      </w:r>
      <w:r w:rsidR="003F251D" w:rsidRPr="002C72C2">
        <w:rPr>
          <w:lang w:eastAsia="en-US" w:bidi="ar-SA"/>
        </w:rPr>
        <w:t>p</w:t>
      </w:r>
      <w:r w:rsidRPr="002C72C2">
        <w:rPr>
          <w:lang w:eastAsia="en-US" w:bidi="ar-SA"/>
        </w:rPr>
        <w:t xml:space="preserve">redictability and </w:t>
      </w:r>
      <w:r w:rsidR="003F251D" w:rsidRPr="002C72C2">
        <w:rPr>
          <w:lang w:eastAsia="en-US" w:bidi="ar-SA"/>
        </w:rPr>
        <w:t>d</w:t>
      </w:r>
      <w:r w:rsidRPr="002C72C2">
        <w:rPr>
          <w:lang w:eastAsia="en-US" w:bidi="ar-SA"/>
        </w:rPr>
        <w:t>ispatchability</w:t>
      </w:r>
      <w:hyperlink w:anchor="Ref_19" w:history="1">
        <w:r w:rsidR="00A0179C" w:rsidRPr="00FD39BB">
          <w:rPr>
            <w:rStyle w:val="Hyperlink"/>
            <w:lang w:eastAsia="en-US" w:bidi="ar-SA"/>
          </w:rPr>
          <w:fldChar w:fldCharType="begin"/>
        </w:r>
        <w:r w:rsidR="00732E28" w:rsidRPr="00FD39BB">
          <w:rPr>
            <w:rStyle w:val="Hyperlink"/>
            <w:lang w:eastAsia="en-US" w:bidi="ar-SA"/>
          </w:rPr>
          <w:instrText xml:space="preserve"> ADDIN ZOTERO_ITEM CSL_CITATION {"citationID":"ytBYlyPQ","properties":{"formattedCitation":"[19]","plainCitation":"[19]","noteIndex":0},"citationItems":[{"id":22,"uris":["http://zotero.org/users/17348326/items/ZFMZ52KW"],"itemData":{"id":22,"type":"report","number":"v.2","title":"Power System Requirements","URL":"https://www.aemo.com.au/-/media/files/electricity/nem/security_and_reliability/power-system-requirements.pdf","author":[{"family":"Australian Energy Market Operator (AEMO)","given":""}],"issued":{"date-parts":[["2020",7,24]]}}}],"schema":"https://github.com/citation-style-language/schema/raw/master/csl-citation.json"} </w:instrText>
        </w:r>
        <w:r w:rsidR="00A0179C" w:rsidRPr="00FD39BB">
          <w:rPr>
            <w:rStyle w:val="Hyperlink"/>
            <w:lang w:eastAsia="en-US" w:bidi="ar-SA"/>
          </w:rPr>
          <w:fldChar w:fldCharType="separate"/>
        </w:r>
        <w:r w:rsidR="00732E28" w:rsidRPr="00FD39BB">
          <w:rPr>
            <w:rStyle w:val="Hyperlink"/>
          </w:rPr>
          <w:t>[19]</w:t>
        </w:r>
        <w:r w:rsidR="00A0179C" w:rsidRPr="00FD39BB">
          <w:rPr>
            <w:rStyle w:val="Hyperlink"/>
            <w:lang w:eastAsia="en-US" w:bidi="ar-SA"/>
          </w:rPr>
          <w:fldChar w:fldCharType="end"/>
        </w:r>
      </w:hyperlink>
      <w:r w:rsidR="00374950">
        <w:rPr>
          <w:lang w:eastAsia="en-US" w:bidi="ar-SA"/>
        </w:rPr>
        <w:t xml:space="preserve">. </w:t>
      </w:r>
      <w:r w:rsidRPr="002C72C2">
        <w:rPr>
          <w:lang w:eastAsia="en-US" w:bidi="ar-SA"/>
        </w:rPr>
        <w:t xml:space="preserve">In a decarbonising system that is also experiencing significant growth in LV-connected </w:t>
      </w:r>
      <w:r w:rsidR="003F251D" w:rsidRPr="002C72C2">
        <w:rPr>
          <w:lang w:eastAsia="en-US" w:bidi="ar-SA"/>
        </w:rPr>
        <w:t>CER/DER</w:t>
      </w:r>
      <w:r w:rsidRPr="002C72C2">
        <w:rPr>
          <w:lang w:eastAsia="en-US" w:bidi="ar-SA"/>
        </w:rPr>
        <w:t xml:space="preserve"> and transport electrification, the </w:t>
      </w:r>
      <w:r w:rsidR="003F251D" w:rsidRPr="002C72C2">
        <w:rPr>
          <w:lang w:eastAsia="en-US" w:bidi="ar-SA"/>
        </w:rPr>
        <w:t>system o</w:t>
      </w:r>
      <w:r w:rsidRPr="002C72C2">
        <w:rPr>
          <w:lang w:eastAsia="en-US" w:bidi="ar-SA"/>
        </w:rPr>
        <w:t xml:space="preserve">perator will require new levels of </w:t>
      </w:r>
      <w:r w:rsidR="003F251D" w:rsidRPr="002C72C2">
        <w:rPr>
          <w:lang w:eastAsia="en-US" w:bidi="ar-SA"/>
        </w:rPr>
        <w:t>v</w:t>
      </w:r>
      <w:r w:rsidRPr="002C72C2">
        <w:rPr>
          <w:lang w:eastAsia="en-US" w:bidi="ar-SA"/>
        </w:rPr>
        <w:t xml:space="preserve">isibility of this growing proportion of the </w:t>
      </w:r>
      <w:r w:rsidR="003F251D" w:rsidRPr="002C72C2">
        <w:rPr>
          <w:lang w:eastAsia="en-US" w:bidi="ar-SA"/>
        </w:rPr>
        <w:t>energy r</w:t>
      </w:r>
      <w:r w:rsidRPr="002C72C2">
        <w:rPr>
          <w:lang w:eastAsia="en-US" w:bidi="ar-SA"/>
        </w:rPr>
        <w:t xml:space="preserve">esource fleet. </w:t>
      </w:r>
    </w:p>
    <w:p w14:paraId="12AF7940" w14:textId="4ABE1CE0" w:rsidR="00077C31" w:rsidRPr="002C72C2" w:rsidRDefault="00077C31" w:rsidP="00EB2823">
      <w:pPr>
        <w:spacing w:before="120" w:after="120" w:line="264" w:lineRule="auto"/>
        <w:rPr>
          <w:lang w:eastAsia="en-US" w:bidi="ar-SA"/>
        </w:rPr>
      </w:pPr>
      <w:r w:rsidRPr="002C72C2">
        <w:rPr>
          <w:lang w:eastAsia="en-US" w:bidi="ar-SA"/>
        </w:rPr>
        <w:t xml:space="preserve">Having developed around a </w:t>
      </w:r>
      <w:r w:rsidR="003F251D" w:rsidRPr="002C72C2">
        <w:rPr>
          <w:lang w:eastAsia="en-US" w:bidi="ar-SA"/>
        </w:rPr>
        <w:t>distinct</w:t>
      </w:r>
      <w:r w:rsidRPr="002C72C2">
        <w:rPr>
          <w:lang w:eastAsia="en-US" w:bidi="ar-SA"/>
        </w:rPr>
        <w:t xml:space="preserve"> </w:t>
      </w:r>
      <w:r w:rsidR="003F251D" w:rsidRPr="002C72C2">
        <w:rPr>
          <w:lang w:eastAsia="en-US" w:bidi="ar-SA"/>
        </w:rPr>
        <w:t>s</w:t>
      </w:r>
      <w:r w:rsidRPr="002C72C2">
        <w:rPr>
          <w:lang w:eastAsia="en-US" w:bidi="ar-SA"/>
        </w:rPr>
        <w:t xml:space="preserve">upply-side / </w:t>
      </w:r>
      <w:r w:rsidR="003F251D" w:rsidRPr="002C72C2">
        <w:rPr>
          <w:lang w:eastAsia="en-US" w:bidi="ar-SA"/>
        </w:rPr>
        <w:t>d</w:t>
      </w:r>
      <w:r w:rsidRPr="002C72C2">
        <w:rPr>
          <w:lang w:eastAsia="en-US" w:bidi="ar-SA"/>
        </w:rPr>
        <w:t xml:space="preserve">emand-side bifurcation, with over 95% of the generation fleet located on the </w:t>
      </w:r>
      <w:r w:rsidR="003F251D" w:rsidRPr="002C72C2">
        <w:rPr>
          <w:lang w:eastAsia="en-US" w:bidi="ar-SA"/>
        </w:rPr>
        <w:t>supply-side</w:t>
      </w:r>
      <w:r w:rsidRPr="002C72C2">
        <w:rPr>
          <w:lang w:eastAsia="en-US" w:bidi="ar-SA"/>
        </w:rPr>
        <w:t xml:space="preserve"> of the system, AEMO has historically focused information and data acquisition where most of the </w:t>
      </w:r>
      <w:r w:rsidR="003F251D" w:rsidRPr="002C72C2">
        <w:rPr>
          <w:lang w:eastAsia="en-US" w:bidi="ar-SA"/>
        </w:rPr>
        <w:t>e</w:t>
      </w:r>
      <w:r w:rsidRPr="002C72C2">
        <w:rPr>
          <w:lang w:eastAsia="en-US" w:bidi="ar-SA"/>
        </w:rPr>
        <w:t xml:space="preserve">nergy </w:t>
      </w:r>
      <w:r w:rsidR="003F251D" w:rsidRPr="002C72C2">
        <w:rPr>
          <w:lang w:eastAsia="en-US" w:bidi="ar-SA"/>
        </w:rPr>
        <w:t>r</w:t>
      </w:r>
      <w:r w:rsidRPr="002C72C2">
        <w:rPr>
          <w:lang w:eastAsia="en-US" w:bidi="ar-SA"/>
        </w:rPr>
        <w:t>esources were located</w:t>
      </w:r>
      <w:r w:rsidR="00374950">
        <w:rPr>
          <w:lang w:eastAsia="en-US" w:bidi="ar-SA"/>
        </w:rPr>
        <w:t xml:space="preserve">. </w:t>
      </w:r>
      <w:r w:rsidRPr="002C72C2">
        <w:rPr>
          <w:lang w:eastAsia="en-US" w:bidi="ar-SA"/>
        </w:rPr>
        <w:t xml:space="preserve">By contrast, as the NEM transitions to host one of the world’s highest proportions of decentralised </w:t>
      </w:r>
      <w:r w:rsidR="003F251D" w:rsidRPr="002C72C2">
        <w:rPr>
          <w:lang w:eastAsia="en-US" w:bidi="ar-SA"/>
        </w:rPr>
        <w:t>e</w:t>
      </w:r>
      <w:r w:rsidRPr="002C72C2">
        <w:rPr>
          <w:lang w:eastAsia="en-US" w:bidi="ar-SA"/>
        </w:rPr>
        <w:t xml:space="preserve">nergy </w:t>
      </w:r>
      <w:r w:rsidR="003F251D" w:rsidRPr="002C72C2">
        <w:rPr>
          <w:lang w:eastAsia="en-US" w:bidi="ar-SA"/>
        </w:rPr>
        <w:t>r</w:t>
      </w:r>
      <w:r w:rsidRPr="002C72C2">
        <w:rPr>
          <w:lang w:eastAsia="en-US" w:bidi="ar-SA"/>
        </w:rPr>
        <w:t xml:space="preserve">esources, AEMO will need increasingly granular and near real-time data, aggregated at the </w:t>
      </w:r>
      <w:r w:rsidR="003F251D" w:rsidRPr="002C72C2">
        <w:rPr>
          <w:lang w:eastAsia="en-US" w:bidi="ar-SA"/>
        </w:rPr>
        <w:t>TDI</w:t>
      </w:r>
      <w:r w:rsidRPr="002C72C2">
        <w:rPr>
          <w:lang w:eastAsia="en-US" w:bidi="ar-SA"/>
        </w:rPr>
        <w:t xml:space="preserve">, from millions of </w:t>
      </w:r>
      <w:r w:rsidR="003F251D" w:rsidRPr="002C72C2">
        <w:rPr>
          <w:lang w:eastAsia="en-US" w:bidi="ar-SA"/>
        </w:rPr>
        <w:t>CER/DER</w:t>
      </w:r>
      <w:r w:rsidRPr="002C72C2">
        <w:rPr>
          <w:lang w:eastAsia="en-US" w:bidi="ar-SA"/>
        </w:rPr>
        <w:t xml:space="preserve"> and EVs for operational forecasts and whole-system </w:t>
      </w:r>
      <w:r w:rsidR="003F251D" w:rsidRPr="002C72C2">
        <w:rPr>
          <w:lang w:eastAsia="en-US" w:bidi="ar-SA"/>
        </w:rPr>
        <w:t>r</w:t>
      </w:r>
      <w:r w:rsidRPr="002C72C2">
        <w:rPr>
          <w:lang w:eastAsia="en-US" w:bidi="ar-SA"/>
        </w:rPr>
        <w:t xml:space="preserve">esource </w:t>
      </w:r>
      <w:r w:rsidR="003F251D" w:rsidRPr="002C72C2">
        <w:rPr>
          <w:lang w:eastAsia="en-US" w:bidi="ar-SA"/>
        </w:rPr>
        <w:t>a</w:t>
      </w:r>
      <w:r w:rsidRPr="002C72C2">
        <w:rPr>
          <w:lang w:eastAsia="en-US" w:bidi="ar-SA"/>
        </w:rPr>
        <w:t>dequacy analysis</w:t>
      </w:r>
      <w:r w:rsidR="00374950">
        <w:rPr>
          <w:lang w:eastAsia="en-US" w:bidi="ar-SA"/>
        </w:rPr>
        <w:t xml:space="preserve">. </w:t>
      </w:r>
    </w:p>
    <w:p w14:paraId="70CB56F3" w14:textId="7E25AB4E" w:rsidR="00077C31" w:rsidRPr="002C72C2" w:rsidRDefault="00077C31" w:rsidP="00EB2823">
      <w:pPr>
        <w:spacing w:before="120" w:after="120" w:line="264" w:lineRule="auto"/>
        <w:rPr>
          <w:lang w:eastAsia="en-US" w:bidi="ar-SA"/>
        </w:rPr>
      </w:pPr>
      <w:r w:rsidRPr="002C72C2">
        <w:rPr>
          <w:lang w:eastAsia="en-US" w:bidi="ar-SA"/>
        </w:rPr>
        <w:t xml:space="preserve">In the context of greater system </w:t>
      </w:r>
      <w:r w:rsidR="003F251D" w:rsidRPr="002C72C2">
        <w:rPr>
          <w:lang w:eastAsia="en-US" w:bidi="ar-SA"/>
        </w:rPr>
        <w:t>v</w:t>
      </w:r>
      <w:r w:rsidRPr="002C72C2">
        <w:rPr>
          <w:lang w:eastAsia="en-US" w:bidi="ar-SA"/>
        </w:rPr>
        <w:t>olatility</w:t>
      </w:r>
      <w:r w:rsidR="00580485" w:rsidRPr="002C72C2">
        <w:rPr>
          <w:lang w:eastAsia="en-US" w:bidi="ar-SA"/>
        </w:rPr>
        <w:t>,</w:t>
      </w:r>
      <w:r w:rsidRPr="002C72C2">
        <w:rPr>
          <w:lang w:eastAsia="en-US" w:bidi="ar-SA"/>
        </w:rPr>
        <w:t xml:space="preserve"> as decarbonising </w:t>
      </w:r>
      <w:r w:rsidR="003F251D" w:rsidRPr="002C72C2">
        <w:rPr>
          <w:lang w:eastAsia="en-US" w:bidi="ar-SA"/>
        </w:rPr>
        <w:t>power s</w:t>
      </w:r>
      <w:r w:rsidRPr="002C72C2">
        <w:rPr>
          <w:lang w:eastAsia="en-US" w:bidi="ar-SA"/>
        </w:rPr>
        <w:t xml:space="preserve">ystems become more dependent on variable resources, higher speed dynamics </w:t>
      </w:r>
      <w:r w:rsidR="00580485" w:rsidRPr="002C72C2">
        <w:rPr>
          <w:lang w:eastAsia="en-US" w:bidi="ar-SA"/>
        </w:rPr>
        <w:t xml:space="preserve">drive </w:t>
      </w:r>
      <w:r w:rsidRPr="002C72C2">
        <w:rPr>
          <w:lang w:eastAsia="en-US" w:bidi="ar-SA"/>
        </w:rPr>
        <w:t>the need for real or near real-time data</w:t>
      </w:r>
      <w:r w:rsidR="00374950">
        <w:rPr>
          <w:lang w:eastAsia="en-US" w:bidi="ar-SA"/>
        </w:rPr>
        <w:t xml:space="preserve">. </w:t>
      </w:r>
      <w:r w:rsidRPr="002C72C2">
        <w:rPr>
          <w:lang w:eastAsia="en-US" w:bidi="ar-SA"/>
        </w:rPr>
        <w:t>This requires more stringent bandwidth, latency, and packet loss requirements</w:t>
      </w:r>
      <w:r w:rsidR="00374950">
        <w:rPr>
          <w:lang w:eastAsia="en-US" w:bidi="ar-SA"/>
        </w:rPr>
        <w:t xml:space="preserve">. </w:t>
      </w:r>
      <w:r w:rsidRPr="002C72C2">
        <w:rPr>
          <w:lang w:eastAsia="en-US" w:bidi="ar-SA"/>
        </w:rPr>
        <w:t>Therefore, applying a holistic approach to identifying cyber-physical constraints embedded in the as-built system structures becomes critical</w:t>
      </w:r>
      <w:r w:rsidR="00374950">
        <w:rPr>
          <w:lang w:eastAsia="en-US" w:bidi="ar-SA"/>
        </w:rPr>
        <w:t>.</w:t>
      </w:r>
      <w:r w:rsidRPr="002C72C2">
        <w:rPr>
          <w:lang w:eastAsia="en-US" w:bidi="ar-SA"/>
        </w:rPr>
        <w:t xml:space="preserve"> Once identified, holistic architectural strategies must be developed to validate the data required and address structural constraints in a manner acceptable to both AEMO and DNSP/DSOs</w:t>
      </w:r>
      <w:r w:rsidR="003F251D" w:rsidRPr="002C72C2">
        <w:rPr>
          <w:lang w:eastAsia="en-US" w:bidi="ar-SA"/>
        </w:rPr>
        <w:t>.</w:t>
      </w:r>
    </w:p>
    <w:p w14:paraId="43D3AC27" w14:textId="77777777" w:rsidR="00077C31" w:rsidRPr="00FF7739" w:rsidRDefault="00077C31" w:rsidP="00954BAC">
      <w:pPr>
        <w:pStyle w:val="Heading4"/>
        <w:numPr>
          <w:ilvl w:val="0"/>
          <w:numId w:val="52"/>
        </w:numPr>
        <w:spacing w:before="240" w:after="120" w:line="264" w:lineRule="auto"/>
        <w:rPr>
          <w:i w:val="0"/>
          <w:iCs w:val="0"/>
        </w:rPr>
      </w:pPr>
      <w:r w:rsidRPr="00FF7739">
        <w:rPr>
          <w:i w:val="0"/>
          <w:iCs w:val="0"/>
        </w:rPr>
        <w:t>Contributing Factors</w:t>
      </w:r>
    </w:p>
    <w:p w14:paraId="2A802205" w14:textId="4DC8D97E" w:rsidR="00077C31" w:rsidRPr="00E142B1" w:rsidRDefault="00077C31" w:rsidP="00EB2823">
      <w:pPr>
        <w:spacing w:before="180" w:after="120" w:line="264" w:lineRule="auto"/>
        <w:rPr>
          <w:rStyle w:val="IntenseEmphasis"/>
        </w:rPr>
      </w:pPr>
      <w:r w:rsidRPr="00E142B1">
        <w:rPr>
          <w:rStyle w:val="IntenseEmphasis"/>
        </w:rPr>
        <w:t xml:space="preserve">Relevance of Visibility to </w:t>
      </w:r>
      <w:r w:rsidR="00AA1FC0">
        <w:rPr>
          <w:rStyle w:val="IntenseEmphasis"/>
        </w:rPr>
        <w:t xml:space="preserve">System </w:t>
      </w:r>
      <w:r w:rsidRPr="00E142B1">
        <w:rPr>
          <w:rStyle w:val="IntenseEmphasis"/>
        </w:rPr>
        <w:t>Operability</w:t>
      </w:r>
    </w:p>
    <w:p w14:paraId="10A5E918" w14:textId="70950FB8" w:rsidR="00077C31" w:rsidRPr="002C72C2" w:rsidRDefault="00077C31" w:rsidP="00EB2823">
      <w:pPr>
        <w:spacing w:before="120" w:after="120" w:line="264" w:lineRule="auto"/>
        <w:rPr>
          <w:lang w:eastAsia="en-US" w:bidi="ar-SA"/>
        </w:rPr>
      </w:pPr>
      <w:r w:rsidRPr="002C72C2">
        <w:rPr>
          <w:lang w:eastAsia="en-US" w:bidi="ar-SA"/>
        </w:rPr>
        <w:t xml:space="preserve">AEMO operates the </w:t>
      </w:r>
      <w:r w:rsidR="00580485" w:rsidRPr="002C72C2">
        <w:rPr>
          <w:lang w:eastAsia="en-US" w:bidi="ar-SA"/>
        </w:rPr>
        <w:t>power s</w:t>
      </w:r>
      <w:r w:rsidRPr="002C72C2">
        <w:rPr>
          <w:lang w:eastAsia="en-US" w:bidi="ar-SA"/>
        </w:rPr>
        <w:t xml:space="preserve">ystem through a security constrained, optimised dispatch process. In doing so, it is responsible to continuously quantify the limitations on the system to determine a technical </w:t>
      </w:r>
      <w:r w:rsidR="00580485" w:rsidRPr="002C72C2">
        <w:rPr>
          <w:lang w:eastAsia="en-US" w:bidi="ar-SA"/>
        </w:rPr>
        <w:t>operating e</w:t>
      </w:r>
      <w:r w:rsidRPr="002C72C2">
        <w:rPr>
          <w:lang w:eastAsia="en-US" w:bidi="ar-SA"/>
        </w:rPr>
        <w:t>nvelope</w:t>
      </w:r>
      <w:r w:rsidR="00374950">
        <w:rPr>
          <w:lang w:eastAsia="en-US" w:bidi="ar-SA"/>
        </w:rPr>
        <w:t xml:space="preserve">. </w:t>
      </w:r>
      <w:r w:rsidRPr="002C72C2">
        <w:rPr>
          <w:lang w:eastAsia="en-US" w:bidi="ar-SA"/>
        </w:rPr>
        <w:t xml:space="preserve">This must actively consider the prevailing conditions of the </w:t>
      </w:r>
      <w:r w:rsidR="00580485" w:rsidRPr="002C72C2">
        <w:rPr>
          <w:lang w:eastAsia="en-US" w:bidi="ar-SA"/>
        </w:rPr>
        <w:t>p</w:t>
      </w:r>
      <w:r w:rsidRPr="002C72C2">
        <w:rPr>
          <w:lang w:eastAsia="en-US" w:bidi="ar-SA"/>
        </w:rPr>
        <w:t xml:space="preserve">ower </w:t>
      </w:r>
      <w:r w:rsidR="00580485" w:rsidRPr="002C72C2">
        <w:rPr>
          <w:lang w:eastAsia="en-US" w:bidi="ar-SA"/>
        </w:rPr>
        <w:t>s</w:t>
      </w:r>
      <w:r w:rsidRPr="002C72C2">
        <w:rPr>
          <w:lang w:eastAsia="en-US" w:bidi="ar-SA"/>
        </w:rPr>
        <w:t xml:space="preserve">ystem in general, and the generation fleet in particular, with a key focus on predicting the impacts of unexpected events. </w:t>
      </w:r>
    </w:p>
    <w:p w14:paraId="47EBF7F0" w14:textId="652B08FD" w:rsidR="00077C31" w:rsidRPr="002C72C2" w:rsidRDefault="00077C31" w:rsidP="00EB2823">
      <w:pPr>
        <w:spacing w:before="120" w:after="120" w:line="264" w:lineRule="auto"/>
        <w:rPr>
          <w:lang w:eastAsia="en-US" w:bidi="ar-SA"/>
        </w:rPr>
      </w:pPr>
      <w:r w:rsidRPr="002C72C2">
        <w:rPr>
          <w:lang w:eastAsia="en-US" w:bidi="ar-SA"/>
        </w:rPr>
        <w:t xml:space="preserve">Key operational functions that AEMO performs to maintain </w:t>
      </w:r>
      <w:r w:rsidR="0089368E" w:rsidRPr="002C72C2">
        <w:rPr>
          <w:lang w:eastAsia="en-US" w:bidi="ar-SA"/>
        </w:rPr>
        <w:t>p</w:t>
      </w:r>
      <w:r w:rsidRPr="002C72C2">
        <w:rPr>
          <w:lang w:eastAsia="en-US" w:bidi="ar-SA"/>
        </w:rPr>
        <w:t xml:space="preserve">ower </w:t>
      </w:r>
      <w:r w:rsidR="0089368E" w:rsidRPr="002C72C2">
        <w:rPr>
          <w:lang w:eastAsia="en-US" w:bidi="ar-SA"/>
        </w:rPr>
        <w:t>s</w:t>
      </w:r>
      <w:r w:rsidRPr="002C72C2">
        <w:rPr>
          <w:lang w:eastAsia="en-US" w:bidi="ar-SA"/>
        </w:rPr>
        <w:t xml:space="preserve">ystem security and reliability may be grouped into the following broad operational functions: </w:t>
      </w:r>
    </w:p>
    <w:p w14:paraId="42939132" w14:textId="6132B6E4" w:rsidR="00077C31" w:rsidRPr="002C72C2" w:rsidRDefault="00077C31" w:rsidP="00954BAC">
      <w:pPr>
        <w:pStyle w:val="ListParagraph"/>
        <w:numPr>
          <w:ilvl w:val="0"/>
          <w:numId w:val="13"/>
        </w:numPr>
        <w:spacing w:line="264" w:lineRule="auto"/>
        <w:rPr>
          <w:lang w:eastAsia="en-US" w:bidi="ar-SA"/>
        </w:rPr>
      </w:pPr>
      <w:r w:rsidRPr="002C72C2">
        <w:rPr>
          <w:lang w:eastAsia="en-US" w:bidi="ar-SA"/>
        </w:rPr>
        <w:t>The central dispatch process</w:t>
      </w:r>
    </w:p>
    <w:p w14:paraId="3236114B" w14:textId="61486653" w:rsidR="00077C31" w:rsidRPr="002C72C2" w:rsidRDefault="00077C31" w:rsidP="00954BAC">
      <w:pPr>
        <w:pStyle w:val="ListParagraph"/>
        <w:numPr>
          <w:ilvl w:val="0"/>
          <w:numId w:val="13"/>
        </w:numPr>
        <w:spacing w:line="264" w:lineRule="auto"/>
        <w:rPr>
          <w:lang w:eastAsia="en-US" w:bidi="ar-SA"/>
        </w:rPr>
      </w:pPr>
      <w:r w:rsidRPr="002C72C2">
        <w:rPr>
          <w:lang w:eastAsia="en-US" w:bidi="ar-SA"/>
        </w:rPr>
        <w:t>Short-term and medium-term planning</w:t>
      </w:r>
    </w:p>
    <w:p w14:paraId="5F4233D3" w14:textId="63E7AF50" w:rsidR="00077C31" w:rsidRPr="002C72C2" w:rsidRDefault="00077C31" w:rsidP="00954BAC">
      <w:pPr>
        <w:pStyle w:val="ListParagraph"/>
        <w:numPr>
          <w:ilvl w:val="0"/>
          <w:numId w:val="13"/>
        </w:numPr>
        <w:spacing w:line="264" w:lineRule="auto"/>
        <w:rPr>
          <w:lang w:eastAsia="en-US" w:bidi="ar-SA"/>
        </w:rPr>
      </w:pPr>
      <w:r w:rsidRPr="002C72C2">
        <w:rPr>
          <w:lang w:eastAsia="en-US" w:bidi="ar-SA"/>
        </w:rPr>
        <w:t>Long-term planning</w:t>
      </w:r>
      <w:r w:rsidR="00C3666A">
        <w:rPr>
          <w:lang w:eastAsia="en-US" w:bidi="ar-SA"/>
        </w:rPr>
        <w:t xml:space="preserve">, </w:t>
      </w:r>
      <w:r w:rsidRPr="002C72C2">
        <w:rPr>
          <w:lang w:eastAsia="en-US" w:bidi="ar-SA"/>
        </w:rPr>
        <w:t>and</w:t>
      </w:r>
    </w:p>
    <w:p w14:paraId="09CB0DBB" w14:textId="4A3D7644" w:rsidR="00077C31" w:rsidRPr="002C72C2" w:rsidRDefault="00077C31" w:rsidP="00954BAC">
      <w:pPr>
        <w:pStyle w:val="ListParagraph"/>
        <w:numPr>
          <w:ilvl w:val="0"/>
          <w:numId w:val="13"/>
        </w:numPr>
        <w:spacing w:line="264" w:lineRule="auto"/>
        <w:rPr>
          <w:lang w:eastAsia="en-US" w:bidi="ar-SA"/>
        </w:rPr>
      </w:pPr>
      <w:r w:rsidRPr="002C72C2">
        <w:rPr>
          <w:lang w:eastAsia="en-US" w:bidi="ar-SA"/>
        </w:rPr>
        <w:t xml:space="preserve">Power </w:t>
      </w:r>
      <w:r w:rsidR="00234432" w:rsidRPr="002C72C2">
        <w:rPr>
          <w:lang w:eastAsia="en-US" w:bidi="ar-SA"/>
        </w:rPr>
        <w:t>s</w:t>
      </w:r>
      <w:r w:rsidRPr="002C72C2">
        <w:rPr>
          <w:lang w:eastAsia="en-US" w:bidi="ar-SA"/>
        </w:rPr>
        <w:t xml:space="preserve">ystem security monitoring and contingency planning </w:t>
      </w:r>
    </w:p>
    <w:p w14:paraId="79ABE727" w14:textId="1EA8E3E8" w:rsidR="00C6441E" w:rsidRDefault="00077C31" w:rsidP="00EB2823">
      <w:pPr>
        <w:spacing w:before="120" w:after="120" w:line="264" w:lineRule="auto"/>
        <w:rPr>
          <w:lang w:eastAsia="en-US" w:bidi="ar-SA"/>
        </w:rPr>
      </w:pPr>
      <w:r w:rsidRPr="002C72C2">
        <w:rPr>
          <w:lang w:eastAsia="en-US" w:bidi="ar-SA"/>
        </w:rPr>
        <w:t xml:space="preserve">Performing these functions requires sufficient </w:t>
      </w:r>
      <w:r w:rsidR="002E41C1" w:rsidRPr="002C72C2">
        <w:rPr>
          <w:lang w:eastAsia="en-US" w:bidi="ar-SA"/>
        </w:rPr>
        <w:t xml:space="preserve">visibility </w:t>
      </w:r>
      <w:r w:rsidRPr="002C72C2">
        <w:rPr>
          <w:lang w:eastAsia="en-US" w:bidi="ar-SA"/>
        </w:rPr>
        <w:t xml:space="preserve">of the </w:t>
      </w:r>
      <w:r w:rsidR="008A0776" w:rsidRPr="002C72C2">
        <w:rPr>
          <w:lang w:eastAsia="en-US" w:bidi="ar-SA"/>
        </w:rPr>
        <w:t>p</w:t>
      </w:r>
      <w:r w:rsidRPr="002C72C2">
        <w:rPr>
          <w:lang w:eastAsia="en-US" w:bidi="ar-SA"/>
        </w:rPr>
        <w:t xml:space="preserve">ower </w:t>
      </w:r>
      <w:r w:rsidR="008A0776" w:rsidRPr="002C72C2">
        <w:rPr>
          <w:lang w:eastAsia="en-US" w:bidi="ar-SA"/>
        </w:rPr>
        <w:t>s</w:t>
      </w:r>
      <w:r w:rsidRPr="002C72C2">
        <w:rPr>
          <w:lang w:eastAsia="en-US" w:bidi="ar-SA"/>
        </w:rPr>
        <w:t>ystem, enabled by diverse data sources, to effectively quantify how it might respond to a range of potential events</w:t>
      </w:r>
      <w:r w:rsidR="00374950">
        <w:rPr>
          <w:lang w:eastAsia="en-US" w:bidi="ar-SA"/>
        </w:rPr>
        <w:t xml:space="preserve">. </w:t>
      </w:r>
      <w:r w:rsidRPr="002C72C2">
        <w:rPr>
          <w:lang w:eastAsia="en-US" w:bidi="ar-SA"/>
        </w:rPr>
        <w:t xml:space="preserve">It also involves ensuring a sufficient portfolio of </w:t>
      </w:r>
      <w:r w:rsidR="008A0776" w:rsidRPr="002C72C2">
        <w:rPr>
          <w:lang w:eastAsia="en-US" w:bidi="ar-SA"/>
        </w:rPr>
        <w:t>e</w:t>
      </w:r>
      <w:r w:rsidRPr="002C72C2">
        <w:rPr>
          <w:lang w:eastAsia="en-US" w:bidi="ar-SA"/>
        </w:rPr>
        <w:t xml:space="preserve">nergy </w:t>
      </w:r>
      <w:r w:rsidR="008A0776" w:rsidRPr="002C72C2">
        <w:rPr>
          <w:lang w:eastAsia="en-US" w:bidi="ar-SA"/>
        </w:rPr>
        <w:t>r</w:t>
      </w:r>
      <w:r w:rsidRPr="002C72C2">
        <w:rPr>
          <w:lang w:eastAsia="en-US" w:bidi="ar-SA"/>
        </w:rPr>
        <w:t xml:space="preserve">esources is continuously available to maintain real-time balancing of supply and demand, otherwise known as </w:t>
      </w:r>
      <w:r w:rsidR="00B64948" w:rsidRPr="002C72C2">
        <w:rPr>
          <w:lang w:eastAsia="en-US" w:bidi="ar-SA"/>
        </w:rPr>
        <w:t>r</w:t>
      </w:r>
      <w:r w:rsidRPr="002C72C2">
        <w:rPr>
          <w:lang w:eastAsia="en-US" w:bidi="ar-SA"/>
        </w:rPr>
        <w:t xml:space="preserve">esource </w:t>
      </w:r>
      <w:r w:rsidR="00B64948" w:rsidRPr="002C72C2">
        <w:rPr>
          <w:lang w:eastAsia="en-US" w:bidi="ar-SA"/>
        </w:rPr>
        <w:t>a</w:t>
      </w:r>
      <w:r w:rsidRPr="002C72C2">
        <w:rPr>
          <w:lang w:eastAsia="en-US" w:bidi="ar-SA"/>
        </w:rPr>
        <w:t>dequacy.</w:t>
      </w:r>
      <w:r w:rsidR="00C6441E">
        <w:rPr>
          <w:lang w:eastAsia="en-US" w:bidi="ar-SA"/>
        </w:rPr>
        <w:t xml:space="preserve"> </w:t>
      </w:r>
      <w:r w:rsidR="00C9519F" w:rsidRPr="002C72C2">
        <w:rPr>
          <w:lang w:eastAsia="en-US" w:bidi="ar-SA"/>
        </w:rPr>
        <w:t>Further, it enables AEMO to develop and validate forecasting models to reflect a diversity of emerging operational and planning scenarios more accurately.</w:t>
      </w:r>
    </w:p>
    <w:p w14:paraId="4DDA7DDF" w14:textId="0629D04B" w:rsidR="00077C31" w:rsidRPr="002C72C2" w:rsidRDefault="00C9519F" w:rsidP="00EB2823">
      <w:pPr>
        <w:spacing w:before="120" w:after="120" w:line="264" w:lineRule="auto"/>
        <w:rPr>
          <w:lang w:eastAsia="en-US" w:bidi="ar-SA"/>
        </w:rPr>
      </w:pPr>
      <w:r>
        <w:rPr>
          <w:lang w:eastAsia="en-US" w:bidi="ar-SA"/>
        </w:rPr>
        <w:t>In the context of resource adequacy, an important note is that s</w:t>
      </w:r>
      <w:r w:rsidR="00C6441E" w:rsidRPr="00C6441E">
        <w:rPr>
          <w:lang w:eastAsia="en-US" w:bidi="ar-SA"/>
        </w:rPr>
        <w:t xml:space="preserve">table and secure operation of the </w:t>
      </w:r>
      <w:r>
        <w:rPr>
          <w:lang w:eastAsia="en-US" w:bidi="ar-SA"/>
        </w:rPr>
        <w:t>p</w:t>
      </w:r>
      <w:r w:rsidR="00C6441E" w:rsidRPr="00C6441E">
        <w:rPr>
          <w:lang w:eastAsia="en-US" w:bidi="ar-SA"/>
        </w:rPr>
        <w:t xml:space="preserve">ower </w:t>
      </w:r>
      <w:r>
        <w:rPr>
          <w:lang w:eastAsia="en-US" w:bidi="ar-SA"/>
        </w:rPr>
        <w:t>s</w:t>
      </w:r>
      <w:r w:rsidR="00C6441E" w:rsidRPr="00C6441E">
        <w:rPr>
          <w:lang w:eastAsia="en-US" w:bidi="ar-SA"/>
        </w:rPr>
        <w:t xml:space="preserve">ystem in any five-minute period requires adequate resources to be available at that time, and able to respond to disturbances and imbalances over different time durations. When working with MW-scale generators, much of the data relevant to Resource Adequacy is visible to AEMO. For example, the primary energy reserves for thermal plant, weather forecasts for renewables, and the inherent physical characteristics of synchronous generators important to operational stability and flexibility (such as inertia, primary frequency response droop control settings, ramp rates and ride-through capacity). This is similar for bulk generation Invertor-based Resources (IBR) but implemented through software and enforced by adherence to connection codes. </w:t>
      </w:r>
    </w:p>
    <w:p w14:paraId="521BC407" w14:textId="2070312D" w:rsidR="00077C31" w:rsidRPr="002C72C2" w:rsidRDefault="00077C31" w:rsidP="00EB2823">
      <w:pPr>
        <w:spacing w:before="120" w:after="120" w:line="264" w:lineRule="auto"/>
        <w:rPr>
          <w:lang w:eastAsia="en-US" w:bidi="ar-SA"/>
        </w:rPr>
      </w:pPr>
      <w:r w:rsidRPr="002C72C2">
        <w:rPr>
          <w:lang w:eastAsia="en-US" w:bidi="ar-SA"/>
        </w:rPr>
        <w:t xml:space="preserve">Historically, over 95% of Australia’s generation fleet was located on the </w:t>
      </w:r>
      <w:r w:rsidR="00234432" w:rsidRPr="002C72C2">
        <w:rPr>
          <w:lang w:eastAsia="en-US" w:bidi="ar-SA"/>
        </w:rPr>
        <w:t>supply-side</w:t>
      </w:r>
      <w:r w:rsidRPr="002C72C2">
        <w:rPr>
          <w:lang w:eastAsia="en-US" w:bidi="ar-SA"/>
        </w:rPr>
        <w:t xml:space="preserve"> of the system and connected to the HV network</w:t>
      </w:r>
      <w:r w:rsidR="00374950">
        <w:rPr>
          <w:lang w:eastAsia="en-US" w:bidi="ar-SA"/>
        </w:rPr>
        <w:t xml:space="preserve">. </w:t>
      </w:r>
      <w:r w:rsidRPr="002C72C2">
        <w:rPr>
          <w:lang w:eastAsia="en-US" w:bidi="ar-SA"/>
        </w:rPr>
        <w:t xml:space="preserve">As such, it was normative for AEMO to focus its most granular information and data acquisition and analytics where most of the </w:t>
      </w:r>
      <w:r w:rsidR="00877A59" w:rsidRPr="002C72C2">
        <w:rPr>
          <w:lang w:eastAsia="en-US" w:bidi="ar-SA"/>
        </w:rPr>
        <w:t>e</w:t>
      </w:r>
      <w:r w:rsidRPr="002C72C2">
        <w:rPr>
          <w:lang w:eastAsia="en-US" w:bidi="ar-SA"/>
        </w:rPr>
        <w:t xml:space="preserve">nergy </w:t>
      </w:r>
      <w:r w:rsidR="00877A59" w:rsidRPr="002C72C2">
        <w:rPr>
          <w:lang w:eastAsia="en-US" w:bidi="ar-SA"/>
        </w:rPr>
        <w:t>r</w:t>
      </w:r>
      <w:r w:rsidRPr="002C72C2">
        <w:rPr>
          <w:lang w:eastAsia="en-US" w:bidi="ar-SA"/>
        </w:rPr>
        <w:t>esources were located</w:t>
      </w:r>
      <w:r w:rsidR="00374950">
        <w:rPr>
          <w:lang w:eastAsia="en-US" w:bidi="ar-SA"/>
        </w:rPr>
        <w:t xml:space="preserve">. </w:t>
      </w:r>
      <w:r w:rsidRPr="002C72C2">
        <w:rPr>
          <w:lang w:eastAsia="en-US" w:bidi="ar-SA"/>
        </w:rPr>
        <w:t xml:space="preserve">In addition, the vertical disaggregation of Australia’s electricity supply chain has meant that the </w:t>
      </w:r>
      <w:r w:rsidR="00234432" w:rsidRPr="002C72C2">
        <w:rPr>
          <w:lang w:eastAsia="en-US" w:bidi="ar-SA"/>
        </w:rPr>
        <w:t>AEMO</w:t>
      </w:r>
      <w:r w:rsidRPr="002C72C2">
        <w:rPr>
          <w:lang w:eastAsia="en-US" w:bidi="ar-SA"/>
        </w:rPr>
        <w:t xml:space="preserve"> has limited </w:t>
      </w:r>
      <w:r w:rsidR="002E41C1" w:rsidRPr="002C72C2">
        <w:rPr>
          <w:lang w:eastAsia="en-US" w:bidi="ar-SA"/>
        </w:rPr>
        <w:t>v</w:t>
      </w:r>
      <w:r w:rsidRPr="002C72C2">
        <w:rPr>
          <w:lang w:eastAsia="en-US" w:bidi="ar-SA"/>
        </w:rPr>
        <w:t xml:space="preserve">isibility of the </w:t>
      </w:r>
      <w:r w:rsidR="00234432" w:rsidRPr="002C72C2">
        <w:rPr>
          <w:lang w:eastAsia="en-US" w:bidi="ar-SA"/>
        </w:rPr>
        <w:t>LV</w:t>
      </w:r>
      <w:r w:rsidRPr="002C72C2">
        <w:rPr>
          <w:lang w:eastAsia="en-US" w:bidi="ar-SA"/>
        </w:rPr>
        <w:t xml:space="preserve"> systems</w:t>
      </w:r>
      <w:r w:rsidR="00374950">
        <w:rPr>
          <w:lang w:eastAsia="en-US" w:bidi="ar-SA"/>
        </w:rPr>
        <w:t xml:space="preserve">. </w:t>
      </w:r>
    </w:p>
    <w:p w14:paraId="0E3C2F97" w14:textId="77777777" w:rsidR="00077C31" w:rsidRPr="00E142B1" w:rsidRDefault="00077C31" w:rsidP="00EB2823">
      <w:pPr>
        <w:spacing w:before="180" w:after="120" w:line="264" w:lineRule="auto"/>
        <w:rPr>
          <w:rStyle w:val="IntenseEmphasis"/>
        </w:rPr>
      </w:pPr>
      <w:r w:rsidRPr="00E142B1">
        <w:rPr>
          <w:rStyle w:val="IntenseEmphasis"/>
        </w:rPr>
        <w:t xml:space="preserve">Operational Impediments </w:t>
      </w:r>
    </w:p>
    <w:p w14:paraId="35FA6EAD" w14:textId="372DF9EF" w:rsidR="00077C31" w:rsidRPr="002C72C2" w:rsidRDefault="00234432" w:rsidP="00EB2823">
      <w:pPr>
        <w:spacing w:before="120" w:after="120" w:line="264" w:lineRule="auto"/>
        <w:rPr>
          <w:lang w:eastAsia="en-US" w:bidi="ar-SA"/>
        </w:rPr>
      </w:pPr>
      <w:r w:rsidRPr="002C72C2">
        <w:rPr>
          <w:lang w:eastAsia="en-US" w:bidi="ar-SA"/>
        </w:rPr>
        <w:t>A</w:t>
      </w:r>
      <w:r w:rsidR="00077C31" w:rsidRPr="002C72C2">
        <w:rPr>
          <w:lang w:eastAsia="en-US" w:bidi="ar-SA"/>
        </w:rPr>
        <w:t xml:space="preserve">s the proportion of LV-connected generation, storage and flexible capacity continues to trend upward (compared to traditional HV-connected resources), without sufficient </w:t>
      </w:r>
      <w:r w:rsidR="00FB67B4">
        <w:rPr>
          <w:lang w:eastAsia="en-US" w:bidi="ar-SA"/>
        </w:rPr>
        <w:t>v</w:t>
      </w:r>
      <w:r w:rsidR="00077C31" w:rsidRPr="002C72C2">
        <w:rPr>
          <w:lang w:eastAsia="en-US" w:bidi="ar-SA"/>
        </w:rPr>
        <w:t>isibility, AEMO’s ability to perform the following core functions will increasingly be impeded and ultimately impact customer outcomes:</w:t>
      </w:r>
    </w:p>
    <w:p w14:paraId="6374ACE0" w14:textId="0D573C28" w:rsidR="00077C31" w:rsidRPr="002C72C2" w:rsidRDefault="00077C31" w:rsidP="00954BAC">
      <w:pPr>
        <w:pStyle w:val="ListParagraph"/>
        <w:numPr>
          <w:ilvl w:val="0"/>
          <w:numId w:val="15"/>
        </w:numPr>
        <w:spacing w:line="264" w:lineRule="auto"/>
        <w:rPr>
          <w:lang w:eastAsia="en-US" w:bidi="ar-SA"/>
        </w:rPr>
      </w:pPr>
      <w:r w:rsidRPr="002C72C2">
        <w:rPr>
          <w:lang w:eastAsia="en-US" w:bidi="ar-SA"/>
        </w:rPr>
        <w:t xml:space="preserve">Quantify how the </w:t>
      </w:r>
      <w:r w:rsidR="00D252B0" w:rsidRPr="002C72C2">
        <w:rPr>
          <w:lang w:eastAsia="en-US" w:bidi="ar-SA"/>
        </w:rPr>
        <w:t>p</w:t>
      </w:r>
      <w:r w:rsidRPr="002C72C2">
        <w:rPr>
          <w:lang w:eastAsia="en-US" w:bidi="ar-SA"/>
        </w:rPr>
        <w:t xml:space="preserve">ower </w:t>
      </w:r>
      <w:r w:rsidR="00D252B0" w:rsidRPr="002C72C2">
        <w:rPr>
          <w:lang w:eastAsia="en-US" w:bidi="ar-SA"/>
        </w:rPr>
        <w:t>s</w:t>
      </w:r>
      <w:r w:rsidRPr="002C72C2">
        <w:rPr>
          <w:lang w:eastAsia="en-US" w:bidi="ar-SA"/>
        </w:rPr>
        <w:t xml:space="preserve">ystem is likely to behave and manage operations within the boundaries of the </w:t>
      </w:r>
      <w:r w:rsidR="00C00B30" w:rsidRPr="002C72C2">
        <w:rPr>
          <w:lang w:eastAsia="en-US" w:bidi="ar-SA"/>
        </w:rPr>
        <w:t>t</w:t>
      </w:r>
      <w:r w:rsidRPr="002C72C2">
        <w:rPr>
          <w:lang w:eastAsia="en-US" w:bidi="ar-SA"/>
        </w:rPr>
        <w:t xml:space="preserve">echnical </w:t>
      </w:r>
      <w:r w:rsidR="00383EC7" w:rsidRPr="002C72C2">
        <w:rPr>
          <w:lang w:eastAsia="en-US" w:bidi="ar-SA"/>
        </w:rPr>
        <w:t>envelope.</w:t>
      </w:r>
      <w:r w:rsidRPr="002C72C2">
        <w:rPr>
          <w:lang w:eastAsia="en-US" w:bidi="ar-SA"/>
        </w:rPr>
        <w:t xml:space="preserve"> </w:t>
      </w:r>
    </w:p>
    <w:p w14:paraId="0E18F8E7" w14:textId="3BF0FE57" w:rsidR="00077C31" w:rsidRPr="002C72C2" w:rsidRDefault="00077C31" w:rsidP="00954BAC">
      <w:pPr>
        <w:pStyle w:val="ListParagraph"/>
        <w:numPr>
          <w:ilvl w:val="0"/>
          <w:numId w:val="14"/>
        </w:numPr>
        <w:spacing w:line="264" w:lineRule="auto"/>
        <w:rPr>
          <w:lang w:eastAsia="en-US" w:bidi="ar-SA"/>
        </w:rPr>
      </w:pPr>
      <w:r w:rsidRPr="002C72C2">
        <w:rPr>
          <w:lang w:eastAsia="en-US" w:bidi="ar-SA"/>
        </w:rPr>
        <w:t xml:space="preserve">Manage the </w:t>
      </w:r>
      <w:r w:rsidR="009014DD" w:rsidRPr="002C72C2">
        <w:rPr>
          <w:lang w:eastAsia="en-US" w:bidi="ar-SA"/>
        </w:rPr>
        <w:t>p</w:t>
      </w:r>
      <w:r w:rsidRPr="002C72C2">
        <w:rPr>
          <w:lang w:eastAsia="en-US" w:bidi="ar-SA"/>
        </w:rPr>
        <w:t xml:space="preserve">ower </w:t>
      </w:r>
      <w:r w:rsidR="009014DD" w:rsidRPr="002C72C2">
        <w:rPr>
          <w:lang w:eastAsia="en-US" w:bidi="ar-SA"/>
        </w:rPr>
        <w:t>s</w:t>
      </w:r>
      <w:r w:rsidRPr="002C72C2">
        <w:rPr>
          <w:lang w:eastAsia="en-US" w:bidi="ar-SA"/>
        </w:rPr>
        <w:t xml:space="preserve">ystem using the usual operational levers, as </w:t>
      </w:r>
      <w:r w:rsidR="007A3C74" w:rsidRPr="002C72C2">
        <w:rPr>
          <w:lang w:eastAsia="en-US" w:bidi="ar-SA"/>
        </w:rPr>
        <w:t>CER/DER</w:t>
      </w:r>
      <w:r w:rsidRPr="002C72C2">
        <w:rPr>
          <w:lang w:eastAsia="en-US" w:bidi="ar-SA"/>
        </w:rPr>
        <w:t xml:space="preserve">s and EV charging are managed by consumers or their </w:t>
      </w:r>
      <w:r w:rsidR="00C00B30" w:rsidRPr="002C72C2">
        <w:rPr>
          <w:lang w:eastAsia="en-US" w:bidi="ar-SA"/>
        </w:rPr>
        <w:t>a</w:t>
      </w:r>
      <w:r w:rsidRPr="002C72C2">
        <w:rPr>
          <w:lang w:eastAsia="en-US" w:bidi="ar-SA"/>
        </w:rPr>
        <w:t>ggregators</w:t>
      </w:r>
      <w:r w:rsidR="00067A83">
        <w:rPr>
          <w:lang w:eastAsia="en-US" w:bidi="ar-SA"/>
        </w:rPr>
        <w:t>.</w:t>
      </w:r>
    </w:p>
    <w:p w14:paraId="6F115C21" w14:textId="4A4ADCB2" w:rsidR="00077C31" w:rsidRPr="002C72C2" w:rsidRDefault="00077C31" w:rsidP="00954BAC">
      <w:pPr>
        <w:pStyle w:val="ListParagraph"/>
        <w:numPr>
          <w:ilvl w:val="0"/>
          <w:numId w:val="14"/>
        </w:numPr>
        <w:spacing w:line="264" w:lineRule="auto"/>
        <w:rPr>
          <w:lang w:eastAsia="en-US" w:bidi="ar-SA"/>
        </w:rPr>
      </w:pPr>
      <w:r w:rsidRPr="002C72C2">
        <w:rPr>
          <w:lang w:eastAsia="en-US" w:bidi="ar-SA"/>
        </w:rPr>
        <w:t>Develop, calibrate, and validate its technical or business models, meaning AEMO will need to assume how future trends may deviate from past trends</w:t>
      </w:r>
      <w:r w:rsidR="00067A83">
        <w:rPr>
          <w:lang w:eastAsia="en-US" w:bidi="ar-SA"/>
        </w:rPr>
        <w:t>.</w:t>
      </w:r>
      <w:r w:rsidRPr="002C72C2">
        <w:rPr>
          <w:lang w:eastAsia="en-US" w:bidi="ar-SA"/>
        </w:rPr>
        <w:t xml:space="preserve"> </w:t>
      </w:r>
    </w:p>
    <w:p w14:paraId="08085042" w14:textId="33A11FAE" w:rsidR="00077C31" w:rsidRPr="002C72C2" w:rsidRDefault="00077C31" w:rsidP="00954BAC">
      <w:pPr>
        <w:pStyle w:val="ListParagraph"/>
        <w:numPr>
          <w:ilvl w:val="0"/>
          <w:numId w:val="14"/>
        </w:numPr>
        <w:spacing w:line="264" w:lineRule="auto"/>
        <w:rPr>
          <w:lang w:eastAsia="en-US" w:bidi="ar-SA"/>
        </w:rPr>
      </w:pPr>
      <w:r w:rsidRPr="002C72C2">
        <w:rPr>
          <w:lang w:eastAsia="en-US" w:bidi="ar-SA"/>
        </w:rPr>
        <w:t xml:space="preserve">Predict variability in load due to </w:t>
      </w:r>
      <w:r w:rsidR="007A3C74" w:rsidRPr="002C72C2">
        <w:rPr>
          <w:lang w:eastAsia="en-US" w:bidi="ar-SA"/>
        </w:rPr>
        <w:t>CER/DER</w:t>
      </w:r>
      <w:r w:rsidRPr="002C72C2">
        <w:rPr>
          <w:lang w:eastAsia="en-US" w:bidi="ar-SA"/>
        </w:rPr>
        <w:t xml:space="preserve"> and EVs, increasing regulation Frequency Control Ancillary Services (FCAS) requirements and costs</w:t>
      </w:r>
      <w:r w:rsidR="00067A83">
        <w:rPr>
          <w:lang w:eastAsia="en-US" w:bidi="ar-SA"/>
        </w:rPr>
        <w:t>.</w:t>
      </w:r>
    </w:p>
    <w:p w14:paraId="41FBA79A" w14:textId="4669239B" w:rsidR="00077C31" w:rsidRPr="002C72C2" w:rsidRDefault="00077C31" w:rsidP="00954BAC">
      <w:pPr>
        <w:pStyle w:val="ListParagraph"/>
        <w:numPr>
          <w:ilvl w:val="0"/>
          <w:numId w:val="14"/>
        </w:numPr>
        <w:spacing w:line="264" w:lineRule="auto"/>
        <w:rPr>
          <w:lang w:eastAsia="en-US" w:bidi="ar-SA"/>
        </w:rPr>
      </w:pPr>
      <w:r w:rsidRPr="002C72C2">
        <w:rPr>
          <w:lang w:eastAsia="en-US" w:bidi="ar-SA"/>
        </w:rPr>
        <w:t>Predict system load and its response to disturbances as accurately as in the past</w:t>
      </w:r>
      <w:r w:rsidR="00067A83">
        <w:rPr>
          <w:lang w:eastAsia="en-US" w:bidi="ar-SA"/>
        </w:rPr>
        <w:t>.</w:t>
      </w:r>
    </w:p>
    <w:p w14:paraId="6E599E8D" w14:textId="0CC61785" w:rsidR="00077C31" w:rsidRPr="002C72C2" w:rsidRDefault="00077C31" w:rsidP="00954BAC">
      <w:pPr>
        <w:pStyle w:val="ListParagraph"/>
        <w:numPr>
          <w:ilvl w:val="0"/>
          <w:numId w:val="14"/>
        </w:numPr>
        <w:spacing w:line="264" w:lineRule="auto"/>
        <w:rPr>
          <w:lang w:eastAsia="en-US" w:bidi="ar-SA"/>
        </w:rPr>
      </w:pPr>
      <w:r w:rsidRPr="002C72C2">
        <w:rPr>
          <w:lang w:eastAsia="en-US" w:bidi="ar-SA"/>
        </w:rPr>
        <w:t xml:space="preserve">Have certainty in the effectiveness of emergency control schemes to manage </w:t>
      </w:r>
      <w:r w:rsidR="00C425BE" w:rsidRPr="002C72C2">
        <w:rPr>
          <w:lang w:eastAsia="en-US" w:bidi="ar-SA"/>
        </w:rPr>
        <w:t>f</w:t>
      </w:r>
      <w:r w:rsidRPr="002C72C2">
        <w:rPr>
          <w:lang w:eastAsia="en-US" w:bidi="ar-SA"/>
        </w:rPr>
        <w:t xml:space="preserve">requency, if </w:t>
      </w:r>
      <w:r w:rsidR="007A3C74" w:rsidRPr="002C72C2">
        <w:rPr>
          <w:lang w:eastAsia="en-US" w:bidi="ar-SA"/>
        </w:rPr>
        <w:t>CER/DER</w:t>
      </w:r>
      <w:r w:rsidRPr="002C72C2">
        <w:rPr>
          <w:lang w:eastAsia="en-US" w:bidi="ar-SA"/>
        </w:rPr>
        <w:t xml:space="preserve"> affected, and more accurately quantify and target the volume of load available to be shed</w:t>
      </w:r>
      <w:r w:rsidR="00067A83">
        <w:rPr>
          <w:lang w:eastAsia="en-US" w:bidi="ar-SA"/>
        </w:rPr>
        <w:t>.</w:t>
      </w:r>
    </w:p>
    <w:p w14:paraId="7F247EBB" w14:textId="2680F84C" w:rsidR="00077C31" w:rsidRPr="002C72C2" w:rsidRDefault="00077C31" w:rsidP="00954BAC">
      <w:pPr>
        <w:pStyle w:val="ListParagraph"/>
        <w:numPr>
          <w:ilvl w:val="0"/>
          <w:numId w:val="14"/>
        </w:numPr>
        <w:spacing w:line="264" w:lineRule="auto"/>
        <w:rPr>
          <w:lang w:eastAsia="en-US" w:bidi="ar-SA"/>
        </w:rPr>
      </w:pPr>
      <w:r w:rsidRPr="002C72C2">
        <w:rPr>
          <w:lang w:eastAsia="en-US" w:bidi="ar-SA"/>
        </w:rPr>
        <w:t xml:space="preserve">Ensure a sufficient and economically efficient portfolio of </w:t>
      </w:r>
      <w:r w:rsidR="00C425BE" w:rsidRPr="002C72C2">
        <w:rPr>
          <w:lang w:eastAsia="en-US" w:bidi="ar-SA"/>
        </w:rPr>
        <w:t>e</w:t>
      </w:r>
      <w:r w:rsidRPr="002C72C2">
        <w:rPr>
          <w:lang w:eastAsia="en-US" w:bidi="ar-SA"/>
        </w:rPr>
        <w:t xml:space="preserve">nergy </w:t>
      </w:r>
      <w:r w:rsidR="00C425BE" w:rsidRPr="002C72C2">
        <w:rPr>
          <w:lang w:eastAsia="en-US" w:bidi="ar-SA"/>
        </w:rPr>
        <w:t>r</w:t>
      </w:r>
      <w:r w:rsidRPr="002C72C2">
        <w:rPr>
          <w:lang w:eastAsia="en-US" w:bidi="ar-SA"/>
        </w:rPr>
        <w:t>esources, both HV and LV-connected, is continuously available for instantaneous balancing of supply and demand.</w:t>
      </w:r>
    </w:p>
    <w:p w14:paraId="0347DB1B" w14:textId="1F96AEFA" w:rsidR="00D426F6" w:rsidRPr="002C72C2" w:rsidRDefault="00077C31" w:rsidP="00C9519F">
      <w:pPr>
        <w:spacing w:before="120" w:after="120" w:line="264" w:lineRule="auto"/>
        <w:rPr>
          <w:lang w:eastAsia="en-US" w:bidi="ar-SA"/>
        </w:rPr>
      </w:pPr>
      <w:r w:rsidRPr="002C72C2">
        <w:rPr>
          <w:lang w:eastAsia="en-US" w:bidi="ar-SA"/>
        </w:rPr>
        <w:t xml:space="preserve">In addition, with the dynamics of the </w:t>
      </w:r>
      <w:r w:rsidR="00D65433" w:rsidRPr="002C72C2">
        <w:rPr>
          <w:lang w:eastAsia="en-US" w:bidi="ar-SA"/>
        </w:rPr>
        <w:t>p</w:t>
      </w:r>
      <w:r w:rsidRPr="002C72C2">
        <w:rPr>
          <w:lang w:eastAsia="en-US" w:bidi="ar-SA"/>
        </w:rPr>
        <w:t xml:space="preserve">ower </w:t>
      </w:r>
      <w:r w:rsidR="00D65433" w:rsidRPr="002C72C2">
        <w:rPr>
          <w:lang w:eastAsia="en-US" w:bidi="ar-SA"/>
        </w:rPr>
        <w:t>s</w:t>
      </w:r>
      <w:r w:rsidRPr="002C72C2">
        <w:rPr>
          <w:lang w:eastAsia="en-US" w:bidi="ar-SA"/>
        </w:rPr>
        <w:t xml:space="preserve">ystem changing, insufficient </w:t>
      </w:r>
      <w:r w:rsidR="002E41C1" w:rsidRPr="002C72C2">
        <w:rPr>
          <w:lang w:eastAsia="en-US" w:bidi="ar-SA"/>
        </w:rPr>
        <w:t>v</w:t>
      </w:r>
      <w:r w:rsidRPr="002C72C2">
        <w:rPr>
          <w:lang w:eastAsia="en-US" w:bidi="ar-SA"/>
        </w:rPr>
        <w:t xml:space="preserve">isibility of </w:t>
      </w:r>
      <w:r w:rsidR="007A3C74" w:rsidRPr="002C72C2">
        <w:rPr>
          <w:lang w:eastAsia="en-US" w:bidi="ar-SA"/>
        </w:rPr>
        <w:t>CER/DER</w:t>
      </w:r>
      <w:r w:rsidRPr="002C72C2">
        <w:rPr>
          <w:lang w:eastAsia="en-US" w:bidi="ar-SA"/>
        </w:rPr>
        <w:t xml:space="preserve"> and EVs will affect the operational management of the </w:t>
      </w:r>
      <w:r w:rsidR="00C425BE" w:rsidRPr="002C72C2">
        <w:rPr>
          <w:lang w:eastAsia="en-US" w:bidi="ar-SA"/>
        </w:rPr>
        <w:t>p</w:t>
      </w:r>
      <w:r w:rsidRPr="002C72C2">
        <w:rPr>
          <w:lang w:eastAsia="en-US" w:bidi="ar-SA"/>
        </w:rPr>
        <w:t xml:space="preserve">ower </w:t>
      </w:r>
      <w:r w:rsidR="00C425BE" w:rsidRPr="002C72C2">
        <w:rPr>
          <w:lang w:eastAsia="en-US" w:bidi="ar-SA"/>
        </w:rPr>
        <w:t>s</w:t>
      </w:r>
      <w:r w:rsidRPr="002C72C2">
        <w:rPr>
          <w:lang w:eastAsia="en-US" w:bidi="ar-SA"/>
        </w:rPr>
        <w:t>ystem under extreme conditions</w:t>
      </w:r>
      <w:r w:rsidR="00374950">
        <w:rPr>
          <w:lang w:eastAsia="en-US" w:bidi="ar-SA"/>
        </w:rPr>
        <w:t xml:space="preserve">. </w:t>
      </w:r>
      <w:r w:rsidRPr="002C72C2">
        <w:rPr>
          <w:lang w:eastAsia="en-US" w:bidi="ar-SA"/>
        </w:rPr>
        <w:t xml:space="preserve">This may make segments of the </w:t>
      </w:r>
      <w:r w:rsidR="00D65433" w:rsidRPr="002C72C2">
        <w:rPr>
          <w:lang w:eastAsia="en-US" w:bidi="ar-SA"/>
        </w:rPr>
        <w:t xml:space="preserve">power system </w:t>
      </w:r>
      <w:r w:rsidRPr="002C72C2">
        <w:rPr>
          <w:lang w:eastAsia="en-US" w:bidi="ar-SA"/>
        </w:rPr>
        <w:t>more prone to failure and impact the management of contingency events</w:t>
      </w:r>
      <w:r w:rsidR="00374950">
        <w:rPr>
          <w:lang w:eastAsia="en-US" w:bidi="ar-SA"/>
        </w:rPr>
        <w:t xml:space="preserve">. </w:t>
      </w:r>
    </w:p>
    <w:p w14:paraId="54EC3F15" w14:textId="529898F5" w:rsidR="00077C31" w:rsidRPr="002C72C2" w:rsidRDefault="00077C31" w:rsidP="00EB2823">
      <w:pPr>
        <w:spacing w:before="120" w:after="120" w:line="264" w:lineRule="auto"/>
        <w:rPr>
          <w:lang w:eastAsia="en-US" w:bidi="ar-SA"/>
        </w:rPr>
      </w:pPr>
      <w:r w:rsidRPr="002C72C2">
        <w:rPr>
          <w:lang w:eastAsia="en-US" w:bidi="ar-SA"/>
        </w:rPr>
        <w:t xml:space="preserve">Conversely, international studies have found that greater </w:t>
      </w:r>
      <w:r w:rsidR="00394EB3" w:rsidRPr="002C72C2">
        <w:rPr>
          <w:lang w:eastAsia="en-US" w:bidi="ar-SA"/>
        </w:rPr>
        <w:t>v</w:t>
      </w:r>
      <w:r w:rsidRPr="002C72C2">
        <w:rPr>
          <w:lang w:eastAsia="en-US" w:bidi="ar-SA"/>
        </w:rPr>
        <w:t xml:space="preserve">isibility provides the </w:t>
      </w:r>
      <w:r w:rsidR="005251C6" w:rsidRPr="002C72C2">
        <w:rPr>
          <w:lang w:eastAsia="en-US" w:bidi="ar-SA"/>
        </w:rPr>
        <w:t>s</w:t>
      </w:r>
      <w:r w:rsidRPr="002C72C2">
        <w:rPr>
          <w:lang w:eastAsia="en-US" w:bidi="ar-SA"/>
        </w:rPr>
        <w:t xml:space="preserve">ystem </w:t>
      </w:r>
      <w:r w:rsidR="005251C6" w:rsidRPr="002C72C2">
        <w:rPr>
          <w:lang w:eastAsia="en-US" w:bidi="ar-SA"/>
        </w:rPr>
        <w:t>o</w:t>
      </w:r>
      <w:r w:rsidRPr="002C72C2">
        <w:rPr>
          <w:lang w:eastAsia="en-US" w:bidi="ar-SA"/>
        </w:rPr>
        <w:t xml:space="preserve">perator with more operational flexibility to efficiently manage the balance of supply and demand, and in planning against contingency events. Further, it enables the development and validation of forecasting models that more accurately reflect the effects of </w:t>
      </w:r>
      <w:r w:rsidR="007A3C74" w:rsidRPr="002C72C2">
        <w:rPr>
          <w:lang w:eastAsia="en-US" w:bidi="ar-SA"/>
        </w:rPr>
        <w:t>CER/DER</w:t>
      </w:r>
      <w:r w:rsidRPr="002C72C2">
        <w:rPr>
          <w:lang w:eastAsia="en-US" w:bidi="ar-SA"/>
        </w:rPr>
        <w:t xml:space="preserve"> and EVs across all operational and planning timeframes. </w:t>
      </w:r>
    </w:p>
    <w:p w14:paraId="063CFAF9" w14:textId="77777777" w:rsidR="00077C31" w:rsidRPr="00E142B1" w:rsidRDefault="00077C31" w:rsidP="00EB2823">
      <w:pPr>
        <w:spacing w:before="180" w:after="120" w:line="264" w:lineRule="auto"/>
        <w:rPr>
          <w:rStyle w:val="IntenseEmphasis"/>
        </w:rPr>
      </w:pPr>
      <w:r w:rsidRPr="00E142B1">
        <w:rPr>
          <w:rStyle w:val="IntenseEmphasis"/>
        </w:rPr>
        <w:t>Visibility / Data Requirements</w:t>
      </w:r>
    </w:p>
    <w:p w14:paraId="6C74DCF9" w14:textId="22D107F0" w:rsidR="00077C31" w:rsidRPr="002C72C2" w:rsidRDefault="00077C31" w:rsidP="00EB2823">
      <w:pPr>
        <w:spacing w:before="120" w:after="120" w:line="264" w:lineRule="auto"/>
        <w:rPr>
          <w:lang w:eastAsia="en-US" w:bidi="ar-SA"/>
        </w:rPr>
      </w:pPr>
      <w:r w:rsidRPr="002C72C2">
        <w:rPr>
          <w:lang w:eastAsia="en-US" w:bidi="ar-SA"/>
        </w:rPr>
        <w:t>Distribution networks in many parts of the world are hosting an ever-expanding range of connected devices and required to perform increasingly sophisticated functions.</w:t>
      </w:r>
      <w:r w:rsidR="00353382" w:rsidRPr="002C72C2">
        <w:rPr>
          <w:lang w:eastAsia="en-US" w:bidi="ar-SA"/>
        </w:rPr>
        <w:t xml:space="preserve"> </w:t>
      </w:r>
      <w:r w:rsidRPr="002C72C2">
        <w:rPr>
          <w:lang w:eastAsia="en-US" w:bidi="ar-SA"/>
        </w:rPr>
        <w:t xml:space="preserve">While specific data requirements will vary across the different types of </w:t>
      </w:r>
      <w:r w:rsidR="007A3C74" w:rsidRPr="002C72C2">
        <w:rPr>
          <w:lang w:eastAsia="en-US" w:bidi="ar-SA"/>
        </w:rPr>
        <w:t>CER/DER</w:t>
      </w:r>
      <w:r w:rsidRPr="002C72C2">
        <w:rPr>
          <w:lang w:eastAsia="en-US" w:bidi="ar-SA"/>
        </w:rPr>
        <w:t xml:space="preserve"> and EVs, </w:t>
      </w:r>
      <w:r w:rsidR="00BB57CD" w:rsidRPr="002C72C2">
        <w:rPr>
          <w:lang w:eastAsia="en-US" w:bidi="ar-SA"/>
        </w:rPr>
        <w:t>system operators w</w:t>
      </w:r>
      <w:r w:rsidRPr="002C72C2">
        <w:rPr>
          <w:lang w:eastAsia="en-US" w:bidi="ar-SA"/>
        </w:rPr>
        <w:t xml:space="preserve">ill increasingly require the following: </w:t>
      </w:r>
    </w:p>
    <w:p w14:paraId="5A4E3757" w14:textId="759EF765" w:rsidR="00077C31" w:rsidRPr="002C72C2" w:rsidRDefault="00077C31" w:rsidP="00954BAC">
      <w:pPr>
        <w:pStyle w:val="ListParagraph"/>
        <w:numPr>
          <w:ilvl w:val="0"/>
          <w:numId w:val="16"/>
        </w:numPr>
        <w:spacing w:line="264" w:lineRule="auto"/>
        <w:rPr>
          <w:lang w:eastAsia="en-US" w:bidi="ar-SA"/>
        </w:rPr>
      </w:pPr>
      <w:r w:rsidRPr="002C72C2">
        <w:rPr>
          <w:lang w:eastAsia="en-US" w:bidi="ar-SA"/>
        </w:rPr>
        <w:t xml:space="preserve">Standing data on the location, capacity, and technical characteristics of </w:t>
      </w:r>
      <w:r w:rsidR="007A3C74" w:rsidRPr="002C72C2">
        <w:rPr>
          <w:lang w:eastAsia="en-US" w:bidi="ar-SA"/>
        </w:rPr>
        <w:t>CER/DER</w:t>
      </w:r>
      <w:r w:rsidRPr="002C72C2">
        <w:rPr>
          <w:lang w:eastAsia="en-US" w:bidi="ar-SA"/>
        </w:rPr>
        <w:t xml:space="preserve"> and EV charging, in particular the inverters interfaced to the network</w:t>
      </w:r>
      <w:r w:rsidR="00067A83">
        <w:rPr>
          <w:lang w:eastAsia="en-US" w:bidi="ar-SA"/>
        </w:rPr>
        <w:t>.</w:t>
      </w:r>
    </w:p>
    <w:p w14:paraId="05ADDA41" w14:textId="09AC74AC" w:rsidR="00077C31" w:rsidRPr="002C72C2" w:rsidRDefault="00077C31" w:rsidP="00EB2823">
      <w:pPr>
        <w:pStyle w:val="ListParagraph"/>
        <w:spacing w:line="264" w:lineRule="auto"/>
        <w:rPr>
          <w:lang w:eastAsia="en-US" w:bidi="ar-SA"/>
        </w:rPr>
      </w:pPr>
      <w:r w:rsidRPr="002C72C2">
        <w:rPr>
          <w:lang w:eastAsia="en-US" w:bidi="ar-SA"/>
        </w:rPr>
        <w:t xml:space="preserve">Near real-time data with resolution of at least </w:t>
      </w:r>
      <w:r w:rsidR="00513401" w:rsidRPr="002C72C2">
        <w:rPr>
          <w:lang w:eastAsia="en-US" w:bidi="ar-SA"/>
        </w:rPr>
        <w:t>5-</w:t>
      </w:r>
      <w:r w:rsidRPr="002C72C2">
        <w:rPr>
          <w:lang w:eastAsia="en-US" w:bidi="ar-SA"/>
        </w:rPr>
        <w:t>minutes for operational forecasts, to 30</w:t>
      </w:r>
      <w:r w:rsidR="00513401" w:rsidRPr="002C72C2">
        <w:rPr>
          <w:lang w:eastAsia="en-US" w:bidi="ar-SA"/>
        </w:rPr>
        <w:t>-</w:t>
      </w:r>
      <w:r w:rsidRPr="002C72C2">
        <w:rPr>
          <w:lang w:eastAsia="en-US" w:bidi="ar-SA"/>
        </w:rPr>
        <w:t xml:space="preserve">minutes for longer-term forecasts, are required from </w:t>
      </w:r>
      <w:r w:rsidR="007A3C74" w:rsidRPr="002C72C2">
        <w:rPr>
          <w:lang w:eastAsia="en-US" w:bidi="ar-SA"/>
        </w:rPr>
        <w:t>CER/DER</w:t>
      </w:r>
      <w:r w:rsidRPr="002C72C2">
        <w:rPr>
          <w:lang w:eastAsia="en-US" w:bidi="ar-SA"/>
        </w:rPr>
        <w:t xml:space="preserve"> and EVs, aggregated at the </w:t>
      </w:r>
      <w:r w:rsidR="00BB57CD" w:rsidRPr="002C72C2">
        <w:rPr>
          <w:lang w:eastAsia="en-US" w:bidi="ar-SA"/>
        </w:rPr>
        <w:t>TDI</w:t>
      </w:r>
      <w:r w:rsidR="00BB57CD" w:rsidRPr="00023DDF">
        <w:rPr>
          <w:rStyle w:val="FootnoteReference"/>
        </w:rPr>
        <w:footnoteReference w:id="11"/>
      </w:r>
      <w:r w:rsidR="00F60A15">
        <w:rPr>
          <w:lang w:eastAsia="en-US" w:bidi="ar-SA"/>
        </w:rPr>
        <w:t>.</w:t>
      </w:r>
    </w:p>
    <w:p w14:paraId="799A9453" w14:textId="12227261" w:rsidR="00077C31" w:rsidRPr="002C72C2" w:rsidRDefault="00077C31" w:rsidP="00954BAC">
      <w:pPr>
        <w:pStyle w:val="ListParagraph"/>
        <w:numPr>
          <w:ilvl w:val="0"/>
          <w:numId w:val="16"/>
        </w:numPr>
        <w:spacing w:line="264" w:lineRule="auto"/>
        <w:rPr>
          <w:lang w:eastAsia="en-US" w:bidi="ar-SA"/>
        </w:rPr>
      </w:pPr>
      <w:r w:rsidRPr="002C72C2">
        <w:rPr>
          <w:lang w:eastAsia="en-US" w:bidi="ar-SA"/>
        </w:rPr>
        <w:t xml:space="preserve">In the longer term, expanding data resolution concerning available LV-connected generation, storage and export capacity in support of whole-system </w:t>
      </w:r>
      <w:r w:rsidR="0029178C" w:rsidRPr="002C72C2">
        <w:rPr>
          <w:lang w:eastAsia="en-US" w:bidi="ar-SA"/>
        </w:rPr>
        <w:t>r</w:t>
      </w:r>
      <w:r w:rsidRPr="002C72C2">
        <w:rPr>
          <w:lang w:eastAsia="en-US" w:bidi="ar-SA"/>
        </w:rPr>
        <w:t xml:space="preserve">esource </w:t>
      </w:r>
      <w:r w:rsidR="0029178C" w:rsidRPr="002C72C2">
        <w:rPr>
          <w:lang w:eastAsia="en-US" w:bidi="ar-SA"/>
        </w:rPr>
        <w:t>a</w:t>
      </w:r>
      <w:r w:rsidRPr="002C72C2">
        <w:rPr>
          <w:lang w:eastAsia="en-US" w:bidi="ar-SA"/>
        </w:rPr>
        <w:t>dequacy.</w:t>
      </w:r>
    </w:p>
    <w:p w14:paraId="3A393481" w14:textId="77777777" w:rsidR="00077C31" w:rsidRPr="00E142B1" w:rsidRDefault="00077C31" w:rsidP="00EB2823">
      <w:pPr>
        <w:spacing w:before="180" w:after="120" w:line="264" w:lineRule="auto"/>
        <w:rPr>
          <w:rStyle w:val="IntenseEmphasis"/>
        </w:rPr>
      </w:pPr>
      <w:r w:rsidRPr="00E142B1">
        <w:rPr>
          <w:rStyle w:val="IntenseEmphasis"/>
        </w:rPr>
        <w:t xml:space="preserve">Legacy Structural Constraints </w:t>
      </w:r>
    </w:p>
    <w:p w14:paraId="3FA0188C" w14:textId="761FF8D7" w:rsidR="00077C31" w:rsidRPr="002C72C2" w:rsidRDefault="00077C31" w:rsidP="00EB2823">
      <w:pPr>
        <w:spacing w:before="120" w:after="120" w:line="264" w:lineRule="auto"/>
        <w:rPr>
          <w:lang w:eastAsia="en-US" w:bidi="ar-SA"/>
        </w:rPr>
      </w:pPr>
      <w:r w:rsidRPr="002C72C2">
        <w:rPr>
          <w:lang w:eastAsia="en-US" w:bidi="ar-SA"/>
        </w:rPr>
        <w:t xml:space="preserve">These requirements should be understood in the context of greater </w:t>
      </w:r>
      <w:r w:rsidR="0029178C" w:rsidRPr="002C72C2">
        <w:rPr>
          <w:lang w:eastAsia="en-US" w:bidi="ar-SA"/>
        </w:rPr>
        <w:t>v</w:t>
      </w:r>
      <w:r w:rsidRPr="002C72C2">
        <w:rPr>
          <w:lang w:eastAsia="en-US" w:bidi="ar-SA"/>
        </w:rPr>
        <w:t xml:space="preserve">olatility as decarbonising </w:t>
      </w:r>
      <w:r w:rsidR="00D65433" w:rsidRPr="002C72C2">
        <w:rPr>
          <w:lang w:eastAsia="en-US" w:bidi="ar-SA"/>
        </w:rPr>
        <w:t>power system</w:t>
      </w:r>
      <w:r w:rsidRPr="002C72C2">
        <w:rPr>
          <w:lang w:eastAsia="en-US" w:bidi="ar-SA"/>
        </w:rPr>
        <w:t>s become more dependent on highly variable generation</w:t>
      </w:r>
      <w:r w:rsidR="00374950">
        <w:rPr>
          <w:lang w:eastAsia="en-US" w:bidi="ar-SA"/>
        </w:rPr>
        <w:t xml:space="preserve">. </w:t>
      </w:r>
      <w:r w:rsidRPr="002C72C2">
        <w:rPr>
          <w:lang w:eastAsia="en-US" w:bidi="ar-SA"/>
        </w:rPr>
        <w:t xml:space="preserve">The resulting higher speed </w:t>
      </w:r>
      <w:r w:rsidR="00D65433" w:rsidRPr="002C72C2">
        <w:rPr>
          <w:lang w:eastAsia="en-US" w:bidi="ar-SA"/>
        </w:rPr>
        <w:t xml:space="preserve">power system </w:t>
      </w:r>
      <w:r w:rsidRPr="002C72C2">
        <w:rPr>
          <w:lang w:eastAsia="en-US" w:bidi="ar-SA"/>
        </w:rPr>
        <w:t>dynamics directly drives the need for real or near real-time data</w:t>
      </w:r>
      <w:r w:rsidR="00374950">
        <w:rPr>
          <w:lang w:eastAsia="en-US" w:bidi="ar-SA"/>
        </w:rPr>
        <w:t xml:space="preserve">. </w:t>
      </w:r>
      <w:r w:rsidRPr="002C72C2">
        <w:rPr>
          <w:lang w:eastAsia="en-US" w:bidi="ar-SA"/>
        </w:rPr>
        <w:t xml:space="preserve">The delivery of data from source to use, therefore, becomes critical and bandwidth, latency, and packet loss requirements more stringent. </w:t>
      </w:r>
    </w:p>
    <w:p w14:paraId="7BDA8AF9" w14:textId="1371E827" w:rsidR="00077C31" w:rsidRPr="002C72C2" w:rsidRDefault="00077C31" w:rsidP="00EB2823">
      <w:pPr>
        <w:spacing w:before="120" w:after="120" w:line="264" w:lineRule="auto"/>
        <w:rPr>
          <w:lang w:eastAsia="en-US" w:bidi="ar-SA"/>
        </w:rPr>
      </w:pPr>
      <w:r w:rsidRPr="002C72C2">
        <w:rPr>
          <w:lang w:eastAsia="en-US" w:bidi="ar-SA"/>
        </w:rPr>
        <w:t xml:space="preserve">It therefore becomes critical to apply a holistic approach to identifying cyber-physical constraints embedded in the as-built </w:t>
      </w:r>
      <w:r w:rsidR="00D65433" w:rsidRPr="002C72C2">
        <w:rPr>
          <w:lang w:eastAsia="en-US" w:bidi="ar-SA"/>
        </w:rPr>
        <w:t xml:space="preserve">power system </w:t>
      </w:r>
      <w:r w:rsidRPr="002C72C2">
        <w:rPr>
          <w:lang w:eastAsia="en-US" w:bidi="ar-SA"/>
        </w:rPr>
        <w:t>structures that impede accurate and timely data flows. Such constraints may arise from historical design precedents and various aspects of the structural separation arrangements of the NEM</w:t>
      </w:r>
      <w:r w:rsidR="00374950">
        <w:rPr>
          <w:lang w:eastAsia="en-US" w:bidi="ar-SA"/>
        </w:rPr>
        <w:t xml:space="preserve">. </w:t>
      </w:r>
      <w:r w:rsidRPr="002C72C2">
        <w:rPr>
          <w:lang w:eastAsia="en-US" w:bidi="ar-SA"/>
        </w:rPr>
        <w:t xml:space="preserve">In a historical context of much less dynamic interdependence across the TDI for </w:t>
      </w:r>
      <w:r w:rsidR="00FE7E33" w:rsidRPr="002C72C2">
        <w:rPr>
          <w:lang w:eastAsia="en-US" w:bidi="ar-SA"/>
        </w:rPr>
        <w:t>o</w:t>
      </w:r>
      <w:r w:rsidRPr="002C72C2">
        <w:rPr>
          <w:lang w:eastAsia="en-US" w:bidi="ar-SA"/>
        </w:rPr>
        <w:t>perability purposes, these impediments are commonly exacerbated by relevant data being managed by proprietary applications and structured in vertical siloes which escalate back-end integration delays and costs.</w:t>
      </w:r>
    </w:p>
    <w:p w14:paraId="0A1263AD" w14:textId="13DA17BA" w:rsidR="00077C31" w:rsidRPr="002C72C2" w:rsidRDefault="00077C31" w:rsidP="00EB2823">
      <w:pPr>
        <w:spacing w:before="120" w:after="120" w:line="264" w:lineRule="auto"/>
        <w:rPr>
          <w:lang w:eastAsia="en-US" w:bidi="ar-SA"/>
        </w:rPr>
      </w:pPr>
      <w:r w:rsidRPr="002C72C2">
        <w:rPr>
          <w:lang w:eastAsia="en-US" w:bidi="ar-SA"/>
        </w:rPr>
        <w:t>Once identified, holistic architectural strategies must be developed to validate the data requirements and address structural constraints in a manner acceptable to both AEMO and DNSP/DSOs</w:t>
      </w:r>
      <w:r w:rsidR="00374950">
        <w:rPr>
          <w:lang w:eastAsia="en-US" w:bidi="ar-SA"/>
        </w:rPr>
        <w:t xml:space="preserve">. </w:t>
      </w:r>
      <w:r w:rsidRPr="002C72C2">
        <w:rPr>
          <w:lang w:eastAsia="en-US" w:bidi="ar-SA"/>
        </w:rPr>
        <w:t>It is important to note that while this may initially involve a range of targeted initiatives, the failure to address legacy structural constraints in a holistic manner will not ultimately be compensated for by any number of ‘issue-in-isolation’ solutions</w:t>
      </w:r>
      <w:r w:rsidR="00374950">
        <w:rPr>
          <w:lang w:eastAsia="en-US" w:bidi="ar-SA"/>
        </w:rPr>
        <w:t xml:space="preserve">. </w:t>
      </w:r>
    </w:p>
    <w:p w14:paraId="7E86A901" w14:textId="77777777" w:rsidR="00077C31" w:rsidRPr="00FF7739" w:rsidRDefault="00077C31" w:rsidP="00954BAC">
      <w:pPr>
        <w:pStyle w:val="Heading4"/>
        <w:numPr>
          <w:ilvl w:val="0"/>
          <w:numId w:val="52"/>
        </w:numPr>
        <w:spacing w:before="240" w:after="120" w:line="264" w:lineRule="auto"/>
        <w:rPr>
          <w:i w:val="0"/>
          <w:iCs w:val="0"/>
        </w:rPr>
      </w:pPr>
      <w:r w:rsidRPr="00FF7739">
        <w:rPr>
          <w:i w:val="0"/>
          <w:iCs w:val="0"/>
        </w:rPr>
        <w:t xml:space="preserve">Solution Requirements </w:t>
      </w:r>
    </w:p>
    <w:p w14:paraId="0F0E7E4E" w14:textId="3FAD015A" w:rsidR="00077C31" w:rsidRPr="002C72C2" w:rsidRDefault="00077C31" w:rsidP="00EB2823">
      <w:pPr>
        <w:spacing w:before="120" w:after="120" w:line="264" w:lineRule="auto"/>
        <w:rPr>
          <w:lang w:eastAsia="en-US" w:bidi="ar-SA"/>
        </w:rPr>
      </w:pPr>
      <w:r w:rsidRPr="002C72C2">
        <w:rPr>
          <w:lang w:eastAsia="en-US" w:bidi="ar-SA"/>
        </w:rPr>
        <w:t xml:space="preserve">In a context where LV-connected </w:t>
      </w:r>
      <w:r w:rsidR="007A3C74" w:rsidRPr="002C72C2">
        <w:rPr>
          <w:lang w:eastAsia="en-US" w:bidi="ar-SA"/>
        </w:rPr>
        <w:t>CER/DER</w:t>
      </w:r>
      <w:r w:rsidRPr="002C72C2">
        <w:rPr>
          <w:lang w:eastAsia="en-US" w:bidi="ar-SA"/>
        </w:rPr>
        <w:t xml:space="preserve"> and EVs are projected to continue strong upward growth as a proportion of all </w:t>
      </w:r>
      <w:r w:rsidR="002D66F4" w:rsidRPr="002C72C2">
        <w:rPr>
          <w:lang w:eastAsia="en-US" w:bidi="ar-SA"/>
        </w:rPr>
        <w:t>e</w:t>
      </w:r>
      <w:r w:rsidRPr="002C72C2">
        <w:rPr>
          <w:lang w:eastAsia="en-US" w:bidi="ar-SA"/>
        </w:rPr>
        <w:t xml:space="preserve">nergy </w:t>
      </w:r>
      <w:r w:rsidR="002D66F4" w:rsidRPr="002C72C2">
        <w:rPr>
          <w:lang w:eastAsia="en-US" w:bidi="ar-SA"/>
        </w:rPr>
        <w:t>r</w:t>
      </w:r>
      <w:r w:rsidRPr="002C72C2">
        <w:rPr>
          <w:lang w:eastAsia="en-US" w:bidi="ar-SA"/>
        </w:rPr>
        <w:t xml:space="preserve">esources, the </w:t>
      </w:r>
      <w:r w:rsidR="00C305BE">
        <w:rPr>
          <w:lang w:eastAsia="en-US" w:bidi="ar-SA"/>
        </w:rPr>
        <w:t>o</w:t>
      </w:r>
      <w:r w:rsidRPr="002C72C2">
        <w:rPr>
          <w:lang w:eastAsia="en-US" w:bidi="ar-SA"/>
        </w:rPr>
        <w:t xml:space="preserve">perability of the NEM will require more sophisticated approaches to </w:t>
      </w:r>
      <w:r w:rsidR="00D05ACA">
        <w:rPr>
          <w:lang w:eastAsia="en-US" w:bidi="ar-SA"/>
        </w:rPr>
        <w:t>v</w:t>
      </w:r>
      <w:r w:rsidRPr="002C72C2">
        <w:rPr>
          <w:lang w:eastAsia="en-US" w:bidi="ar-SA"/>
        </w:rPr>
        <w:t>isibility</w:t>
      </w:r>
      <w:r w:rsidR="00374950">
        <w:rPr>
          <w:lang w:eastAsia="en-US" w:bidi="ar-SA"/>
        </w:rPr>
        <w:t xml:space="preserve">. </w:t>
      </w:r>
      <w:r w:rsidRPr="002C72C2">
        <w:rPr>
          <w:lang w:eastAsia="en-US" w:bidi="ar-SA"/>
        </w:rPr>
        <w:t xml:space="preserve">Founded on low latency, real-time or near real-time data and analytics, key outcomes that will ultimately be required include: </w:t>
      </w:r>
    </w:p>
    <w:p w14:paraId="3A104264" w14:textId="22388E8B" w:rsidR="00077C31" w:rsidRPr="002C72C2" w:rsidRDefault="00077C31" w:rsidP="00954BAC">
      <w:pPr>
        <w:pStyle w:val="ListParagraph"/>
        <w:numPr>
          <w:ilvl w:val="0"/>
          <w:numId w:val="17"/>
        </w:numPr>
        <w:spacing w:line="264" w:lineRule="auto"/>
        <w:rPr>
          <w:lang w:eastAsia="en-US" w:bidi="ar-SA"/>
        </w:rPr>
      </w:pPr>
      <w:r w:rsidRPr="002C72C2">
        <w:rPr>
          <w:lang w:eastAsia="en-US" w:bidi="ar-SA"/>
        </w:rPr>
        <w:t xml:space="preserve">Enhanced ability to forecast operational demand over a range of time windows and operating conditions, calibrated and validated on a continual </w:t>
      </w:r>
      <w:r w:rsidR="00F60A15" w:rsidRPr="002C72C2">
        <w:rPr>
          <w:lang w:eastAsia="en-US" w:bidi="ar-SA"/>
        </w:rPr>
        <w:t>basis.</w:t>
      </w:r>
      <w:r w:rsidRPr="002C72C2">
        <w:rPr>
          <w:lang w:eastAsia="en-US" w:bidi="ar-SA"/>
        </w:rPr>
        <w:t xml:space="preserve"> </w:t>
      </w:r>
    </w:p>
    <w:p w14:paraId="1CCFB7D1" w14:textId="0014DC7C" w:rsidR="00077C31" w:rsidRPr="002C72C2" w:rsidRDefault="00077C31" w:rsidP="00954BAC">
      <w:pPr>
        <w:pStyle w:val="ListParagraph"/>
        <w:numPr>
          <w:ilvl w:val="0"/>
          <w:numId w:val="17"/>
        </w:numPr>
        <w:spacing w:line="264" w:lineRule="auto"/>
        <w:rPr>
          <w:lang w:eastAsia="en-US" w:bidi="ar-SA"/>
        </w:rPr>
      </w:pPr>
      <w:r w:rsidRPr="002C72C2">
        <w:rPr>
          <w:lang w:eastAsia="en-US" w:bidi="ar-SA"/>
        </w:rPr>
        <w:t xml:space="preserve">Better quantification of the system </w:t>
      </w:r>
      <w:r w:rsidR="005C0F39" w:rsidRPr="002C72C2">
        <w:rPr>
          <w:lang w:eastAsia="en-US" w:bidi="ar-SA"/>
        </w:rPr>
        <w:t>t</w:t>
      </w:r>
      <w:r w:rsidRPr="002C72C2">
        <w:rPr>
          <w:lang w:eastAsia="en-US" w:bidi="ar-SA"/>
        </w:rPr>
        <w:t xml:space="preserve">echnical </w:t>
      </w:r>
      <w:r w:rsidR="005C0F39" w:rsidRPr="002C72C2">
        <w:rPr>
          <w:lang w:eastAsia="en-US" w:bidi="ar-SA"/>
        </w:rPr>
        <w:t>e</w:t>
      </w:r>
      <w:r w:rsidRPr="002C72C2">
        <w:rPr>
          <w:lang w:eastAsia="en-US" w:bidi="ar-SA"/>
        </w:rPr>
        <w:t>nvelope and more accurate identification of measures available to prevent exceedance of this envelope in credible contingency events</w:t>
      </w:r>
      <w:r w:rsidR="00F60A15">
        <w:rPr>
          <w:lang w:eastAsia="en-US" w:bidi="ar-SA"/>
        </w:rPr>
        <w:t>.</w:t>
      </w:r>
    </w:p>
    <w:p w14:paraId="67CB9D52" w14:textId="42013202" w:rsidR="00077C31" w:rsidRPr="002C72C2" w:rsidRDefault="00077C31" w:rsidP="00954BAC">
      <w:pPr>
        <w:pStyle w:val="ListParagraph"/>
        <w:numPr>
          <w:ilvl w:val="0"/>
          <w:numId w:val="17"/>
        </w:numPr>
        <w:spacing w:line="264" w:lineRule="auto"/>
        <w:rPr>
          <w:lang w:eastAsia="en-US" w:bidi="ar-SA"/>
        </w:rPr>
      </w:pPr>
      <w:r w:rsidRPr="002C72C2">
        <w:rPr>
          <w:lang w:eastAsia="en-US" w:bidi="ar-SA"/>
        </w:rPr>
        <w:t xml:space="preserve">Support the adequacy and enhanced economic efficiency of the portfolio of centralised and distributed </w:t>
      </w:r>
      <w:r w:rsidR="00E2018C" w:rsidRPr="002C72C2">
        <w:rPr>
          <w:lang w:eastAsia="en-US" w:bidi="ar-SA"/>
        </w:rPr>
        <w:t>e</w:t>
      </w:r>
      <w:r w:rsidRPr="002C72C2">
        <w:rPr>
          <w:lang w:eastAsia="en-US" w:bidi="ar-SA"/>
        </w:rPr>
        <w:t xml:space="preserve">nergy </w:t>
      </w:r>
      <w:r w:rsidR="00E2018C" w:rsidRPr="002C72C2">
        <w:rPr>
          <w:lang w:eastAsia="en-US" w:bidi="ar-SA"/>
        </w:rPr>
        <w:t>r</w:t>
      </w:r>
      <w:r w:rsidRPr="002C72C2">
        <w:rPr>
          <w:lang w:eastAsia="en-US" w:bidi="ar-SA"/>
        </w:rPr>
        <w:t>esources available to maintain the instantaneous balancing of supply and demand</w:t>
      </w:r>
      <w:r w:rsidR="00F60A15">
        <w:rPr>
          <w:lang w:eastAsia="en-US" w:bidi="ar-SA"/>
        </w:rPr>
        <w:t>.</w:t>
      </w:r>
    </w:p>
    <w:p w14:paraId="095F4F2C" w14:textId="42E85284" w:rsidR="00077C31" w:rsidRPr="002C72C2" w:rsidRDefault="00077C31" w:rsidP="00954BAC">
      <w:pPr>
        <w:pStyle w:val="ListParagraph"/>
        <w:numPr>
          <w:ilvl w:val="0"/>
          <w:numId w:val="17"/>
        </w:numPr>
        <w:spacing w:line="264" w:lineRule="auto"/>
        <w:rPr>
          <w:lang w:eastAsia="en-US" w:bidi="ar-SA"/>
        </w:rPr>
      </w:pPr>
      <w:r w:rsidRPr="002C72C2">
        <w:rPr>
          <w:lang w:eastAsia="en-US" w:bidi="ar-SA"/>
        </w:rPr>
        <w:t xml:space="preserve">The dynamic identification of an expanded range of options that enable the </w:t>
      </w:r>
      <w:r w:rsidR="00E2018C" w:rsidRPr="002C72C2">
        <w:rPr>
          <w:lang w:eastAsia="en-US" w:bidi="ar-SA"/>
        </w:rPr>
        <w:t>s</w:t>
      </w:r>
      <w:r w:rsidRPr="002C72C2">
        <w:rPr>
          <w:lang w:eastAsia="en-US" w:bidi="ar-SA"/>
        </w:rPr>
        <w:t xml:space="preserve">ystem </w:t>
      </w:r>
      <w:r w:rsidR="00E2018C" w:rsidRPr="002C72C2">
        <w:rPr>
          <w:lang w:eastAsia="en-US" w:bidi="ar-SA"/>
        </w:rPr>
        <w:t>o</w:t>
      </w:r>
      <w:r w:rsidRPr="002C72C2">
        <w:rPr>
          <w:lang w:eastAsia="en-US" w:bidi="ar-SA"/>
        </w:rPr>
        <w:t>perator to:</w:t>
      </w:r>
    </w:p>
    <w:p w14:paraId="286D128B" w14:textId="7ACB30A5" w:rsidR="00077C31" w:rsidRPr="002C72C2" w:rsidRDefault="00077C31" w:rsidP="00954BAC">
      <w:pPr>
        <w:pStyle w:val="ListParagraph"/>
        <w:numPr>
          <w:ilvl w:val="1"/>
          <w:numId w:val="12"/>
        </w:numPr>
        <w:spacing w:line="264" w:lineRule="auto"/>
        <w:ind w:left="1134" w:hanging="283"/>
        <w:rPr>
          <w:lang w:eastAsia="en-US" w:bidi="ar-SA"/>
        </w:rPr>
      </w:pPr>
      <w:r w:rsidRPr="002C72C2">
        <w:rPr>
          <w:lang w:eastAsia="en-US" w:bidi="ar-SA"/>
        </w:rPr>
        <w:t>Reduce the forecast reserve requirements</w:t>
      </w:r>
    </w:p>
    <w:p w14:paraId="7B6D23E0" w14:textId="601622A6" w:rsidR="00077C31" w:rsidRPr="002C72C2" w:rsidRDefault="00077C31" w:rsidP="00954BAC">
      <w:pPr>
        <w:pStyle w:val="ListParagraph"/>
        <w:numPr>
          <w:ilvl w:val="1"/>
          <w:numId w:val="12"/>
        </w:numPr>
        <w:spacing w:line="264" w:lineRule="auto"/>
        <w:ind w:left="1134" w:hanging="283"/>
        <w:rPr>
          <w:lang w:eastAsia="en-US" w:bidi="ar-SA"/>
        </w:rPr>
      </w:pPr>
      <w:r w:rsidRPr="002C72C2">
        <w:rPr>
          <w:lang w:eastAsia="en-US" w:bidi="ar-SA"/>
        </w:rPr>
        <w:t>Reduce the volume of regulation FCAS required</w:t>
      </w:r>
    </w:p>
    <w:p w14:paraId="25065039" w14:textId="1E0DED2F" w:rsidR="00077C31" w:rsidRPr="002C72C2" w:rsidRDefault="00077C31" w:rsidP="00954BAC">
      <w:pPr>
        <w:pStyle w:val="ListParagraph"/>
        <w:numPr>
          <w:ilvl w:val="1"/>
          <w:numId w:val="12"/>
        </w:numPr>
        <w:spacing w:line="264" w:lineRule="auto"/>
        <w:ind w:left="1134" w:hanging="283"/>
        <w:rPr>
          <w:lang w:eastAsia="en-US" w:bidi="ar-SA"/>
        </w:rPr>
      </w:pPr>
      <w:r w:rsidRPr="002C72C2">
        <w:rPr>
          <w:lang w:eastAsia="en-US" w:bidi="ar-SA"/>
        </w:rPr>
        <w:t>Enhance overall rates of asset utilisation</w:t>
      </w:r>
    </w:p>
    <w:p w14:paraId="7E405A51" w14:textId="782D66D5" w:rsidR="00077C31" w:rsidRPr="002C72C2" w:rsidRDefault="00077C31" w:rsidP="00954BAC">
      <w:pPr>
        <w:pStyle w:val="ListParagraph"/>
        <w:numPr>
          <w:ilvl w:val="1"/>
          <w:numId w:val="12"/>
        </w:numPr>
        <w:spacing w:line="264" w:lineRule="auto"/>
        <w:ind w:left="1134" w:hanging="283"/>
        <w:rPr>
          <w:lang w:eastAsia="en-US" w:bidi="ar-SA"/>
        </w:rPr>
      </w:pPr>
      <w:r w:rsidRPr="002C72C2">
        <w:rPr>
          <w:lang w:eastAsia="en-US" w:bidi="ar-SA"/>
        </w:rPr>
        <w:t xml:space="preserve">More accurately inform the volume of load available to be shed to manage </w:t>
      </w:r>
      <w:r w:rsidR="00055E98" w:rsidRPr="002C72C2">
        <w:rPr>
          <w:lang w:eastAsia="en-US" w:bidi="ar-SA"/>
        </w:rPr>
        <w:t>fr</w:t>
      </w:r>
      <w:r w:rsidRPr="002C72C2">
        <w:rPr>
          <w:lang w:eastAsia="en-US" w:bidi="ar-SA"/>
        </w:rPr>
        <w:t>equency</w:t>
      </w:r>
      <w:r w:rsidR="00717AA7">
        <w:rPr>
          <w:lang w:eastAsia="en-US" w:bidi="ar-SA"/>
        </w:rPr>
        <w:t xml:space="preserve"> </w:t>
      </w:r>
      <w:r w:rsidRPr="002C72C2">
        <w:rPr>
          <w:lang w:eastAsia="en-US" w:bidi="ar-SA"/>
        </w:rPr>
        <w:t>under emergency conditions</w:t>
      </w:r>
    </w:p>
    <w:p w14:paraId="05D5DDCD" w14:textId="77777777" w:rsidR="00077C31" w:rsidRPr="002C72C2" w:rsidRDefault="00077C31" w:rsidP="00EB2823">
      <w:pPr>
        <w:spacing w:before="120" w:after="120" w:line="264" w:lineRule="auto"/>
        <w:rPr>
          <w:lang w:eastAsia="en-US" w:bidi="ar-SA"/>
        </w:rPr>
      </w:pPr>
      <w:r w:rsidRPr="002C72C2">
        <w:rPr>
          <w:lang w:eastAsia="en-US" w:bidi="ar-SA"/>
        </w:rPr>
        <w:t xml:space="preserve">As noted above, enabling this will require the collaborative development of holistic architectural strategies that address legacy constraints and latency cascading in a manner acceptable to both AEMO and DNSP/DSOs and can be implemented in a step-wise manner over an appropriate duration of time. </w:t>
      </w:r>
    </w:p>
    <w:p w14:paraId="563A2B6E" w14:textId="77777777" w:rsidR="00A80895" w:rsidRDefault="00A80895" w:rsidP="00EB2823">
      <w:pPr>
        <w:spacing w:line="264" w:lineRule="auto"/>
      </w:pPr>
      <w:r>
        <w:rPr>
          <w:b/>
          <w:bCs/>
        </w:rPr>
        <w:br w:type="page"/>
      </w:r>
    </w:p>
    <w:tbl>
      <w:tblPr>
        <w:tblStyle w:val="GridTable4"/>
        <w:tblW w:w="8500" w:type="dxa"/>
        <w:tblLook w:val="04A0" w:firstRow="1" w:lastRow="0" w:firstColumn="1" w:lastColumn="0" w:noHBand="0" w:noVBand="1"/>
      </w:tblPr>
      <w:tblGrid>
        <w:gridCol w:w="8500"/>
      </w:tblGrid>
      <w:tr w:rsidR="008D4D2F" w:rsidRPr="00F42DB9" w14:paraId="2A62F2CB" w14:textId="77777777">
        <w:trPr>
          <w:cnfStyle w:val="100000000000" w:firstRow="1" w:lastRow="0" w:firstColumn="0" w:lastColumn="0" w:oddVBand="0" w:evenVBand="0" w:oddHBand="0" w:evenHBand="0" w:firstRowFirstColumn="0" w:firstRowLastColumn="0" w:lastRowFirstColumn="0" w:lastRowLastColumn="0"/>
          <w:trHeight w:val="11762"/>
        </w:trPr>
        <w:tc>
          <w:tcPr>
            <w:cnfStyle w:val="001000000000" w:firstRow="0" w:lastRow="0" w:firstColumn="1" w:lastColumn="0" w:oddVBand="0" w:evenVBand="0" w:oddHBand="0" w:evenHBand="0" w:firstRowFirstColumn="0" w:firstRowLastColumn="0" w:lastRowFirstColumn="0" w:lastRowLastColumn="0"/>
            <w:tcW w:w="8500" w:type="dxa"/>
          </w:tcPr>
          <w:p w14:paraId="4CF0B144" w14:textId="130A9609" w:rsidR="008D4D2F" w:rsidRPr="002F2243" w:rsidRDefault="008D4D2F" w:rsidP="00E52F89">
            <w:pPr>
              <w:spacing w:before="120" w:after="60" w:line="264" w:lineRule="auto"/>
              <w:ind w:left="176"/>
              <w:rPr>
                <w:rStyle w:val="Strong"/>
                <w:b w:val="0"/>
                <w:bCs w:val="0"/>
                <w:color w:val="auto"/>
                <w:sz w:val="28"/>
              </w:rPr>
            </w:pPr>
            <w:bookmarkStart w:id="57" w:name="Key_Concepts_B"/>
            <w:r w:rsidRPr="00A678DC">
              <w:rPr>
                <w:rStyle w:val="Strong"/>
                <w:b w:val="0"/>
                <w:sz w:val="28"/>
              </w:rPr>
              <w:t xml:space="preserve">Key Concepts </w:t>
            </w:r>
            <w:r w:rsidR="00B95B8B">
              <w:rPr>
                <w:rStyle w:val="Strong"/>
                <w:sz w:val="28"/>
              </w:rPr>
              <w:t>G</w:t>
            </w:r>
            <w:r>
              <w:rPr>
                <w:rStyle w:val="Strong"/>
                <w:b w:val="0"/>
                <w:bCs w:val="0"/>
                <w:sz w:val="28"/>
              </w:rPr>
              <w:t xml:space="preserve"> </w:t>
            </w:r>
            <w:bookmarkEnd w:id="57"/>
            <w:r w:rsidRPr="00F10C61">
              <w:rPr>
                <w:rFonts w:ascii="PP Mori SemiBold" w:hAnsi="PP Mori SemiBold"/>
                <w:noProof/>
                <w:sz w:val="20"/>
                <w:szCs w:val="20"/>
              </w:rPr>
              <w:drawing>
                <wp:inline distT="0" distB="0" distL="0" distR="0" wp14:anchorId="31092266" wp14:editId="467975ED">
                  <wp:extent cx="272006" cy="272006"/>
                  <wp:effectExtent l="0" t="0" r="6350" b="6350"/>
                  <wp:docPr id="628576504"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5"/>
                              </a:ext>
                            </a:extLst>
                          </a:blip>
                          <a:stretch>
                            <a:fillRect/>
                          </a:stretch>
                        </pic:blipFill>
                        <pic:spPr>
                          <a:xfrm>
                            <a:off x="0" y="0"/>
                            <a:ext cx="272006" cy="272006"/>
                          </a:xfrm>
                          <a:prstGeom prst="rect">
                            <a:avLst/>
                          </a:prstGeom>
                        </pic:spPr>
                      </pic:pic>
                    </a:graphicData>
                  </a:graphic>
                </wp:inline>
              </w:drawing>
            </w:r>
            <w:r>
              <w:rPr>
                <w:rStyle w:val="Strong"/>
                <w:b w:val="0"/>
                <w:bCs w:val="0"/>
                <w:sz w:val="28"/>
              </w:rPr>
              <w:t xml:space="preserve"> </w:t>
            </w:r>
          </w:p>
          <w:p w14:paraId="48CD6EEB" w14:textId="77777777" w:rsidR="008D4D2F" w:rsidRPr="008364BE" w:rsidRDefault="008D4D2F" w:rsidP="00E52F89">
            <w:pPr>
              <w:pStyle w:val="Subtitle"/>
              <w:spacing w:before="180" w:after="120" w:line="264" w:lineRule="auto"/>
              <w:ind w:left="175"/>
              <w:rPr>
                <w:rStyle w:val="Emphasis"/>
                <w:rFonts w:ascii="PP Mori SemiBold" w:hAnsi="PP Mori SemiBold"/>
                <w:sz w:val="24"/>
                <w:szCs w:val="40"/>
              </w:rPr>
            </w:pPr>
            <w:r w:rsidRPr="008364BE">
              <w:rPr>
                <w:rStyle w:val="Emphasis"/>
                <w:rFonts w:ascii="PP Mori SemiBold" w:hAnsi="PP Mori SemiBold"/>
                <w:sz w:val="24"/>
                <w:szCs w:val="40"/>
              </w:rPr>
              <w:t>Visibility</w:t>
            </w:r>
          </w:p>
          <w:p w14:paraId="0C2518D2" w14:textId="77777777" w:rsidR="008D4D2F" w:rsidRPr="00F42DB9" w:rsidRDefault="008D4D2F" w:rsidP="00E52F89">
            <w:pPr>
              <w:spacing w:before="120" w:after="120" w:line="264" w:lineRule="auto"/>
              <w:ind w:left="176" w:right="176"/>
              <w:rPr>
                <w:b w:val="0"/>
                <w:bCs w:val="0"/>
                <w:lang w:eastAsia="en-US" w:bidi="ar-SA"/>
              </w:rPr>
            </w:pPr>
            <w:r w:rsidRPr="00F42DB9">
              <w:rPr>
                <w:b w:val="0"/>
                <w:bCs w:val="0"/>
                <w:lang w:eastAsia="en-US" w:bidi="ar-SA"/>
              </w:rPr>
              <w:t xml:space="preserve">The degree to which information on energy resource characteristics and operational information is available to the System Operator, Distribution System Operator (DSO), and other authorised third parties. </w:t>
            </w:r>
          </w:p>
          <w:p w14:paraId="0635F5E7" w14:textId="77777777" w:rsidR="008D4D2F" w:rsidRDefault="008D4D2F" w:rsidP="00E52F89">
            <w:pPr>
              <w:spacing w:before="120" w:after="120" w:line="264" w:lineRule="auto"/>
              <w:ind w:left="176" w:right="176"/>
              <w:rPr>
                <w:lang w:eastAsia="en-US" w:bidi="ar-SA"/>
              </w:rPr>
            </w:pPr>
            <w:r w:rsidRPr="00F42DB9">
              <w:rPr>
                <w:b w:val="0"/>
                <w:bCs w:val="0"/>
                <w:lang w:eastAsia="en-US" w:bidi="ar-SA"/>
              </w:rPr>
              <w:t>Examples include real-time or near real-time information on electrical demand, generation output, state of charge for energy storage, availability of demand response, system voltages and system frequency, and power flows on major network elements. Statistical data filtering methods also allow establishing trustworthiness of the obtained data enabling the visibility, and reconcile them amongst each other, and with respect to network models, to identify bad and / or malicious data.</w:t>
            </w:r>
          </w:p>
          <w:p w14:paraId="5F274894" w14:textId="77777777" w:rsidR="008D4D2F" w:rsidRPr="00F42DB9" w:rsidRDefault="008D4D2F" w:rsidP="00E52F89">
            <w:pPr>
              <w:pStyle w:val="Subtitle"/>
              <w:spacing w:before="180" w:after="120" w:line="264" w:lineRule="auto"/>
              <w:ind w:left="176"/>
              <w:rPr>
                <w:rStyle w:val="Emphasis"/>
                <w:rFonts w:ascii="PP Mori SemiBold" w:hAnsi="PP Mori SemiBold"/>
                <w:i w:val="0"/>
                <w:sz w:val="24"/>
                <w:szCs w:val="40"/>
              </w:rPr>
            </w:pPr>
            <w:r w:rsidRPr="00E764A5">
              <w:rPr>
                <w:rStyle w:val="Emphasis"/>
                <w:rFonts w:ascii="PP Mori SemiBold" w:hAnsi="PP Mori SemiBold"/>
                <w:sz w:val="24"/>
                <w:szCs w:val="40"/>
              </w:rPr>
              <w:t>Observability</w:t>
            </w:r>
          </w:p>
          <w:p w14:paraId="01182F4F" w14:textId="77777777" w:rsidR="008D4D2F" w:rsidRPr="00F42DB9" w:rsidRDefault="008D4D2F" w:rsidP="00E52F89">
            <w:pPr>
              <w:spacing w:before="120" w:after="120" w:line="264" w:lineRule="auto"/>
              <w:ind w:left="176" w:right="176"/>
              <w:rPr>
                <w:b w:val="0"/>
                <w:bCs w:val="0"/>
                <w:lang w:eastAsia="en-US" w:bidi="ar-SA"/>
              </w:rPr>
            </w:pPr>
            <w:r w:rsidRPr="00F42DB9">
              <w:rPr>
                <w:b w:val="0"/>
                <w:bCs w:val="0"/>
                <w:lang w:eastAsia="en-US" w:bidi="ar-SA"/>
              </w:rPr>
              <w:t xml:space="preserve">The ability to infer the complete internal state (e.g., voltages, power flows, system frequency, and phase angles at all buses) of the system based on available measurements (e.g., SCADA, PMUs, smart meters) and the network model. </w:t>
            </w:r>
          </w:p>
          <w:p w14:paraId="17DB9F80" w14:textId="77777777" w:rsidR="008D4D2F" w:rsidRDefault="008D4D2F" w:rsidP="00E52F89">
            <w:pPr>
              <w:spacing w:before="120" w:after="120" w:line="264" w:lineRule="auto"/>
              <w:ind w:left="176" w:right="176"/>
              <w:rPr>
                <w:b w:val="0"/>
                <w:bCs w:val="0"/>
                <w:lang w:eastAsia="en-US" w:bidi="ar-SA"/>
              </w:rPr>
            </w:pPr>
            <w:r w:rsidRPr="00F42DB9">
              <w:rPr>
                <w:b w:val="0"/>
                <w:bCs w:val="0"/>
                <w:lang w:eastAsia="en-US" w:bidi="ar-SA"/>
              </w:rPr>
              <w:t>A power system is said to be observable if it is possible to uniquely determine the system's state from available data.</w:t>
            </w:r>
          </w:p>
          <w:p w14:paraId="5F82B503" w14:textId="77777777" w:rsidR="008D4D2F" w:rsidRDefault="008D4D2F" w:rsidP="00E52F89">
            <w:pPr>
              <w:pStyle w:val="Subtitle"/>
              <w:spacing w:before="180" w:after="120" w:line="264" w:lineRule="auto"/>
              <w:ind w:left="175"/>
              <w:rPr>
                <w:rStyle w:val="Emphasis"/>
                <w:rFonts w:ascii="PP Mori SemiBold" w:hAnsi="PP Mori SemiBold"/>
                <w:b w:val="0"/>
                <w:bCs w:val="0"/>
                <w:sz w:val="24"/>
                <w:szCs w:val="40"/>
              </w:rPr>
            </w:pPr>
            <w:r>
              <w:rPr>
                <w:rStyle w:val="Emphasis"/>
                <w:rFonts w:ascii="PP Mori SemiBold" w:hAnsi="PP Mori SemiBold"/>
                <w:sz w:val="24"/>
                <w:szCs w:val="40"/>
              </w:rPr>
              <w:t>Operability</w:t>
            </w:r>
          </w:p>
          <w:p w14:paraId="34670C52" w14:textId="77777777" w:rsidR="008D4D2F" w:rsidRPr="00F42DB9" w:rsidRDefault="008D4D2F" w:rsidP="00E52F89">
            <w:pPr>
              <w:spacing w:before="120" w:after="120" w:line="264" w:lineRule="auto"/>
              <w:ind w:left="176" w:right="176"/>
              <w:rPr>
                <w:b w:val="0"/>
                <w:szCs w:val="18"/>
                <w:lang w:eastAsia="en-US" w:bidi="ar-SA"/>
              </w:rPr>
            </w:pPr>
            <w:r w:rsidRPr="00F42DB9">
              <w:rPr>
                <w:b w:val="0"/>
                <w:szCs w:val="18"/>
                <w:lang w:eastAsia="en-US" w:bidi="ar-SA"/>
              </w:rPr>
              <w:t xml:space="preserve">The capability to plan and operate the power system reliably, securely and efficiently under all expected conditions. Core prerequisites for operability include predictability, which is the ability to forecast system behaviour accurately, and dispatchability, which is the ability to control and adjust generation or demand in response to system needs. </w:t>
            </w:r>
          </w:p>
          <w:p w14:paraId="705067E0" w14:textId="77777777" w:rsidR="008D4D2F" w:rsidRPr="00F42DB9" w:rsidRDefault="008D4D2F" w:rsidP="00E52F89">
            <w:pPr>
              <w:spacing w:before="120" w:after="120" w:line="264" w:lineRule="auto"/>
              <w:ind w:left="176" w:right="176"/>
              <w:rPr>
                <w:b w:val="0"/>
                <w:szCs w:val="18"/>
                <w:lang w:eastAsia="en-US" w:bidi="ar-SA"/>
              </w:rPr>
            </w:pPr>
            <w:r w:rsidRPr="00F42DB9">
              <w:rPr>
                <w:b w:val="0"/>
                <w:szCs w:val="18"/>
                <w:lang w:eastAsia="en-US" w:bidi="ar-SA"/>
              </w:rPr>
              <w:t>Operability is a multidimensional system attribute, not a single metric, and encompasses the ability of system operators and control mechanisms to:</w:t>
            </w:r>
          </w:p>
          <w:p w14:paraId="57ADDE28" w14:textId="2B1BC592" w:rsidR="008D4D2F" w:rsidRPr="00F42DB9" w:rsidRDefault="008D4D2F" w:rsidP="00954BAC">
            <w:pPr>
              <w:pStyle w:val="ListParagraph"/>
              <w:numPr>
                <w:ilvl w:val="0"/>
                <w:numId w:val="84"/>
              </w:numPr>
              <w:tabs>
                <w:tab w:val="num" w:pos="720"/>
              </w:tabs>
              <w:spacing w:before="60" w:after="60" w:line="264" w:lineRule="auto"/>
              <w:ind w:left="714" w:hanging="357"/>
              <w:rPr>
                <w:rFonts w:eastAsia="Segoe UI"/>
                <w:b w:val="0"/>
                <w:szCs w:val="18"/>
              </w:rPr>
            </w:pPr>
            <w:r w:rsidRPr="00F42DB9">
              <w:rPr>
                <w:rFonts w:eastAsia="Segoe UI"/>
                <w:b w:val="0"/>
                <w:szCs w:val="18"/>
              </w:rPr>
              <w:t>Maintain supply-demand balance at all times</w:t>
            </w:r>
          </w:p>
          <w:p w14:paraId="44308005" w14:textId="63774DD3" w:rsidR="008D4D2F" w:rsidRPr="00F42DB9" w:rsidRDefault="008D4D2F" w:rsidP="00954BAC">
            <w:pPr>
              <w:pStyle w:val="ListParagraph"/>
              <w:numPr>
                <w:ilvl w:val="0"/>
                <w:numId w:val="84"/>
              </w:numPr>
              <w:tabs>
                <w:tab w:val="num" w:pos="720"/>
              </w:tabs>
              <w:spacing w:before="60" w:after="60" w:line="264" w:lineRule="auto"/>
              <w:ind w:left="714" w:hanging="357"/>
              <w:rPr>
                <w:rFonts w:eastAsia="Segoe UI"/>
                <w:b w:val="0"/>
                <w:szCs w:val="18"/>
              </w:rPr>
            </w:pPr>
            <w:r w:rsidRPr="00F42DB9">
              <w:rPr>
                <w:rFonts w:eastAsia="Segoe UI"/>
                <w:b w:val="0"/>
                <w:szCs w:val="18"/>
              </w:rPr>
              <w:t>Keep voltage and frequency within allowable limits</w:t>
            </w:r>
          </w:p>
          <w:p w14:paraId="13AC1157" w14:textId="72F1850B" w:rsidR="008D4D2F" w:rsidRPr="00F42DB9" w:rsidRDefault="008D4D2F" w:rsidP="00954BAC">
            <w:pPr>
              <w:pStyle w:val="ListParagraph"/>
              <w:numPr>
                <w:ilvl w:val="0"/>
                <w:numId w:val="84"/>
              </w:numPr>
              <w:tabs>
                <w:tab w:val="num" w:pos="720"/>
              </w:tabs>
              <w:spacing w:before="60" w:after="60" w:line="264" w:lineRule="auto"/>
              <w:ind w:left="714" w:hanging="357"/>
              <w:rPr>
                <w:rFonts w:eastAsia="Segoe UI"/>
                <w:b w:val="0"/>
                <w:szCs w:val="18"/>
              </w:rPr>
            </w:pPr>
            <w:r w:rsidRPr="00F42DB9">
              <w:rPr>
                <w:rFonts w:eastAsia="Segoe UI"/>
                <w:b w:val="0"/>
                <w:szCs w:val="18"/>
              </w:rPr>
              <w:t>Ensure thermal loading of equipment remains within capacity</w:t>
            </w:r>
          </w:p>
          <w:p w14:paraId="4B22020F" w14:textId="3689FEB1" w:rsidR="008D4D2F" w:rsidRPr="00F42DB9" w:rsidRDefault="008D4D2F" w:rsidP="00954BAC">
            <w:pPr>
              <w:pStyle w:val="ListParagraph"/>
              <w:numPr>
                <w:ilvl w:val="0"/>
                <w:numId w:val="84"/>
              </w:numPr>
              <w:tabs>
                <w:tab w:val="num" w:pos="720"/>
              </w:tabs>
              <w:spacing w:before="60" w:after="60" w:line="264" w:lineRule="auto"/>
              <w:ind w:left="714" w:hanging="357"/>
              <w:rPr>
                <w:rFonts w:eastAsia="Segoe UI"/>
                <w:b w:val="0"/>
                <w:szCs w:val="18"/>
              </w:rPr>
            </w:pPr>
            <w:r w:rsidRPr="00F42DB9">
              <w:rPr>
                <w:rFonts w:eastAsia="Segoe UI"/>
                <w:b w:val="0"/>
                <w:szCs w:val="18"/>
              </w:rPr>
              <w:t>Respond to contingencies, such as generator or network outages</w:t>
            </w:r>
          </w:p>
          <w:p w14:paraId="72B5CFEA" w14:textId="66FCA457" w:rsidR="008D4D2F" w:rsidRPr="00F42DB9" w:rsidRDefault="008D4D2F" w:rsidP="00954BAC">
            <w:pPr>
              <w:pStyle w:val="ListParagraph"/>
              <w:numPr>
                <w:ilvl w:val="0"/>
                <w:numId w:val="84"/>
              </w:numPr>
              <w:tabs>
                <w:tab w:val="num" w:pos="720"/>
              </w:tabs>
              <w:spacing w:before="60" w:after="60" w:line="264" w:lineRule="auto"/>
              <w:ind w:left="714" w:hanging="357"/>
              <w:rPr>
                <w:rFonts w:eastAsia="Segoe UI"/>
                <w:b w:val="0"/>
                <w:szCs w:val="18"/>
              </w:rPr>
            </w:pPr>
            <w:r w:rsidRPr="00F42DB9">
              <w:rPr>
                <w:rFonts w:eastAsia="Segoe UI"/>
                <w:b w:val="0"/>
                <w:szCs w:val="18"/>
              </w:rPr>
              <w:t>Manage ramping, variability, and uncertainty (especially from renewable sources)</w:t>
            </w:r>
          </w:p>
          <w:p w14:paraId="43F63560" w14:textId="72DC3D3B" w:rsidR="008D4D2F" w:rsidRPr="00F42DB9" w:rsidRDefault="008D4D2F" w:rsidP="00954BAC">
            <w:pPr>
              <w:pStyle w:val="ListParagraph"/>
              <w:numPr>
                <w:ilvl w:val="0"/>
                <w:numId w:val="84"/>
              </w:numPr>
              <w:tabs>
                <w:tab w:val="num" w:pos="720"/>
              </w:tabs>
              <w:spacing w:before="60" w:after="60" w:line="264" w:lineRule="auto"/>
              <w:ind w:left="714" w:hanging="357"/>
              <w:rPr>
                <w:rFonts w:eastAsia="Segoe UI"/>
                <w:b w:val="0"/>
                <w:szCs w:val="18"/>
              </w:rPr>
            </w:pPr>
            <w:r w:rsidRPr="00F42DB9">
              <w:rPr>
                <w:rFonts w:eastAsia="Segoe UI"/>
                <w:b w:val="0"/>
                <w:szCs w:val="18"/>
              </w:rPr>
              <w:t>Coordinate resources and orchestrate flexibility (from generation, demand, or storage)</w:t>
            </w:r>
            <w:r w:rsidR="00F6754C">
              <w:rPr>
                <w:rFonts w:eastAsia="Segoe UI"/>
                <w:b w:val="0"/>
                <w:szCs w:val="18"/>
              </w:rPr>
              <w:t>,</w:t>
            </w:r>
            <w:r w:rsidRPr="00F42DB9">
              <w:rPr>
                <w:rFonts w:eastAsia="Segoe UI"/>
                <w:b w:val="0"/>
                <w:szCs w:val="18"/>
              </w:rPr>
              <w:t xml:space="preserve"> and</w:t>
            </w:r>
          </w:p>
          <w:p w14:paraId="576A76F8" w14:textId="77777777" w:rsidR="008D4D2F" w:rsidRPr="00F42DB9" w:rsidRDefault="008D4D2F" w:rsidP="00954BAC">
            <w:pPr>
              <w:pStyle w:val="ListParagraph"/>
              <w:numPr>
                <w:ilvl w:val="0"/>
                <w:numId w:val="84"/>
              </w:numPr>
              <w:tabs>
                <w:tab w:val="num" w:pos="720"/>
              </w:tabs>
              <w:spacing w:before="60" w:after="60" w:line="264" w:lineRule="auto"/>
              <w:ind w:left="714" w:hanging="357"/>
              <w:rPr>
                <w:rFonts w:eastAsia="Segoe UI"/>
                <w:b w:val="0"/>
                <w:szCs w:val="18"/>
              </w:rPr>
            </w:pPr>
            <w:r w:rsidRPr="00F42DB9">
              <w:rPr>
                <w:rFonts w:eastAsia="Segoe UI"/>
                <w:b w:val="0"/>
                <w:szCs w:val="18"/>
              </w:rPr>
              <w:t>Respect operational and market constraints and interfaces (e.g., congestion, availability, ramp rates, dispatchability).</w:t>
            </w:r>
          </w:p>
        </w:tc>
      </w:tr>
    </w:tbl>
    <w:p w14:paraId="1DFDD1FE" w14:textId="4FDFC3F4" w:rsidR="00A75735" w:rsidRDefault="00A75735">
      <w:pPr>
        <w:spacing w:before="0" w:after="160" w:line="259" w:lineRule="auto"/>
        <w:rPr>
          <w:rFonts w:ascii="PP Mori SemiBold" w:eastAsiaTheme="majorEastAsia" w:hAnsi="PP Mori SemiBold" w:cstheme="majorBidi"/>
          <w:color w:val="001D25" w:themeColor="accent1" w:themeShade="7F"/>
          <w:sz w:val="24"/>
          <w:szCs w:val="30"/>
          <w:lang w:eastAsia="en-US" w:bidi="ar-SA"/>
        </w:rPr>
      </w:pPr>
    </w:p>
    <w:p w14:paraId="32E89396" w14:textId="5B45C0AF" w:rsidR="003E6261" w:rsidRPr="002C72C2" w:rsidRDefault="003E6261" w:rsidP="00EB2823">
      <w:pPr>
        <w:pStyle w:val="Heading3"/>
        <w:spacing w:line="264" w:lineRule="auto"/>
        <w:rPr>
          <w:lang w:eastAsia="en-US" w:bidi="ar-SA"/>
        </w:rPr>
      </w:pPr>
      <w:bookmarkStart w:id="58" w:name="_System_Coordination_&amp;"/>
      <w:bookmarkStart w:id="59" w:name="_Toc205533966"/>
      <w:bookmarkStart w:id="60" w:name="S_423"/>
      <w:bookmarkEnd w:id="58"/>
      <w:r w:rsidRPr="002C72C2">
        <w:rPr>
          <w:lang w:eastAsia="en-US" w:bidi="ar-SA"/>
        </w:rPr>
        <w:t xml:space="preserve">System Coordination </w:t>
      </w:r>
      <w:r w:rsidR="006810E2" w:rsidRPr="002C72C2">
        <w:rPr>
          <w:lang w:eastAsia="en-US" w:bidi="ar-SA"/>
        </w:rPr>
        <w:t xml:space="preserve">&amp; Balancing </w:t>
      </w:r>
      <w:r w:rsidRPr="002C72C2">
        <w:rPr>
          <w:lang w:eastAsia="en-US" w:bidi="ar-SA"/>
        </w:rPr>
        <w:t>Risks</w:t>
      </w:r>
      <w:bookmarkEnd w:id="59"/>
    </w:p>
    <w:tbl>
      <w:tblPr>
        <w:tblStyle w:val="TableGrid"/>
        <w:tblW w:w="0" w:type="auto"/>
        <w:tblLook w:val="04A0" w:firstRow="1" w:lastRow="0" w:firstColumn="1" w:lastColumn="0" w:noHBand="0" w:noVBand="1"/>
      </w:tblPr>
      <w:tblGrid>
        <w:gridCol w:w="8210"/>
      </w:tblGrid>
      <w:tr w:rsidR="00C27ABE" w14:paraId="4229E520" w14:textId="77777777" w:rsidTr="008F2E81">
        <w:tc>
          <w:tcPr>
            <w:tcW w:w="8210" w:type="dxa"/>
            <w:shd w:val="clear" w:color="auto" w:fill="013C4C" w:themeFill="text1"/>
          </w:tcPr>
          <w:bookmarkEnd w:id="60"/>
          <w:p w14:paraId="2175E048" w14:textId="2E259468" w:rsidR="00C27ABE" w:rsidRPr="002F3BC5" w:rsidRDefault="002F3BC5" w:rsidP="00B767BF">
            <w:pPr>
              <w:spacing w:before="180" w:after="180" w:line="264" w:lineRule="auto"/>
              <w:ind w:left="170" w:right="170"/>
              <w:rPr>
                <w:i/>
                <w:iCs/>
                <w:lang w:eastAsia="en-US" w:bidi="ar-SA"/>
              </w:rPr>
            </w:pPr>
            <w:r w:rsidRPr="002F3BC5">
              <w:rPr>
                <w:i/>
                <w:iCs/>
                <w:lang w:eastAsia="en-US" w:bidi="ar-SA"/>
              </w:rPr>
              <w:t>Bidirectional power flows and operational volatility are increasing as dispatchable, synchronous generation is being progressively withdrawn</w:t>
            </w:r>
            <w:r w:rsidR="00374950">
              <w:rPr>
                <w:i/>
                <w:iCs/>
                <w:lang w:eastAsia="en-US" w:bidi="ar-SA"/>
              </w:rPr>
              <w:t xml:space="preserve">. </w:t>
            </w:r>
            <w:r w:rsidRPr="002F3BC5">
              <w:rPr>
                <w:i/>
                <w:iCs/>
                <w:lang w:eastAsia="en-US" w:bidi="ar-SA"/>
              </w:rPr>
              <w:t xml:space="preserve">As the NEM and WEM transition from hundreds to many millions of participating resources, the absence of layered, end-to-end </w:t>
            </w:r>
            <w:r w:rsidR="009821C9">
              <w:rPr>
                <w:i/>
                <w:iCs/>
                <w:lang w:eastAsia="en-US" w:bidi="ar-SA"/>
              </w:rPr>
              <w:t xml:space="preserve">models for </w:t>
            </w:r>
            <w:r w:rsidRPr="002F3BC5">
              <w:rPr>
                <w:i/>
                <w:iCs/>
                <w:lang w:eastAsia="en-US" w:bidi="ar-SA"/>
              </w:rPr>
              <w:t>operational coordination will place instantaneous system balancing and overall economic efficiency at growing risk</w:t>
            </w:r>
            <w:r w:rsidR="00374950">
              <w:rPr>
                <w:i/>
                <w:iCs/>
                <w:lang w:eastAsia="en-US" w:bidi="ar-SA"/>
              </w:rPr>
              <w:t xml:space="preserve">. </w:t>
            </w:r>
          </w:p>
        </w:tc>
      </w:tr>
    </w:tbl>
    <w:p w14:paraId="46AA52D4" w14:textId="77777777" w:rsidR="001F5AC8" w:rsidRPr="00E42869" w:rsidRDefault="001F5AC8" w:rsidP="00954BAC">
      <w:pPr>
        <w:pStyle w:val="Heading4"/>
        <w:numPr>
          <w:ilvl w:val="0"/>
          <w:numId w:val="53"/>
        </w:numPr>
        <w:spacing w:before="240" w:after="120" w:line="264" w:lineRule="auto"/>
        <w:rPr>
          <w:i w:val="0"/>
          <w:iCs w:val="0"/>
        </w:rPr>
      </w:pPr>
      <w:r w:rsidRPr="00E42869">
        <w:rPr>
          <w:i w:val="0"/>
          <w:iCs w:val="0"/>
        </w:rPr>
        <w:t>Cross Cutting Issue</w:t>
      </w:r>
    </w:p>
    <w:p w14:paraId="0F3871C6" w14:textId="100EEB16" w:rsidR="001F5AC8" w:rsidRPr="002C72C2" w:rsidRDefault="001F5AC8" w:rsidP="00EB2823">
      <w:pPr>
        <w:spacing w:before="120" w:after="120" w:line="264" w:lineRule="auto"/>
        <w:rPr>
          <w:lang w:eastAsia="en-US" w:bidi="ar-SA"/>
        </w:rPr>
      </w:pPr>
      <w:r w:rsidRPr="002C72C2">
        <w:rPr>
          <w:lang w:eastAsia="en-US" w:bidi="ar-SA"/>
        </w:rPr>
        <w:t xml:space="preserve">The consideration of advanced </w:t>
      </w:r>
      <w:r w:rsidR="008261C5" w:rsidRPr="002C72C2">
        <w:rPr>
          <w:lang w:eastAsia="en-US" w:bidi="ar-SA"/>
        </w:rPr>
        <w:t>o</w:t>
      </w:r>
      <w:r w:rsidRPr="002C72C2">
        <w:rPr>
          <w:lang w:eastAsia="en-US" w:bidi="ar-SA"/>
        </w:rPr>
        <w:t>perational</w:t>
      </w:r>
      <w:r w:rsidR="008261C5" w:rsidRPr="002C72C2">
        <w:rPr>
          <w:lang w:eastAsia="en-US" w:bidi="ar-SA"/>
        </w:rPr>
        <w:t xml:space="preserve"> c</w:t>
      </w:r>
      <w:r w:rsidRPr="002C72C2">
        <w:rPr>
          <w:lang w:eastAsia="en-US" w:bidi="ar-SA"/>
        </w:rPr>
        <w:t xml:space="preserve">oordination </w:t>
      </w:r>
      <w:r w:rsidR="00B51E47" w:rsidRPr="002C72C2">
        <w:rPr>
          <w:lang w:eastAsia="en-US" w:bidi="ar-SA"/>
        </w:rPr>
        <w:t xml:space="preserve">and system balancing </w:t>
      </w:r>
      <w:r w:rsidRPr="002C72C2">
        <w:rPr>
          <w:lang w:eastAsia="en-US" w:bidi="ar-SA"/>
        </w:rPr>
        <w:t xml:space="preserve">mechanisms is perhaps one of the most critical issues facing </w:t>
      </w:r>
      <w:r w:rsidR="00F55892" w:rsidRPr="002C72C2">
        <w:rPr>
          <w:lang w:eastAsia="en-US" w:bidi="ar-SA"/>
        </w:rPr>
        <w:t>decarbonising p</w:t>
      </w:r>
      <w:r w:rsidRPr="002C72C2">
        <w:rPr>
          <w:lang w:eastAsia="en-US" w:bidi="ar-SA"/>
        </w:rPr>
        <w:t xml:space="preserve">ower </w:t>
      </w:r>
      <w:r w:rsidR="00F55892" w:rsidRPr="002C72C2">
        <w:rPr>
          <w:lang w:eastAsia="en-US" w:bidi="ar-SA"/>
        </w:rPr>
        <w:t>s</w:t>
      </w:r>
      <w:r w:rsidRPr="002C72C2">
        <w:rPr>
          <w:lang w:eastAsia="en-US" w:bidi="ar-SA"/>
        </w:rPr>
        <w:t>ystems</w:t>
      </w:r>
      <w:r w:rsidR="008261C5" w:rsidRPr="002C72C2">
        <w:rPr>
          <w:lang w:eastAsia="en-US" w:bidi="ar-SA"/>
        </w:rPr>
        <w:t xml:space="preserve">, </w:t>
      </w:r>
      <w:r w:rsidR="00FC564B" w:rsidRPr="002C72C2">
        <w:rPr>
          <w:lang w:eastAsia="en-US" w:bidi="ar-SA"/>
        </w:rPr>
        <w:t xml:space="preserve">growing levels of </w:t>
      </w:r>
      <w:r w:rsidR="00414E90" w:rsidRPr="002C72C2">
        <w:rPr>
          <w:lang w:eastAsia="en-US" w:bidi="ar-SA"/>
        </w:rPr>
        <w:t>operational volatility and</w:t>
      </w:r>
      <w:r w:rsidR="00F55892" w:rsidRPr="002C72C2">
        <w:rPr>
          <w:lang w:eastAsia="en-US" w:bidi="ar-SA"/>
        </w:rPr>
        <w:t xml:space="preserve"> increasingly </w:t>
      </w:r>
      <w:r w:rsidR="00FC564B" w:rsidRPr="002C72C2">
        <w:rPr>
          <w:lang w:eastAsia="en-US" w:bidi="ar-SA"/>
        </w:rPr>
        <w:t>bi-directiona</w:t>
      </w:r>
      <w:r w:rsidR="00414E90" w:rsidRPr="002C72C2">
        <w:rPr>
          <w:lang w:eastAsia="en-US" w:bidi="ar-SA"/>
        </w:rPr>
        <w:t>l power flows</w:t>
      </w:r>
      <w:r w:rsidR="00374950">
        <w:rPr>
          <w:lang w:eastAsia="en-US" w:bidi="ar-SA"/>
        </w:rPr>
        <w:t xml:space="preserve">. </w:t>
      </w:r>
    </w:p>
    <w:p w14:paraId="03717BD8" w14:textId="46931585" w:rsidR="001F5AC8" w:rsidRPr="002C72C2" w:rsidRDefault="001F5AC8" w:rsidP="00EB2823">
      <w:pPr>
        <w:spacing w:before="120" w:after="120" w:line="264" w:lineRule="auto"/>
        <w:rPr>
          <w:lang w:eastAsia="en-US" w:bidi="ar-SA"/>
        </w:rPr>
      </w:pPr>
      <w:r w:rsidRPr="002C72C2">
        <w:rPr>
          <w:lang w:eastAsia="en-US" w:bidi="ar-SA"/>
        </w:rPr>
        <w:t xml:space="preserve">Closely related to the topic of </w:t>
      </w:r>
      <w:r w:rsidR="00803C66" w:rsidRPr="00803C66">
        <w:rPr>
          <w:lang w:eastAsia="en-US" w:bidi="ar-SA"/>
        </w:rPr>
        <w:t>o</w:t>
      </w:r>
      <w:r w:rsidRPr="00803C66">
        <w:rPr>
          <w:lang w:eastAsia="en-US" w:bidi="ar-SA"/>
        </w:rPr>
        <w:t>perability</w:t>
      </w:r>
      <w:r w:rsidRPr="002C72C2">
        <w:rPr>
          <w:lang w:eastAsia="en-US" w:bidi="ar-SA"/>
        </w:rPr>
        <w:t xml:space="preserve">, the concept of </w:t>
      </w:r>
      <w:r w:rsidR="00803C66" w:rsidRPr="00803C66">
        <w:rPr>
          <w:lang w:eastAsia="en-US" w:bidi="ar-SA"/>
        </w:rPr>
        <w:t>o</w:t>
      </w:r>
      <w:r w:rsidRPr="00803C66">
        <w:rPr>
          <w:lang w:eastAsia="en-US" w:bidi="ar-SA"/>
        </w:rPr>
        <w:t xml:space="preserve">perational </w:t>
      </w:r>
      <w:r w:rsidR="00803C66" w:rsidRPr="00803C66">
        <w:rPr>
          <w:lang w:eastAsia="en-US" w:bidi="ar-SA"/>
        </w:rPr>
        <w:t>c</w:t>
      </w:r>
      <w:r w:rsidRPr="00803C66">
        <w:rPr>
          <w:lang w:eastAsia="en-US" w:bidi="ar-SA"/>
        </w:rPr>
        <w:t>oordination</w:t>
      </w:r>
      <w:r w:rsidRPr="002C72C2">
        <w:rPr>
          <w:lang w:eastAsia="en-US" w:bidi="ar-SA"/>
        </w:rPr>
        <w:t xml:space="preserve"> also engages with the fast-emerging reality in many jurisdictions of a growing proportion of the </w:t>
      </w:r>
      <w:r w:rsidR="00803C66" w:rsidRPr="00803C66">
        <w:rPr>
          <w:lang w:eastAsia="en-US" w:bidi="ar-SA"/>
        </w:rPr>
        <w:t>e</w:t>
      </w:r>
      <w:r w:rsidRPr="00803C66">
        <w:rPr>
          <w:lang w:eastAsia="en-US" w:bidi="ar-SA"/>
        </w:rPr>
        <w:t xml:space="preserve">nergy </w:t>
      </w:r>
      <w:r w:rsidR="00803C66" w:rsidRPr="00803C66">
        <w:rPr>
          <w:lang w:eastAsia="en-US" w:bidi="ar-SA"/>
        </w:rPr>
        <w:t>r</w:t>
      </w:r>
      <w:r w:rsidRPr="00803C66">
        <w:rPr>
          <w:lang w:eastAsia="en-US" w:bidi="ar-SA"/>
        </w:rPr>
        <w:t>esource</w:t>
      </w:r>
      <w:r w:rsidRPr="002C72C2">
        <w:rPr>
          <w:lang w:eastAsia="en-US" w:bidi="ar-SA"/>
        </w:rPr>
        <w:t xml:space="preserve"> fleet not being </w:t>
      </w:r>
      <w:r w:rsidR="00803C66" w:rsidRPr="00803C66">
        <w:rPr>
          <w:lang w:eastAsia="en-US" w:bidi="ar-SA"/>
        </w:rPr>
        <w:t>d</w:t>
      </w:r>
      <w:r w:rsidRPr="00803C66">
        <w:rPr>
          <w:lang w:eastAsia="en-US" w:bidi="ar-SA"/>
        </w:rPr>
        <w:t>ispatchable</w:t>
      </w:r>
      <w:r w:rsidRPr="002C72C2">
        <w:rPr>
          <w:lang w:eastAsia="en-US" w:bidi="ar-SA"/>
        </w:rPr>
        <w:t xml:space="preserve"> by traditional means</w:t>
      </w:r>
      <w:r w:rsidR="00374950">
        <w:rPr>
          <w:lang w:eastAsia="en-US" w:bidi="ar-SA"/>
        </w:rPr>
        <w:t xml:space="preserve">. </w:t>
      </w:r>
      <w:r w:rsidRPr="002C72C2">
        <w:rPr>
          <w:lang w:eastAsia="en-US" w:bidi="ar-SA"/>
        </w:rPr>
        <w:t xml:space="preserve">At the same time, however, ensuring the </w:t>
      </w:r>
      <w:r w:rsidR="00803C66" w:rsidRPr="00803C66">
        <w:rPr>
          <w:lang w:eastAsia="en-US" w:bidi="ar-SA"/>
        </w:rPr>
        <w:t>a</w:t>
      </w:r>
      <w:r w:rsidRPr="00803C66">
        <w:rPr>
          <w:lang w:eastAsia="en-US" w:bidi="ar-SA"/>
        </w:rPr>
        <w:t xml:space="preserve">dequacy, </w:t>
      </w:r>
      <w:r w:rsidR="00803C66" w:rsidRPr="00803C66">
        <w:rPr>
          <w:lang w:eastAsia="en-US" w:bidi="ar-SA"/>
        </w:rPr>
        <w:t>s</w:t>
      </w:r>
      <w:r w:rsidRPr="00803C66">
        <w:rPr>
          <w:lang w:eastAsia="en-US" w:bidi="ar-SA"/>
        </w:rPr>
        <w:t>ecurity</w:t>
      </w:r>
      <w:r w:rsidR="0004333A">
        <w:rPr>
          <w:lang w:eastAsia="en-US" w:bidi="ar-SA"/>
        </w:rPr>
        <w:t xml:space="preserve"> relating to minimum operational demand</w:t>
      </w:r>
      <w:r w:rsidRPr="00803C66">
        <w:rPr>
          <w:lang w:eastAsia="en-US" w:bidi="ar-SA"/>
        </w:rPr>
        <w:t xml:space="preserve">, </w:t>
      </w:r>
      <w:r w:rsidR="00803C66" w:rsidRPr="00803C66">
        <w:rPr>
          <w:lang w:eastAsia="en-US" w:bidi="ar-SA"/>
        </w:rPr>
        <w:t>r</w:t>
      </w:r>
      <w:r w:rsidRPr="00803C66">
        <w:rPr>
          <w:lang w:eastAsia="en-US" w:bidi="ar-SA"/>
        </w:rPr>
        <w:t xml:space="preserve">eliability </w:t>
      </w:r>
      <w:r w:rsidRPr="002C72C2">
        <w:rPr>
          <w:lang w:eastAsia="en-US" w:bidi="ar-SA"/>
        </w:rPr>
        <w:t xml:space="preserve">and </w:t>
      </w:r>
      <w:r w:rsidR="00803C66" w:rsidRPr="00803C66">
        <w:rPr>
          <w:lang w:eastAsia="en-US" w:bidi="ar-SA"/>
        </w:rPr>
        <w:t>c</w:t>
      </w:r>
      <w:r w:rsidRPr="00803C66">
        <w:rPr>
          <w:lang w:eastAsia="en-US" w:bidi="ar-SA"/>
        </w:rPr>
        <w:t xml:space="preserve">ost-efficiency </w:t>
      </w:r>
      <w:r w:rsidRPr="002C72C2">
        <w:rPr>
          <w:lang w:eastAsia="en-US" w:bidi="ar-SA"/>
        </w:rPr>
        <w:t xml:space="preserve">of such systems will require the </w:t>
      </w:r>
      <w:r w:rsidR="00803C66" w:rsidRPr="00803C66">
        <w:rPr>
          <w:lang w:eastAsia="en-US" w:bidi="ar-SA"/>
        </w:rPr>
        <w:t>b</w:t>
      </w:r>
      <w:r w:rsidRPr="00803C66">
        <w:rPr>
          <w:lang w:eastAsia="en-US" w:bidi="ar-SA"/>
        </w:rPr>
        <w:t xml:space="preserve">ulk </w:t>
      </w:r>
      <w:r w:rsidR="00803C66" w:rsidRPr="00803C66">
        <w:rPr>
          <w:lang w:eastAsia="en-US" w:bidi="ar-SA"/>
        </w:rPr>
        <w:t>p</w:t>
      </w:r>
      <w:r w:rsidRPr="00803C66">
        <w:rPr>
          <w:lang w:eastAsia="en-US" w:bidi="ar-SA"/>
        </w:rPr>
        <w:t xml:space="preserve">ower, </w:t>
      </w:r>
      <w:r w:rsidR="00803C66" w:rsidRPr="00803C66">
        <w:rPr>
          <w:lang w:eastAsia="en-US" w:bidi="ar-SA"/>
        </w:rPr>
        <w:t>t</w:t>
      </w:r>
      <w:r w:rsidRPr="00803C66">
        <w:rPr>
          <w:lang w:eastAsia="en-US" w:bidi="ar-SA"/>
        </w:rPr>
        <w:t xml:space="preserve">ransmission </w:t>
      </w:r>
      <w:r w:rsidRPr="002C72C2">
        <w:rPr>
          <w:lang w:eastAsia="en-US" w:bidi="ar-SA"/>
        </w:rPr>
        <w:t xml:space="preserve">and </w:t>
      </w:r>
      <w:r w:rsidR="00803C66" w:rsidRPr="00803C66">
        <w:rPr>
          <w:lang w:eastAsia="en-US" w:bidi="ar-SA"/>
        </w:rPr>
        <w:t>d</w:t>
      </w:r>
      <w:r w:rsidRPr="00803C66">
        <w:rPr>
          <w:lang w:eastAsia="en-US" w:bidi="ar-SA"/>
        </w:rPr>
        <w:t xml:space="preserve">istribution </w:t>
      </w:r>
      <w:r w:rsidR="00803C66" w:rsidRPr="00803C66">
        <w:rPr>
          <w:lang w:eastAsia="en-US" w:bidi="ar-SA"/>
        </w:rPr>
        <w:t>s</w:t>
      </w:r>
      <w:r w:rsidRPr="00803C66">
        <w:rPr>
          <w:lang w:eastAsia="en-US" w:bidi="ar-SA"/>
        </w:rPr>
        <w:t xml:space="preserve">ystems </w:t>
      </w:r>
      <w:r w:rsidRPr="002C72C2">
        <w:rPr>
          <w:lang w:eastAsia="en-US" w:bidi="ar-SA"/>
        </w:rPr>
        <w:t xml:space="preserve">– together with deep </w:t>
      </w:r>
      <w:r w:rsidR="00803C66" w:rsidRPr="00803C66">
        <w:rPr>
          <w:lang w:eastAsia="en-US" w:bidi="ar-SA"/>
        </w:rPr>
        <w:t>d</w:t>
      </w:r>
      <w:r w:rsidRPr="00803C66">
        <w:rPr>
          <w:lang w:eastAsia="en-US" w:bidi="ar-SA"/>
        </w:rPr>
        <w:t xml:space="preserve">emand-side </w:t>
      </w:r>
      <w:r w:rsidR="00803C66" w:rsidRPr="00803C66">
        <w:rPr>
          <w:lang w:eastAsia="en-US" w:bidi="ar-SA"/>
        </w:rPr>
        <w:t>f</w:t>
      </w:r>
      <w:r w:rsidRPr="00803C66">
        <w:rPr>
          <w:lang w:eastAsia="en-US" w:bidi="ar-SA"/>
        </w:rPr>
        <w:t xml:space="preserve">lexibility </w:t>
      </w:r>
      <w:r w:rsidRPr="002C72C2">
        <w:rPr>
          <w:lang w:eastAsia="en-US" w:bidi="ar-SA"/>
        </w:rPr>
        <w:t xml:space="preserve">– to function far more holistically together than they have in the past. </w:t>
      </w:r>
    </w:p>
    <w:p w14:paraId="0A1D7AF3" w14:textId="77777777" w:rsidR="00AD7E93" w:rsidRPr="002C72C2" w:rsidRDefault="00B51E47" w:rsidP="00AD7E93">
      <w:pPr>
        <w:spacing w:before="120" w:after="120" w:line="264" w:lineRule="auto"/>
        <w:rPr>
          <w:lang w:eastAsia="en-US" w:bidi="ar-SA"/>
        </w:rPr>
      </w:pPr>
      <w:r w:rsidRPr="002C72C2">
        <w:rPr>
          <w:lang w:eastAsia="en-US" w:bidi="ar-SA"/>
        </w:rPr>
        <w:t xml:space="preserve">In a context where the NEM is also moving toward a future involving tens of millions of participating </w:t>
      </w:r>
      <w:r w:rsidR="008261C5" w:rsidRPr="002C72C2">
        <w:rPr>
          <w:lang w:eastAsia="en-US" w:bidi="ar-SA"/>
        </w:rPr>
        <w:t>e</w:t>
      </w:r>
      <w:r w:rsidRPr="002C72C2">
        <w:rPr>
          <w:lang w:eastAsia="en-US" w:bidi="ar-SA"/>
        </w:rPr>
        <w:t xml:space="preserve">nergy </w:t>
      </w:r>
      <w:r w:rsidR="008261C5" w:rsidRPr="002C72C2">
        <w:rPr>
          <w:lang w:eastAsia="en-US" w:bidi="ar-SA"/>
        </w:rPr>
        <w:t>r</w:t>
      </w:r>
      <w:r w:rsidRPr="002C72C2">
        <w:rPr>
          <w:lang w:eastAsia="en-US" w:bidi="ar-SA"/>
        </w:rPr>
        <w:t>esources</w:t>
      </w:r>
      <w:r w:rsidR="009D4544" w:rsidRPr="002C72C2">
        <w:rPr>
          <w:lang w:eastAsia="en-US" w:bidi="ar-SA"/>
        </w:rPr>
        <w:t xml:space="preserve"> connected across the system, </w:t>
      </w:r>
      <w:r w:rsidRPr="002C72C2">
        <w:rPr>
          <w:lang w:eastAsia="en-US" w:bidi="ar-SA"/>
        </w:rPr>
        <w:t xml:space="preserve">advanced </w:t>
      </w:r>
      <w:r w:rsidR="008261C5" w:rsidRPr="002C72C2">
        <w:rPr>
          <w:lang w:eastAsia="en-US" w:bidi="ar-SA"/>
        </w:rPr>
        <w:t>o</w:t>
      </w:r>
      <w:r w:rsidRPr="002C72C2">
        <w:rPr>
          <w:lang w:eastAsia="en-US" w:bidi="ar-SA"/>
        </w:rPr>
        <w:t xml:space="preserve">perational </w:t>
      </w:r>
      <w:r w:rsidR="008261C5" w:rsidRPr="002C72C2">
        <w:rPr>
          <w:lang w:eastAsia="en-US" w:bidi="ar-SA"/>
        </w:rPr>
        <w:t>c</w:t>
      </w:r>
      <w:r w:rsidRPr="002C72C2">
        <w:rPr>
          <w:lang w:eastAsia="en-US" w:bidi="ar-SA"/>
        </w:rPr>
        <w:t xml:space="preserve">oordination </w:t>
      </w:r>
      <w:r w:rsidR="008261C5" w:rsidRPr="002C72C2">
        <w:rPr>
          <w:lang w:eastAsia="en-US" w:bidi="ar-SA"/>
        </w:rPr>
        <w:t xml:space="preserve">and balancing </w:t>
      </w:r>
      <w:r w:rsidRPr="002C72C2">
        <w:rPr>
          <w:lang w:eastAsia="en-US" w:bidi="ar-SA"/>
        </w:rPr>
        <w:t xml:space="preserve">models </w:t>
      </w:r>
      <w:r w:rsidR="009D4544" w:rsidRPr="002C72C2">
        <w:rPr>
          <w:lang w:eastAsia="en-US" w:bidi="ar-SA"/>
        </w:rPr>
        <w:t>will be required</w:t>
      </w:r>
      <w:r w:rsidR="00AD7E93" w:rsidRPr="002C72C2">
        <w:rPr>
          <w:lang w:eastAsia="en-US" w:bidi="ar-SA"/>
        </w:rPr>
        <w:t xml:space="preserve">: </w:t>
      </w:r>
    </w:p>
    <w:p w14:paraId="62F70371" w14:textId="64244F4E" w:rsidR="00DB5B55" w:rsidRPr="002C72C2" w:rsidRDefault="00AD7E93" w:rsidP="00954BAC">
      <w:pPr>
        <w:pStyle w:val="ListParagraph"/>
        <w:numPr>
          <w:ilvl w:val="0"/>
          <w:numId w:val="17"/>
        </w:numPr>
        <w:spacing w:line="264" w:lineRule="auto"/>
        <w:rPr>
          <w:lang w:eastAsia="en-US" w:bidi="ar-SA"/>
        </w:rPr>
      </w:pPr>
      <w:r w:rsidRPr="002C72C2">
        <w:rPr>
          <w:lang w:eastAsia="en-US" w:bidi="ar-SA"/>
        </w:rPr>
        <w:t>In the near-term, t</w:t>
      </w:r>
      <w:r w:rsidR="00DB5B55" w:rsidRPr="002C72C2">
        <w:rPr>
          <w:lang w:eastAsia="en-US" w:bidi="ar-SA"/>
        </w:rPr>
        <w:t xml:space="preserve">o operate reliably during periods where 100% of instantaneous demand is met by variable sources; and,  </w:t>
      </w:r>
    </w:p>
    <w:p w14:paraId="7EDF113B" w14:textId="28697776" w:rsidR="00CB4A9A" w:rsidRPr="002C72C2" w:rsidRDefault="00AD7E93" w:rsidP="00954BAC">
      <w:pPr>
        <w:pStyle w:val="ListParagraph"/>
        <w:numPr>
          <w:ilvl w:val="0"/>
          <w:numId w:val="17"/>
        </w:numPr>
        <w:spacing w:line="264" w:lineRule="auto"/>
        <w:rPr>
          <w:lang w:eastAsia="en-US" w:bidi="ar-SA"/>
        </w:rPr>
      </w:pPr>
      <w:r w:rsidRPr="002C72C2">
        <w:rPr>
          <w:lang w:eastAsia="en-US" w:bidi="ar-SA"/>
        </w:rPr>
        <w:t>In the longer-term, t</w:t>
      </w:r>
      <w:r w:rsidR="00DB5B55" w:rsidRPr="002C72C2">
        <w:rPr>
          <w:lang w:eastAsia="en-US" w:bidi="ar-SA"/>
        </w:rPr>
        <w:t xml:space="preserve">o be capable of </w:t>
      </w:r>
      <w:r w:rsidR="009C39F5" w:rsidRPr="002C72C2">
        <w:rPr>
          <w:lang w:eastAsia="en-US" w:bidi="ar-SA"/>
        </w:rPr>
        <w:t xml:space="preserve">enabling futures </w:t>
      </w:r>
      <w:r w:rsidR="009E7B0B" w:rsidRPr="002C72C2">
        <w:rPr>
          <w:lang w:eastAsia="en-US" w:bidi="ar-SA"/>
        </w:rPr>
        <w:t>even broadly</w:t>
      </w:r>
      <w:r w:rsidR="00601B25" w:rsidRPr="002C72C2">
        <w:rPr>
          <w:lang w:eastAsia="en-US" w:bidi="ar-SA"/>
        </w:rPr>
        <w:t xml:space="preserve"> </w:t>
      </w:r>
      <w:r w:rsidR="00E46CB7" w:rsidRPr="002C72C2">
        <w:rPr>
          <w:lang w:eastAsia="en-US" w:bidi="ar-SA"/>
        </w:rPr>
        <w:t>like</w:t>
      </w:r>
      <w:r w:rsidR="001F5AC8" w:rsidRPr="002C72C2">
        <w:rPr>
          <w:lang w:eastAsia="en-US" w:bidi="ar-SA"/>
        </w:rPr>
        <w:t xml:space="preserve"> AEMO’s Step Change scenario</w:t>
      </w:r>
      <w:r w:rsidR="008C2445">
        <w:rPr>
          <w:lang w:eastAsia="en-US" w:bidi="ar-SA"/>
        </w:rPr>
        <w:t xml:space="preserve"> </w:t>
      </w:r>
      <w:hyperlink w:anchor="Ref_1" w:history="1">
        <w:r w:rsidR="00472BA6" w:rsidRPr="00AF533E">
          <w:rPr>
            <w:rStyle w:val="Hyperlink"/>
            <w:lang w:eastAsia="en-US" w:bidi="ar-SA"/>
          </w:rPr>
          <w:fldChar w:fldCharType="begin"/>
        </w:r>
        <w:r w:rsidR="00472BA6" w:rsidRPr="00AF533E">
          <w:rPr>
            <w:rStyle w:val="Hyperlink"/>
            <w:lang w:eastAsia="en-US" w:bidi="ar-SA"/>
          </w:rPr>
          <w:instrText xml:space="preserve"> ADDIN ZOTERO_ITEM CSL_CITATION {"citationID":"te9qARXE","properties":{"formattedCitation":"[1]","plainCitation":"[1]","noteIndex":0},"citationItems":[{"id":1,"uris":["http://zotero.org/users/local/BgaHAIQb/items/ZKYT9SXV","http://zotero.org/users/17348326/items/ZKYT9SXV"],"itemData":{"id":1,"type":"report","number":"Version 1.0","publisher":"AEMO","title":"2024 Integrated System Plan (ISP),","URL":"https://aemo.com.au/-/media/files/major-publications/isp/2024/2024-integrated-system-plan-isp.pdf","author":[{"family":"Australian Energy Market Operator (AEMO)","given":""}],"issued":{"date-parts":[["2024",6]]}}}],"schema":"https://github.com/citation-style-language/schema/raw/master/csl-citation.json"} </w:instrText>
        </w:r>
        <w:r w:rsidR="00472BA6" w:rsidRPr="00AF533E">
          <w:rPr>
            <w:rStyle w:val="Hyperlink"/>
            <w:lang w:eastAsia="en-US" w:bidi="ar-SA"/>
          </w:rPr>
          <w:fldChar w:fldCharType="separate"/>
        </w:r>
        <w:r w:rsidR="00472BA6" w:rsidRPr="00AF533E">
          <w:rPr>
            <w:rStyle w:val="Hyperlink"/>
          </w:rPr>
          <w:t>[1]</w:t>
        </w:r>
        <w:r w:rsidR="00472BA6" w:rsidRPr="00AF533E">
          <w:rPr>
            <w:rStyle w:val="Hyperlink"/>
            <w:lang w:eastAsia="en-US" w:bidi="ar-SA"/>
          </w:rPr>
          <w:fldChar w:fldCharType="end"/>
        </w:r>
      </w:hyperlink>
      <w:r w:rsidR="009C39F5" w:rsidRPr="002C72C2">
        <w:rPr>
          <w:lang w:eastAsia="en-US" w:bidi="ar-SA"/>
        </w:rPr>
        <w:t xml:space="preserve">. </w:t>
      </w:r>
    </w:p>
    <w:p w14:paraId="45F51F37" w14:textId="2F6DAEAA" w:rsidR="00AA5297" w:rsidRPr="002C72C2" w:rsidRDefault="00032AB3" w:rsidP="00EB2823">
      <w:pPr>
        <w:spacing w:before="120" w:after="120" w:line="264" w:lineRule="auto"/>
        <w:rPr>
          <w:lang w:eastAsia="en-US" w:bidi="ar-SA"/>
        </w:rPr>
      </w:pPr>
      <w:r w:rsidRPr="002C72C2">
        <w:rPr>
          <w:lang w:eastAsia="en-US" w:bidi="ar-SA"/>
        </w:rPr>
        <w:t xml:space="preserve">Further, as </w:t>
      </w:r>
      <w:r w:rsidR="00803C66" w:rsidRPr="00803C66">
        <w:rPr>
          <w:lang w:eastAsia="en-US" w:bidi="ar-SA"/>
        </w:rPr>
        <w:t>e</w:t>
      </w:r>
      <w:r w:rsidRPr="00803C66">
        <w:rPr>
          <w:lang w:eastAsia="en-US" w:bidi="ar-SA"/>
        </w:rPr>
        <w:t xml:space="preserve">nergy </w:t>
      </w:r>
      <w:r w:rsidR="00803C66" w:rsidRPr="00803C66">
        <w:rPr>
          <w:lang w:eastAsia="en-US" w:bidi="ar-SA"/>
        </w:rPr>
        <w:t>r</w:t>
      </w:r>
      <w:r w:rsidRPr="00803C66">
        <w:rPr>
          <w:lang w:eastAsia="en-US" w:bidi="ar-SA"/>
        </w:rPr>
        <w:t xml:space="preserve">esource </w:t>
      </w:r>
      <w:r w:rsidRPr="002C72C2">
        <w:rPr>
          <w:lang w:eastAsia="en-US" w:bidi="ar-SA"/>
        </w:rPr>
        <w:t xml:space="preserve">ownership and operational models evolve, advanced </w:t>
      </w:r>
      <w:r w:rsidR="00803C66" w:rsidRPr="00803C66">
        <w:rPr>
          <w:lang w:eastAsia="en-US" w:bidi="ar-SA"/>
        </w:rPr>
        <w:t>o</w:t>
      </w:r>
      <w:r w:rsidRPr="00803C66">
        <w:rPr>
          <w:lang w:eastAsia="en-US" w:bidi="ar-SA"/>
        </w:rPr>
        <w:t xml:space="preserve">perational </w:t>
      </w:r>
      <w:r w:rsidR="00803C66" w:rsidRPr="00803C66">
        <w:rPr>
          <w:lang w:eastAsia="en-US" w:bidi="ar-SA"/>
        </w:rPr>
        <w:t>c</w:t>
      </w:r>
      <w:r w:rsidRPr="00803C66">
        <w:rPr>
          <w:lang w:eastAsia="en-US" w:bidi="ar-SA"/>
        </w:rPr>
        <w:t>oordination</w:t>
      </w:r>
      <w:r w:rsidRPr="002C72C2">
        <w:rPr>
          <w:lang w:eastAsia="en-US" w:bidi="ar-SA"/>
        </w:rPr>
        <w:t xml:space="preserve"> will also require higher-resolution and more dynamic ‘market-control’ alignment to both provide an attractive </w:t>
      </w:r>
      <w:r w:rsidR="00AD7E93" w:rsidRPr="002C72C2">
        <w:rPr>
          <w:lang w:eastAsia="en-US" w:bidi="ar-SA"/>
        </w:rPr>
        <w:t>q</w:t>
      </w:r>
      <w:r w:rsidRPr="002C72C2">
        <w:rPr>
          <w:lang w:eastAsia="en-US" w:bidi="ar-SA"/>
        </w:rPr>
        <w:t xml:space="preserve">uid pro quo and activate the efficient delivery of specific </w:t>
      </w:r>
      <w:r w:rsidR="00AD7E93" w:rsidRPr="002C72C2">
        <w:rPr>
          <w:lang w:eastAsia="en-US" w:bidi="ar-SA"/>
        </w:rPr>
        <w:t>grid services</w:t>
      </w:r>
      <w:r w:rsidRPr="002C72C2">
        <w:rPr>
          <w:lang w:eastAsia="en-US" w:bidi="ar-SA"/>
        </w:rPr>
        <w:t xml:space="preserve"> when and where most needed by </w:t>
      </w:r>
      <w:r w:rsidR="00AD7E93" w:rsidRPr="002C72C2">
        <w:rPr>
          <w:lang w:eastAsia="en-US" w:bidi="ar-SA"/>
        </w:rPr>
        <w:t xml:space="preserve">the different </w:t>
      </w:r>
      <w:r w:rsidR="00CD3E88" w:rsidRPr="002C72C2">
        <w:rPr>
          <w:lang w:eastAsia="en-US" w:bidi="ar-SA"/>
        </w:rPr>
        <w:t>t</w:t>
      </w:r>
      <w:r w:rsidR="00AD7E93" w:rsidRPr="002C72C2">
        <w:rPr>
          <w:lang w:eastAsia="en-US" w:bidi="ar-SA"/>
        </w:rPr>
        <w:t>iers</w:t>
      </w:r>
      <w:r w:rsidR="00CD3E88" w:rsidRPr="002C72C2">
        <w:rPr>
          <w:lang w:eastAsia="en-US" w:bidi="ar-SA"/>
        </w:rPr>
        <w:t>/layers</w:t>
      </w:r>
      <w:r w:rsidR="00AD7E93" w:rsidRPr="002C72C2">
        <w:rPr>
          <w:lang w:eastAsia="en-US" w:bidi="ar-SA"/>
        </w:rPr>
        <w:t xml:space="preserve"> of the p</w:t>
      </w:r>
      <w:r w:rsidRPr="002C72C2">
        <w:rPr>
          <w:lang w:eastAsia="en-US" w:bidi="ar-SA"/>
        </w:rPr>
        <w:t xml:space="preserve">ower </w:t>
      </w:r>
      <w:r w:rsidR="00AD7E93" w:rsidRPr="002C72C2">
        <w:rPr>
          <w:lang w:eastAsia="en-US" w:bidi="ar-SA"/>
        </w:rPr>
        <w:t>s</w:t>
      </w:r>
      <w:r w:rsidRPr="002C72C2">
        <w:rPr>
          <w:lang w:eastAsia="en-US" w:bidi="ar-SA"/>
        </w:rPr>
        <w:t>ystem.</w:t>
      </w:r>
    </w:p>
    <w:p w14:paraId="318D1BE4" w14:textId="4AFC80C4" w:rsidR="00032AB3" w:rsidRPr="002F2243" w:rsidRDefault="00AA5297" w:rsidP="00EB2823">
      <w:pPr>
        <w:spacing w:before="120" w:after="120" w:line="264" w:lineRule="auto"/>
        <w:rPr>
          <w:lang w:eastAsia="en-US" w:bidi="ar-SA"/>
        </w:rPr>
      </w:pPr>
      <w:r w:rsidRPr="4F89B82E">
        <w:rPr>
          <w:lang w:eastAsia="en-US" w:bidi="ar-SA"/>
        </w:rPr>
        <w:t>I</w:t>
      </w:r>
      <w:r w:rsidR="001739DE" w:rsidRPr="4F89B82E">
        <w:rPr>
          <w:lang w:eastAsia="en-US" w:bidi="ar-SA"/>
        </w:rPr>
        <w:t xml:space="preserve">t is important to note that both market and control </w:t>
      </w:r>
      <w:r w:rsidR="00032AB3" w:rsidRPr="4F89B82E">
        <w:rPr>
          <w:lang w:eastAsia="en-US" w:bidi="ar-SA"/>
        </w:rPr>
        <w:t>elements are essential</w:t>
      </w:r>
      <w:r w:rsidR="001739DE" w:rsidRPr="4F89B82E">
        <w:rPr>
          <w:lang w:eastAsia="en-US" w:bidi="ar-SA"/>
        </w:rPr>
        <w:t xml:space="preserve"> to advanced operational coordination</w:t>
      </w:r>
      <w:r w:rsidR="00374950">
        <w:rPr>
          <w:lang w:eastAsia="en-US" w:bidi="ar-SA"/>
        </w:rPr>
        <w:t xml:space="preserve">. </w:t>
      </w:r>
      <w:r w:rsidR="001739DE" w:rsidRPr="4F89B82E">
        <w:rPr>
          <w:lang w:eastAsia="en-US" w:bidi="ar-SA"/>
        </w:rPr>
        <w:t xml:space="preserve">This is because </w:t>
      </w:r>
      <w:r w:rsidR="00032AB3" w:rsidRPr="4F89B82E">
        <w:rPr>
          <w:lang w:eastAsia="en-US" w:bidi="ar-SA"/>
        </w:rPr>
        <w:t>well-designed market</w:t>
      </w:r>
      <w:r w:rsidR="001739DE" w:rsidRPr="4F89B82E">
        <w:rPr>
          <w:lang w:eastAsia="en-US" w:bidi="ar-SA"/>
        </w:rPr>
        <w:t xml:space="preserve"> mechanisms </w:t>
      </w:r>
      <w:r w:rsidR="00032AB3" w:rsidRPr="4F89B82E">
        <w:rPr>
          <w:lang w:eastAsia="en-US" w:bidi="ar-SA"/>
        </w:rPr>
        <w:t>operate as excellent sensors and optimisation engines,</w:t>
      </w:r>
      <w:r w:rsidRPr="4F89B82E">
        <w:rPr>
          <w:lang w:eastAsia="en-US" w:bidi="ar-SA"/>
        </w:rPr>
        <w:t xml:space="preserve"> as well as a means of incentivi</w:t>
      </w:r>
      <w:r w:rsidR="00BD02A0" w:rsidRPr="4F89B82E">
        <w:rPr>
          <w:lang w:eastAsia="en-US" w:bidi="ar-SA"/>
        </w:rPr>
        <w:t>s</w:t>
      </w:r>
      <w:r w:rsidRPr="4F89B82E">
        <w:rPr>
          <w:lang w:eastAsia="en-US" w:bidi="ar-SA"/>
        </w:rPr>
        <w:t>ing participation</w:t>
      </w:r>
      <w:r w:rsidR="00374950">
        <w:rPr>
          <w:lang w:eastAsia="en-US" w:bidi="ar-SA"/>
        </w:rPr>
        <w:t xml:space="preserve">. </w:t>
      </w:r>
      <w:r w:rsidR="00BD02A0" w:rsidRPr="4F89B82E">
        <w:rPr>
          <w:lang w:eastAsia="en-US" w:bidi="ar-SA"/>
        </w:rPr>
        <w:t xml:space="preserve">At the same time, </w:t>
      </w:r>
      <w:r w:rsidR="00032AB3" w:rsidRPr="4F89B82E">
        <w:rPr>
          <w:lang w:eastAsia="en-US" w:bidi="ar-SA"/>
        </w:rPr>
        <w:t xml:space="preserve">technological controls are essential to </w:t>
      </w:r>
      <w:r w:rsidR="00B674DF" w:rsidRPr="4F89B82E">
        <w:rPr>
          <w:lang w:eastAsia="en-US" w:bidi="ar-SA"/>
        </w:rPr>
        <w:t>provide the specific g</w:t>
      </w:r>
      <w:r w:rsidR="00032AB3" w:rsidRPr="4F89B82E">
        <w:rPr>
          <w:lang w:eastAsia="en-US" w:bidi="ar-SA"/>
        </w:rPr>
        <w:t xml:space="preserve">rid services </w:t>
      </w:r>
      <w:r w:rsidR="00B674DF" w:rsidRPr="4F89B82E">
        <w:rPr>
          <w:lang w:eastAsia="en-US" w:bidi="ar-SA"/>
        </w:rPr>
        <w:t xml:space="preserve">at the time required by the system in a manner that is </w:t>
      </w:r>
      <w:r w:rsidR="00032AB3" w:rsidRPr="4F89B82E">
        <w:rPr>
          <w:lang w:eastAsia="en-US" w:bidi="ar-SA"/>
        </w:rPr>
        <w:t>effortless</w:t>
      </w:r>
      <w:r w:rsidR="00B674DF" w:rsidRPr="4F89B82E">
        <w:rPr>
          <w:lang w:eastAsia="en-US" w:bidi="ar-SA"/>
        </w:rPr>
        <w:t xml:space="preserve"> for participating </w:t>
      </w:r>
      <w:r w:rsidR="00032AB3" w:rsidRPr="4F89B82E">
        <w:rPr>
          <w:lang w:eastAsia="en-US" w:bidi="ar-SA"/>
        </w:rPr>
        <w:t>customer</w:t>
      </w:r>
      <w:r w:rsidR="00B674DF" w:rsidRPr="4F89B82E">
        <w:rPr>
          <w:lang w:eastAsia="en-US" w:bidi="ar-SA"/>
        </w:rPr>
        <w:t>s</w:t>
      </w:r>
      <w:r w:rsidR="00374950">
        <w:rPr>
          <w:lang w:eastAsia="en-US" w:bidi="ar-SA"/>
        </w:rPr>
        <w:t xml:space="preserve">. </w:t>
      </w:r>
    </w:p>
    <w:p w14:paraId="566663EC" w14:textId="77777777" w:rsidR="0001462D" w:rsidRDefault="0001462D" w:rsidP="0001462D">
      <w:pPr>
        <w:keepNext/>
        <w:tabs>
          <w:tab w:val="left" w:pos="481"/>
        </w:tabs>
        <w:kinsoku w:val="0"/>
        <w:overflowPunct w:val="0"/>
        <w:autoSpaceDE w:val="0"/>
        <w:autoSpaceDN w:val="0"/>
        <w:adjustRightInd w:val="0"/>
        <w:spacing w:before="120" w:after="120" w:line="264" w:lineRule="auto"/>
        <w:ind w:right="173"/>
        <w:jc w:val="center"/>
      </w:pPr>
      <w:bookmarkStart w:id="61" w:name="Figure_6"/>
      <w:r w:rsidRPr="002F2243">
        <w:rPr>
          <w:rFonts w:eastAsia="DengXian" w:cs="Cordia New"/>
          <w:noProof/>
          <w:color w:val="000000"/>
        </w:rPr>
        <w:drawing>
          <wp:inline distT="0" distB="0" distL="0" distR="0" wp14:anchorId="728CFE0F" wp14:editId="3F7307B1">
            <wp:extent cx="5051660" cy="333082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7">
                      <a:extLst>
                        <a:ext uri="{96DAC541-7B7A-43D3-8B79-37D633B846F1}">
                          <asvg:svgBlip xmlns:asvg="http://schemas.microsoft.com/office/drawing/2016/SVG/main" r:embed="rId28"/>
                        </a:ext>
                      </a:extLst>
                    </a:blip>
                    <a:srcRect t="8780" b="8780"/>
                    <a:stretch>
                      <a:fillRect/>
                    </a:stretch>
                  </pic:blipFill>
                  <pic:spPr bwMode="auto">
                    <a:xfrm>
                      <a:off x="0" y="0"/>
                      <a:ext cx="5051660" cy="3330820"/>
                    </a:xfrm>
                    <a:prstGeom prst="rect">
                      <a:avLst/>
                    </a:prstGeom>
                    <a:extLst>
                      <a:ext uri="{53640926-AAD7-44D8-BBD7-CCE9431645EC}">
                        <a14:shadowObscured xmlns:a14="http://schemas.microsoft.com/office/drawing/2010/main"/>
                      </a:ext>
                    </a:extLst>
                  </pic:spPr>
                </pic:pic>
              </a:graphicData>
            </a:graphic>
          </wp:inline>
        </w:drawing>
      </w:r>
      <w:bookmarkEnd w:id="61"/>
    </w:p>
    <w:p w14:paraId="31144AF9" w14:textId="7312043A" w:rsidR="0001462D" w:rsidRPr="002C72C2" w:rsidRDefault="0001462D" w:rsidP="00AC4811">
      <w:pPr>
        <w:pStyle w:val="Caption"/>
        <w:spacing w:before="120" w:after="240" w:line="264" w:lineRule="auto"/>
        <w:rPr>
          <w:rFonts w:eastAsia="Calibri" w:cs="Calibri"/>
          <w:i w:val="0"/>
          <w:lang w:eastAsia="en-US" w:bidi="ar-SA"/>
        </w:rPr>
      </w:pPr>
      <w:bookmarkStart w:id="62" w:name="_Toc205365731"/>
      <w:r>
        <w:t xml:space="preserve">Figure </w:t>
      </w:r>
      <w:r>
        <w:fldChar w:fldCharType="begin"/>
      </w:r>
      <w:r>
        <w:instrText>SEQ Figure \* ARABIC</w:instrText>
      </w:r>
      <w:r>
        <w:fldChar w:fldCharType="separate"/>
      </w:r>
      <w:r w:rsidR="009F382F">
        <w:rPr>
          <w:noProof/>
        </w:rPr>
        <w:t>6</w:t>
      </w:r>
      <w:r>
        <w:fldChar w:fldCharType="end"/>
      </w:r>
      <w:r>
        <w:t xml:space="preserve">: </w:t>
      </w:r>
      <w:r w:rsidRPr="00C1658E">
        <w:t xml:space="preserve">Advanced </w:t>
      </w:r>
      <w:r w:rsidR="00AC4811">
        <w:t>o</w:t>
      </w:r>
      <w:r w:rsidRPr="00C1658E">
        <w:t xml:space="preserve">perational </w:t>
      </w:r>
      <w:r w:rsidR="00AC4811">
        <w:t>c</w:t>
      </w:r>
      <w:r w:rsidRPr="00C1658E">
        <w:t>oordination</w:t>
      </w:r>
      <w:r w:rsidR="00AC4811">
        <w:t xml:space="preserve"> and balancing</w:t>
      </w:r>
      <w:r w:rsidRPr="00C1658E">
        <w:t xml:space="preserve"> mechanisms require ‘</w:t>
      </w:r>
      <w:r w:rsidR="00AC4811">
        <w:t>m</w:t>
      </w:r>
      <w:r w:rsidRPr="00C1658E">
        <w:t>arket-</w:t>
      </w:r>
      <w:r w:rsidR="00AC4811">
        <w:t>c</w:t>
      </w:r>
      <w:r w:rsidRPr="00C1658E">
        <w:t xml:space="preserve">ontrol’ alignment and complementarity across key </w:t>
      </w:r>
      <w:r w:rsidR="00AC4811">
        <w:t>tiers/</w:t>
      </w:r>
      <w:r w:rsidRPr="00C1658E">
        <w:t xml:space="preserve">layers of the </w:t>
      </w:r>
      <w:r w:rsidR="00AC4811">
        <w:t>p</w:t>
      </w:r>
      <w:r w:rsidRPr="00C1658E">
        <w:t xml:space="preserve">ower </w:t>
      </w:r>
      <w:r w:rsidR="00AC4811">
        <w:t>s</w:t>
      </w:r>
      <w:r w:rsidRPr="00C1658E">
        <w:t>ystem</w:t>
      </w:r>
      <w:r w:rsidR="008C2445">
        <w:t xml:space="preserve"> </w:t>
      </w:r>
      <w:hyperlink w:anchor="Ref_20" w:history="1">
        <w:r w:rsidR="00F87B72" w:rsidRPr="00D845A7">
          <w:rPr>
            <w:rStyle w:val="Hyperlink"/>
          </w:rPr>
          <w:fldChar w:fldCharType="begin"/>
        </w:r>
        <w:r w:rsidR="00732E28" w:rsidRPr="00D845A7">
          <w:rPr>
            <w:rStyle w:val="Hyperlink"/>
          </w:rPr>
          <w:instrText xml:space="preserve"> ADDIN ZOTERO_ITEM CSL_CITATION {"citationID":"4iwTnqC0","properties":{"formattedCitation":"[20]","plainCitation":"[20]","noteIndex":0},"citationItems":[{"id":9,"uris":["http://zotero.org/users/local/BgaHAIQb/items/FS62H62G","http://zotero.org/users/17348326/items/FS62H62G"],"itemData":{"id":9,"type":"report","event-place":"Richland, Washington 99352","page":"10","publisher-place":"Richland, Washington 99352","title":"Electric Grid Market - Control Structure","title-short":"PNNL Adaptation","URL":"https://gridarchitecture.pnnl.gov/media/advanced/Market_Control_Structure_v0.2.pdf","author":[{"family":"Pacific Northwest National Laboratory (PNNL)","given":""}],"issued":{"date-parts":[["2017",6]]}}}],"schema":"https://github.com/citation-style-language/schema/raw/master/csl-citation.json"} </w:instrText>
        </w:r>
        <w:r w:rsidR="00F87B72" w:rsidRPr="00D845A7">
          <w:rPr>
            <w:rStyle w:val="Hyperlink"/>
          </w:rPr>
          <w:fldChar w:fldCharType="separate"/>
        </w:r>
        <w:r w:rsidR="00732E28" w:rsidRPr="00D845A7">
          <w:rPr>
            <w:rStyle w:val="Hyperlink"/>
          </w:rPr>
          <w:t>[20]</w:t>
        </w:r>
        <w:r w:rsidR="00F87B72" w:rsidRPr="00D845A7">
          <w:rPr>
            <w:rStyle w:val="Hyperlink"/>
          </w:rPr>
          <w:fldChar w:fldCharType="end"/>
        </w:r>
      </w:hyperlink>
      <w:r w:rsidR="0004333A">
        <w:t>.</w:t>
      </w:r>
      <w:bookmarkEnd w:id="62"/>
    </w:p>
    <w:p w14:paraId="0D73B6D3" w14:textId="52012307" w:rsidR="00032AB3" w:rsidRPr="002C72C2" w:rsidRDefault="00032AB3" w:rsidP="00EB2823">
      <w:pPr>
        <w:spacing w:before="120" w:after="120" w:line="264" w:lineRule="auto"/>
        <w:rPr>
          <w:lang w:eastAsia="en-US" w:bidi="ar-SA"/>
        </w:rPr>
      </w:pPr>
      <w:r w:rsidRPr="002C72C2">
        <w:rPr>
          <w:lang w:eastAsia="en-US" w:bidi="ar-SA"/>
        </w:rPr>
        <w:t xml:space="preserve">Given the scale of change this involves, it is not rational to assume the legacy </w:t>
      </w:r>
      <w:r w:rsidR="00B674DF" w:rsidRPr="002C72C2">
        <w:rPr>
          <w:lang w:eastAsia="en-US" w:bidi="ar-SA"/>
        </w:rPr>
        <w:t xml:space="preserve">coordination </w:t>
      </w:r>
      <w:r w:rsidR="0052028B" w:rsidRPr="002C72C2">
        <w:rPr>
          <w:lang w:eastAsia="en-US" w:bidi="ar-SA"/>
        </w:rPr>
        <w:t xml:space="preserve">and balancing mechanisms </w:t>
      </w:r>
      <w:r w:rsidRPr="002C72C2">
        <w:rPr>
          <w:lang w:eastAsia="en-US" w:bidi="ar-SA"/>
        </w:rPr>
        <w:t xml:space="preserve">developed last century </w:t>
      </w:r>
      <w:r w:rsidR="0052028B" w:rsidRPr="002C72C2">
        <w:rPr>
          <w:lang w:eastAsia="en-US" w:bidi="ar-SA"/>
        </w:rPr>
        <w:t>in a</w:t>
      </w:r>
      <w:r w:rsidRPr="002C72C2">
        <w:rPr>
          <w:lang w:eastAsia="en-US" w:bidi="ar-SA"/>
        </w:rPr>
        <w:t xml:space="preserve"> very different </w:t>
      </w:r>
      <w:r w:rsidR="0052028B" w:rsidRPr="002C72C2">
        <w:rPr>
          <w:lang w:eastAsia="en-US" w:bidi="ar-SA"/>
        </w:rPr>
        <w:t xml:space="preserve">operational context </w:t>
      </w:r>
      <w:r w:rsidR="008714D3" w:rsidRPr="002C72C2">
        <w:rPr>
          <w:lang w:eastAsia="en-US" w:bidi="ar-SA"/>
        </w:rPr>
        <w:t>will be future-ready</w:t>
      </w:r>
      <w:r w:rsidR="00374950">
        <w:rPr>
          <w:lang w:eastAsia="en-US" w:bidi="ar-SA"/>
        </w:rPr>
        <w:t xml:space="preserve">. </w:t>
      </w:r>
      <w:r w:rsidRPr="002C72C2">
        <w:rPr>
          <w:lang w:eastAsia="en-US" w:bidi="ar-SA"/>
        </w:rPr>
        <w:t>This is further compounded in the NEM by the clear structural separation</w:t>
      </w:r>
      <w:r w:rsidR="008714D3" w:rsidRPr="002C72C2">
        <w:rPr>
          <w:lang w:eastAsia="en-US" w:bidi="ar-SA"/>
        </w:rPr>
        <w:t>s</w:t>
      </w:r>
      <w:r w:rsidRPr="002C72C2">
        <w:rPr>
          <w:lang w:eastAsia="en-US" w:bidi="ar-SA"/>
        </w:rPr>
        <w:t xml:space="preserve"> that, over recent decades, has involved</w:t>
      </w:r>
      <w:r w:rsidR="008714D3" w:rsidRPr="002C72C2">
        <w:rPr>
          <w:lang w:eastAsia="en-US" w:bidi="ar-SA"/>
        </w:rPr>
        <w:t xml:space="preserve"> only</w:t>
      </w:r>
      <w:r w:rsidRPr="002C72C2">
        <w:rPr>
          <w:lang w:eastAsia="en-US" w:bidi="ar-SA"/>
        </w:rPr>
        <w:t xml:space="preserve"> limited inter</w:t>
      </w:r>
      <w:r w:rsidR="008714D3" w:rsidRPr="002C72C2">
        <w:rPr>
          <w:lang w:eastAsia="en-US" w:bidi="ar-SA"/>
        </w:rPr>
        <w:t>-</w:t>
      </w:r>
      <w:r w:rsidRPr="002C72C2">
        <w:rPr>
          <w:lang w:eastAsia="en-US" w:bidi="ar-SA"/>
        </w:rPr>
        <w:t>dependence, interoperability and coordination across the supply chain</w:t>
      </w:r>
      <w:r w:rsidR="00374950">
        <w:rPr>
          <w:lang w:eastAsia="en-US" w:bidi="ar-SA"/>
        </w:rPr>
        <w:t xml:space="preserve">. </w:t>
      </w:r>
      <w:r w:rsidRPr="002C72C2">
        <w:rPr>
          <w:lang w:eastAsia="en-US" w:bidi="ar-SA"/>
        </w:rPr>
        <w:t xml:space="preserve">Where </w:t>
      </w:r>
      <w:r w:rsidR="0068545A" w:rsidRPr="002C72C2">
        <w:rPr>
          <w:lang w:eastAsia="en-US" w:bidi="ar-SA"/>
        </w:rPr>
        <w:t>architectural</w:t>
      </w:r>
      <w:r w:rsidRPr="002C72C2">
        <w:rPr>
          <w:lang w:eastAsia="en-US" w:bidi="ar-SA"/>
        </w:rPr>
        <w:t xml:space="preserve"> considerations are not formally addressed in </w:t>
      </w:r>
      <w:r w:rsidR="0068545A" w:rsidRPr="002C72C2">
        <w:rPr>
          <w:lang w:eastAsia="en-US" w:bidi="ar-SA"/>
        </w:rPr>
        <w:t xml:space="preserve">developing </w:t>
      </w:r>
      <w:r w:rsidR="008714D3" w:rsidRPr="002C72C2">
        <w:rPr>
          <w:lang w:eastAsia="en-US" w:bidi="ar-SA"/>
        </w:rPr>
        <w:t>advanced c</w:t>
      </w:r>
      <w:r w:rsidRPr="002C72C2">
        <w:rPr>
          <w:lang w:eastAsia="en-US" w:bidi="ar-SA"/>
        </w:rPr>
        <w:t xml:space="preserve">oordination </w:t>
      </w:r>
      <w:r w:rsidR="008714D3" w:rsidRPr="002C72C2">
        <w:rPr>
          <w:lang w:eastAsia="en-US" w:bidi="ar-SA"/>
        </w:rPr>
        <w:t xml:space="preserve">and balancing </w:t>
      </w:r>
      <w:r w:rsidRPr="002C72C2">
        <w:rPr>
          <w:lang w:eastAsia="en-US" w:bidi="ar-SA"/>
        </w:rPr>
        <w:t xml:space="preserve">mechanisms, costly scaling issues and structural brittleness will emerge that </w:t>
      </w:r>
      <w:r w:rsidR="0068545A" w:rsidRPr="002C72C2">
        <w:rPr>
          <w:lang w:eastAsia="en-US" w:bidi="ar-SA"/>
        </w:rPr>
        <w:t>risk impacting</w:t>
      </w:r>
      <w:r w:rsidRPr="002C72C2">
        <w:rPr>
          <w:lang w:eastAsia="en-US" w:bidi="ar-SA"/>
        </w:rPr>
        <w:t xml:space="preserve"> system reliability</w:t>
      </w:r>
      <w:r w:rsidR="0068545A" w:rsidRPr="002C72C2">
        <w:rPr>
          <w:lang w:eastAsia="en-US" w:bidi="ar-SA"/>
        </w:rPr>
        <w:t xml:space="preserve"> and economic efficiency. </w:t>
      </w:r>
    </w:p>
    <w:p w14:paraId="2B396A96" w14:textId="77777777" w:rsidR="00032AB3" w:rsidRPr="00E42869" w:rsidRDefault="00032AB3" w:rsidP="00954BAC">
      <w:pPr>
        <w:pStyle w:val="Heading4"/>
        <w:numPr>
          <w:ilvl w:val="0"/>
          <w:numId w:val="53"/>
        </w:numPr>
        <w:spacing w:before="240" w:after="120" w:line="264" w:lineRule="auto"/>
        <w:rPr>
          <w:i w:val="0"/>
          <w:iCs w:val="0"/>
        </w:rPr>
      </w:pPr>
      <w:r w:rsidRPr="00E42869">
        <w:rPr>
          <w:i w:val="0"/>
          <w:iCs w:val="0"/>
        </w:rPr>
        <w:t>Contributing Factors</w:t>
      </w:r>
    </w:p>
    <w:p w14:paraId="54BABD3B" w14:textId="77777777" w:rsidR="00032AB3" w:rsidRPr="00E142B1" w:rsidRDefault="00032AB3" w:rsidP="00EB2823">
      <w:pPr>
        <w:spacing w:before="180" w:after="120" w:line="264" w:lineRule="auto"/>
        <w:rPr>
          <w:rStyle w:val="IntenseEmphasis"/>
        </w:rPr>
      </w:pPr>
      <w:r w:rsidRPr="00E142B1">
        <w:rPr>
          <w:rStyle w:val="IntenseEmphasis"/>
        </w:rPr>
        <w:t xml:space="preserve">Operational Coordination – Global Challenge &amp; Opportunity </w:t>
      </w:r>
    </w:p>
    <w:p w14:paraId="1AFA57E1" w14:textId="2EF01EB3" w:rsidR="00032AB3" w:rsidRPr="002C72C2" w:rsidRDefault="00032AB3" w:rsidP="00EB2823">
      <w:pPr>
        <w:spacing w:before="120" w:after="120" w:line="264" w:lineRule="auto"/>
        <w:rPr>
          <w:lang w:eastAsia="en-US" w:bidi="ar-SA"/>
        </w:rPr>
      </w:pPr>
      <w:r w:rsidRPr="002C72C2">
        <w:rPr>
          <w:lang w:eastAsia="en-US" w:bidi="ar-SA"/>
        </w:rPr>
        <w:t xml:space="preserve">It is widely recognised that decarbonising </w:t>
      </w:r>
      <w:r w:rsidR="00CD49A8" w:rsidRPr="002C72C2">
        <w:rPr>
          <w:lang w:eastAsia="en-US" w:bidi="ar-SA"/>
        </w:rPr>
        <w:t>p</w:t>
      </w:r>
      <w:r w:rsidRPr="002C72C2">
        <w:rPr>
          <w:lang w:eastAsia="en-US" w:bidi="ar-SA"/>
        </w:rPr>
        <w:t xml:space="preserve">ower </w:t>
      </w:r>
      <w:r w:rsidR="00CD49A8" w:rsidRPr="002C72C2">
        <w:rPr>
          <w:lang w:eastAsia="en-US" w:bidi="ar-SA"/>
        </w:rPr>
        <w:t>s</w:t>
      </w:r>
      <w:r w:rsidRPr="002C72C2">
        <w:rPr>
          <w:lang w:eastAsia="en-US" w:bidi="ar-SA"/>
        </w:rPr>
        <w:t xml:space="preserve">ystems will increasingly require </w:t>
      </w:r>
      <w:r w:rsidR="00803C66" w:rsidRPr="00803C66">
        <w:rPr>
          <w:lang w:eastAsia="en-US" w:bidi="ar-SA"/>
        </w:rPr>
        <w:t>b</w:t>
      </w:r>
      <w:r w:rsidRPr="00803C66">
        <w:rPr>
          <w:lang w:eastAsia="en-US" w:bidi="ar-SA"/>
        </w:rPr>
        <w:t xml:space="preserve">ulk </w:t>
      </w:r>
      <w:r w:rsidR="00803C66" w:rsidRPr="00803C66">
        <w:rPr>
          <w:lang w:eastAsia="en-US" w:bidi="ar-SA"/>
        </w:rPr>
        <w:t>p</w:t>
      </w:r>
      <w:r w:rsidRPr="00803C66">
        <w:rPr>
          <w:lang w:eastAsia="en-US" w:bidi="ar-SA"/>
        </w:rPr>
        <w:t xml:space="preserve">ower, </w:t>
      </w:r>
      <w:r w:rsidR="00803C66" w:rsidRPr="00803C66">
        <w:rPr>
          <w:lang w:eastAsia="en-US" w:bidi="ar-SA"/>
        </w:rPr>
        <w:t>t</w:t>
      </w:r>
      <w:r w:rsidRPr="00803C66">
        <w:rPr>
          <w:lang w:eastAsia="en-US" w:bidi="ar-SA"/>
        </w:rPr>
        <w:t xml:space="preserve">ransmission and </w:t>
      </w:r>
      <w:r w:rsidR="00803C66" w:rsidRPr="00803C66">
        <w:rPr>
          <w:lang w:eastAsia="en-US" w:bidi="ar-SA"/>
        </w:rPr>
        <w:t>d</w:t>
      </w:r>
      <w:r w:rsidRPr="00803C66">
        <w:rPr>
          <w:lang w:eastAsia="en-US" w:bidi="ar-SA"/>
        </w:rPr>
        <w:t xml:space="preserve">istribution </w:t>
      </w:r>
      <w:r w:rsidR="00803C66" w:rsidRPr="00803C66">
        <w:rPr>
          <w:lang w:eastAsia="en-US" w:bidi="ar-SA"/>
        </w:rPr>
        <w:t>s</w:t>
      </w:r>
      <w:r w:rsidRPr="00803C66">
        <w:rPr>
          <w:lang w:eastAsia="en-US" w:bidi="ar-SA"/>
        </w:rPr>
        <w:t>ystems</w:t>
      </w:r>
      <w:r w:rsidRPr="002C72C2">
        <w:rPr>
          <w:lang w:eastAsia="en-US" w:bidi="ar-SA"/>
        </w:rPr>
        <w:t xml:space="preserve"> – and deep </w:t>
      </w:r>
      <w:r w:rsidR="00803C66" w:rsidRPr="00803C66">
        <w:rPr>
          <w:lang w:eastAsia="en-US" w:bidi="ar-SA"/>
        </w:rPr>
        <w:t>d</w:t>
      </w:r>
      <w:r w:rsidRPr="00803C66">
        <w:rPr>
          <w:lang w:eastAsia="en-US" w:bidi="ar-SA"/>
        </w:rPr>
        <w:t xml:space="preserve">emand-side </w:t>
      </w:r>
      <w:r w:rsidR="00803C66" w:rsidRPr="00803C66">
        <w:rPr>
          <w:lang w:eastAsia="en-US" w:bidi="ar-SA"/>
        </w:rPr>
        <w:t>f</w:t>
      </w:r>
      <w:r w:rsidRPr="00803C66">
        <w:rPr>
          <w:lang w:eastAsia="en-US" w:bidi="ar-SA"/>
        </w:rPr>
        <w:t>lexibility</w:t>
      </w:r>
      <w:r w:rsidRPr="002C72C2">
        <w:rPr>
          <w:lang w:eastAsia="en-US" w:bidi="ar-SA"/>
        </w:rPr>
        <w:t xml:space="preserve"> – to function holistically to enable secure, cost-efficient operation</w:t>
      </w:r>
      <w:r w:rsidR="00374950">
        <w:rPr>
          <w:lang w:eastAsia="en-US" w:bidi="ar-SA"/>
        </w:rPr>
        <w:t xml:space="preserve">. </w:t>
      </w:r>
      <w:r w:rsidRPr="002C72C2">
        <w:rPr>
          <w:lang w:eastAsia="en-US" w:bidi="ar-SA"/>
        </w:rPr>
        <w:t xml:space="preserve">As a result, </w:t>
      </w:r>
      <w:r w:rsidR="002559C8" w:rsidRPr="002C72C2">
        <w:rPr>
          <w:lang w:eastAsia="en-US" w:bidi="ar-SA"/>
        </w:rPr>
        <w:t>o</w:t>
      </w:r>
      <w:r w:rsidRPr="002C72C2">
        <w:rPr>
          <w:lang w:eastAsia="en-US" w:bidi="ar-SA"/>
        </w:rPr>
        <w:t xml:space="preserve">perational </w:t>
      </w:r>
      <w:r w:rsidR="002559C8" w:rsidRPr="002C72C2">
        <w:rPr>
          <w:lang w:eastAsia="en-US" w:bidi="ar-SA"/>
        </w:rPr>
        <w:t>c</w:t>
      </w:r>
      <w:r w:rsidRPr="002C72C2">
        <w:rPr>
          <w:lang w:eastAsia="en-US" w:bidi="ar-SA"/>
        </w:rPr>
        <w:t xml:space="preserve">oordination mechanisms configured for such a profoundly different </w:t>
      </w:r>
      <w:r w:rsidR="00D20D46" w:rsidRPr="002C72C2">
        <w:rPr>
          <w:lang w:eastAsia="en-US" w:bidi="ar-SA"/>
        </w:rPr>
        <w:t>p</w:t>
      </w:r>
      <w:r w:rsidRPr="002C72C2">
        <w:rPr>
          <w:lang w:eastAsia="en-US" w:bidi="ar-SA"/>
        </w:rPr>
        <w:t xml:space="preserve">ower </w:t>
      </w:r>
      <w:r w:rsidR="00D20D46" w:rsidRPr="002C72C2">
        <w:rPr>
          <w:lang w:eastAsia="en-US" w:bidi="ar-SA"/>
        </w:rPr>
        <w:t>s</w:t>
      </w:r>
      <w:r w:rsidRPr="002C72C2">
        <w:rPr>
          <w:lang w:eastAsia="en-US" w:bidi="ar-SA"/>
        </w:rPr>
        <w:t xml:space="preserve">ystem are perhaps one of the most pressing issues confronting the global sector. </w:t>
      </w:r>
    </w:p>
    <w:p w14:paraId="3ABBFC42" w14:textId="77777777" w:rsidR="0043196B" w:rsidRDefault="0043196B">
      <w:pPr>
        <w:spacing w:before="0" w:after="160" w:line="259" w:lineRule="auto"/>
        <w:rPr>
          <w:lang w:eastAsia="en-US" w:bidi="ar-SA"/>
        </w:rPr>
      </w:pPr>
      <w:r>
        <w:rPr>
          <w:lang w:eastAsia="en-US" w:bidi="ar-SA"/>
        </w:rPr>
        <w:br w:type="page"/>
      </w:r>
    </w:p>
    <w:p w14:paraId="110A053E" w14:textId="35AF6A8E" w:rsidR="00032AB3" w:rsidRPr="002C72C2" w:rsidRDefault="00032AB3" w:rsidP="00EB2823">
      <w:pPr>
        <w:spacing w:before="120" w:after="120" w:line="264" w:lineRule="auto"/>
        <w:rPr>
          <w:lang w:eastAsia="en-US" w:bidi="ar-SA"/>
        </w:rPr>
      </w:pPr>
      <w:r w:rsidRPr="002C72C2">
        <w:rPr>
          <w:lang w:eastAsia="en-US" w:bidi="ar-SA"/>
        </w:rPr>
        <w:t xml:space="preserve">For example, several major projects in the European Union include a strong focus on this </w:t>
      </w:r>
      <w:r w:rsidR="00CD3E88" w:rsidRPr="002C72C2">
        <w:rPr>
          <w:lang w:eastAsia="en-US" w:bidi="ar-SA"/>
        </w:rPr>
        <w:t>topic and</w:t>
      </w:r>
      <w:r w:rsidRPr="002C72C2">
        <w:rPr>
          <w:lang w:eastAsia="en-US" w:bidi="ar-SA"/>
        </w:rPr>
        <w:t xml:space="preserve"> AEMO’s Engineering Roadmap to 100% Renewables</w:t>
      </w:r>
      <w:hyperlink w:anchor="Ref_5" w:history="1">
        <w:r w:rsidR="002B6544" w:rsidRPr="00D845A7">
          <w:rPr>
            <w:rStyle w:val="Hyperlink"/>
            <w:lang w:eastAsia="en-US" w:bidi="ar-SA"/>
          </w:rPr>
          <w:fldChar w:fldCharType="begin"/>
        </w:r>
        <w:r w:rsidR="00562D82" w:rsidRPr="00D845A7">
          <w:rPr>
            <w:rStyle w:val="Hyperlink"/>
            <w:lang w:eastAsia="en-US" w:bidi="ar-SA"/>
          </w:rPr>
          <w:instrText xml:space="preserve"> ADDIN ZOTERO_ITEM CSL_CITATION {"citationID":"QM7EZhGK","properties":{"formattedCitation":"[5]","plainCitation":"[5]","noteIndex":0},"citationItems":[{"id":6,"uris":["http://zotero.org/users/local/BgaHAIQb/items/LFZSQM54","http://zotero.org/users/17348326/items/LFZSQM54"],"itemData":{"id":6,"type":"report","number":"Version 1.0","title":"Engineering Roadmap to 100% Renewables","URL":"https://aemo.com.au/-/media/files/initiatives/engineering-framework/2022/engineering-roadmap-to-100-per-cent-renewables.pdf","author":[{"family":"Australian Energy Market Operator (AEMO)","given":""}],"issued":{"date-parts":[["2022",12,1]]}}}],"schema":"https://github.com/citation-style-language/schema/raw/master/csl-citation.json"} </w:instrText>
        </w:r>
        <w:r w:rsidR="002B6544" w:rsidRPr="00D845A7">
          <w:rPr>
            <w:rStyle w:val="Hyperlink"/>
            <w:lang w:eastAsia="en-US" w:bidi="ar-SA"/>
          </w:rPr>
          <w:fldChar w:fldCharType="separate"/>
        </w:r>
        <w:r w:rsidR="00562D82" w:rsidRPr="00D845A7">
          <w:rPr>
            <w:rStyle w:val="Hyperlink"/>
          </w:rPr>
          <w:t>[5]</w:t>
        </w:r>
        <w:r w:rsidR="002B6544" w:rsidRPr="00D845A7">
          <w:rPr>
            <w:rStyle w:val="Hyperlink"/>
            <w:lang w:eastAsia="en-US" w:bidi="ar-SA"/>
          </w:rPr>
          <w:fldChar w:fldCharType="end"/>
        </w:r>
      </w:hyperlink>
      <w:r w:rsidRPr="002C72C2">
        <w:rPr>
          <w:lang w:eastAsia="en-US" w:bidi="ar-SA"/>
        </w:rPr>
        <w:t xml:space="preserve"> includes approximately twenty references to system coordination or derivatives thereof</w:t>
      </w:r>
      <w:r w:rsidR="009B7349">
        <w:rPr>
          <w:lang w:eastAsia="en-US" w:bidi="ar-SA"/>
        </w:rPr>
        <w:t xml:space="preserve"> </w:t>
      </w:r>
      <w:hyperlink w:anchor="Ref_8" w:history="1">
        <w:r w:rsidR="009B7349" w:rsidRPr="00D845A7">
          <w:rPr>
            <w:rStyle w:val="Hyperlink"/>
            <w:sz w:val="16"/>
            <w:szCs w:val="16"/>
            <w:lang w:val="en-US"/>
          </w:rPr>
          <w:fldChar w:fldCharType="begin"/>
        </w:r>
        <w:r w:rsidR="009B7349" w:rsidRPr="00D845A7">
          <w:rPr>
            <w:rStyle w:val="Hyperlink"/>
            <w:sz w:val="16"/>
            <w:szCs w:val="16"/>
            <w:lang w:val="en-US"/>
          </w:rPr>
          <w:instrText xml:space="preserve"> ADDIN ZOTERO_ITEM CSL_CITATION {"citationID":"Qpw3aVSK","properties":{"formattedCitation":"[8]","plainCitation":"[8]","noteIndex":32},"citationItems":[{"id":29,"uris":["http://zotero.org/users/17348326/items/RTAW48WM"],"itemData":{"id":29,"type":"report","title":"System Operation: Innovation Landscape (collection)","URL":"https://www.irena.org/-/media/Files/IRENA/Agency/Publication/2020/Jul/IRENA_System_Operation_Collection_2020.pdf","author":[{"family":"International Renewable Energy Agency (IRENA)","given":""}],"issued":{"date-parts":[["2020",7]]}}}],"schema":"https://github.com/citation-style-language/schema/raw/master/csl-citation.json"} </w:instrText>
        </w:r>
        <w:r w:rsidR="009B7349" w:rsidRPr="00D845A7">
          <w:rPr>
            <w:rStyle w:val="Hyperlink"/>
            <w:sz w:val="16"/>
            <w:szCs w:val="16"/>
            <w:lang w:val="en-US"/>
          </w:rPr>
          <w:fldChar w:fldCharType="separate"/>
        </w:r>
        <w:r w:rsidR="009B7349" w:rsidRPr="00D845A7">
          <w:rPr>
            <w:rStyle w:val="Hyperlink"/>
            <w:sz w:val="16"/>
          </w:rPr>
          <w:t>[8]</w:t>
        </w:r>
        <w:r w:rsidR="009B7349" w:rsidRPr="00D845A7">
          <w:rPr>
            <w:rStyle w:val="Hyperlink"/>
            <w:sz w:val="16"/>
            <w:szCs w:val="16"/>
            <w:lang w:val="en-US"/>
          </w:rPr>
          <w:fldChar w:fldCharType="end"/>
        </w:r>
      </w:hyperlink>
      <w:r w:rsidR="009B7349">
        <w:rPr>
          <w:sz w:val="16"/>
          <w:szCs w:val="16"/>
          <w:lang w:val="en-US"/>
        </w:rPr>
        <w:t xml:space="preserve">, </w:t>
      </w:r>
      <w:hyperlink w:anchor="Ref_9" w:history="1">
        <w:r w:rsidR="009B7349" w:rsidRPr="00D845A7">
          <w:rPr>
            <w:rStyle w:val="Hyperlink"/>
            <w:sz w:val="16"/>
            <w:szCs w:val="16"/>
            <w:lang w:val="en-US"/>
          </w:rPr>
          <w:fldChar w:fldCharType="begin"/>
        </w:r>
        <w:r w:rsidR="009B7349" w:rsidRPr="00D845A7">
          <w:rPr>
            <w:rStyle w:val="Hyperlink"/>
            <w:sz w:val="16"/>
            <w:szCs w:val="16"/>
            <w:lang w:val="en-US"/>
          </w:rPr>
          <w:instrText xml:space="preserve"> ADDIN ZOTERO_ITEM CSL_CITATION {"citationID":"tL4rYoGa","properties":{"formattedCitation":"[9]","plainCitation":"[9]","noteIndex":32},"citationItems":[{"id":30,"uris":["http://zotero.org/users/17348326/items/YSH4UJZ7"],"itemData":{"id":30,"type":"report","title":"Coordination of Distributed Energy Resources; International System Architecture Insights for Future Market Design","URL":"https://energypedia.info/images/4/47/069_Coordination_of_Distributed_Energy_Resources%3B_International_System_Architecture_Insights_for_Future_.pdf","author":[{"family":"Newport Consortium","given":""}],"issued":{"date-parts":[["2018",5,31]]}}}],"schema":"https://github.com/citation-style-language/schema/raw/master/csl-citation.json"} </w:instrText>
        </w:r>
        <w:r w:rsidR="009B7349" w:rsidRPr="00D845A7">
          <w:rPr>
            <w:rStyle w:val="Hyperlink"/>
            <w:sz w:val="16"/>
            <w:szCs w:val="16"/>
            <w:lang w:val="en-US"/>
          </w:rPr>
          <w:fldChar w:fldCharType="separate"/>
        </w:r>
        <w:r w:rsidR="009B7349" w:rsidRPr="00D845A7">
          <w:rPr>
            <w:rStyle w:val="Hyperlink"/>
            <w:sz w:val="16"/>
          </w:rPr>
          <w:t>[9]</w:t>
        </w:r>
        <w:r w:rsidR="009B7349" w:rsidRPr="00D845A7">
          <w:rPr>
            <w:rStyle w:val="Hyperlink"/>
            <w:sz w:val="16"/>
            <w:szCs w:val="16"/>
            <w:lang w:val="en-US"/>
          </w:rPr>
          <w:fldChar w:fldCharType="end"/>
        </w:r>
      </w:hyperlink>
      <w:r w:rsidR="009B7349">
        <w:rPr>
          <w:sz w:val="16"/>
          <w:szCs w:val="16"/>
          <w:lang w:val="en-US"/>
        </w:rPr>
        <w:t xml:space="preserve">, </w:t>
      </w:r>
      <w:hyperlink w:anchor="Ref_10" w:history="1">
        <w:r w:rsidR="009B7349" w:rsidRPr="00D845A7">
          <w:rPr>
            <w:rStyle w:val="Hyperlink"/>
            <w:sz w:val="16"/>
            <w:szCs w:val="16"/>
          </w:rPr>
          <w:fldChar w:fldCharType="begin"/>
        </w:r>
        <w:r w:rsidR="009B7349" w:rsidRPr="00D845A7">
          <w:rPr>
            <w:rStyle w:val="Hyperlink"/>
            <w:sz w:val="16"/>
            <w:szCs w:val="16"/>
          </w:rPr>
          <w:instrText xml:space="preserve"> ADDIN ZOTERO_ITEM CSL_CITATION {"citationID":"I2tMHEZJ","properties":{"formattedCitation":"[10]","plainCitation":"[10]","noteIndex":32},"citationItems":[{"id":31,"uris":["http://zotero.org/users/17348326/items/K8FVINDG"],"itemData":{"id":31,"type":"report","title":"Evaluation of Combinations of Coordination Schemes and Products for Grid Services (Deliverable D6.2, Chapter</w:instrText>
        </w:r>
        <w:r w:rsidR="009B7349" w:rsidRPr="00D845A7">
          <w:rPr>
            <w:rStyle w:val="Hyperlink"/>
            <w:rFonts w:ascii="Cambria Math" w:hAnsi="Cambria Math" w:cs="Cambria Math"/>
            <w:sz w:val="16"/>
            <w:szCs w:val="16"/>
          </w:rPr>
          <w:instrText> </w:instrText>
        </w:r>
        <w:r w:rsidR="009B7349" w:rsidRPr="00D845A7">
          <w:rPr>
            <w:rStyle w:val="Hyperlink"/>
            <w:sz w:val="16"/>
            <w:szCs w:val="16"/>
          </w:rPr>
          <w:instrText xml:space="preserve">4)","URL":"https://zenodo.org/records/5871555","author":[{"family":"CoordiNet Project","given":""}],"issued":{"date-parts":[["2022"]]}}}],"schema":"https://github.com/citation-style-language/schema/raw/master/csl-citation.json"} </w:instrText>
        </w:r>
        <w:r w:rsidR="009B7349" w:rsidRPr="00D845A7">
          <w:rPr>
            <w:rStyle w:val="Hyperlink"/>
            <w:sz w:val="16"/>
            <w:szCs w:val="16"/>
          </w:rPr>
          <w:fldChar w:fldCharType="separate"/>
        </w:r>
        <w:r w:rsidR="009B7349" w:rsidRPr="00D845A7">
          <w:rPr>
            <w:rStyle w:val="Hyperlink"/>
            <w:sz w:val="16"/>
          </w:rPr>
          <w:t>[10]</w:t>
        </w:r>
        <w:r w:rsidR="009B7349" w:rsidRPr="00D845A7">
          <w:rPr>
            <w:rStyle w:val="Hyperlink"/>
            <w:sz w:val="16"/>
            <w:szCs w:val="16"/>
          </w:rPr>
          <w:fldChar w:fldCharType="end"/>
        </w:r>
      </w:hyperlink>
      <w:r w:rsidR="00374950">
        <w:rPr>
          <w:lang w:eastAsia="en-US" w:bidi="ar-SA"/>
        </w:rPr>
        <w:t xml:space="preserve">. </w:t>
      </w:r>
      <w:r w:rsidRPr="002C72C2">
        <w:rPr>
          <w:lang w:eastAsia="en-US" w:bidi="ar-SA"/>
        </w:rPr>
        <w:t>Further, in commenting on critical priorities relevant to FERC Order 2222, the US Department of Energy’s Electricity Advisory Board noted the following</w:t>
      </w:r>
      <w:hyperlink w:anchor="Ref_21" w:history="1">
        <w:r w:rsidR="00D11A01" w:rsidRPr="00D845A7">
          <w:rPr>
            <w:rStyle w:val="Hyperlink"/>
            <w:lang w:eastAsia="en-US" w:bidi="ar-SA"/>
          </w:rPr>
          <w:fldChar w:fldCharType="begin"/>
        </w:r>
        <w:r w:rsidR="00732E28" w:rsidRPr="00D845A7">
          <w:rPr>
            <w:rStyle w:val="Hyperlink"/>
            <w:lang w:eastAsia="en-US" w:bidi="ar-SA"/>
          </w:rPr>
          <w:instrText xml:space="preserve"> ADDIN ZOTERO_ITEM CSL_CITATION {"citationID":"YXAs5F8Y","properties":{"formattedCitation":"[21]","plainCitation":"[21]","noteIndex":0},"citationItems":[{"id":10,"uris":["http://zotero.org/users/local/BgaHAIQb/items/ALZVMQSK","http://zotero.org/users/17348326/items/ALZVMQSK"],"itemData":{"id":10,"type":"report","publisher":"U.S. Department of Energy","title":"FERC Order 222 Recommendations","URL":"https://www.energy.gov/sites/default/files/2021-04/EAC%20FERC%20Order%202222%20Recommendations_Approved.pdf","author":[{"family":"U.S. Department of Energy","given":"Electricity Advisory Committee"}],"issued":{"date-parts":[["2021",4]]}}}],"schema":"https://github.com/citation-style-language/schema/raw/master/csl-citation.json"} </w:instrText>
        </w:r>
        <w:r w:rsidR="00D11A01" w:rsidRPr="00D845A7">
          <w:rPr>
            <w:rStyle w:val="Hyperlink"/>
            <w:lang w:eastAsia="en-US" w:bidi="ar-SA"/>
          </w:rPr>
          <w:fldChar w:fldCharType="separate"/>
        </w:r>
        <w:r w:rsidR="00732E28" w:rsidRPr="00D845A7">
          <w:rPr>
            <w:rStyle w:val="Hyperlink"/>
          </w:rPr>
          <w:t>[21]</w:t>
        </w:r>
        <w:r w:rsidR="00D11A01" w:rsidRPr="00D845A7">
          <w:rPr>
            <w:rStyle w:val="Hyperlink"/>
            <w:lang w:eastAsia="en-US" w:bidi="ar-SA"/>
          </w:rPr>
          <w:fldChar w:fldCharType="end"/>
        </w:r>
      </w:hyperlink>
      <w:r w:rsidRPr="002C72C2">
        <w:rPr>
          <w:lang w:eastAsia="en-US" w:bidi="ar-SA"/>
        </w:rPr>
        <w:t>:</w:t>
      </w:r>
    </w:p>
    <w:p w14:paraId="04D60B87" w14:textId="56165DB6" w:rsidR="00506AAD" w:rsidRPr="002C72C2" w:rsidRDefault="00032AB3" w:rsidP="00506AAD">
      <w:pPr>
        <w:spacing w:line="264" w:lineRule="auto"/>
        <w:ind w:left="360"/>
        <w:rPr>
          <w:i/>
          <w:lang w:eastAsia="en-US" w:bidi="ar-SA"/>
        </w:rPr>
      </w:pPr>
      <w:r w:rsidRPr="002C72C2">
        <w:rPr>
          <w:i/>
          <w:lang w:eastAsia="en-US" w:bidi="ar-SA"/>
        </w:rPr>
        <w:t>“One of the most critical requirements relates to the types of operational coordination needed across the transmission, distribution, and customer domains to enable DER aggregation for wholesale market participation while preserving system safety, reliability, and resilience</w:t>
      </w:r>
      <w:r w:rsidR="00506AAD" w:rsidRPr="002C72C2">
        <w:rPr>
          <w:i/>
          <w:lang w:eastAsia="en-US" w:bidi="ar-SA"/>
        </w:rPr>
        <w:t>…</w:t>
      </w:r>
    </w:p>
    <w:p w14:paraId="39BFA87B" w14:textId="51765AC2" w:rsidR="00032AB3" w:rsidRPr="002C72C2" w:rsidRDefault="00032AB3" w:rsidP="00F34FF9">
      <w:pPr>
        <w:spacing w:line="264" w:lineRule="auto"/>
        <w:ind w:left="360"/>
        <w:rPr>
          <w:i/>
          <w:lang w:eastAsia="en-US" w:bidi="ar-SA"/>
        </w:rPr>
      </w:pPr>
      <w:r w:rsidRPr="002C72C2">
        <w:rPr>
          <w:i/>
          <w:lang w:eastAsia="en-US" w:bidi="ar-SA"/>
        </w:rPr>
        <w:t xml:space="preserve">“These activities should ultimately support development of a detailed coordination framework for each region to determine the roles and responsibilities of key actors and define information and data exchange requirements.”  </w:t>
      </w:r>
    </w:p>
    <w:p w14:paraId="08AF400B" w14:textId="3586CE0C" w:rsidR="00032AB3" w:rsidRPr="002C72C2" w:rsidRDefault="00032AB3" w:rsidP="00EB2823">
      <w:pPr>
        <w:spacing w:before="120" w:after="120" w:line="264" w:lineRule="auto"/>
        <w:rPr>
          <w:lang w:eastAsia="en-US" w:bidi="ar-SA"/>
        </w:rPr>
      </w:pPr>
      <w:r w:rsidRPr="002C72C2">
        <w:rPr>
          <w:lang w:eastAsia="en-US" w:bidi="ar-SA"/>
        </w:rPr>
        <w:t xml:space="preserve">Elsewhere, the same document nominates advanced </w:t>
      </w:r>
      <w:r w:rsidR="00AB397F">
        <w:rPr>
          <w:lang w:eastAsia="en-US" w:bidi="ar-SA"/>
        </w:rPr>
        <w:t>o</w:t>
      </w:r>
      <w:r w:rsidRPr="002C72C2">
        <w:rPr>
          <w:lang w:eastAsia="en-US" w:bidi="ar-SA"/>
        </w:rPr>
        <w:t xml:space="preserve">perational </w:t>
      </w:r>
      <w:r w:rsidR="00AB397F">
        <w:rPr>
          <w:lang w:eastAsia="en-US" w:bidi="ar-SA"/>
        </w:rPr>
        <w:t>c</w:t>
      </w:r>
      <w:r w:rsidRPr="002C72C2">
        <w:rPr>
          <w:lang w:eastAsia="en-US" w:bidi="ar-SA"/>
        </w:rPr>
        <w:t>oordination as one of the most critical issues raised by initiatives such as FERC Order 2222</w:t>
      </w:r>
      <w:hyperlink w:anchor="Ref_21" w:history="1">
        <w:r w:rsidR="00711F24" w:rsidRPr="00540693">
          <w:rPr>
            <w:rStyle w:val="Hyperlink"/>
            <w:lang w:eastAsia="en-US" w:bidi="ar-SA"/>
          </w:rPr>
          <w:fldChar w:fldCharType="begin"/>
        </w:r>
        <w:r w:rsidR="00732E28" w:rsidRPr="00540693">
          <w:rPr>
            <w:rStyle w:val="Hyperlink"/>
            <w:lang w:eastAsia="en-US" w:bidi="ar-SA"/>
          </w:rPr>
          <w:instrText xml:space="preserve"> ADDIN ZOTERO_ITEM CSL_CITATION {"citationID":"MmVT9rgu","properties":{"formattedCitation":"[21]","plainCitation":"[21]","noteIndex":0},"citationItems":[{"id":10,"uris":["http://zotero.org/users/local/BgaHAIQb/items/ALZVMQSK","http://zotero.org/users/17348326/items/ALZVMQSK"],"itemData":{"id":10,"type":"report","publisher":"U.S. Department of Energy","title":"FERC Order 222 Recommendations","URL":"https://www.energy.gov/sites/default/files/2021-04/EAC%20FERC%20Order%202222%20Recommendations_Approved.pdf","author":[{"family":"U.S. Department of Energy","given":"Electricity Advisory Committee"}],"issued":{"date-parts":[["2021",4]]}}}],"schema":"https://github.com/citation-style-language/schema/raw/master/csl-citation.json"} </w:instrText>
        </w:r>
        <w:r w:rsidR="00711F24" w:rsidRPr="00540693">
          <w:rPr>
            <w:rStyle w:val="Hyperlink"/>
            <w:lang w:eastAsia="en-US" w:bidi="ar-SA"/>
          </w:rPr>
          <w:fldChar w:fldCharType="separate"/>
        </w:r>
        <w:r w:rsidR="00732E28" w:rsidRPr="00540693">
          <w:rPr>
            <w:rStyle w:val="Hyperlink"/>
          </w:rPr>
          <w:t>[21]</w:t>
        </w:r>
        <w:r w:rsidR="00711F24" w:rsidRPr="00540693">
          <w:rPr>
            <w:rStyle w:val="Hyperlink"/>
            <w:lang w:eastAsia="en-US" w:bidi="ar-SA"/>
          </w:rPr>
          <w:fldChar w:fldCharType="end"/>
        </w:r>
      </w:hyperlink>
      <w:r w:rsidRPr="002C72C2">
        <w:rPr>
          <w:lang w:eastAsia="en-US" w:bidi="ar-SA"/>
        </w:rPr>
        <w:t xml:space="preserve"> given its relationship to system safety and reliability:</w:t>
      </w:r>
    </w:p>
    <w:p w14:paraId="463892CE" w14:textId="44849C71" w:rsidR="00032AB3" w:rsidRPr="002C72C2" w:rsidRDefault="00032AB3" w:rsidP="00506AAD">
      <w:pPr>
        <w:spacing w:line="264" w:lineRule="auto"/>
        <w:ind w:left="360"/>
        <w:rPr>
          <w:i/>
          <w:lang w:eastAsia="en-US" w:bidi="ar-SA"/>
        </w:rPr>
      </w:pPr>
      <w:r w:rsidRPr="002C72C2">
        <w:rPr>
          <w:i/>
          <w:lang w:eastAsia="en-US" w:bidi="ar-SA"/>
        </w:rPr>
        <w:t xml:space="preserve">“Transmission-distribution-customer operational coordination processes (e.g., information and data exchange, including distribution utility DER visibility and controllability requirements) to preserve system safety and reliability, including evolution to more automated processes over time.” </w:t>
      </w:r>
    </w:p>
    <w:p w14:paraId="0364B425" w14:textId="31F9DF57" w:rsidR="00032AB3" w:rsidRPr="002C72C2" w:rsidRDefault="00032AB3" w:rsidP="00EB2823">
      <w:pPr>
        <w:spacing w:before="120" w:after="120" w:line="264" w:lineRule="auto"/>
        <w:rPr>
          <w:lang w:eastAsia="en-US" w:bidi="ar-SA"/>
        </w:rPr>
      </w:pPr>
      <w:r w:rsidRPr="002C72C2">
        <w:rPr>
          <w:lang w:eastAsia="en-US" w:bidi="ar-SA"/>
        </w:rPr>
        <w:t xml:space="preserve">In Australia, key characteristics of the journey to a </w:t>
      </w:r>
      <w:r w:rsidR="00CD3E88" w:rsidRPr="002C72C2">
        <w:rPr>
          <w:lang w:eastAsia="en-US" w:bidi="ar-SA"/>
        </w:rPr>
        <w:t>net zero e</w:t>
      </w:r>
      <w:r w:rsidRPr="002C72C2">
        <w:rPr>
          <w:lang w:eastAsia="en-US" w:bidi="ar-SA"/>
        </w:rPr>
        <w:t>missions grid include the following, which only compound these wider concerns:</w:t>
      </w:r>
    </w:p>
    <w:p w14:paraId="495F919C" w14:textId="38772434" w:rsidR="00032AB3" w:rsidRPr="002C72C2" w:rsidRDefault="00032AB3" w:rsidP="00954BAC">
      <w:pPr>
        <w:pStyle w:val="ListParagraph"/>
        <w:numPr>
          <w:ilvl w:val="0"/>
          <w:numId w:val="18"/>
        </w:numPr>
        <w:spacing w:line="264" w:lineRule="auto"/>
        <w:rPr>
          <w:lang w:eastAsia="en-US" w:bidi="ar-SA"/>
        </w:rPr>
      </w:pPr>
      <w:r w:rsidRPr="002C72C2">
        <w:rPr>
          <w:lang w:eastAsia="en-US" w:bidi="ar-SA"/>
        </w:rPr>
        <w:t>Structurally separated industry arrangements where the degree of dynamic interdependence, interoperability and functional coordination across the supply chain has been limited</w:t>
      </w:r>
      <w:r w:rsidR="00540693">
        <w:rPr>
          <w:lang w:eastAsia="en-US" w:bidi="ar-SA"/>
        </w:rPr>
        <w:t>.</w:t>
      </w:r>
    </w:p>
    <w:p w14:paraId="36126546" w14:textId="0686FF24" w:rsidR="00831957" w:rsidRPr="002C72C2" w:rsidRDefault="00032AB3" w:rsidP="00954BAC">
      <w:pPr>
        <w:pStyle w:val="ListParagraph"/>
        <w:numPr>
          <w:ilvl w:val="0"/>
          <w:numId w:val="18"/>
        </w:numPr>
        <w:spacing w:line="264" w:lineRule="auto"/>
        <w:rPr>
          <w:lang w:eastAsia="en-US" w:bidi="ar-SA"/>
        </w:rPr>
      </w:pPr>
      <w:r w:rsidRPr="002C72C2">
        <w:rPr>
          <w:lang w:eastAsia="en-US" w:bidi="ar-SA"/>
        </w:rPr>
        <w:t xml:space="preserve">An accelerating transition from hundreds of large, dispatchable, synchronous generators to tens of millions of diverse and dynamic </w:t>
      </w:r>
      <w:r w:rsidR="00590921" w:rsidRPr="002C72C2">
        <w:rPr>
          <w:lang w:eastAsia="en-US" w:bidi="ar-SA"/>
        </w:rPr>
        <w:t>e</w:t>
      </w:r>
      <w:r w:rsidRPr="002C72C2">
        <w:rPr>
          <w:lang w:eastAsia="en-US" w:bidi="ar-SA"/>
        </w:rPr>
        <w:t>nergy</w:t>
      </w:r>
      <w:r w:rsidR="00FF1411">
        <w:rPr>
          <w:lang w:eastAsia="en-US" w:bidi="ar-SA"/>
        </w:rPr>
        <w:t xml:space="preserve"> </w:t>
      </w:r>
      <w:r w:rsidR="00590921" w:rsidRPr="002C72C2">
        <w:rPr>
          <w:lang w:eastAsia="en-US" w:bidi="ar-SA"/>
        </w:rPr>
        <w:t>r</w:t>
      </w:r>
      <w:r w:rsidRPr="002C72C2">
        <w:rPr>
          <w:lang w:eastAsia="en-US" w:bidi="ar-SA"/>
        </w:rPr>
        <w:t>esources</w:t>
      </w:r>
      <w:r w:rsidR="00540693">
        <w:rPr>
          <w:lang w:eastAsia="en-US" w:bidi="ar-SA"/>
        </w:rPr>
        <w:t>.</w:t>
      </w:r>
    </w:p>
    <w:p w14:paraId="2FFE69A5" w14:textId="6DD5427F" w:rsidR="00032AB3" w:rsidRPr="00791266" w:rsidRDefault="00032AB3" w:rsidP="00954BAC">
      <w:pPr>
        <w:pStyle w:val="ListParagraph"/>
        <w:numPr>
          <w:ilvl w:val="0"/>
          <w:numId w:val="18"/>
        </w:numPr>
        <w:spacing w:line="264" w:lineRule="auto"/>
        <w:rPr>
          <w:lang w:eastAsia="en-US" w:bidi="ar-SA"/>
        </w:rPr>
      </w:pPr>
      <w:r w:rsidRPr="002C72C2">
        <w:rPr>
          <w:lang w:eastAsia="en-US" w:bidi="ar-SA"/>
        </w:rPr>
        <w:t xml:space="preserve">The erosion of the historically </w:t>
      </w:r>
      <w:r w:rsidRPr="00791266">
        <w:rPr>
          <w:lang w:eastAsia="en-US" w:bidi="ar-SA"/>
        </w:rPr>
        <w:t xml:space="preserve">dominant </w:t>
      </w:r>
      <w:r w:rsidR="00AC5F7E">
        <w:rPr>
          <w:lang w:eastAsia="en-US" w:bidi="ar-SA"/>
        </w:rPr>
        <w:t>s</w:t>
      </w:r>
      <w:r w:rsidRPr="00791266">
        <w:rPr>
          <w:lang w:eastAsia="en-US" w:bidi="ar-SA"/>
        </w:rPr>
        <w:t xml:space="preserve">upply-side / </w:t>
      </w:r>
      <w:r w:rsidR="00AC5F7E">
        <w:rPr>
          <w:lang w:eastAsia="en-US" w:bidi="ar-SA"/>
        </w:rPr>
        <w:t>d</w:t>
      </w:r>
      <w:r w:rsidRPr="00791266">
        <w:rPr>
          <w:lang w:eastAsia="en-US" w:bidi="ar-SA"/>
        </w:rPr>
        <w:t xml:space="preserve">emand-side paradigm and the emergence of a context where </w:t>
      </w:r>
      <w:r w:rsidR="00AB397F" w:rsidRPr="00791266">
        <w:rPr>
          <w:lang w:eastAsia="en-US" w:bidi="ar-SA"/>
        </w:rPr>
        <w:t>e</w:t>
      </w:r>
      <w:r w:rsidRPr="00791266">
        <w:rPr>
          <w:lang w:eastAsia="en-US" w:bidi="ar-SA"/>
        </w:rPr>
        <w:t xml:space="preserve">nergy </w:t>
      </w:r>
      <w:r w:rsidR="00AB397F" w:rsidRPr="00791266">
        <w:rPr>
          <w:lang w:eastAsia="en-US" w:bidi="ar-SA"/>
        </w:rPr>
        <w:t>r</w:t>
      </w:r>
      <w:r w:rsidRPr="00791266">
        <w:rPr>
          <w:lang w:eastAsia="en-US" w:bidi="ar-SA"/>
        </w:rPr>
        <w:t xml:space="preserve">esources are bifurcated into </w:t>
      </w:r>
      <w:r w:rsidR="0078115D" w:rsidRPr="00791266">
        <w:rPr>
          <w:lang w:eastAsia="en-US" w:bidi="ar-SA"/>
        </w:rPr>
        <w:t>c</w:t>
      </w:r>
      <w:r w:rsidRPr="00791266">
        <w:rPr>
          <w:lang w:eastAsia="en-US" w:bidi="ar-SA"/>
        </w:rPr>
        <w:t>entralised</w:t>
      </w:r>
      <w:r w:rsidR="0078115D" w:rsidRPr="00791266">
        <w:rPr>
          <w:lang w:eastAsia="en-US" w:bidi="ar-SA"/>
        </w:rPr>
        <w:t>/d</w:t>
      </w:r>
      <w:r w:rsidRPr="00791266">
        <w:rPr>
          <w:lang w:eastAsia="en-US" w:bidi="ar-SA"/>
        </w:rPr>
        <w:t xml:space="preserve">ecentralised locational classes and </w:t>
      </w:r>
      <w:r w:rsidR="0078115D" w:rsidRPr="00791266">
        <w:rPr>
          <w:lang w:eastAsia="en-US" w:bidi="ar-SA"/>
        </w:rPr>
        <w:t>merchant/private</w:t>
      </w:r>
      <w:r w:rsidRPr="00791266">
        <w:rPr>
          <w:lang w:eastAsia="en-US" w:bidi="ar-SA"/>
        </w:rPr>
        <w:t xml:space="preserve"> functional classes</w:t>
      </w:r>
      <w:r w:rsidR="00540693">
        <w:rPr>
          <w:lang w:eastAsia="en-US" w:bidi="ar-SA"/>
        </w:rPr>
        <w:t>.</w:t>
      </w:r>
    </w:p>
    <w:p w14:paraId="4E27A380" w14:textId="1AB5BDF1" w:rsidR="00032AB3" w:rsidRPr="00791266" w:rsidRDefault="00032AB3" w:rsidP="00954BAC">
      <w:pPr>
        <w:pStyle w:val="ListParagraph"/>
        <w:numPr>
          <w:ilvl w:val="0"/>
          <w:numId w:val="18"/>
        </w:numPr>
        <w:spacing w:line="264" w:lineRule="auto"/>
        <w:rPr>
          <w:lang w:eastAsia="en-US" w:bidi="ar-SA"/>
        </w:rPr>
      </w:pPr>
      <w:r w:rsidRPr="00791266">
        <w:rPr>
          <w:lang w:eastAsia="en-US" w:bidi="ar-SA"/>
        </w:rPr>
        <w:t xml:space="preserve">System security will require increasing levels of </w:t>
      </w:r>
      <w:r w:rsidR="00AB397F" w:rsidRPr="00791266">
        <w:rPr>
          <w:lang w:eastAsia="en-US" w:bidi="ar-SA"/>
        </w:rPr>
        <w:t>f</w:t>
      </w:r>
      <w:r w:rsidRPr="00791266">
        <w:rPr>
          <w:lang w:eastAsia="en-US" w:bidi="ar-SA"/>
        </w:rPr>
        <w:t xml:space="preserve">lexibility, </w:t>
      </w:r>
      <w:r w:rsidR="00AB397F" w:rsidRPr="00791266">
        <w:rPr>
          <w:lang w:eastAsia="en-US" w:bidi="ar-SA"/>
        </w:rPr>
        <w:t>b</w:t>
      </w:r>
      <w:r w:rsidRPr="00791266">
        <w:rPr>
          <w:lang w:eastAsia="en-US" w:bidi="ar-SA"/>
        </w:rPr>
        <w:t xml:space="preserve">alancing and </w:t>
      </w:r>
      <w:r w:rsidR="00AB397F" w:rsidRPr="00791266">
        <w:rPr>
          <w:lang w:eastAsia="en-US" w:bidi="ar-SA"/>
        </w:rPr>
        <w:t>e</w:t>
      </w:r>
      <w:r w:rsidRPr="00791266">
        <w:rPr>
          <w:lang w:eastAsia="en-US" w:bidi="ar-SA"/>
        </w:rPr>
        <w:t xml:space="preserve">ssential </w:t>
      </w:r>
      <w:r w:rsidR="00AB397F" w:rsidRPr="00791266">
        <w:rPr>
          <w:lang w:eastAsia="en-US" w:bidi="ar-SA"/>
        </w:rPr>
        <w:t>s</w:t>
      </w:r>
      <w:r w:rsidRPr="00791266">
        <w:rPr>
          <w:lang w:eastAsia="en-US" w:bidi="ar-SA"/>
        </w:rPr>
        <w:t xml:space="preserve">ystem </w:t>
      </w:r>
      <w:r w:rsidR="00AB397F" w:rsidRPr="00791266">
        <w:rPr>
          <w:lang w:eastAsia="en-US" w:bidi="ar-SA"/>
        </w:rPr>
        <w:t>s</w:t>
      </w:r>
      <w:r w:rsidRPr="00791266">
        <w:rPr>
          <w:lang w:eastAsia="en-US" w:bidi="ar-SA"/>
        </w:rPr>
        <w:t xml:space="preserve">ervices from new sources as synchronous generators are withdrawn, including a growing </w:t>
      </w:r>
      <w:r w:rsidR="0043196B" w:rsidRPr="00791266">
        <w:rPr>
          <w:lang w:eastAsia="en-US" w:bidi="ar-SA"/>
        </w:rPr>
        <w:t>dependence</w:t>
      </w:r>
      <w:r w:rsidRPr="00791266">
        <w:rPr>
          <w:lang w:eastAsia="en-US" w:bidi="ar-SA"/>
        </w:rPr>
        <w:t xml:space="preserve"> on LV-connected </w:t>
      </w:r>
      <w:r w:rsidR="001F6F9F" w:rsidRPr="00791266">
        <w:rPr>
          <w:lang w:eastAsia="en-US" w:bidi="ar-SA"/>
        </w:rPr>
        <w:t>e</w:t>
      </w:r>
      <w:r w:rsidRPr="00791266">
        <w:rPr>
          <w:lang w:eastAsia="en-US" w:bidi="ar-SA"/>
        </w:rPr>
        <w:t xml:space="preserve">nergy </w:t>
      </w:r>
      <w:r w:rsidR="001F6F9F" w:rsidRPr="00791266">
        <w:rPr>
          <w:lang w:eastAsia="en-US" w:bidi="ar-SA"/>
        </w:rPr>
        <w:t>r</w:t>
      </w:r>
      <w:r w:rsidRPr="00791266">
        <w:rPr>
          <w:lang w:eastAsia="en-US" w:bidi="ar-SA"/>
        </w:rPr>
        <w:t>esources</w:t>
      </w:r>
      <w:r w:rsidR="00540693">
        <w:rPr>
          <w:lang w:eastAsia="en-US" w:bidi="ar-SA"/>
        </w:rPr>
        <w:t>.</w:t>
      </w:r>
    </w:p>
    <w:p w14:paraId="61B8470E" w14:textId="2C2CA82D" w:rsidR="00032AB3" w:rsidRPr="002C72C2" w:rsidRDefault="00032AB3" w:rsidP="00954BAC">
      <w:pPr>
        <w:pStyle w:val="ListParagraph"/>
        <w:numPr>
          <w:ilvl w:val="0"/>
          <w:numId w:val="18"/>
        </w:numPr>
        <w:spacing w:line="264" w:lineRule="auto"/>
        <w:rPr>
          <w:lang w:eastAsia="en-US" w:bidi="ar-SA"/>
        </w:rPr>
      </w:pPr>
      <w:r w:rsidRPr="00791266">
        <w:rPr>
          <w:lang w:eastAsia="en-US" w:bidi="ar-SA"/>
        </w:rPr>
        <w:t xml:space="preserve">Despite growing levels of system </w:t>
      </w:r>
      <w:r w:rsidR="001F6F9F" w:rsidRPr="00791266">
        <w:rPr>
          <w:lang w:eastAsia="en-US" w:bidi="ar-SA"/>
        </w:rPr>
        <w:t>v</w:t>
      </w:r>
      <w:r w:rsidRPr="00791266">
        <w:rPr>
          <w:lang w:eastAsia="en-US" w:bidi="ar-SA"/>
        </w:rPr>
        <w:t xml:space="preserve">olatility, the </w:t>
      </w:r>
      <w:r w:rsidR="001F6F9F" w:rsidRPr="00791266">
        <w:rPr>
          <w:lang w:eastAsia="en-US" w:bidi="ar-SA"/>
        </w:rPr>
        <w:t>o</w:t>
      </w:r>
      <w:r w:rsidRPr="00791266">
        <w:rPr>
          <w:lang w:eastAsia="en-US" w:bidi="ar-SA"/>
        </w:rPr>
        <w:t xml:space="preserve">perability of the </w:t>
      </w:r>
      <w:r w:rsidR="008378EA" w:rsidRPr="00791266">
        <w:rPr>
          <w:lang w:eastAsia="en-US" w:bidi="ar-SA"/>
        </w:rPr>
        <w:t>p</w:t>
      </w:r>
      <w:r w:rsidRPr="00791266">
        <w:rPr>
          <w:lang w:eastAsia="en-US" w:bidi="ar-SA"/>
        </w:rPr>
        <w:t xml:space="preserve">ower </w:t>
      </w:r>
      <w:r w:rsidR="008378EA" w:rsidRPr="00791266">
        <w:rPr>
          <w:lang w:eastAsia="en-US" w:bidi="ar-SA"/>
        </w:rPr>
        <w:t>s</w:t>
      </w:r>
      <w:r w:rsidRPr="00791266">
        <w:rPr>
          <w:lang w:eastAsia="en-US" w:bidi="ar-SA"/>
        </w:rPr>
        <w:t>ystem will continue to require that supply and demand are instantaneously balanced every</w:t>
      </w:r>
      <w:r w:rsidRPr="002C72C2">
        <w:rPr>
          <w:lang w:eastAsia="en-US" w:bidi="ar-SA"/>
        </w:rPr>
        <w:t xml:space="preserve"> microsecond of the year. </w:t>
      </w:r>
    </w:p>
    <w:p w14:paraId="0568BEDF" w14:textId="77777777" w:rsidR="00953588" w:rsidRDefault="00032AB3" w:rsidP="008211DA">
      <w:pPr>
        <w:spacing w:before="180" w:after="120" w:line="264" w:lineRule="auto"/>
        <w:rPr>
          <w:lang w:eastAsia="en-US" w:bidi="ar-SA"/>
        </w:rPr>
      </w:pPr>
      <w:r w:rsidRPr="002C72C2">
        <w:rPr>
          <w:lang w:eastAsia="en-US" w:bidi="ar-SA"/>
        </w:rPr>
        <w:t xml:space="preserve"> </w:t>
      </w:r>
    </w:p>
    <w:p w14:paraId="1B4A170C" w14:textId="77777777" w:rsidR="009B7349" w:rsidRDefault="009B7349" w:rsidP="008211DA">
      <w:pPr>
        <w:spacing w:before="180" w:after="120" w:line="264" w:lineRule="auto"/>
        <w:rPr>
          <w:lang w:eastAsia="en-US" w:bidi="ar-SA"/>
        </w:rPr>
      </w:pPr>
    </w:p>
    <w:p w14:paraId="6101A370" w14:textId="77777777" w:rsidR="009B7349" w:rsidRDefault="009B7349" w:rsidP="008211DA">
      <w:pPr>
        <w:spacing w:before="180" w:after="120" w:line="264" w:lineRule="auto"/>
        <w:rPr>
          <w:lang w:eastAsia="en-US" w:bidi="ar-SA"/>
        </w:rPr>
      </w:pPr>
    </w:p>
    <w:p w14:paraId="106CEEB2" w14:textId="305A5D56" w:rsidR="008211DA" w:rsidRPr="00831957" w:rsidRDefault="008211DA" w:rsidP="008211DA">
      <w:pPr>
        <w:spacing w:before="180" w:after="120" w:line="264" w:lineRule="auto"/>
        <w:rPr>
          <w:rStyle w:val="IntenseEmphasis"/>
        </w:rPr>
      </w:pPr>
      <w:r>
        <w:rPr>
          <w:rStyle w:val="IntenseEmphasis"/>
        </w:rPr>
        <w:t>Whole-system Approaches</w:t>
      </w:r>
      <w:r w:rsidR="00DD09D9">
        <w:rPr>
          <w:rStyle w:val="IntenseEmphasis"/>
        </w:rPr>
        <w:t xml:space="preserve"> Increasingly Required</w:t>
      </w:r>
      <w:r>
        <w:rPr>
          <w:rStyle w:val="IntenseEmphasis"/>
        </w:rPr>
        <w:t xml:space="preserve"> </w:t>
      </w:r>
    </w:p>
    <w:p w14:paraId="3E0DD88A" w14:textId="2E80195E" w:rsidR="008211DA" w:rsidRPr="002C72C2" w:rsidRDefault="008211DA" w:rsidP="008211DA">
      <w:pPr>
        <w:spacing w:before="120" w:after="120" w:line="264" w:lineRule="auto"/>
        <w:rPr>
          <w:lang w:eastAsia="en-US" w:bidi="ar-SA"/>
        </w:rPr>
      </w:pPr>
      <w:r w:rsidRPr="002C72C2">
        <w:rPr>
          <w:lang w:eastAsia="en-US" w:bidi="ar-SA"/>
        </w:rPr>
        <w:t>Australia’s power systems are moving toward a future where of millions of participating</w:t>
      </w:r>
      <w:r w:rsidR="008378EA" w:rsidRPr="002C72C2">
        <w:rPr>
          <w:lang w:eastAsia="en-US" w:bidi="ar-SA"/>
        </w:rPr>
        <w:t xml:space="preserve"> e</w:t>
      </w:r>
      <w:r w:rsidRPr="002C72C2">
        <w:rPr>
          <w:lang w:eastAsia="en-US" w:bidi="ar-SA"/>
        </w:rPr>
        <w:t xml:space="preserve">nergy </w:t>
      </w:r>
      <w:r w:rsidR="008378EA" w:rsidRPr="002C72C2">
        <w:rPr>
          <w:lang w:eastAsia="en-US" w:bidi="ar-SA"/>
        </w:rPr>
        <w:t>r</w:t>
      </w:r>
      <w:r w:rsidRPr="002C72C2">
        <w:rPr>
          <w:lang w:eastAsia="en-US" w:bidi="ar-SA"/>
        </w:rPr>
        <w:t>esources will be located on either side of the Transmission-Distribution Interface (TDI)</w:t>
      </w:r>
      <w:r w:rsidR="00374950">
        <w:rPr>
          <w:lang w:eastAsia="en-US" w:bidi="ar-SA"/>
        </w:rPr>
        <w:t xml:space="preserve">. </w:t>
      </w:r>
      <w:r w:rsidRPr="002C72C2">
        <w:rPr>
          <w:lang w:eastAsia="en-US" w:bidi="ar-SA"/>
        </w:rPr>
        <w:t xml:space="preserve">Ensuring a scalable approach to operational coordination and balancing will require what may be referred to as a </w:t>
      </w:r>
      <w:r w:rsidR="002123DA">
        <w:rPr>
          <w:lang w:eastAsia="en-US" w:bidi="ar-SA"/>
        </w:rPr>
        <w:t>T</w:t>
      </w:r>
      <w:r w:rsidRPr="002C72C2">
        <w:rPr>
          <w:lang w:eastAsia="en-US" w:bidi="ar-SA"/>
        </w:rPr>
        <w:t>ransmission-</w:t>
      </w:r>
      <w:r w:rsidR="002123DA">
        <w:rPr>
          <w:lang w:eastAsia="en-US" w:bidi="ar-SA"/>
        </w:rPr>
        <w:t>D</w:t>
      </w:r>
      <w:r w:rsidRPr="002C72C2">
        <w:rPr>
          <w:lang w:eastAsia="en-US" w:bidi="ar-SA"/>
        </w:rPr>
        <w:t>istribution-</w:t>
      </w:r>
      <w:r w:rsidR="002123DA">
        <w:rPr>
          <w:lang w:eastAsia="en-US" w:bidi="ar-SA"/>
        </w:rPr>
        <w:t>C</w:t>
      </w:r>
      <w:r w:rsidRPr="002C72C2">
        <w:rPr>
          <w:lang w:eastAsia="en-US" w:bidi="ar-SA"/>
        </w:rPr>
        <w:t>ustomer model of coordination</w:t>
      </w:r>
      <w:r w:rsidR="00374950">
        <w:rPr>
          <w:lang w:eastAsia="en-US" w:bidi="ar-SA"/>
        </w:rPr>
        <w:t xml:space="preserve">. </w:t>
      </w:r>
    </w:p>
    <w:p w14:paraId="3438F09D" w14:textId="1BC1CCC1" w:rsidR="008211DA" w:rsidRPr="002C72C2" w:rsidRDefault="008211DA" w:rsidP="008211DA">
      <w:pPr>
        <w:spacing w:before="120" w:after="120" w:line="264" w:lineRule="auto"/>
        <w:rPr>
          <w:lang w:eastAsia="en-US" w:bidi="ar-SA"/>
        </w:rPr>
      </w:pPr>
      <w:r w:rsidRPr="002C72C2">
        <w:rPr>
          <w:lang w:eastAsia="en-US" w:bidi="ar-SA"/>
        </w:rPr>
        <w:t xml:space="preserve">In other words, due to the wide locational spread of </w:t>
      </w:r>
      <w:r w:rsidR="009C0368" w:rsidRPr="002C72C2">
        <w:rPr>
          <w:lang w:eastAsia="en-US" w:bidi="ar-SA"/>
        </w:rPr>
        <w:t>e</w:t>
      </w:r>
      <w:r w:rsidRPr="002C72C2">
        <w:rPr>
          <w:lang w:eastAsia="en-US" w:bidi="ar-SA"/>
        </w:rPr>
        <w:t xml:space="preserve">nergy </w:t>
      </w:r>
      <w:r w:rsidR="009C0368" w:rsidRPr="002C72C2">
        <w:rPr>
          <w:lang w:eastAsia="en-US" w:bidi="ar-SA"/>
        </w:rPr>
        <w:t>r</w:t>
      </w:r>
      <w:r w:rsidRPr="002C72C2">
        <w:rPr>
          <w:lang w:eastAsia="en-US" w:bidi="ar-SA"/>
        </w:rPr>
        <w:t xml:space="preserve">esources, the erosion of the </w:t>
      </w:r>
      <w:r w:rsidR="005C5F22" w:rsidRPr="005C5F22">
        <w:rPr>
          <w:lang w:eastAsia="en-US" w:bidi="ar-SA"/>
        </w:rPr>
        <w:t>s</w:t>
      </w:r>
      <w:r w:rsidRPr="005C5F22">
        <w:rPr>
          <w:lang w:eastAsia="en-US" w:bidi="ar-SA"/>
        </w:rPr>
        <w:t xml:space="preserve">upply-side / </w:t>
      </w:r>
      <w:r w:rsidR="005C5F22" w:rsidRPr="005C5F22">
        <w:rPr>
          <w:lang w:eastAsia="en-US" w:bidi="ar-SA"/>
        </w:rPr>
        <w:t>d</w:t>
      </w:r>
      <w:r w:rsidRPr="005C5F22">
        <w:rPr>
          <w:lang w:eastAsia="en-US" w:bidi="ar-SA"/>
        </w:rPr>
        <w:t>emand</w:t>
      </w:r>
      <w:r w:rsidRPr="002C72C2">
        <w:rPr>
          <w:lang w:eastAsia="en-US" w:bidi="ar-SA"/>
        </w:rPr>
        <w:t>-side bifurcation, and the increasingly ‘tidal’ bi-directional power flows experienced by high-CER/DER power systems, advanced coordination models must be designed to function in a whole-system manner, including across the TDI</w:t>
      </w:r>
      <w:r w:rsidR="00374950">
        <w:rPr>
          <w:lang w:eastAsia="en-US" w:bidi="ar-SA"/>
        </w:rPr>
        <w:t xml:space="preserve">. </w:t>
      </w:r>
    </w:p>
    <w:tbl>
      <w:tblPr>
        <w:tblStyle w:val="GridTable5Dark"/>
        <w:tblW w:w="0" w:type="auto"/>
        <w:tblLook w:val="04A0" w:firstRow="1" w:lastRow="0" w:firstColumn="1" w:lastColumn="0" w:noHBand="0" w:noVBand="1"/>
      </w:tblPr>
      <w:tblGrid>
        <w:gridCol w:w="8210"/>
      </w:tblGrid>
      <w:tr w:rsidR="00B3123A" w:rsidRPr="002F2243" w14:paraId="146A9874" w14:textId="77777777" w:rsidTr="00AA31EB">
        <w:trPr>
          <w:cnfStyle w:val="100000000000" w:firstRow="1" w:lastRow="0" w:firstColumn="0" w:lastColumn="0" w:oddVBand="0" w:evenVBand="0" w:oddHBand="0" w:evenHBand="0" w:firstRowFirstColumn="0" w:firstRowLastColumn="0" w:lastRowFirstColumn="0" w:lastRowLastColumn="0"/>
          <w:trHeight w:val="8045"/>
        </w:trPr>
        <w:tc>
          <w:tcPr>
            <w:cnfStyle w:val="001000000000" w:firstRow="0" w:lastRow="0" w:firstColumn="1" w:lastColumn="0" w:oddVBand="0" w:evenVBand="0" w:oddHBand="0" w:evenHBand="0" w:firstRowFirstColumn="0" w:firstRowLastColumn="0" w:lastRowFirstColumn="0" w:lastRowLastColumn="0"/>
            <w:tcW w:w="8210" w:type="dxa"/>
          </w:tcPr>
          <w:p w14:paraId="2A554B24" w14:textId="36B169AD" w:rsidR="00D273BE" w:rsidRPr="009B7349" w:rsidRDefault="00D273BE" w:rsidP="008364BE">
            <w:pPr>
              <w:spacing w:before="120" w:line="264" w:lineRule="auto"/>
              <w:ind w:left="176"/>
              <w:rPr>
                <w:rStyle w:val="Strong"/>
                <w:b w:val="0"/>
                <w:bCs w:val="0"/>
                <w:sz w:val="28"/>
              </w:rPr>
            </w:pPr>
            <w:r w:rsidRPr="009B7349">
              <w:rPr>
                <w:rStyle w:val="Strong"/>
                <w:b w:val="0"/>
                <w:bCs w:val="0"/>
                <w:sz w:val="28"/>
              </w:rPr>
              <w:t xml:space="preserve">Key Concepts </w:t>
            </w:r>
            <w:r w:rsidR="00B95B8B">
              <w:rPr>
                <w:rStyle w:val="Strong"/>
                <w:b w:val="0"/>
                <w:bCs w:val="0"/>
                <w:sz w:val="28"/>
              </w:rPr>
              <w:t>H</w:t>
            </w:r>
            <w:r w:rsidR="008364BE" w:rsidRPr="009B7349">
              <w:rPr>
                <w:rFonts w:ascii="PP Mori SemiBold" w:hAnsi="PP Mori SemiBold"/>
                <w:noProof/>
                <w:sz w:val="20"/>
                <w:szCs w:val="20"/>
              </w:rPr>
              <w:drawing>
                <wp:inline distT="0" distB="0" distL="0" distR="0" wp14:anchorId="0E58CEE2" wp14:editId="00057A3D">
                  <wp:extent cx="272006" cy="272006"/>
                  <wp:effectExtent l="0" t="0" r="6350" b="6350"/>
                  <wp:docPr id="1829558812"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272006" cy="272006"/>
                          </a:xfrm>
                          <a:prstGeom prst="rect">
                            <a:avLst/>
                          </a:prstGeom>
                        </pic:spPr>
                      </pic:pic>
                    </a:graphicData>
                  </a:graphic>
                </wp:inline>
              </w:drawing>
            </w:r>
          </w:p>
          <w:p w14:paraId="253066C4" w14:textId="77777777" w:rsidR="00D273BE" w:rsidRPr="009B7349" w:rsidRDefault="00D273BE" w:rsidP="008364BE">
            <w:pPr>
              <w:pStyle w:val="Subtitle"/>
              <w:spacing w:before="180" w:after="120" w:line="264" w:lineRule="auto"/>
              <w:ind w:left="175"/>
              <w:rPr>
                <w:rStyle w:val="Emphasis"/>
                <w:rFonts w:ascii="PP Mori SemiBold" w:hAnsi="PP Mori SemiBold"/>
                <w:sz w:val="24"/>
                <w:szCs w:val="40"/>
              </w:rPr>
            </w:pPr>
            <w:r w:rsidRPr="009B7349">
              <w:rPr>
                <w:rStyle w:val="Emphasis"/>
                <w:rFonts w:ascii="PP Mori SemiBold" w:hAnsi="PP Mori SemiBold"/>
                <w:sz w:val="24"/>
                <w:szCs w:val="40"/>
              </w:rPr>
              <w:t>Operational Coordination</w:t>
            </w:r>
          </w:p>
          <w:p w14:paraId="3F819AE6" w14:textId="77777777" w:rsidR="00AA31EB" w:rsidRPr="00AA31EB" w:rsidRDefault="00AA31EB" w:rsidP="00AA31EB">
            <w:pPr>
              <w:spacing w:before="120" w:after="120" w:line="288" w:lineRule="auto"/>
              <w:ind w:left="176" w:right="176"/>
              <w:rPr>
                <w:b w:val="0"/>
                <w:bCs w:val="0"/>
                <w:szCs w:val="18"/>
                <w:lang w:eastAsia="en-US" w:bidi="ar-SA"/>
              </w:rPr>
            </w:pPr>
            <w:r w:rsidRPr="00AA31EB">
              <w:rPr>
                <w:b w:val="0"/>
                <w:bCs w:val="0"/>
                <w:szCs w:val="18"/>
                <w:lang w:eastAsia="en-US" w:bidi="ar-SA"/>
              </w:rPr>
              <w:t xml:space="preserve">The management and coordination of decisions, actions, and information flows across multiple actors, assets and system tiers/layers to ensure the secure, efficient, and stable operation of the power system. </w:t>
            </w:r>
          </w:p>
          <w:p w14:paraId="6A203694" w14:textId="77777777" w:rsidR="00AA31EB" w:rsidRPr="00AA31EB" w:rsidRDefault="00AA31EB" w:rsidP="00AA31EB">
            <w:pPr>
              <w:spacing w:before="120" w:after="120" w:line="288" w:lineRule="auto"/>
              <w:ind w:left="176" w:right="176"/>
              <w:rPr>
                <w:b w:val="0"/>
                <w:bCs w:val="0"/>
                <w:szCs w:val="18"/>
                <w:lang w:eastAsia="en-US" w:bidi="ar-SA"/>
              </w:rPr>
            </w:pPr>
            <w:r w:rsidRPr="00AA31EB">
              <w:rPr>
                <w:b w:val="0"/>
                <w:bCs w:val="0"/>
                <w:szCs w:val="18"/>
                <w:lang w:eastAsia="en-US" w:bidi="ar-SA"/>
              </w:rPr>
              <w:t>It includes the systematic operational alignment, across timescales from day-ahead to real-time operation, of the following:</w:t>
            </w:r>
          </w:p>
          <w:p w14:paraId="70DAC17A" w14:textId="77777777" w:rsidR="00AA31EB" w:rsidRPr="00AA31EB" w:rsidRDefault="00AA31EB" w:rsidP="00954BAC">
            <w:pPr>
              <w:numPr>
                <w:ilvl w:val="0"/>
                <w:numId w:val="84"/>
              </w:numPr>
              <w:tabs>
                <w:tab w:val="num" w:pos="720"/>
              </w:tabs>
              <w:spacing w:before="60" w:after="60" w:line="288" w:lineRule="auto"/>
              <w:ind w:left="714" w:hanging="357"/>
              <w:rPr>
                <w:rFonts w:eastAsia="Segoe UI"/>
                <w:b w:val="0"/>
                <w:bCs w:val="0"/>
                <w:szCs w:val="18"/>
              </w:rPr>
            </w:pPr>
            <w:r w:rsidRPr="00AA31EB">
              <w:rPr>
                <w:rFonts w:eastAsia="Segoe UI"/>
                <w:b w:val="0"/>
                <w:bCs w:val="0"/>
                <w:szCs w:val="18"/>
              </w:rPr>
              <w:t>Market/System Operators (MSO) and Distribution System Operators (DSOs);</w:t>
            </w:r>
          </w:p>
          <w:p w14:paraId="133D4CE0" w14:textId="77777777" w:rsidR="00AA31EB" w:rsidRPr="00AA31EB" w:rsidRDefault="00AA31EB" w:rsidP="00954BAC">
            <w:pPr>
              <w:numPr>
                <w:ilvl w:val="0"/>
                <w:numId w:val="84"/>
              </w:numPr>
              <w:tabs>
                <w:tab w:val="num" w:pos="720"/>
              </w:tabs>
              <w:spacing w:before="60" w:after="60" w:line="288" w:lineRule="auto"/>
              <w:ind w:left="714" w:hanging="357"/>
              <w:rPr>
                <w:rFonts w:eastAsia="Segoe UI"/>
                <w:b w:val="0"/>
                <w:bCs w:val="0"/>
                <w:szCs w:val="18"/>
              </w:rPr>
            </w:pPr>
            <w:r w:rsidRPr="00AA31EB">
              <w:rPr>
                <w:rFonts w:eastAsia="Segoe UI"/>
                <w:b w:val="0"/>
                <w:bCs w:val="0"/>
                <w:szCs w:val="18"/>
              </w:rPr>
              <w:t xml:space="preserve">Generators, Energy Storage, Consumer Energy Resources (CER/DER), etc.; </w:t>
            </w:r>
          </w:p>
          <w:p w14:paraId="31BAE20D" w14:textId="77777777" w:rsidR="00AA31EB" w:rsidRPr="00AA31EB" w:rsidRDefault="00AA31EB" w:rsidP="00954BAC">
            <w:pPr>
              <w:numPr>
                <w:ilvl w:val="0"/>
                <w:numId w:val="84"/>
              </w:numPr>
              <w:tabs>
                <w:tab w:val="num" w:pos="720"/>
              </w:tabs>
              <w:spacing w:before="60" w:after="60" w:line="288" w:lineRule="auto"/>
              <w:ind w:left="714" w:hanging="357"/>
              <w:rPr>
                <w:rFonts w:eastAsia="Segoe UI"/>
                <w:b w:val="0"/>
                <w:bCs w:val="0"/>
                <w:szCs w:val="18"/>
              </w:rPr>
            </w:pPr>
            <w:r w:rsidRPr="00AA31EB">
              <w:rPr>
                <w:rFonts w:eastAsia="Segoe UI"/>
                <w:b w:val="0"/>
                <w:bCs w:val="0"/>
                <w:szCs w:val="18"/>
              </w:rPr>
              <w:t xml:space="preserve">Transmission and Distribution network assets; </w:t>
            </w:r>
          </w:p>
          <w:p w14:paraId="697EDACC" w14:textId="77777777" w:rsidR="00AA31EB" w:rsidRPr="00AA31EB" w:rsidRDefault="00AA31EB" w:rsidP="00954BAC">
            <w:pPr>
              <w:numPr>
                <w:ilvl w:val="0"/>
                <w:numId w:val="84"/>
              </w:numPr>
              <w:tabs>
                <w:tab w:val="num" w:pos="720"/>
              </w:tabs>
              <w:spacing w:before="60" w:after="60" w:line="288" w:lineRule="auto"/>
              <w:ind w:left="714" w:hanging="357"/>
              <w:rPr>
                <w:rFonts w:eastAsia="Segoe UI"/>
                <w:b w:val="0"/>
                <w:bCs w:val="0"/>
                <w:szCs w:val="18"/>
              </w:rPr>
            </w:pPr>
            <w:r w:rsidRPr="00AA31EB">
              <w:rPr>
                <w:rFonts w:eastAsia="Segoe UI"/>
                <w:b w:val="0"/>
                <w:bCs w:val="0"/>
                <w:szCs w:val="18"/>
              </w:rPr>
              <w:t xml:space="preserve">Market participants, CER/DER Aggregators, etc.; and, </w:t>
            </w:r>
          </w:p>
          <w:p w14:paraId="429CA84A" w14:textId="77777777" w:rsidR="00AA31EB" w:rsidRPr="00AA31EB" w:rsidRDefault="00AA31EB" w:rsidP="00954BAC">
            <w:pPr>
              <w:numPr>
                <w:ilvl w:val="0"/>
                <w:numId w:val="84"/>
              </w:numPr>
              <w:tabs>
                <w:tab w:val="num" w:pos="720"/>
              </w:tabs>
              <w:spacing w:before="60" w:after="60" w:line="288" w:lineRule="auto"/>
              <w:ind w:left="714" w:hanging="357"/>
              <w:rPr>
                <w:rFonts w:eastAsia="Segoe UI"/>
                <w:b w:val="0"/>
                <w:bCs w:val="0"/>
                <w:szCs w:val="18"/>
              </w:rPr>
            </w:pPr>
            <w:r w:rsidRPr="00AA31EB">
              <w:rPr>
                <w:rFonts w:eastAsia="Segoe UI"/>
                <w:b w:val="0"/>
                <w:bCs w:val="0"/>
                <w:szCs w:val="18"/>
              </w:rPr>
              <w:t xml:space="preserve">Adjacent sector couplings (e.g. gas, transport, water, sewerage, etc). </w:t>
            </w:r>
          </w:p>
          <w:p w14:paraId="0EF0F31B" w14:textId="77777777" w:rsidR="00AA31EB" w:rsidRPr="00AA31EB" w:rsidRDefault="00AA31EB" w:rsidP="00AA31EB">
            <w:pPr>
              <w:spacing w:before="120" w:after="120" w:line="288" w:lineRule="auto"/>
              <w:ind w:left="176" w:right="176"/>
              <w:rPr>
                <w:b w:val="0"/>
                <w:bCs w:val="0"/>
                <w:szCs w:val="18"/>
                <w:lang w:eastAsia="en-US" w:bidi="ar-SA"/>
              </w:rPr>
            </w:pPr>
            <w:r w:rsidRPr="00AA31EB">
              <w:rPr>
                <w:b w:val="0"/>
                <w:bCs w:val="0"/>
                <w:szCs w:val="18"/>
                <w:lang w:eastAsia="en-US" w:bidi="ar-SA"/>
              </w:rPr>
              <w:t xml:space="preserve">Supply-Demand Balancing is a critical outcome of successful Operational Coordination as it enables the right resources to be activated or curtailed in the right locations in the right timescales to maintain this balance.  The goals of Operational Coordination also include network constraint management, voltage support, frequency regulation, outage management, and system restoration. </w:t>
            </w:r>
          </w:p>
          <w:p w14:paraId="36B337A5" w14:textId="4CAB0C94" w:rsidR="00B3123A" w:rsidRPr="00020292" w:rsidRDefault="00AA31EB" w:rsidP="00AA31EB">
            <w:pPr>
              <w:spacing w:before="120" w:after="120" w:line="264" w:lineRule="auto"/>
              <w:ind w:left="174"/>
              <w:rPr>
                <w:highlight w:val="yellow"/>
                <w:lang w:eastAsia="en-US" w:bidi="ar-SA"/>
              </w:rPr>
            </w:pPr>
            <w:r w:rsidRPr="00AA31EB">
              <w:rPr>
                <w:b w:val="0"/>
                <w:bCs w:val="0"/>
                <w:szCs w:val="18"/>
                <w:lang w:eastAsia="en-US" w:bidi="ar-SA"/>
              </w:rPr>
              <w:t>While both Operational Coordination and Supply-Demand Balancing were traditionally the sole or primary responsibility of the MSO, multi-level Operational Coordination will be increasingly required as power systems become more decentralised and volatile as the scale deployment of VRE and CER/DER continues.</w:t>
            </w:r>
            <w:r w:rsidRPr="00AA31EB">
              <w:rPr>
                <w:b w:val="0"/>
                <w:szCs w:val="18"/>
                <w:lang w:eastAsia="en-US" w:bidi="ar-SA"/>
              </w:rPr>
              <w:t xml:space="preserve">  </w:t>
            </w:r>
          </w:p>
        </w:tc>
      </w:tr>
    </w:tbl>
    <w:p w14:paraId="1E0B5115" w14:textId="77777777" w:rsidR="00DE5633" w:rsidRDefault="00DE5633" w:rsidP="00EB2823">
      <w:pPr>
        <w:spacing w:before="180" w:after="120" w:line="264" w:lineRule="auto"/>
        <w:rPr>
          <w:rStyle w:val="IntenseEmphasis"/>
        </w:rPr>
      </w:pPr>
    </w:p>
    <w:p w14:paraId="2CDA72E9" w14:textId="77777777" w:rsidR="00DE5633" w:rsidRDefault="00DE5633">
      <w:pPr>
        <w:spacing w:before="0" w:after="160" w:line="259" w:lineRule="auto"/>
        <w:rPr>
          <w:rStyle w:val="IntenseEmphasis"/>
        </w:rPr>
      </w:pPr>
      <w:r>
        <w:rPr>
          <w:rStyle w:val="IntenseEmphasis"/>
        </w:rPr>
        <w:br w:type="page"/>
      </w:r>
    </w:p>
    <w:p w14:paraId="755A272E" w14:textId="33325458" w:rsidR="00B20B8B" w:rsidRPr="00831957" w:rsidRDefault="00B20B8B" w:rsidP="00EB2823">
      <w:pPr>
        <w:spacing w:before="180" w:after="120" w:line="264" w:lineRule="auto"/>
        <w:rPr>
          <w:rStyle w:val="IntenseEmphasis"/>
        </w:rPr>
      </w:pPr>
      <w:r w:rsidRPr="00831957">
        <w:rPr>
          <w:rStyle w:val="IntenseEmphasis"/>
        </w:rPr>
        <w:t xml:space="preserve">Structural Shifts Require Architectural Treatments </w:t>
      </w:r>
    </w:p>
    <w:p w14:paraId="1E9E0174" w14:textId="57185B63" w:rsidR="00B20B8B" w:rsidRPr="002C72C2" w:rsidRDefault="00B20B8B" w:rsidP="00EB2823">
      <w:pPr>
        <w:spacing w:before="120" w:after="120" w:line="264" w:lineRule="auto"/>
        <w:rPr>
          <w:lang w:eastAsia="en-US" w:bidi="ar-SA"/>
        </w:rPr>
      </w:pPr>
      <w:r w:rsidRPr="002C72C2">
        <w:rPr>
          <w:lang w:eastAsia="en-US" w:bidi="ar-SA"/>
        </w:rPr>
        <w:t xml:space="preserve">These changes are structural in character and drastically impact the </w:t>
      </w:r>
      <w:r w:rsidR="00FC6A0D" w:rsidRPr="0043196B">
        <w:rPr>
          <w:lang w:eastAsia="en-US" w:bidi="ar-SA"/>
        </w:rPr>
        <w:t>o</w:t>
      </w:r>
      <w:r w:rsidRPr="0043196B">
        <w:rPr>
          <w:lang w:eastAsia="en-US" w:bidi="ar-SA"/>
        </w:rPr>
        <w:t>perability</w:t>
      </w:r>
      <w:r w:rsidRPr="002C72C2">
        <w:rPr>
          <w:lang w:eastAsia="en-US" w:bidi="ar-SA"/>
        </w:rPr>
        <w:t xml:space="preserve"> of any GW-scale </w:t>
      </w:r>
      <w:r w:rsidR="00542C0C" w:rsidRPr="002C72C2">
        <w:rPr>
          <w:lang w:eastAsia="en-US" w:bidi="ar-SA"/>
        </w:rPr>
        <w:t>p</w:t>
      </w:r>
      <w:r w:rsidRPr="002C72C2">
        <w:rPr>
          <w:lang w:eastAsia="en-US" w:bidi="ar-SA"/>
        </w:rPr>
        <w:t xml:space="preserve">ower </w:t>
      </w:r>
      <w:r w:rsidR="00542C0C" w:rsidRPr="002C72C2">
        <w:rPr>
          <w:lang w:eastAsia="en-US" w:bidi="ar-SA"/>
        </w:rPr>
        <w:t>s</w:t>
      </w:r>
      <w:r w:rsidRPr="002C72C2">
        <w:rPr>
          <w:lang w:eastAsia="en-US" w:bidi="ar-SA"/>
        </w:rPr>
        <w:t>ystem</w:t>
      </w:r>
      <w:r w:rsidR="00374950">
        <w:rPr>
          <w:lang w:eastAsia="en-US" w:bidi="ar-SA"/>
        </w:rPr>
        <w:t xml:space="preserve">. </w:t>
      </w:r>
      <w:r w:rsidRPr="002C72C2">
        <w:rPr>
          <w:lang w:eastAsia="en-US" w:bidi="ar-SA"/>
        </w:rPr>
        <w:t>In recognition of the scale and pace of change now confronting Australia’s grids, AEMO has noted</w:t>
      </w:r>
      <w:r w:rsidR="00A0682E">
        <w:rPr>
          <w:lang w:eastAsia="en-US" w:bidi="ar-SA"/>
        </w:rPr>
        <w:t xml:space="preserve"> </w:t>
      </w:r>
      <w:hyperlink w:anchor="Ref_22" w:history="1">
        <w:r w:rsidR="00B02A78" w:rsidRPr="00E8481C">
          <w:rPr>
            <w:rStyle w:val="Hyperlink"/>
            <w:lang w:eastAsia="en-US" w:bidi="ar-SA"/>
          </w:rPr>
          <w:fldChar w:fldCharType="begin"/>
        </w:r>
        <w:r w:rsidR="00732E28" w:rsidRPr="00E8481C">
          <w:rPr>
            <w:rStyle w:val="Hyperlink"/>
            <w:lang w:eastAsia="en-US" w:bidi="ar-SA"/>
          </w:rPr>
          <w:instrText xml:space="preserve"> ADDIN ZOTERO_ITEM CSL_CITATION {"citationID":"XoFZBJtN","properties":{"formattedCitation":"[22]","plainCitation":"[22]","noteIndex":0},"citationItems":[{"id":11,"uris":["http://zotero.org/users/local/BgaHAIQb/items/EU2M6VLH","http://zotero.org/users/17348326/items/EU2M6VLH"],"itemData":{"id":11,"type":"document","title":"NEM Engineering Framework - Initial Roadmap","URL":"https://aemo.com.au/-/media/files/initiatives/engineering-framework/2021/nem-engineering-framework-initial-roadmap.pdf","author":[{"family":"Australian Energy Market Operator (AEMO)","given":""}],"issued":{"date-parts":[["2021",12]]}}}],"schema":"https://github.com/citation-style-language/schema/raw/master/csl-citation.json"} </w:instrText>
        </w:r>
        <w:r w:rsidR="00B02A78" w:rsidRPr="00E8481C">
          <w:rPr>
            <w:rStyle w:val="Hyperlink"/>
            <w:lang w:eastAsia="en-US" w:bidi="ar-SA"/>
          </w:rPr>
          <w:fldChar w:fldCharType="separate"/>
        </w:r>
        <w:r w:rsidR="00732E28" w:rsidRPr="00E8481C">
          <w:rPr>
            <w:rStyle w:val="Hyperlink"/>
          </w:rPr>
          <w:t>[22]</w:t>
        </w:r>
        <w:r w:rsidR="00B02A78" w:rsidRPr="00E8481C">
          <w:rPr>
            <w:rStyle w:val="Hyperlink"/>
            <w:lang w:eastAsia="en-US" w:bidi="ar-SA"/>
          </w:rPr>
          <w:fldChar w:fldCharType="end"/>
        </w:r>
      </w:hyperlink>
      <w:r w:rsidRPr="002C72C2">
        <w:rPr>
          <w:lang w:eastAsia="en-US" w:bidi="ar-SA"/>
        </w:rPr>
        <w:t>:</w:t>
      </w:r>
    </w:p>
    <w:p w14:paraId="2EAA8ECA" w14:textId="09F9A883" w:rsidR="00B20B8B" w:rsidRPr="002C72C2" w:rsidRDefault="00B20B8B" w:rsidP="00B75FFD">
      <w:pPr>
        <w:spacing w:before="120" w:after="120" w:line="264" w:lineRule="auto"/>
        <w:ind w:left="284"/>
        <w:rPr>
          <w:i/>
          <w:lang w:eastAsia="en-US" w:bidi="ar-SA"/>
        </w:rPr>
      </w:pPr>
      <w:r w:rsidRPr="002C72C2">
        <w:rPr>
          <w:i/>
          <w:lang w:eastAsia="en-US" w:bidi="ar-SA"/>
        </w:rPr>
        <w:t>“Traditional, legacy approaches will need to be maintained in the near term, but inherent structural limitations will eventually constrain the pace of transition. Parallel to this, it is critical that designing a step change in power system capability starts today, due to… the risks if timely action is not taken and system operators do not have the tools to securely and reliably manage new operational conditions…”</w:t>
      </w:r>
    </w:p>
    <w:p w14:paraId="6034B871" w14:textId="77777777" w:rsidR="00B20B8B" w:rsidRPr="002C72C2" w:rsidRDefault="00B20B8B" w:rsidP="00EB2823">
      <w:pPr>
        <w:spacing w:before="120" w:after="120" w:line="264" w:lineRule="auto"/>
        <w:rPr>
          <w:lang w:eastAsia="en-US" w:bidi="ar-SA"/>
        </w:rPr>
      </w:pPr>
      <w:r w:rsidRPr="002C72C2">
        <w:rPr>
          <w:lang w:eastAsia="en-US" w:bidi="ar-SA"/>
        </w:rPr>
        <w:t>Some related transformative influences that are already emerging in Australia include:</w:t>
      </w:r>
    </w:p>
    <w:p w14:paraId="6194B7D1" w14:textId="14291684" w:rsidR="00B20B8B" w:rsidRPr="002C72C2" w:rsidRDefault="00B20B8B" w:rsidP="00954BAC">
      <w:pPr>
        <w:pStyle w:val="ListParagraph"/>
        <w:numPr>
          <w:ilvl w:val="0"/>
          <w:numId w:val="19"/>
        </w:numPr>
        <w:spacing w:line="264" w:lineRule="auto"/>
        <w:rPr>
          <w:lang w:eastAsia="en-US" w:bidi="ar-SA"/>
        </w:rPr>
      </w:pPr>
      <w:r w:rsidRPr="002C72C2">
        <w:rPr>
          <w:lang w:eastAsia="en-US" w:bidi="ar-SA"/>
        </w:rPr>
        <w:t xml:space="preserve">Increasingly fast dynamics at all </w:t>
      </w:r>
      <w:r w:rsidR="00FC6A0D" w:rsidRPr="00A73321">
        <w:rPr>
          <w:lang w:eastAsia="en-US" w:bidi="ar-SA"/>
        </w:rPr>
        <w:t>t</w:t>
      </w:r>
      <w:r w:rsidRPr="00A73321">
        <w:rPr>
          <w:lang w:eastAsia="en-US" w:bidi="ar-SA"/>
        </w:rPr>
        <w:t>iers/</w:t>
      </w:r>
      <w:r w:rsidR="00FC6A0D" w:rsidRPr="00A73321">
        <w:rPr>
          <w:lang w:eastAsia="en-US" w:bidi="ar-SA"/>
        </w:rPr>
        <w:t>l</w:t>
      </w:r>
      <w:r w:rsidRPr="00A73321">
        <w:rPr>
          <w:lang w:eastAsia="en-US" w:bidi="ar-SA"/>
        </w:rPr>
        <w:t>ayers</w:t>
      </w:r>
      <w:r w:rsidRPr="002C72C2">
        <w:rPr>
          <w:lang w:eastAsia="en-US" w:bidi="ar-SA"/>
        </w:rPr>
        <w:t xml:space="preserve"> of the </w:t>
      </w:r>
      <w:r w:rsidR="00630930" w:rsidRPr="002C72C2">
        <w:rPr>
          <w:lang w:eastAsia="en-US" w:bidi="ar-SA"/>
        </w:rPr>
        <w:t>p</w:t>
      </w:r>
      <w:r w:rsidRPr="002C72C2">
        <w:rPr>
          <w:lang w:eastAsia="en-US" w:bidi="ar-SA"/>
        </w:rPr>
        <w:t xml:space="preserve">ower </w:t>
      </w:r>
      <w:r w:rsidR="00630930" w:rsidRPr="002C72C2">
        <w:rPr>
          <w:lang w:eastAsia="en-US" w:bidi="ar-SA"/>
        </w:rPr>
        <w:t>s</w:t>
      </w:r>
      <w:r w:rsidRPr="002C72C2">
        <w:rPr>
          <w:lang w:eastAsia="en-US" w:bidi="ar-SA"/>
        </w:rPr>
        <w:t>ystem (including bulk power, transmission and distribution system and customer devices)</w:t>
      </w:r>
    </w:p>
    <w:p w14:paraId="215CB4EE" w14:textId="5BF13F87" w:rsidR="00B20B8B" w:rsidRPr="002C72C2" w:rsidRDefault="00B20B8B" w:rsidP="00954BAC">
      <w:pPr>
        <w:pStyle w:val="ListParagraph"/>
        <w:numPr>
          <w:ilvl w:val="0"/>
          <w:numId w:val="19"/>
        </w:numPr>
        <w:spacing w:line="264" w:lineRule="auto"/>
        <w:rPr>
          <w:lang w:eastAsia="en-US" w:bidi="ar-SA"/>
        </w:rPr>
      </w:pPr>
      <w:r w:rsidRPr="002C72C2">
        <w:rPr>
          <w:lang w:eastAsia="en-US" w:bidi="ar-SA"/>
        </w:rPr>
        <w:t xml:space="preserve">An expanding number and diversity of entities that are influencing functions related to </w:t>
      </w:r>
      <w:r w:rsidR="004F5210" w:rsidRPr="002C72C2">
        <w:rPr>
          <w:lang w:eastAsia="en-US" w:bidi="ar-SA"/>
        </w:rPr>
        <w:t>o</w:t>
      </w:r>
      <w:r w:rsidR="005523D3" w:rsidRPr="002C72C2">
        <w:rPr>
          <w:lang w:eastAsia="en-US" w:bidi="ar-SA"/>
        </w:rPr>
        <w:t>p</w:t>
      </w:r>
      <w:r w:rsidRPr="002C72C2">
        <w:rPr>
          <w:lang w:eastAsia="en-US" w:bidi="ar-SA"/>
        </w:rPr>
        <w:t xml:space="preserve">erational </w:t>
      </w:r>
      <w:r w:rsidR="004F5210" w:rsidRPr="002C72C2">
        <w:rPr>
          <w:lang w:eastAsia="en-US" w:bidi="ar-SA"/>
        </w:rPr>
        <w:t>c</w:t>
      </w:r>
      <w:r w:rsidRPr="002C72C2">
        <w:rPr>
          <w:lang w:eastAsia="en-US" w:bidi="ar-SA"/>
        </w:rPr>
        <w:t>oordination</w:t>
      </w:r>
    </w:p>
    <w:p w14:paraId="7C95C66E" w14:textId="2E740F9E" w:rsidR="00B20B8B" w:rsidRPr="002C72C2" w:rsidRDefault="00B20B8B" w:rsidP="00954BAC">
      <w:pPr>
        <w:pStyle w:val="ListParagraph"/>
        <w:numPr>
          <w:ilvl w:val="0"/>
          <w:numId w:val="19"/>
        </w:numPr>
        <w:spacing w:line="264" w:lineRule="auto"/>
        <w:rPr>
          <w:lang w:eastAsia="en-US" w:bidi="ar-SA"/>
        </w:rPr>
      </w:pPr>
      <w:r w:rsidRPr="002C72C2">
        <w:rPr>
          <w:lang w:eastAsia="en-US" w:bidi="ar-SA"/>
        </w:rPr>
        <w:t xml:space="preserve">Vast increases in data volumes generated by millions of </w:t>
      </w:r>
      <w:r w:rsidR="001917B5" w:rsidRPr="002C72C2">
        <w:rPr>
          <w:lang w:eastAsia="en-US" w:bidi="ar-SA"/>
        </w:rPr>
        <w:t>c</w:t>
      </w:r>
      <w:r w:rsidRPr="002C72C2">
        <w:rPr>
          <w:lang w:eastAsia="en-US" w:bidi="ar-SA"/>
        </w:rPr>
        <w:t xml:space="preserve">omponents, </w:t>
      </w:r>
      <w:r w:rsidR="001917B5" w:rsidRPr="002C72C2">
        <w:rPr>
          <w:lang w:eastAsia="en-US" w:bidi="ar-SA"/>
        </w:rPr>
        <w:t>e</w:t>
      </w:r>
      <w:r w:rsidRPr="002C72C2">
        <w:rPr>
          <w:lang w:eastAsia="en-US" w:bidi="ar-SA"/>
        </w:rPr>
        <w:t xml:space="preserve">nergy </w:t>
      </w:r>
      <w:r w:rsidR="001917B5" w:rsidRPr="002C72C2">
        <w:rPr>
          <w:lang w:eastAsia="en-US" w:bidi="ar-SA"/>
        </w:rPr>
        <w:t>r</w:t>
      </w:r>
      <w:r w:rsidRPr="002C72C2">
        <w:rPr>
          <w:lang w:eastAsia="en-US" w:bidi="ar-SA"/>
        </w:rPr>
        <w:t xml:space="preserve">esources and </w:t>
      </w:r>
      <w:r w:rsidR="001917B5" w:rsidRPr="002C72C2">
        <w:rPr>
          <w:lang w:eastAsia="en-US" w:bidi="ar-SA"/>
        </w:rPr>
        <w:t>e</w:t>
      </w:r>
      <w:r w:rsidRPr="002C72C2">
        <w:rPr>
          <w:lang w:eastAsia="en-US" w:bidi="ar-SA"/>
        </w:rPr>
        <w:t>ndpoints</w:t>
      </w:r>
    </w:p>
    <w:p w14:paraId="18EA5E1A" w14:textId="45D51ADF" w:rsidR="00B20B8B" w:rsidRPr="002C72C2" w:rsidRDefault="00B20B8B" w:rsidP="00954BAC">
      <w:pPr>
        <w:pStyle w:val="ListParagraph"/>
        <w:numPr>
          <w:ilvl w:val="0"/>
          <w:numId w:val="19"/>
        </w:numPr>
        <w:spacing w:line="264" w:lineRule="auto"/>
        <w:rPr>
          <w:lang w:eastAsia="en-US" w:bidi="ar-SA"/>
        </w:rPr>
      </w:pPr>
      <w:r w:rsidRPr="002C72C2">
        <w:rPr>
          <w:lang w:eastAsia="en-US" w:bidi="ar-SA"/>
        </w:rPr>
        <w:t>The transition from slow data sampling to fast streaming data</w:t>
      </w:r>
      <w:r w:rsidR="007A2200">
        <w:rPr>
          <w:lang w:eastAsia="en-US" w:bidi="ar-SA"/>
        </w:rPr>
        <w:t xml:space="preserve">, </w:t>
      </w:r>
      <w:r w:rsidRPr="002C72C2">
        <w:rPr>
          <w:lang w:eastAsia="en-US" w:bidi="ar-SA"/>
        </w:rPr>
        <w:t>and</w:t>
      </w:r>
    </w:p>
    <w:p w14:paraId="7228D3E6" w14:textId="6835B3C1" w:rsidR="00B20B8B" w:rsidRPr="002C72C2" w:rsidRDefault="00B20B8B" w:rsidP="00954BAC">
      <w:pPr>
        <w:pStyle w:val="ListParagraph"/>
        <w:numPr>
          <w:ilvl w:val="0"/>
          <w:numId w:val="19"/>
        </w:numPr>
        <w:spacing w:line="264" w:lineRule="auto"/>
        <w:rPr>
          <w:lang w:eastAsia="en-US" w:bidi="ar-SA"/>
        </w:rPr>
      </w:pPr>
      <w:r w:rsidRPr="002C72C2">
        <w:rPr>
          <w:lang w:eastAsia="en-US" w:bidi="ar-SA"/>
        </w:rPr>
        <w:t>Decreasing tolerance for latency in control systems due to the above-referenced fast dynamics</w:t>
      </w:r>
    </w:p>
    <w:p w14:paraId="23561132" w14:textId="5B5C94F7" w:rsidR="00B20B8B" w:rsidRPr="002C72C2" w:rsidRDefault="00B20B8B" w:rsidP="00EB2823">
      <w:pPr>
        <w:spacing w:before="120" w:after="120" w:line="264" w:lineRule="auto"/>
        <w:rPr>
          <w:lang w:eastAsia="en-US" w:bidi="ar-SA"/>
        </w:rPr>
      </w:pPr>
      <w:r w:rsidRPr="002C72C2">
        <w:rPr>
          <w:lang w:eastAsia="en-US" w:bidi="ar-SA"/>
        </w:rPr>
        <w:t xml:space="preserve">In other words, it is not rational to assume that legacy </w:t>
      </w:r>
      <w:r w:rsidR="006942E4">
        <w:rPr>
          <w:lang w:eastAsia="en-US" w:bidi="ar-SA"/>
        </w:rPr>
        <w:t>s</w:t>
      </w:r>
      <w:r w:rsidRPr="002C72C2">
        <w:rPr>
          <w:lang w:eastAsia="en-US" w:bidi="ar-SA"/>
        </w:rPr>
        <w:t>tructures developed last century for very different set of functional purposes and expectations are capable of automatically accommodating this scale of change</w:t>
      </w:r>
      <w:r w:rsidR="00374950">
        <w:rPr>
          <w:lang w:eastAsia="en-US" w:bidi="ar-SA"/>
        </w:rPr>
        <w:t xml:space="preserve">. </w:t>
      </w:r>
      <w:r w:rsidRPr="002C72C2">
        <w:rPr>
          <w:lang w:eastAsia="en-US" w:bidi="ar-SA"/>
        </w:rPr>
        <w:t xml:space="preserve">Where </w:t>
      </w:r>
      <w:r w:rsidR="00FD4D86" w:rsidRPr="00A73321">
        <w:rPr>
          <w:lang w:eastAsia="en-US" w:bidi="ar-SA"/>
        </w:rPr>
        <w:t>sy</w:t>
      </w:r>
      <w:r w:rsidRPr="00A73321">
        <w:rPr>
          <w:lang w:eastAsia="en-US" w:bidi="ar-SA"/>
        </w:rPr>
        <w:t xml:space="preserve">stem </w:t>
      </w:r>
      <w:r w:rsidR="00FD4D86" w:rsidRPr="00A73321">
        <w:rPr>
          <w:lang w:eastAsia="en-US" w:bidi="ar-SA"/>
        </w:rPr>
        <w:t>a</w:t>
      </w:r>
      <w:r w:rsidRPr="00A73321">
        <w:rPr>
          <w:lang w:eastAsia="en-US" w:bidi="ar-SA"/>
        </w:rPr>
        <w:t>rchitecture</w:t>
      </w:r>
      <w:r w:rsidRPr="002C72C2">
        <w:rPr>
          <w:lang w:eastAsia="en-US" w:bidi="ar-SA"/>
        </w:rPr>
        <w:t xml:space="preserve"> considerations are not well aligned with future needs, costly scaling issues will arise, such as latency cascading, computational constraints, time wall effects, and cyber-security vulnerabilities</w:t>
      </w:r>
      <w:r w:rsidR="00374950">
        <w:rPr>
          <w:lang w:eastAsia="en-US" w:bidi="ar-SA"/>
        </w:rPr>
        <w:t xml:space="preserve">. </w:t>
      </w:r>
      <w:r w:rsidRPr="002C72C2">
        <w:rPr>
          <w:lang w:eastAsia="en-US" w:bidi="ar-SA"/>
        </w:rPr>
        <w:t>These, in turn, reduce system reliability, resilience and economic efficiency</w:t>
      </w:r>
      <w:r w:rsidR="00374950">
        <w:rPr>
          <w:lang w:eastAsia="en-US" w:bidi="ar-SA"/>
        </w:rPr>
        <w:t xml:space="preserve">. </w:t>
      </w:r>
    </w:p>
    <w:p w14:paraId="138134D1" w14:textId="77777777" w:rsidR="00FE5D58" w:rsidRPr="00831957" w:rsidRDefault="00FE5D58" w:rsidP="00FE5D58">
      <w:pPr>
        <w:spacing w:before="180" w:after="120" w:line="264" w:lineRule="auto"/>
        <w:rPr>
          <w:rStyle w:val="IntenseEmphasis"/>
        </w:rPr>
      </w:pPr>
      <w:r w:rsidRPr="00831957">
        <w:rPr>
          <w:rStyle w:val="IntenseEmphasis"/>
        </w:rPr>
        <w:t xml:space="preserve">Operability Risks Arise from Poor Architectural Practice </w:t>
      </w:r>
    </w:p>
    <w:p w14:paraId="4D7C20CD" w14:textId="60331B4A" w:rsidR="00FE5D58" w:rsidRPr="002C72C2" w:rsidRDefault="00FE5D58" w:rsidP="00FE5D58">
      <w:pPr>
        <w:spacing w:before="120" w:after="120" w:line="264" w:lineRule="auto"/>
        <w:rPr>
          <w:lang w:eastAsia="en-US" w:bidi="ar-SA"/>
        </w:rPr>
      </w:pPr>
      <w:r w:rsidRPr="002C72C2">
        <w:rPr>
          <w:lang w:eastAsia="en-US" w:bidi="ar-SA"/>
        </w:rPr>
        <w:t xml:space="preserve">The </w:t>
      </w:r>
      <w:r w:rsidR="004667C9" w:rsidRPr="002C72C2">
        <w:rPr>
          <w:lang w:eastAsia="en-US" w:bidi="ar-SA"/>
        </w:rPr>
        <w:t>o</w:t>
      </w:r>
      <w:r w:rsidRPr="002C72C2">
        <w:rPr>
          <w:lang w:eastAsia="en-US" w:bidi="ar-SA"/>
        </w:rPr>
        <w:t xml:space="preserve">perability of Australia’s increasingly complex and volatile </w:t>
      </w:r>
      <w:r w:rsidR="004667C9" w:rsidRPr="002C72C2">
        <w:rPr>
          <w:lang w:eastAsia="en-US" w:bidi="ar-SA"/>
        </w:rPr>
        <w:t>p</w:t>
      </w:r>
      <w:r w:rsidRPr="002C72C2">
        <w:rPr>
          <w:lang w:eastAsia="en-US" w:bidi="ar-SA"/>
        </w:rPr>
        <w:t xml:space="preserve">ower </w:t>
      </w:r>
      <w:r w:rsidR="004667C9" w:rsidRPr="002C72C2">
        <w:rPr>
          <w:lang w:eastAsia="en-US" w:bidi="ar-SA"/>
        </w:rPr>
        <w:t>s</w:t>
      </w:r>
      <w:r w:rsidRPr="002C72C2">
        <w:rPr>
          <w:lang w:eastAsia="en-US" w:bidi="ar-SA"/>
        </w:rPr>
        <w:t>ystems</w:t>
      </w:r>
      <w:r w:rsidR="0063561E" w:rsidRPr="002C72C2">
        <w:rPr>
          <w:lang w:eastAsia="en-US" w:bidi="ar-SA"/>
        </w:rPr>
        <w:t xml:space="preserve"> </w:t>
      </w:r>
      <w:r w:rsidRPr="002C72C2">
        <w:rPr>
          <w:lang w:eastAsia="en-US" w:bidi="ar-SA"/>
        </w:rPr>
        <w:t xml:space="preserve">will fundamentally depend on the holistic application of sound </w:t>
      </w:r>
      <w:r w:rsidR="00FD4D86" w:rsidRPr="00A73321">
        <w:rPr>
          <w:lang w:eastAsia="en-US" w:bidi="ar-SA"/>
        </w:rPr>
        <w:t>s</w:t>
      </w:r>
      <w:r w:rsidRPr="00A73321">
        <w:rPr>
          <w:lang w:eastAsia="en-US" w:bidi="ar-SA"/>
        </w:rPr>
        <w:t xml:space="preserve">ystems </w:t>
      </w:r>
      <w:r w:rsidR="00FD4D86" w:rsidRPr="00A73321">
        <w:rPr>
          <w:lang w:eastAsia="en-US" w:bidi="ar-SA"/>
        </w:rPr>
        <w:t>a</w:t>
      </w:r>
      <w:r w:rsidRPr="00A73321">
        <w:rPr>
          <w:lang w:eastAsia="en-US" w:bidi="ar-SA"/>
        </w:rPr>
        <w:t>rchitecture</w:t>
      </w:r>
      <w:r w:rsidRPr="002C72C2">
        <w:rPr>
          <w:lang w:eastAsia="en-US" w:bidi="ar-SA"/>
        </w:rPr>
        <w:t xml:space="preserve"> practice. Following are seven important structural issues which must be avoided in the design of advanced operational coordination and balancing mechanisms to ensure scalability and extensibility:  </w:t>
      </w:r>
    </w:p>
    <w:p w14:paraId="2E034066" w14:textId="6CC2BD40" w:rsidR="00FE5D58" w:rsidRPr="002C72C2" w:rsidRDefault="00FE5D58" w:rsidP="00954BAC">
      <w:pPr>
        <w:pStyle w:val="ListParagraph"/>
        <w:numPr>
          <w:ilvl w:val="0"/>
          <w:numId w:val="20"/>
        </w:numPr>
        <w:spacing w:line="264" w:lineRule="auto"/>
        <w:rPr>
          <w:lang w:eastAsia="en-US" w:bidi="ar-SA"/>
        </w:rPr>
      </w:pPr>
      <w:r w:rsidRPr="002C72C2">
        <w:rPr>
          <w:rFonts w:ascii="PP Mori SemiBold" w:hAnsi="PP Mori SemiBold"/>
          <w:lang w:eastAsia="en-US" w:bidi="ar-SA"/>
        </w:rPr>
        <w:t>Tier/Layer Bypassing</w:t>
      </w:r>
      <w:r w:rsidRPr="002C72C2">
        <w:rPr>
          <w:lang w:eastAsia="en-US" w:bidi="ar-SA"/>
        </w:rPr>
        <w:t xml:space="preserve">: The creation of information flows or coordination signals that ‘leapfrog’ a vertical tier/layer of the </w:t>
      </w:r>
      <w:r w:rsidR="00E44EE4" w:rsidRPr="002C72C2">
        <w:rPr>
          <w:lang w:eastAsia="en-US" w:bidi="ar-SA"/>
        </w:rPr>
        <w:t>p</w:t>
      </w:r>
      <w:r w:rsidRPr="002C72C2">
        <w:rPr>
          <w:lang w:eastAsia="en-US" w:bidi="ar-SA"/>
        </w:rPr>
        <w:t xml:space="preserve">ower </w:t>
      </w:r>
      <w:r w:rsidR="00E44EE4" w:rsidRPr="002C72C2">
        <w:rPr>
          <w:lang w:eastAsia="en-US" w:bidi="ar-SA"/>
        </w:rPr>
        <w:t>s</w:t>
      </w:r>
      <w:r w:rsidRPr="002C72C2">
        <w:rPr>
          <w:lang w:eastAsia="en-US" w:bidi="ar-SA"/>
        </w:rPr>
        <w:t>ystem operational hierarchy</w:t>
      </w:r>
      <w:r w:rsidR="00374950">
        <w:rPr>
          <w:lang w:eastAsia="en-US" w:bidi="ar-SA"/>
        </w:rPr>
        <w:t xml:space="preserve">. </w:t>
      </w:r>
    </w:p>
    <w:p w14:paraId="4DCA606C" w14:textId="332DDD05" w:rsidR="00FE5D58" w:rsidRPr="002C72C2" w:rsidRDefault="00FE5D58" w:rsidP="00954BAC">
      <w:pPr>
        <w:pStyle w:val="ListParagraph"/>
        <w:numPr>
          <w:ilvl w:val="0"/>
          <w:numId w:val="20"/>
        </w:numPr>
        <w:spacing w:line="264" w:lineRule="auto"/>
        <w:rPr>
          <w:lang w:eastAsia="en-US" w:bidi="ar-SA"/>
        </w:rPr>
      </w:pPr>
      <w:r w:rsidRPr="002C72C2">
        <w:rPr>
          <w:rFonts w:ascii="PP Mori SemiBold" w:hAnsi="PP Mori SemiBold"/>
          <w:lang w:eastAsia="en-US" w:bidi="ar-SA"/>
        </w:rPr>
        <w:t>Coordination Gapping</w:t>
      </w:r>
      <w:r w:rsidRPr="002C72C2">
        <w:rPr>
          <w:lang w:eastAsia="en-US" w:bidi="ar-SA"/>
        </w:rPr>
        <w:t xml:space="preserve">: An element of the </w:t>
      </w:r>
      <w:r w:rsidR="001D4844" w:rsidRPr="002C72C2">
        <w:rPr>
          <w:lang w:eastAsia="en-US" w:bidi="ar-SA"/>
        </w:rPr>
        <w:t>s</w:t>
      </w:r>
      <w:r w:rsidRPr="002C72C2">
        <w:rPr>
          <w:lang w:eastAsia="en-US" w:bidi="ar-SA"/>
        </w:rPr>
        <w:t xml:space="preserve">ystem does not receive an explicit flow of coordination signals from </w:t>
      </w:r>
      <w:r w:rsidR="001D4844" w:rsidRPr="002C72C2">
        <w:rPr>
          <w:lang w:eastAsia="en-US" w:bidi="ar-SA"/>
        </w:rPr>
        <w:t>a</w:t>
      </w:r>
      <w:r w:rsidRPr="002C72C2">
        <w:rPr>
          <w:lang w:eastAsia="en-US" w:bidi="ar-SA"/>
        </w:rPr>
        <w:t xml:space="preserve"> higher tier/layer of the system and therefore operates in isolation.</w:t>
      </w:r>
    </w:p>
    <w:p w14:paraId="67E1E121" w14:textId="7D72E139" w:rsidR="00FE5D58" w:rsidRPr="002C72C2" w:rsidRDefault="00FE5D58" w:rsidP="00954BAC">
      <w:pPr>
        <w:pStyle w:val="ListParagraph"/>
        <w:numPr>
          <w:ilvl w:val="0"/>
          <w:numId w:val="20"/>
        </w:numPr>
        <w:spacing w:line="264" w:lineRule="auto"/>
        <w:rPr>
          <w:lang w:eastAsia="en-US" w:bidi="ar-SA"/>
        </w:rPr>
      </w:pPr>
      <w:r w:rsidRPr="002C72C2">
        <w:rPr>
          <w:rFonts w:ascii="PP Mori SemiBold" w:hAnsi="PP Mori SemiBold"/>
          <w:lang w:eastAsia="en-US" w:bidi="ar-SA"/>
        </w:rPr>
        <w:t>Hidden Coupling</w:t>
      </w:r>
      <w:r w:rsidRPr="002C72C2">
        <w:rPr>
          <w:lang w:eastAsia="en-US" w:bidi="ar-SA"/>
        </w:rPr>
        <w:t xml:space="preserve">: Two or more control entities with partial views of </w:t>
      </w:r>
      <w:r w:rsidR="00E44EE4" w:rsidRPr="002C72C2">
        <w:rPr>
          <w:lang w:eastAsia="en-US" w:bidi="ar-SA"/>
        </w:rPr>
        <w:t>s</w:t>
      </w:r>
      <w:r w:rsidRPr="002C72C2">
        <w:rPr>
          <w:lang w:eastAsia="en-US" w:bidi="ar-SA"/>
        </w:rPr>
        <w:t xml:space="preserve">ystem </w:t>
      </w:r>
      <w:r w:rsidR="00E44EE4" w:rsidRPr="002C72C2">
        <w:rPr>
          <w:lang w:eastAsia="en-US" w:bidi="ar-SA"/>
        </w:rPr>
        <w:t>s</w:t>
      </w:r>
      <w:r w:rsidRPr="002C72C2">
        <w:rPr>
          <w:lang w:eastAsia="en-US" w:bidi="ar-SA"/>
        </w:rPr>
        <w:t xml:space="preserve">tate issue simultaneous but conflicting coordination signals to a CER/DER or </w:t>
      </w:r>
      <w:r w:rsidR="00996417" w:rsidRPr="002C72C2">
        <w:rPr>
          <w:lang w:eastAsia="en-US" w:bidi="ar-SA"/>
        </w:rPr>
        <w:t>c</w:t>
      </w:r>
      <w:r w:rsidRPr="002C72C2">
        <w:rPr>
          <w:lang w:eastAsia="en-US" w:bidi="ar-SA"/>
        </w:rPr>
        <w:t xml:space="preserve">omponent of the </w:t>
      </w:r>
      <w:r w:rsidR="00996417" w:rsidRPr="002C72C2">
        <w:rPr>
          <w:lang w:eastAsia="en-US" w:bidi="ar-SA"/>
        </w:rPr>
        <w:t>p</w:t>
      </w:r>
      <w:r w:rsidRPr="002C72C2">
        <w:rPr>
          <w:lang w:eastAsia="en-US" w:bidi="ar-SA"/>
        </w:rPr>
        <w:t xml:space="preserve">ower </w:t>
      </w:r>
      <w:r w:rsidR="00996417" w:rsidRPr="002C72C2">
        <w:rPr>
          <w:lang w:eastAsia="en-US" w:bidi="ar-SA"/>
        </w:rPr>
        <w:t>s</w:t>
      </w:r>
      <w:r w:rsidRPr="002C72C2">
        <w:rPr>
          <w:lang w:eastAsia="en-US" w:bidi="ar-SA"/>
        </w:rPr>
        <w:t xml:space="preserve">ystem If multiple VPPs exist in a competitive framework, then the coordination problem becomes significantly more </w:t>
      </w:r>
      <w:r w:rsidRPr="008D2323">
        <w:rPr>
          <w:lang w:eastAsia="en-US" w:bidi="ar-SA"/>
        </w:rPr>
        <w:t>complex</w:t>
      </w:r>
      <w:r w:rsidR="00E9493E" w:rsidRPr="008D2323">
        <w:rPr>
          <w:lang w:eastAsia="en-US" w:bidi="ar-SA"/>
        </w:rPr>
        <w:t xml:space="preserve"> (refer Figure</w:t>
      </w:r>
      <w:r w:rsidR="008D2323" w:rsidRPr="008D2323">
        <w:rPr>
          <w:lang w:eastAsia="en-US" w:bidi="ar-SA"/>
        </w:rPr>
        <w:t>s</w:t>
      </w:r>
      <w:r w:rsidR="00E9493E" w:rsidRPr="008D2323">
        <w:rPr>
          <w:lang w:eastAsia="en-US" w:bidi="ar-SA"/>
        </w:rPr>
        <w:t xml:space="preserve"> </w:t>
      </w:r>
      <w:hyperlink w:anchor="Figure_7" w:history="1">
        <w:r w:rsidR="008D2323" w:rsidRPr="007A2200">
          <w:rPr>
            <w:rStyle w:val="Hyperlink"/>
            <w:lang w:eastAsia="en-US" w:bidi="ar-SA"/>
          </w:rPr>
          <w:t>7</w:t>
        </w:r>
      </w:hyperlink>
      <w:r w:rsidR="008D2323" w:rsidRPr="008D2323">
        <w:rPr>
          <w:lang w:eastAsia="en-US" w:bidi="ar-SA"/>
        </w:rPr>
        <w:t xml:space="preserve"> &amp; </w:t>
      </w:r>
      <w:hyperlink w:anchor="Figure_8" w:history="1">
        <w:r w:rsidR="008D2323" w:rsidRPr="007A2200">
          <w:rPr>
            <w:rStyle w:val="Hyperlink"/>
            <w:lang w:eastAsia="en-US" w:bidi="ar-SA"/>
          </w:rPr>
          <w:t>8</w:t>
        </w:r>
      </w:hyperlink>
      <w:r w:rsidR="00E9493E" w:rsidRPr="008D2323">
        <w:rPr>
          <w:lang w:eastAsia="en-US" w:bidi="ar-SA"/>
        </w:rPr>
        <w:t>).</w:t>
      </w:r>
    </w:p>
    <w:p w14:paraId="2BDCE0C1" w14:textId="77777777" w:rsidR="00C57359" w:rsidRDefault="004C71DF" w:rsidP="00C505CD">
      <w:pPr>
        <w:keepNext/>
        <w:spacing w:after="120" w:line="264" w:lineRule="auto"/>
        <w:jc w:val="center"/>
      </w:pPr>
      <w:bookmarkStart w:id="63" w:name="Figure_7"/>
      <w:r w:rsidRPr="002C72C2">
        <w:rPr>
          <w:rFonts w:eastAsia="Times New Roman" w:cs="Calibri"/>
          <w:noProof/>
          <w:szCs w:val="22"/>
          <w:lang w:eastAsia="en-US" w:bidi="ar-SA"/>
        </w:rPr>
        <w:drawing>
          <wp:inline distT="0" distB="0" distL="0" distR="0" wp14:anchorId="75A949CD" wp14:editId="1A46B8CA">
            <wp:extent cx="5196868" cy="3511550"/>
            <wp:effectExtent l="0" t="0" r="3810" b="0"/>
            <wp:docPr id="49" name="Picture 49"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diagram of a company&#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6400" cy="3538262"/>
                    </a:xfrm>
                    <a:prstGeom prst="rect">
                      <a:avLst/>
                    </a:prstGeom>
                    <a:noFill/>
                  </pic:spPr>
                </pic:pic>
              </a:graphicData>
            </a:graphic>
          </wp:inline>
        </w:drawing>
      </w:r>
      <w:bookmarkEnd w:id="63"/>
    </w:p>
    <w:p w14:paraId="31ABA65B" w14:textId="52F1FCA8" w:rsidR="004C71DF" w:rsidRPr="002C72C2" w:rsidRDefault="00C57359" w:rsidP="00172991">
      <w:pPr>
        <w:pStyle w:val="Caption"/>
        <w:spacing w:before="120" w:after="240" w:line="264" w:lineRule="auto"/>
        <w:rPr>
          <w:rFonts w:eastAsia="Times New Roman" w:cs="Calibri"/>
          <w:lang w:eastAsia="en-US" w:bidi="ar-SA"/>
        </w:rPr>
      </w:pPr>
      <w:bookmarkStart w:id="64" w:name="_Toc205365732"/>
      <w:r>
        <w:t xml:space="preserve">Figure </w:t>
      </w:r>
      <w:r>
        <w:fldChar w:fldCharType="begin"/>
      </w:r>
      <w:r>
        <w:instrText>SEQ Figure \* ARABIC</w:instrText>
      </w:r>
      <w:r>
        <w:fldChar w:fldCharType="separate"/>
      </w:r>
      <w:r w:rsidR="009F382F">
        <w:rPr>
          <w:noProof/>
        </w:rPr>
        <w:t>7</w:t>
      </w:r>
      <w:r>
        <w:fldChar w:fldCharType="end"/>
      </w:r>
      <w:r>
        <w:t xml:space="preserve">: </w:t>
      </w:r>
      <w:r w:rsidRPr="00FC3702">
        <w:t xml:space="preserve">Examples of Architectural Issues that will impact </w:t>
      </w:r>
      <w:r w:rsidR="00AA7B3F">
        <w:t>o</w:t>
      </w:r>
      <w:r w:rsidRPr="00FC3702">
        <w:t xml:space="preserve">perational </w:t>
      </w:r>
      <w:r w:rsidR="00AA7B3F">
        <w:t>c</w:t>
      </w:r>
      <w:r w:rsidRPr="00FC3702">
        <w:t>oordination</w:t>
      </w:r>
      <w:r>
        <w:t>.</w:t>
      </w:r>
      <w:bookmarkEnd w:id="64"/>
    </w:p>
    <w:p w14:paraId="5AB5687A" w14:textId="77777777" w:rsidR="00E9493E" w:rsidRPr="002C72C2" w:rsidRDefault="00A72B08" w:rsidP="00954BAC">
      <w:pPr>
        <w:pStyle w:val="ListParagraph"/>
        <w:numPr>
          <w:ilvl w:val="0"/>
          <w:numId w:val="20"/>
        </w:numPr>
        <w:spacing w:line="264" w:lineRule="auto"/>
        <w:rPr>
          <w:lang w:eastAsia="en-US" w:bidi="ar-SA"/>
        </w:rPr>
      </w:pPr>
      <w:r w:rsidRPr="002C72C2">
        <w:rPr>
          <w:b/>
          <w:lang w:eastAsia="en-US" w:bidi="ar-SA"/>
        </w:rPr>
        <w:t>Latency Cascading:</w:t>
      </w:r>
      <w:r w:rsidRPr="002C72C2">
        <w:rPr>
          <w:lang w:eastAsia="en-US" w:bidi="ar-SA"/>
        </w:rPr>
        <w:t xml:space="preserve"> Creation of compounding latencies in information flows due to the serial routing of data through various computational systems, processes and organisations</w:t>
      </w:r>
      <w:r w:rsidR="00E9493E" w:rsidRPr="002C72C2">
        <w:rPr>
          <w:lang w:eastAsia="en-US" w:bidi="ar-SA"/>
        </w:rPr>
        <w:t>.</w:t>
      </w:r>
    </w:p>
    <w:p w14:paraId="7F7807C4" w14:textId="05C9A5A8" w:rsidR="00E9493E" w:rsidRPr="002C72C2" w:rsidRDefault="00690CFB" w:rsidP="00954BAC">
      <w:pPr>
        <w:pStyle w:val="ListParagraph"/>
        <w:numPr>
          <w:ilvl w:val="0"/>
          <w:numId w:val="20"/>
        </w:numPr>
        <w:spacing w:line="264" w:lineRule="auto"/>
        <w:rPr>
          <w:lang w:eastAsia="en-US" w:bidi="ar-SA"/>
        </w:rPr>
      </w:pPr>
      <w:r w:rsidRPr="002C72C2">
        <w:rPr>
          <w:rFonts w:ascii="PP Mori SemiBold" w:hAnsi="PP Mori SemiBold"/>
          <w:lang w:eastAsia="en-US" w:bidi="ar-SA"/>
        </w:rPr>
        <w:t>Computational</w:t>
      </w:r>
      <w:r w:rsidR="00D87462">
        <w:rPr>
          <w:rFonts w:ascii="PP Mori SemiBold" w:hAnsi="PP Mori SemiBold"/>
          <w:lang w:eastAsia="en-US" w:bidi="ar-SA"/>
        </w:rPr>
        <w:t xml:space="preserve"> Time &amp; </w:t>
      </w:r>
      <w:r w:rsidRPr="002C72C2">
        <w:rPr>
          <w:rFonts w:ascii="PP Mori SemiBold" w:hAnsi="PP Mori SemiBold"/>
          <w:lang w:eastAsia="en-US" w:bidi="ar-SA"/>
        </w:rPr>
        <w:t xml:space="preserve"> </w:t>
      </w:r>
      <w:r w:rsidR="007F31EA">
        <w:rPr>
          <w:rFonts w:ascii="PP Mori SemiBold" w:hAnsi="PP Mori SemiBold"/>
          <w:lang w:eastAsia="en-US" w:bidi="ar-SA"/>
        </w:rPr>
        <w:t>Cost</w:t>
      </w:r>
      <w:r w:rsidR="00D87462">
        <w:rPr>
          <w:rFonts w:ascii="PP Mori SemiBold" w:hAnsi="PP Mori SemiBold"/>
          <w:lang w:eastAsia="en-US" w:bidi="ar-SA"/>
        </w:rPr>
        <w:t xml:space="preserve"> Excursions</w:t>
      </w:r>
      <w:r w:rsidRPr="002C72C2">
        <w:rPr>
          <w:lang w:eastAsia="en-US" w:bidi="ar-SA"/>
        </w:rPr>
        <w:t>: Where massive data volumes, latencies and processing ‘bottlenecks’ occur</w:t>
      </w:r>
      <w:r w:rsidR="007C5BAD">
        <w:rPr>
          <w:lang w:eastAsia="en-US" w:bidi="ar-SA"/>
        </w:rPr>
        <w:t xml:space="preserve">, compounded by unresolved structural issues, </w:t>
      </w:r>
      <w:r w:rsidRPr="002C72C2">
        <w:rPr>
          <w:lang w:eastAsia="en-US" w:bidi="ar-SA"/>
        </w:rPr>
        <w:t xml:space="preserve">optimisation engines risk hitting a computational ‘time wall’ </w:t>
      </w:r>
      <w:r w:rsidR="002C2526" w:rsidRPr="00810D4B">
        <w:rPr>
          <w:lang w:eastAsia="en-US" w:bidi="ar-SA"/>
        </w:rPr>
        <w:t xml:space="preserve">(refer </w:t>
      </w:r>
      <w:hyperlink w:anchor="Figure_9" w:history="1">
        <w:r w:rsidR="002C2526" w:rsidRPr="00A82AF7">
          <w:rPr>
            <w:rStyle w:val="Hyperlink"/>
            <w:lang w:eastAsia="en-US" w:bidi="ar-SA"/>
          </w:rPr>
          <w:t>Figure 9</w:t>
        </w:r>
      </w:hyperlink>
      <w:r w:rsidR="002C2526" w:rsidRPr="00810D4B">
        <w:rPr>
          <w:lang w:eastAsia="en-US" w:bidi="ar-SA"/>
        </w:rPr>
        <w:t>)</w:t>
      </w:r>
      <w:r w:rsidR="002C2526">
        <w:rPr>
          <w:lang w:eastAsia="en-US" w:bidi="ar-SA"/>
        </w:rPr>
        <w:t xml:space="preserve"> </w:t>
      </w:r>
      <w:r w:rsidRPr="002C72C2">
        <w:rPr>
          <w:lang w:eastAsia="en-US" w:bidi="ar-SA"/>
        </w:rPr>
        <w:t xml:space="preserve">where no amount of computing resource will be adequate to solve the optimisation problems </w:t>
      </w:r>
      <w:r w:rsidR="005447FE">
        <w:rPr>
          <w:lang w:eastAsia="en-US" w:bidi="ar-SA"/>
        </w:rPr>
        <w:t xml:space="preserve">in an acceptable </w:t>
      </w:r>
      <w:r w:rsidRPr="00810D4B">
        <w:rPr>
          <w:lang w:eastAsia="en-US" w:bidi="ar-SA"/>
        </w:rPr>
        <w:t>time</w:t>
      </w:r>
      <w:r w:rsidR="005B71B4">
        <w:rPr>
          <w:lang w:eastAsia="en-US" w:bidi="ar-SA"/>
        </w:rPr>
        <w:t xml:space="preserve"> and </w:t>
      </w:r>
      <w:r w:rsidR="002C2526">
        <w:rPr>
          <w:lang w:eastAsia="en-US" w:bidi="ar-SA"/>
        </w:rPr>
        <w:t>at an efficient cost</w:t>
      </w:r>
      <w:r w:rsidRPr="00810D4B">
        <w:rPr>
          <w:lang w:eastAsia="en-US" w:bidi="ar-SA"/>
        </w:rPr>
        <w:t>.</w:t>
      </w:r>
      <w:r w:rsidR="000A6AC7">
        <w:rPr>
          <w:rStyle w:val="FootnoteReference"/>
          <w:lang w:eastAsia="en-US" w:bidi="ar-SA"/>
        </w:rPr>
        <w:footnoteReference w:id="12"/>
      </w:r>
      <w:r w:rsidRPr="002C72C2">
        <w:rPr>
          <w:lang w:eastAsia="en-US" w:bidi="ar-SA"/>
        </w:rPr>
        <w:t xml:space="preserve"> </w:t>
      </w:r>
    </w:p>
    <w:p w14:paraId="3646FDF5" w14:textId="77777777" w:rsidR="00E9493E" w:rsidRPr="002C72C2" w:rsidRDefault="00690CFB" w:rsidP="00954BAC">
      <w:pPr>
        <w:pStyle w:val="ListParagraph"/>
        <w:numPr>
          <w:ilvl w:val="0"/>
          <w:numId w:val="20"/>
        </w:numPr>
        <w:spacing w:line="264" w:lineRule="auto"/>
        <w:rPr>
          <w:lang w:eastAsia="en-US" w:bidi="ar-SA"/>
        </w:rPr>
      </w:pPr>
      <w:r w:rsidRPr="002C72C2">
        <w:rPr>
          <w:rFonts w:ascii="PP Mori SemiBold" w:hAnsi="PP Mori SemiBold"/>
          <w:lang w:eastAsia="en-US" w:bidi="ar-SA"/>
        </w:rPr>
        <w:t>Cybersecurity Structural Vulnerabilities</w:t>
      </w:r>
      <w:r w:rsidRPr="002C72C2">
        <w:rPr>
          <w:lang w:eastAsia="en-US" w:bidi="ar-SA"/>
        </w:rPr>
        <w:t xml:space="preserve">: Ill-informed and often unnecessary structural choices result in communication and routings that create non-cyber vulnerabilities to system penetration. </w:t>
      </w:r>
    </w:p>
    <w:p w14:paraId="43B98134" w14:textId="77DC4E87" w:rsidR="00690CFB" w:rsidRPr="002C72C2" w:rsidRDefault="00690CFB" w:rsidP="00954BAC">
      <w:pPr>
        <w:pStyle w:val="ListParagraph"/>
        <w:numPr>
          <w:ilvl w:val="0"/>
          <w:numId w:val="20"/>
        </w:numPr>
        <w:spacing w:line="264" w:lineRule="auto"/>
        <w:rPr>
          <w:lang w:eastAsia="en-US" w:bidi="ar-SA"/>
        </w:rPr>
      </w:pPr>
      <w:r w:rsidRPr="002C72C2">
        <w:rPr>
          <w:rFonts w:ascii="PP Mori SemiBold" w:hAnsi="PP Mori SemiBold"/>
          <w:lang w:eastAsia="en-US" w:bidi="ar-SA"/>
        </w:rPr>
        <w:t>Back-end Integration Constraints</w:t>
      </w:r>
      <w:r w:rsidRPr="002C72C2">
        <w:rPr>
          <w:lang w:eastAsia="en-US" w:bidi="ar-SA"/>
        </w:rPr>
        <w:t xml:space="preserve">: Multiple vertical silo structures found in many organisations drive significant back-end integration costs, anti-resilience and are anti-extensible due </w:t>
      </w:r>
      <w:r w:rsidRPr="00810D4B">
        <w:rPr>
          <w:lang w:eastAsia="en-US" w:bidi="ar-SA"/>
        </w:rPr>
        <w:t xml:space="preserve">to the coupling of applications in which where failure in one can ripple through to degrade others (refer </w:t>
      </w:r>
      <w:hyperlink w:anchor="Figure_10" w:history="1">
        <w:r w:rsidRPr="00EE4B8B">
          <w:rPr>
            <w:rStyle w:val="Hyperlink"/>
            <w:lang w:eastAsia="en-US" w:bidi="ar-SA"/>
          </w:rPr>
          <w:t xml:space="preserve">Figure </w:t>
        </w:r>
        <w:r w:rsidR="00810D4B" w:rsidRPr="00EE4B8B">
          <w:rPr>
            <w:rStyle w:val="Hyperlink"/>
            <w:lang w:eastAsia="en-US" w:bidi="ar-SA"/>
          </w:rPr>
          <w:t>10</w:t>
        </w:r>
      </w:hyperlink>
      <w:r w:rsidRPr="00810D4B">
        <w:rPr>
          <w:lang w:eastAsia="en-US" w:bidi="ar-SA"/>
        </w:rPr>
        <w:t>).</w:t>
      </w:r>
      <w:r w:rsidRPr="002C72C2">
        <w:rPr>
          <w:lang w:eastAsia="en-US" w:bidi="ar-SA"/>
        </w:rPr>
        <w:t xml:space="preserve"> </w:t>
      </w:r>
    </w:p>
    <w:p w14:paraId="09F873DE" w14:textId="77777777" w:rsidR="00C57359" w:rsidRDefault="00831957" w:rsidP="0083542A">
      <w:pPr>
        <w:keepNext/>
        <w:spacing w:before="360" w:after="120" w:line="264" w:lineRule="auto"/>
        <w:jc w:val="center"/>
      </w:pPr>
      <w:bookmarkStart w:id="65" w:name="Figure_8"/>
      <w:r w:rsidRPr="002C72C2">
        <w:rPr>
          <w:rFonts w:eastAsia="Times New Roman" w:cs="Calibri"/>
          <w:noProof/>
          <w:szCs w:val="22"/>
          <w:lang w:eastAsia="en-US" w:bidi="ar-SA"/>
        </w:rPr>
        <w:drawing>
          <wp:inline distT="0" distB="0" distL="0" distR="0" wp14:anchorId="2794F909" wp14:editId="570C9F43">
            <wp:extent cx="4674138" cy="2506331"/>
            <wp:effectExtent l="0" t="0" r="0" b="0"/>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49836" cy="2546921"/>
                    </a:xfrm>
                    <a:prstGeom prst="rect">
                      <a:avLst/>
                    </a:prstGeom>
                    <a:noFill/>
                  </pic:spPr>
                </pic:pic>
              </a:graphicData>
            </a:graphic>
          </wp:inline>
        </w:drawing>
      </w:r>
      <w:bookmarkEnd w:id="65"/>
    </w:p>
    <w:p w14:paraId="2619F1C6" w14:textId="402620C3" w:rsidR="00831957" w:rsidRPr="002C72C2" w:rsidRDefault="00C57359" w:rsidP="00EB2823">
      <w:pPr>
        <w:pStyle w:val="Caption"/>
        <w:spacing w:before="120" w:after="120" w:line="264" w:lineRule="auto"/>
        <w:rPr>
          <w:rFonts w:eastAsia="Times New Roman" w:cs="Calibri"/>
          <w:lang w:eastAsia="en-US" w:bidi="ar-SA"/>
        </w:rPr>
      </w:pPr>
      <w:bookmarkStart w:id="66" w:name="_Toc205365733"/>
      <w:r>
        <w:t xml:space="preserve">Figure </w:t>
      </w:r>
      <w:r>
        <w:fldChar w:fldCharType="begin"/>
      </w:r>
      <w:r>
        <w:instrText>SEQ Figure \* ARABIC</w:instrText>
      </w:r>
      <w:r>
        <w:fldChar w:fldCharType="separate"/>
      </w:r>
      <w:r w:rsidR="009F382F">
        <w:rPr>
          <w:noProof/>
        </w:rPr>
        <w:t>8</w:t>
      </w:r>
      <w:r>
        <w:fldChar w:fldCharType="end"/>
      </w:r>
      <w:r>
        <w:t xml:space="preserve">: </w:t>
      </w:r>
      <w:r w:rsidRPr="00AF41B0">
        <w:t xml:space="preserve">Different </w:t>
      </w:r>
      <w:r w:rsidR="002A7AEF">
        <w:t xml:space="preserve">examples of how </w:t>
      </w:r>
      <w:r w:rsidR="007C68DB" w:rsidRPr="007C68DB">
        <w:t>h</w:t>
      </w:r>
      <w:r w:rsidRPr="007C68DB">
        <w:t xml:space="preserve">idden </w:t>
      </w:r>
      <w:r w:rsidR="007C68DB" w:rsidRPr="007C68DB">
        <w:t>c</w:t>
      </w:r>
      <w:r w:rsidRPr="007C68DB">
        <w:t>oupling</w:t>
      </w:r>
      <w:r w:rsidRPr="00AF41B0">
        <w:t xml:space="preserve"> can </w:t>
      </w:r>
      <w:r w:rsidR="002A7AEF">
        <w:t>manifest</w:t>
      </w:r>
      <w:r w:rsidRPr="00AF41B0">
        <w:t>.</w:t>
      </w:r>
      <w:bookmarkEnd w:id="66"/>
    </w:p>
    <w:p w14:paraId="61EF3416" w14:textId="568F9C10" w:rsidR="00690CFB" w:rsidRPr="00831957" w:rsidRDefault="00690CFB" w:rsidP="00352DFA">
      <w:pPr>
        <w:spacing w:before="360" w:after="120" w:line="264" w:lineRule="auto"/>
        <w:rPr>
          <w:rStyle w:val="IntenseEmphasis"/>
        </w:rPr>
      </w:pPr>
      <w:r w:rsidRPr="00831957">
        <w:rPr>
          <w:rStyle w:val="IntenseEmphasis"/>
        </w:rPr>
        <w:t xml:space="preserve">The </w:t>
      </w:r>
      <w:r w:rsidR="00D97635">
        <w:rPr>
          <w:rStyle w:val="IntenseEmphasis"/>
        </w:rPr>
        <w:t xml:space="preserve">Importance of </w:t>
      </w:r>
      <w:r w:rsidRPr="00831957">
        <w:rPr>
          <w:rStyle w:val="IntenseEmphasis"/>
        </w:rPr>
        <w:t xml:space="preserve">Layered Structures </w:t>
      </w:r>
    </w:p>
    <w:p w14:paraId="30AE1F43" w14:textId="69ABFCE8" w:rsidR="00690CFB" w:rsidRPr="002C72C2" w:rsidRDefault="00690CFB" w:rsidP="00EB2823">
      <w:pPr>
        <w:spacing w:before="120" w:after="120" w:line="264" w:lineRule="auto"/>
        <w:rPr>
          <w:lang w:eastAsia="en-US" w:bidi="ar-SA"/>
        </w:rPr>
      </w:pPr>
      <w:r w:rsidRPr="002C72C2">
        <w:rPr>
          <w:lang w:eastAsia="en-US" w:bidi="ar-SA"/>
        </w:rPr>
        <w:t>Increasingly complex</w:t>
      </w:r>
      <w:r w:rsidR="00015E62" w:rsidRPr="002C72C2">
        <w:rPr>
          <w:lang w:eastAsia="en-US" w:bidi="ar-SA"/>
        </w:rPr>
        <w:t xml:space="preserve">, </w:t>
      </w:r>
      <w:r w:rsidRPr="002C72C2">
        <w:rPr>
          <w:lang w:eastAsia="en-US" w:bidi="ar-SA"/>
        </w:rPr>
        <w:t xml:space="preserve">dynamic </w:t>
      </w:r>
      <w:r w:rsidR="00015E62" w:rsidRPr="002C72C2">
        <w:rPr>
          <w:lang w:eastAsia="en-US" w:bidi="ar-SA"/>
        </w:rPr>
        <w:t xml:space="preserve">and distributed </w:t>
      </w:r>
      <w:r w:rsidR="00200EF8" w:rsidRPr="002C72C2">
        <w:rPr>
          <w:lang w:eastAsia="en-US" w:bidi="ar-SA"/>
        </w:rPr>
        <w:t xml:space="preserve">power </w:t>
      </w:r>
      <w:r w:rsidRPr="002C72C2">
        <w:rPr>
          <w:lang w:eastAsia="en-US" w:bidi="ar-SA"/>
        </w:rPr>
        <w:t xml:space="preserve">systems experience </w:t>
      </w:r>
      <w:r w:rsidR="002A5C50" w:rsidRPr="002C72C2">
        <w:rPr>
          <w:lang w:eastAsia="en-US" w:bidi="ar-SA"/>
        </w:rPr>
        <w:t>increased</w:t>
      </w:r>
      <w:r w:rsidRPr="002C72C2">
        <w:rPr>
          <w:lang w:eastAsia="en-US" w:bidi="ar-SA"/>
        </w:rPr>
        <w:t xml:space="preserve"> fragility </w:t>
      </w:r>
      <w:r w:rsidR="00CC575D" w:rsidRPr="002C72C2">
        <w:rPr>
          <w:lang w:eastAsia="en-US" w:bidi="ar-SA"/>
        </w:rPr>
        <w:t xml:space="preserve">and declining resilience </w:t>
      </w:r>
      <w:r w:rsidRPr="002C72C2">
        <w:rPr>
          <w:lang w:eastAsia="en-US" w:bidi="ar-SA"/>
        </w:rPr>
        <w:t xml:space="preserve">where their underpinning legacy </w:t>
      </w:r>
      <w:r w:rsidR="002A5C50" w:rsidRPr="002C72C2">
        <w:rPr>
          <w:lang w:eastAsia="en-US" w:bidi="ar-SA"/>
        </w:rPr>
        <w:t>a</w:t>
      </w:r>
      <w:r w:rsidRPr="002C72C2">
        <w:rPr>
          <w:lang w:eastAsia="en-US" w:bidi="ar-SA"/>
        </w:rPr>
        <w:t xml:space="preserve">rchitecture </w:t>
      </w:r>
      <w:r w:rsidR="00CB5788" w:rsidRPr="002C72C2">
        <w:rPr>
          <w:lang w:eastAsia="en-US" w:bidi="ar-SA"/>
        </w:rPr>
        <w:t xml:space="preserve">is </w:t>
      </w:r>
      <w:r w:rsidRPr="002C72C2">
        <w:rPr>
          <w:lang w:eastAsia="en-US" w:bidi="ar-SA"/>
        </w:rPr>
        <w:t>unduly centralised an</w:t>
      </w:r>
      <w:r w:rsidR="00A1732D" w:rsidRPr="002C72C2">
        <w:rPr>
          <w:lang w:eastAsia="en-US" w:bidi="ar-SA"/>
        </w:rPr>
        <w:t xml:space="preserve">d, explicitly or implicitly, </w:t>
      </w:r>
      <w:r w:rsidRPr="002C72C2">
        <w:rPr>
          <w:lang w:eastAsia="en-US" w:bidi="ar-SA"/>
        </w:rPr>
        <w:t>based on</w:t>
      </w:r>
      <w:r w:rsidR="00A1732D" w:rsidRPr="002C72C2">
        <w:rPr>
          <w:lang w:eastAsia="en-US" w:bidi="ar-SA"/>
        </w:rPr>
        <w:t xml:space="preserve"> </w:t>
      </w:r>
      <w:r w:rsidRPr="002C72C2">
        <w:rPr>
          <w:lang w:eastAsia="en-US" w:bidi="ar-SA"/>
        </w:rPr>
        <w:t>an outdated, linear ‘command and control’ model</w:t>
      </w:r>
      <w:r w:rsidR="00A1732D" w:rsidRPr="002C72C2">
        <w:rPr>
          <w:lang w:eastAsia="en-US" w:bidi="ar-SA"/>
        </w:rPr>
        <w:t xml:space="preserve">. </w:t>
      </w:r>
    </w:p>
    <w:p w14:paraId="27D09EC5" w14:textId="66E0D989" w:rsidR="006903AA" w:rsidRPr="002C72C2" w:rsidRDefault="00690CFB" w:rsidP="00EB2823">
      <w:pPr>
        <w:spacing w:before="120" w:after="120" w:line="264" w:lineRule="auto"/>
        <w:rPr>
          <w:lang w:eastAsia="en-US" w:bidi="ar-SA"/>
        </w:rPr>
      </w:pPr>
      <w:r w:rsidRPr="002C72C2">
        <w:rPr>
          <w:lang w:eastAsia="en-US" w:bidi="ar-SA"/>
        </w:rPr>
        <w:t xml:space="preserve">Layering is a valuable architectural approach that is applied widely in ultra-complex computing and communication systems as it enables the management of exponential complexity. Based on </w:t>
      </w:r>
      <w:r w:rsidR="000A1839" w:rsidRPr="002C72C2">
        <w:rPr>
          <w:lang w:eastAsia="en-US" w:bidi="ar-SA"/>
        </w:rPr>
        <w:t>l</w:t>
      </w:r>
      <w:r w:rsidRPr="002C72C2">
        <w:rPr>
          <w:lang w:eastAsia="en-US" w:bidi="ar-SA"/>
        </w:rPr>
        <w:t xml:space="preserve">ayered </w:t>
      </w:r>
      <w:r w:rsidR="000A1839" w:rsidRPr="002C72C2">
        <w:rPr>
          <w:lang w:eastAsia="en-US" w:bidi="ar-SA"/>
        </w:rPr>
        <w:t>d</w:t>
      </w:r>
      <w:r w:rsidRPr="002C72C2">
        <w:rPr>
          <w:lang w:eastAsia="en-US" w:bidi="ar-SA"/>
        </w:rPr>
        <w:t>ecomposition</w:t>
      </w:r>
      <w:r w:rsidR="001F662A" w:rsidRPr="00680EDA">
        <w:rPr>
          <w:rStyle w:val="FootnoteReference"/>
        </w:rPr>
        <w:footnoteReference w:id="13"/>
      </w:r>
      <w:r w:rsidRPr="002C72C2">
        <w:rPr>
          <w:lang w:eastAsia="en-US" w:bidi="ar-SA"/>
        </w:rPr>
        <w:t xml:space="preserve"> mathematics, the core capabilities of an ultra-complex system are configured into interoperable ‘horizontal’ surfaces or </w:t>
      </w:r>
      <w:r w:rsidR="002634B5" w:rsidRPr="002C72C2">
        <w:rPr>
          <w:lang w:eastAsia="en-US" w:bidi="ar-SA"/>
        </w:rPr>
        <w:t>p</w:t>
      </w:r>
      <w:r w:rsidRPr="002C72C2">
        <w:rPr>
          <w:lang w:eastAsia="en-US" w:bidi="ar-SA"/>
        </w:rPr>
        <w:t xml:space="preserve">latforms that enjoy far greater </w:t>
      </w:r>
      <w:r w:rsidR="002634B5" w:rsidRPr="002C72C2">
        <w:rPr>
          <w:lang w:eastAsia="en-US" w:bidi="ar-SA"/>
        </w:rPr>
        <w:t>r</w:t>
      </w:r>
      <w:r w:rsidRPr="002C72C2">
        <w:rPr>
          <w:lang w:eastAsia="en-US" w:bidi="ar-SA"/>
        </w:rPr>
        <w:t xml:space="preserve">esilience, </w:t>
      </w:r>
      <w:r w:rsidR="002634B5" w:rsidRPr="002C72C2">
        <w:rPr>
          <w:lang w:eastAsia="en-US" w:bidi="ar-SA"/>
        </w:rPr>
        <w:t>s</w:t>
      </w:r>
      <w:r w:rsidRPr="002C72C2">
        <w:rPr>
          <w:lang w:eastAsia="en-US" w:bidi="ar-SA"/>
        </w:rPr>
        <w:t xml:space="preserve">calability and </w:t>
      </w:r>
      <w:r w:rsidR="002634B5" w:rsidRPr="002C72C2">
        <w:rPr>
          <w:lang w:eastAsia="en-US" w:bidi="ar-SA"/>
        </w:rPr>
        <w:t>e</w:t>
      </w:r>
      <w:r w:rsidRPr="002C72C2">
        <w:rPr>
          <w:lang w:eastAsia="en-US" w:bidi="ar-SA"/>
        </w:rPr>
        <w:t xml:space="preserve">xtensibility. Given its complex cyber-physical-transactional characteristics, </w:t>
      </w:r>
      <w:r w:rsidR="00926CC9" w:rsidRPr="002C72C2">
        <w:rPr>
          <w:lang w:eastAsia="en-US" w:bidi="ar-SA"/>
        </w:rPr>
        <w:t>l</w:t>
      </w:r>
      <w:r w:rsidRPr="002C72C2">
        <w:rPr>
          <w:lang w:eastAsia="en-US" w:bidi="ar-SA"/>
        </w:rPr>
        <w:t xml:space="preserve">ayering is highly relevant to transforming </w:t>
      </w:r>
      <w:r w:rsidR="00926CC9" w:rsidRPr="002C72C2">
        <w:rPr>
          <w:lang w:eastAsia="en-US" w:bidi="ar-SA"/>
        </w:rPr>
        <w:t>p</w:t>
      </w:r>
      <w:r w:rsidRPr="002C72C2">
        <w:rPr>
          <w:lang w:eastAsia="en-US" w:bidi="ar-SA"/>
        </w:rPr>
        <w:t xml:space="preserve">ower </w:t>
      </w:r>
      <w:r w:rsidR="00926CC9" w:rsidRPr="002C72C2">
        <w:rPr>
          <w:lang w:eastAsia="en-US" w:bidi="ar-SA"/>
        </w:rPr>
        <w:t>s</w:t>
      </w:r>
      <w:r w:rsidRPr="002C72C2">
        <w:rPr>
          <w:lang w:eastAsia="en-US" w:bidi="ar-SA"/>
        </w:rPr>
        <w:t>ystems.</w:t>
      </w:r>
    </w:p>
    <w:p w14:paraId="71245927" w14:textId="14C6A276" w:rsidR="00D97635" w:rsidRPr="002C72C2" w:rsidRDefault="00D97635" w:rsidP="00D97635">
      <w:pPr>
        <w:spacing w:before="120" w:after="120" w:line="264" w:lineRule="auto"/>
        <w:rPr>
          <w:lang w:eastAsia="en-US" w:bidi="ar-SA"/>
        </w:rPr>
      </w:pPr>
      <w:r w:rsidRPr="002C72C2">
        <w:rPr>
          <w:lang w:eastAsia="en-US" w:bidi="ar-SA"/>
        </w:rPr>
        <w:t xml:space="preserve">By contrast, in highly bifurcated traditional </w:t>
      </w:r>
      <w:r w:rsidR="00762EE2" w:rsidRPr="002C72C2">
        <w:rPr>
          <w:lang w:eastAsia="en-US" w:bidi="ar-SA"/>
        </w:rPr>
        <w:t>p</w:t>
      </w:r>
      <w:r w:rsidRPr="002C72C2">
        <w:rPr>
          <w:lang w:eastAsia="en-US" w:bidi="ar-SA"/>
        </w:rPr>
        <w:t xml:space="preserve">ower </w:t>
      </w:r>
      <w:r w:rsidR="00762EE2" w:rsidRPr="002C72C2">
        <w:rPr>
          <w:lang w:eastAsia="en-US" w:bidi="ar-SA"/>
        </w:rPr>
        <w:t>s</w:t>
      </w:r>
      <w:r w:rsidRPr="002C72C2">
        <w:rPr>
          <w:lang w:eastAsia="en-US" w:bidi="ar-SA"/>
        </w:rPr>
        <w:t>ystems core functions were arranged in ‘vertical’ structures and siloes (often with their own networks, sensors and computational systems)</w:t>
      </w:r>
      <w:r w:rsidR="00374950">
        <w:rPr>
          <w:lang w:eastAsia="en-US" w:bidi="ar-SA"/>
        </w:rPr>
        <w:t xml:space="preserve">. </w:t>
      </w:r>
      <w:r w:rsidRPr="002C72C2">
        <w:rPr>
          <w:lang w:eastAsia="en-US" w:bidi="ar-SA"/>
        </w:rPr>
        <w:t xml:space="preserve">When experiencing significant change, these vertical structures exacerbate integration issues, compromise solution </w:t>
      </w:r>
      <w:r w:rsidR="00762EE2" w:rsidRPr="002C72C2">
        <w:rPr>
          <w:lang w:eastAsia="en-US" w:bidi="ar-SA"/>
        </w:rPr>
        <w:t>s</w:t>
      </w:r>
      <w:r w:rsidRPr="002C72C2">
        <w:rPr>
          <w:lang w:eastAsia="en-US" w:bidi="ar-SA"/>
        </w:rPr>
        <w:t xml:space="preserve">calability and </w:t>
      </w:r>
      <w:r w:rsidR="00762EE2" w:rsidRPr="002C72C2">
        <w:rPr>
          <w:lang w:eastAsia="en-US" w:bidi="ar-SA"/>
        </w:rPr>
        <w:t>e</w:t>
      </w:r>
      <w:r w:rsidRPr="002C72C2">
        <w:rPr>
          <w:lang w:eastAsia="en-US" w:bidi="ar-SA"/>
        </w:rPr>
        <w:t>xtensibility and result in more brittle, less resilient and higher cost outcomes.</w:t>
      </w:r>
    </w:p>
    <w:p w14:paraId="1A7D21AF" w14:textId="643BEFD9" w:rsidR="00D97635" w:rsidRPr="002C72C2" w:rsidRDefault="00D97635" w:rsidP="00D97635">
      <w:pPr>
        <w:spacing w:before="120" w:after="120" w:line="264" w:lineRule="auto"/>
        <w:rPr>
          <w:lang w:eastAsia="en-US" w:bidi="ar-SA"/>
        </w:rPr>
      </w:pPr>
      <w:r w:rsidRPr="002C72C2">
        <w:rPr>
          <w:lang w:eastAsia="en-US" w:bidi="ar-SA"/>
        </w:rPr>
        <w:t xml:space="preserve">The properties of a layered approach that make it superior for </w:t>
      </w:r>
      <w:r w:rsidR="00762EE2" w:rsidRPr="002C72C2">
        <w:rPr>
          <w:lang w:eastAsia="en-US" w:bidi="ar-SA"/>
        </w:rPr>
        <w:t>p</w:t>
      </w:r>
      <w:r w:rsidRPr="002C72C2">
        <w:rPr>
          <w:lang w:eastAsia="en-US" w:bidi="ar-SA"/>
        </w:rPr>
        <w:t xml:space="preserve">ower </w:t>
      </w:r>
      <w:r w:rsidR="00762EE2" w:rsidRPr="002C72C2">
        <w:rPr>
          <w:lang w:eastAsia="en-US" w:bidi="ar-SA"/>
        </w:rPr>
        <w:t>s</w:t>
      </w:r>
      <w:r w:rsidRPr="002C72C2">
        <w:rPr>
          <w:lang w:eastAsia="en-US" w:bidi="ar-SA"/>
        </w:rPr>
        <w:t xml:space="preserve">ystems that will host millions of participating </w:t>
      </w:r>
      <w:r w:rsidR="00762EE2" w:rsidRPr="002C72C2">
        <w:rPr>
          <w:lang w:eastAsia="en-US" w:bidi="ar-SA"/>
        </w:rPr>
        <w:t>e</w:t>
      </w:r>
      <w:r w:rsidRPr="002C72C2">
        <w:rPr>
          <w:lang w:eastAsia="en-US" w:bidi="ar-SA"/>
        </w:rPr>
        <w:t xml:space="preserve">nergy </w:t>
      </w:r>
      <w:r w:rsidR="00762EE2" w:rsidRPr="002C72C2">
        <w:rPr>
          <w:lang w:eastAsia="en-US" w:bidi="ar-SA"/>
        </w:rPr>
        <w:t>r</w:t>
      </w:r>
      <w:r w:rsidRPr="002C72C2">
        <w:rPr>
          <w:lang w:eastAsia="en-US" w:bidi="ar-SA"/>
        </w:rPr>
        <w:t>esources connected to the LV-system include:</w:t>
      </w:r>
    </w:p>
    <w:p w14:paraId="4D81FB6F" w14:textId="0A9271C5" w:rsidR="00D97635" w:rsidRPr="002C72C2" w:rsidRDefault="00D97635" w:rsidP="00954BAC">
      <w:pPr>
        <w:pStyle w:val="ListParagraph"/>
        <w:numPr>
          <w:ilvl w:val="0"/>
          <w:numId w:val="21"/>
        </w:numPr>
        <w:spacing w:line="264" w:lineRule="auto"/>
        <w:rPr>
          <w:lang w:eastAsia="en-US" w:bidi="ar-SA"/>
        </w:rPr>
      </w:pPr>
      <w:r w:rsidRPr="002C72C2">
        <w:rPr>
          <w:lang w:eastAsia="en-US" w:bidi="ar-SA"/>
        </w:rPr>
        <w:t xml:space="preserve">End-to-end system </w:t>
      </w:r>
      <w:r w:rsidR="00762EE2" w:rsidRPr="002C72C2">
        <w:rPr>
          <w:lang w:eastAsia="en-US" w:bidi="ar-SA"/>
        </w:rPr>
        <w:t>v</w:t>
      </w:r>
      <w:r w:rsidRPr="002C72C2">
        <w:rPr>
          <w:lang w:eastAsia="en-US" w:bidi="ar-SA"/>
        </w:rPr>
        <w:t xml:space="preserve">isibility, </w:t>
      </w:r>
      <w:r w:rsidR="00762EE2" w:rsidRPr="002C72C2">
        <w:rPr>
          <w:lang w:eastAsia="en-US" w:bidi="ar-SA"/>
        </w:rPr>
        <w:t>o</w:t>
      </w:r>
      <w:r w:rsidRPr="002C72C2">
        <w:rPr>
          <w:lang w:eastAsia="en-US" w:bidi="ar-SA"/>
        </w:rPr>
        <w:t xml:space="preserve">perational </w:t>
      </w:r>
      <w:r w:rsidR="00DA5626" w:rsidRPr="002C72C2">
        <w:rPr>
          <w:lang w:eastAsia="en-US" w:bidi="ar-SA"/>
        </w:rPr>
        <w:t>c</w:t>
      </w:r>
      <w:r w:rsidRPr="002C72C2">
        <w:rPr>
          <w:lang w:eastAsia="en-US" w:bidi="ar-SA"/>
        </w:rPr>
        <w:t xml:space="preserve">oordination and </w:t>
      </w:r>
      <w:r w:rsidR="00DA5626" w:rsidRPr="002C72C2">
        <w:rPr>
          <w:lang w:eastAsia="en-US" w:bidi="ar-SA"/>
        </w:rPr>
        <w:t>o</w:t>
      </w:r>
      <w:r w:rsidRPr="002C72C2">
        <w:rPr>
          <w:lang w:eastAsia="en-US" w:bidi="ar-SA"/>
        </w:rPr>
        <w:t>perability outcomes are significantly enhanced</w:t>
      </w:r>
      <w:r w:rsidR="00EE4B8B">
        <w:rPr>
          <w:lang w:eastAsia="en-US" w:bidi="ar-SA"/>
        </w:rPr>
        <w:t>.</w:t>
      </w:r>
    </w:p>
    <w:p w14:paraId="0E97A865" w14:textId="79902B27" w:rsidR="00D97635" w:rsidRPr="002C72C2" w:rsidRDefault="00D97635" w:rsidP="00954BAC">
      <w:pPr>
        <w:pStyle w:val="ListParagraph"/>
        <w:numPr>
          <w:ilvl w:val="0"/>
          <w:numId w:val="21"/>
        </w:numPr>
        <w:spacing w:line="264" w:lineRule="auto"/>
        <w:rPr>
          <w:lang w:eastAsia="en-US" w:bidi="ar-SA"/>
        </w:rPr>
      </w:pPr>
      <w:r w:rsidRPr="002C72C2">
        <w:rPr>
          <w:lang w:eastAsia="en-US" w:bidi="ar-SA"/>
        </w:rPr>
        <w:t xml:space="preserve">The relatively stable core system functions are kept entirely separate from applications, which be changed or upgraded more frequently without impacting the core </w:t>
      </w:r>
      <w:r w:rsidR="00EE4B8B" w:rsidRPr="002C72C2">
        <w:rPr>
          <w:lang w:eastAsia="en-US" w:bidi="ar-SA"/>
        </w:rPr>
        <w:t>functions.</w:t>
      </w:r>
    </w:p>
    <w:p w14:paraId="6B23E0B6" w14:textId="33C36B88" w:rsidR="00D97635" w:rsidRPr="002C72C2" w:rsidRDefault="00D97635" w:rsidP="00954BAC">
      <w:pPr>
        <w:pStyle w:val="ListParagraph"/>
        <w:numPr>
          <w:ilvl w:val="0"/>
          <w:numId w:val="21"/>
        </w:numPr>
        <w:spacing w:line="264" w:lineRule="auto"/>
        <w:rPr>
          <w:lang w:eastAsia="en-US" w:bidi="ar-SA"/>
        </w:rPr>
      </w:pPr>
      <w:r w:rsidRPr="002C72C2">
        <w:rPr>
          <w:lang w:eastAsia="en-US" w:bidi="ar-SA"/>
        </w:rPr>
        <w:t>Each tier/layer can insulate the tier/layer immediately above from changes in the tier/layer immediately below, and vice versa (i.e. preventing changes at one level from being propagated through the entire system</w:t>
      </w:r>
      <w:r w:rsidR="00EE4B8B" w:rsidRPr="002C72C2">
        <w:rPr>
          <w:lang w:eastAsia="en-US" w:bidi="ar-SA"/>
        </w:rPr>
        <w:t>).</w:t>
      </w:r>
    </w:p>
    <w:p w14:paraId="5A70A4E5" w14:textId="0BC45928" w:rsidR="00D97635" w:rsidRPr="002C72C2" w:rsidRDefault="00D97635" w:rsidP="00954BAC">
      <w:pPr>
        <w:pStyle w:val="ListParagraph"/>
        <w:numPr>
          <w:ilvl w:val="0"/>
          <w:numId w:val="21"/>
        </w:numPr>
        <w:spacing w:line="264" w:lineRule="auto"/>
        <w:rPr>
          <w:lang w:eastAsia="en-US" w:bidi="ar-SA"/>
        </w:rPr>
      </w:pPr>
      <w:r w:rsidRPr="002C72C2">
        <w:rPr>
          <w:lang w:eastAsia="en-US" w:bidi="ar-SA"/>
        </w:rPr>
        <w:t xml:space="preserve">The ability of third parties to create applications that leverage the </w:t>
      </w:r>
      <w:r w:rsidR="00D60616">
        <w:rPr>
          <w:lang w:eastAsia="en-US" w:bidi="ar-SA"/>
        </w:rPr>
        <w:t>p</w:t>
      </w:r>
      <w:r w:rsidRPr="002C72C2">
        <w:rPr>
          <w:lang w:eastAsia="en-US" w:bidi="ar-SA"/>
        </w:rPr>
        <w:t>latform via open standard interfaces is enhanced</w:t>
      </w:r>
      <w:r w:rsidR="00EE4B8B">
        <w:rPr>
          <w:lang w:eastAsia="en-US" w:bidi="ar-SA"/>
        </w:rPr>
        <w:t>.</w:t>
      </w:r>
    </w:p>
    <w:p w14:paraId="2E72CBEB" w14:textId="77777777" w:rsidR="00D97635" w:rsidRPr="002C72C2" w:rsidRDefault="00D97635" w:rsidP="00954BAC">
      <w:pPr>
        <w:pStyle w:val="ListParagraph"/>
        <w:numPr>
          <w:ilvl w:val="0"/>
          <w:numId w:val="21"/>
        </w:numPr>
        <w:spacing w:line="264" w:lineRule="auto"/>
        <w:rPr>
          <w:lang w:eastAsia="en-US" w:bidi="ar-SA"/>
        </w:rPr>
      </w:pPr>
      <w:r w:rsidRPr="002C72C2">
        <w:rPr>
          <w:lang w:eastAsia="en-US" w:bidi="ar-SA"/>
        </w:rPr>
        <w:t>Changes or upgrades in end-use or third-party applications are decoupled from impacting underlying core functions and capabilities.</w:t>
      </w:r>
    </w:p>
    <w:p w14:paraId="61E389A5" w14:textId="77777777" w:rsidR="00D97635" w:rsidRPr="002C72C2" w:rsidRDefault="00D97635" w:rsidP="00EB2823">
      <w:pPr>
        <w:spacing w:before="120" w:after="120" w:line="264" w:lineRule="auto"/>
        <w:rPr>
          <w:lang w:eastAsia="en-US" w:bidi="ar-SA"/>
        </w:rPr>
      </w:pPr>
    </w:p>
    <w:p w14:paraId="068ADFA0" w14:textId="77777777" w:rsidR="00C57359" w:rsidRDefault="00C068D6" w:rsidP="00EB2823">
      <w:pPr>
        <w:keepNext/>
        <w:spacing w:before="120" w:after="120" w:line="264" w:lineRule="auto"/>
        <w:contextualSpacing/>
        <w:jc w:val="center"/>
      </w:pPr>
      <w:bookmarkStart w:id="67" w:name="Figure_9"/>
      <w:r w:rsidRPr="002F2243">
        <w:rPr>
          <w:rFonts w:eastAsia="DengXian" w:cs="Cordia New"/>
          <w:noProof/>
          <w:color w:val="000000"/>
        </w:rPr>
        <w:drawing>
          <wp:inline distT="0" distB="0" distL="0" distR="0" wp14:anchorId="3853210A" wp14:editId="017DED7E">
            <wp:extent cx="5135788" cy="2914650"/>
            <wp:effectExtent l="0" t="0" r="8255" b="0"/>
            <wp:docPr id="50" name="Picture 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836"/>
                    <a:stretch/>
                  </pic:blipFill>
                  <pic:spPr bwMode="auto">
                    <a:xfrm>
                      <a:off x="0" y="0"/>
                      <a:ext cx="5326143" cy="3022680"/>
                    </a:xfrm>
                    <a:prstGeom prst="rect">
                      <a:avLst/>
                    </a:prstGeom>
                    <a:noFill/>
                    <a:ln>
                      <a:noFill/>
                    </a:ln>
                    <a:extLst>
                      <a:ext uri="{53640926-AAD7-44D8-BBD7-CCE9431645EC}">
                        <a14:shadowObscured xmlns:a14="http://schemas.microsoft.com/office/drawing/2010/main"/>
                      </a:ext>
                    </a:extLst>
                  </pic:spPr>
                </pic:pic>
              </a:graphicData>
            </a:graphic>
          </wp:inline>
        </w:drawing>
      </w:r>
      <w:bookmarkEnd w:id="67"/>
    </w:p>
    <w:p w14:paraId="45CB46EB" w14:textId="10AA72AE" w:rsidR="00C068D6" w:rsidRPr="00831957" w:rsidRDefault="00C57359" w:rsidP="00EB2823">
      <w:pPr>
        <w:pStyle w:val="Caption"/>
        <w:spacing w:before="120" w:after="120" w:line="264" w:lineRule="auto"/>
        <w:rPr>
          <w:rFonts w:eastAsia="DengXian" w:cs="Cordia New"/>
          <w:color w:val="000000"/>
        </w:rPr>
      </w:pPr>
      <w:bookmarkStart w:id="68" w:name="_Toc205365734"/>
      <w:r>
        <w:t xml:space="preserve">Figure </w:t>
      </w:r>
      <w:r>
        <w:fldChar w:fldCharType="begin"/>
      </w:r>
      <w:r>
        <w:instrText>SEQ Figure \* ARABIC</w:instrText>
      </w:r>
      <w:r>
        <w:fldChar w:fldCharType="separate"/>
      </w:r>
      <w:r w:rsidR="009F382F">
        <w:rPr>
          <w:noProof/>
        </w:rPr>
        <w:t>9</w:t>
      </w:r>
      <w:r>
        <w:fldChar w:fldCharType="end"/>
      </w:r>
      <w:r>
        <w:t xml:space="preserve">: </w:t>
      </w:r>
      <w:r w:rsidRPr="00E34BF1">
        <w:t>Computational ‘time wall’ effects can occur quite suddenly</w:t>
      </w:r>
      <w:r w:rsidR="00374950">
        <w:t xml:space="preserve">. </w:t>
      </w:r>
      <w:r w:rsidRPr="00E34BF1">
        <w:t xml:space="preserve">In the case of </w:t>
      </w:r>
      <w:r w:rsidR="00D36A1B">
        <w:t>the f</w:t>
      </w:r>
      <w:r w:rsidRPr="00E34BF1">
        <w:t>actorial curve (black), no amount of computing resources will be adequate to solve the optimisation problems in a reasonable time once the breakpoint has been reached</w:t>
      </w:r>
      <w:r w:rsidR="00D36A1B">
        <w:t>.</w:t>
      </w:r>
      <w:bookmarkEnd w:id="68"/>
    </w:p>
    <w:p w14:paraId="648BC420" w14:textId="77777777" w:rsidR="00D97635" w:rsidRPr="00E42869" w:rsidRDefault="00D97635" w:rsidP="00954BAC">
      <w:pPr>
        <w:pStyle w:val="Heading4"/>
        <w:numPr>
          <w:ilvl w:val="0"/>
          <w:numId w:val="53"/>
        </w:numPr>
        <w:spacing w:before="240" w:after="120" w:line="264" w:lineRule="auto"/>
        <w:rPr>
          <w:i w:val="0"/>
          <w:iCs w:val="0"/>
        </w:rPr>
      </w:pPr>
      <w:r w:rsidRPr="00E42869">
        <w:rPr>
          <w:i w:val="0"/>
          <w:iCs w:val="0"/>
        </w:rPr>
        <w:t xml:space="preserve">Solution Requirements </w:t>
      </w:r>
    </w:p>
    <w:p w14:paraId="60EFFE1A" w14:textId="338356DC" w:rsidR="00D97635" w:rsidRPr="002C72C2" w:rsidRDefault="00D97635" w:rsidP="00D97635">
      <w:pPr>
        <w:spacing w:before="120" w:after="120" w:line="264" w:lineRule="auto"/>
        <w:rPr>
          <w:lang w:eastAsia="en-US" w:bidi="ar-SA"/>
        </w:rPr>
      </w:pPr>
      <w:r w:rsidRPr="002C72C2">
        <w:rPr>
          <w:lang w:eastAsia="en-US" w:bidi="ar-SA"/>
        </w:rPr>
        <w:t>More advanced, future-ready approaches operational coordination and balancing must enable must greater whole-system alignment across the TDI</w:t>
      </w:r>
      <w:r w:rsidR="00374950">
        <w:rPr>
          <w:lang w:eastAsia="en-US" w:bidi="ar-SA"/>
        </w:rPr>
        <w:t xml:space="preserve">. </w:t>
      </w:r>
      <w:r w:rsidRPr="002C72C2">
        <w:rPr>
          <w:lang w:eastAsia="en-US" w:bidi="ar-SA"/>
        </w:rPr>
        <w:t>Given that supply and demand must be maintained in instantaneous balance, this will require the bulk power, transmission and distribution systems – together with demand-side flexibility – to be capable of functioning in a far more holistic manner</w:t>
      </w:r>
      <w:r w:rsidR="00374950">
        <w:rPr>
          <w:lang w:eastAsia="en-US" w:bidi="ar-SA"/>
        </w:rPr>
        <w:t xml:space="preserve">. </w:t>
      </w:r>
    </w:p>
    <w:p w14:paraId="71F41CA9" w14:textId="62AD1637" w:rsidR="00D97635" w:rsidRPr="002C72C2" w:rsidRDefault="00D97635" w:rsidP="00D97635">
      <w:pPr>
        <w:spacing w:before="120" w:after="120" w:line="264" w:lineRule="auto"/>
        <w:rPr>
          <w:lang w:eastAsia="en-US" w:bidi="ar-SA"/>
        </w:rPr>
      </w:pPr>
      <w:r w:rsidRPr="002C72C2">
        <w:rPr>
          <w:lang w:eastAsia="en-US" w:bidi="ar-SA"/>
        </w:rPr>
        <w:t xml:space="preserve">Some key considerations for developing future-ready operational coordination and balancing models include: </w:t>
      </w:r>
    </w:p>
    <w:p w14:paraId="3CFC6AD8" w14:textId="01F0C084" w:rsidR="00D97635" w:rsidRPr="002C72C2" w:rsidRDefault="00D97635" w:rsidP="00954BAC">
      <w:pPr>
        <w:pStyle w:val="ListParagraph"/>
        <w:numPr>
          <w:ilvl w:val="0"/>
          <w:numId w:val="22"/>
        </w:numPr>
        <w:spacing w:line="264" w:lineRule="auto"/>
        <w:rPr>
          <w:lang w:eastAsia="en-US" w:bidi="ar-SA"/>
        </w:rPr>
      </w:pPr>
      <w:r w:rsidRPr="002C72C2">
        <w:rPr>
          <w:lang w:eastAsia="en-US" w:bidi="ar-SA"/>
        </w:rPr>
        <w:t>Bi-directional interoperability across the TDI to enable the system to leverage the millions of energy resources connected to both the HV transmission and LV distribution systems, often to different degrees during different time windows</w:t>
      </w:r>
      <w:r w:rsidR="00A47C27">
        <w:rPr>
          <w:lang w:eastAsia="en-US" w:bidi="ar-SA"/>
        </w:rPr>
        <w:t>.</w:t>
      </w:r>
    </w:p>
    <w:p w14:paraId="3A9BA63A" w14:textId="1EE05BB4" w:rsidR="00D97635" w:rsidRPr="002C72C2" w:rsidRDefault="00D97635" w:rsidP="00954BAC">
      <w:pPr>
        <w:pStyle w:val="ListParagraph"/>
        <w:numPr>
          <w:ilvl w:val="0"/>
          <w:numId w:val="22"/>
        </w:numPr>
        <w:spacing w:line="264" w:lineRule="auto"/>
        <w:rPr>
          <w:lang w:eastAsia="en-US" w:bidi="ar-SA"/>
        </w:rPr>
      </w:pPr>
      <w:r w:rsidRPr="002C72C2">
        <w:rPr>
          <w:lang w:eastAsia="en-US" w:bidi="ar-SA"/>
        </w:rPr>
        <w:t>More granular market-control alignment models that both incentivise and activate the targeted provision of electric products in the form of grid services when and where they are most needed by the system</w:t>
      </w:r>
      <w:r w:rsidR="00A47C27">
        <w:rPr>
          <w:lang w:eastAsia="en-US" w:bidi="ar-SA"/>
        </w:rPr>
        <w:t>.</w:t>
      </w:r>
    </w:p>
    <w:p w14:paraId="0044DD09" w14:textId="222B48AF" w:rsidR="00D97635" w:rsidRPr="002C72C2" w:rsidRDefault="00D97635" w:rsidP="00954BAC">
      <w:pPr>
        <w:pStyle w:val="ListParagraph"/>
        <w:numPr>
          <w:ilvl w:val="0"/>
          <w:numId w:val="22"/>
        </w:numPr>
        <w:spacing w:line="264" w:lineRule="auto"/>
        <w:rPr>
          <w:lang w:eastAsia="en-US" w:bidi="ar-SA"/>
        </w:rPr>
      </w:pPr>
      <w:r w:rsidRPr="002C72C2">
        <w:rPr>
          <w:lang w:eastAsia="en-US" w:bidi="ar-SA"/>
        </w:rPr>
        <w:t xml:space="preserve">Co-optimised provision of grid services across the vertical tiers/layers of the </w:t>
      </w:r>
      <w:r w:rsidR="00F52FBD" w:rsidRPr="002C72C2">
        <w:rPr>
          <w:lang w:eastAsia="en-US" w:bidi="ar-SA"/>
        </w:rPr>
        <w:t>p</w:t>
      </w:r>
      <w:r w:rsidRPr="002C72C2">
        <w:rPr>
          <w:lang w:eastAsia="en-US" w:bidi="ar-SA"/>
        </w:rPr>
        <w:t xml:space="preserve">ower </w:t>
      </w:r>
      <w:r w:rsidR="00F52FBD" w:rsidRPr="002C72C2">
        <w:rPr>
          <w:lang w:eastAsia="en-US" w:bidi="ar-SA"/>
        </w:rPr>
        <w:t>s</w:t>
      </w:r>
      <w:r w:rsidRPr="002C72C2">
        <w:rPr>
          <w:lang w:eastAsia="en-US" w:bidi="ar-SA"/>
        </w:rPr>
        <w:t>ystem to enhance operations and maximise value-stacking benefits for participants</w:t>
      </w:r>
      <w:r w:rsidR="00A47C27">
        <w:rPr>
          <w:lang w:eastAsia="en-US" w:bidi="ar-SA"/>
        </w:rPr>
        <w:t>.</w:t>
      </w:r>
    </w:p>
    <w:p w14:paraId="5369C3B7" w14:textId="77777777" w:rsidR="003D1613" w:rsidRDefault="00D97635" w:rsidP="00954BAC">
      <w:pPr>
        <w:pStyle w:val="ListParagraph"/>
        <w:numPr>
          <w:ilvl w:val="0"/>
          <w:numId w:val="22"/>
        </w:numPr>
        <w:spacing w:line="264" w:lineRule="auto"/>
        <w:rPr>
          <w:lang w:eastAsia="en-US" w:bidi="ar-SA"/>
        </w:rPr>
      </w:pPr>
      <w:r w:rsidRPr="002C72C2">
        <w:rPr>
          <w:lang w:eastAsia="en-US" w:bidi="ar-SA"/>
        </w:rPr>
        <w:t xml:space="preserve">Design processes that give priority to avoiding the seven common architectural issues that impede the </w:t>
      </w:r>
      <w:r w:rsidR="003969AE" w:rsidRPr="002C72C2">
        <w:rPr>
          <w:lang w:eastAsia="en-US" w:bidi="ar-SA"/>
        </w:rPr>
        <w:t>s</w:t>
      </w:r>
      <w:r w:rsidRPr="002C72C2">
        <w:rPr>
          <w:lang w:eastAsia="en-US" w:bidi="ar-SA"/>
        </w:rPr>
        <w:t xml:space="preserve">calability, </w:t>
      </w:r>
      <w:r w:rsidR="003969AE" w:rsidRPr="002C72C2">
        <w:rPr>
          <w:lang w:eastAsia="en-US" w:bidi="ar-SA"/>
        </w:rPr>
        <w:t>e</w:t>
      </w:r>
      <w:r w:rsidRPr="002C72C2">
        <w:rPr>
          <w:lang w:eastAsia="en-US" w:bidi="ar-SA"/>
        </w:rPr>
        <w:t xml:space="preserve">xtensibility and </w:t>
      </w:r>
      <w:r w:rsidR="003D768D" w:rsidRPr="002C72C2">
        <w:rPr>
          <w:lang w:eastAsia="en-US" w:bidi="ar-SA"/>
        </w:rPr>
        <w:t>r</w:t>
      </w:r>
      <w:r w:rsidRPr="002C72C2">
        <w:rPr>
          <w:lang w:eastAsia="en-US" w:bidi="ar-SA"/>
        </w:rPr>
        <w:t xml:space="preserve">esilience of </w:t>
      </w:r>
      <w:r w:rsidR="003D768D" w:rsidRPr="002C72C2">
        <w:rPr>
          <w:lang w:eastAsia="en-US" w:bidi="ar-SA"/>
        </w:rPr>
        <w:t>o</w:t>
      </w:r>
      <w:r w:rsidRPr="002C72C2">
        <w:rPr>
          <w:lang w:eastAsia="en-US" w:bidi="ar-SA"/>
        </w:rPr>
        <w:t xml:space="preserve">perational </w:t>
      </w:r>
      <w:r w:rsidR="003D768D" w:rsidRPr="002C72C2">
        <w:rPr>
          <w:lang w:eastAsia="en-US" w:bidi="ar-SA"/>
        </w:rPr>
        <w:t>c</w:t>
      </w:r>
      <w:r w:rsidRPr="002C72C2">
        <w:rPr>
          <w:lang w:eastAsia="en-US" w:bidi="ar-SA"/>
        </w:rPr>
        <w:t xml:space="preserve">oordination models; and, </w:t>
      </w:r>
    </w:p>
    <w:p w14:paraId="2D77DD80" w14:textId="5E7541CA" w:rsidR="002E6643" w:rsidRPr="002C72C2" w:rsidRDefault="00D97635" w:rsidP="00954BAC">
      <w:pPr>
        <w:pStyle w:val="ListParagraph"/>
        <w:numPr>
          <w:ilvl w:val="0"/>
          <w:numId w:val="22"/>
        </w:numPr>
        <w:spacing w:line="264" w:lineRule="auto"/>
        <w:rPr>
          <w:lang w:eastAsia="en-US" w:bidi="ar-SA"/>
        </w:rPr>
      </w:pPr>
      <w:r w:rsidRPr="002C72C2">
        <w:t xml:space="preserve">Leveraging </w:t>
      </w:r>
      <w:r w:rsidRPr="00133276">
        <w:t>decentrali</w:t>
      </w:r>
      <w:r>
        <w:t>s</w:t>
      </w:r>
      <w:r w:rsidRPr="00133276">
        <w:t xml:space="preserve">ed or layered control </w:t>
      </w:r>
      <w:r>
        <w:t xml:space="preserve">architecture to progressively expand </w:t>
      </w:r>
      <w:r w:rsidRPr="00133276">
        <w:t>bottom-up balancing</w:t>
      </w:r>
      <w:r>
        <w:t xml:space="preserve"> capabilities managed by the relevant DSO which are co-optimised with the more conventional top-down balancing managed by the system operator.</w:t>
      </w:r>
    </w:p>
    <w:p w14:paraId="5726C9BE" w14:textId="77777777" w:rsidR="002E6643" w:rsidRDefault="00B97034" w:rsidP="00D97635">
      <w:pPr>
        <w:keepNext/>
        <w:spacing w:after="120" w:line="264" w:lineRule="auto"/>
        <w:jc w:val="center"/>
      </w:pPr>
      <w:bookmarkStart w:id="69" w:name="Figure_10"/>
      <w:r w:rsidRPr="002C72C2">
        <w:rPr>
          <w:rFonts w:eastAsia="Calibri" w:cs="Calibri"/>
          <w:noProof/>
          <w:color w:val="000000"/>
          <w:szCs w:val="22"/>
          <w:lang w:eastAsia="en-US" w:bidi="ar-SA"/>
        </w:rPr>
        <w:drawing>
          <wp:inline distT="0" distB="0" distL="0" distR="0" wp14:anchorId="420E64A7" wp14:editId="3F2B76EB">
            <wp:extent cx="4642663" cy="2965450"/>
            <wp:effectExtent l="0" t="0" r="0" b="635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1480" cy="2983857"/>
                    </a:xfrm>
                    <a:prstGeom prst="rect">
                      <a:avLst/>
                    </a:prstGeom>
                    <a:noFill/>
                  </pic:spPr>
                </pic:pic>
              </a:graphicData>
            </a:graphic>
          </wp:inline>
        </w:drawing>
      </w:r>
      <w:bookmarkEnd w:id="69"/>
    </w:p>
    <w:p w14:paraId="78A6E344" w14:textId="7D91BD14" w:rsidR="00B97034" w:rsidRPr="002C72C2" w:rsidRDefault="002E6643" w:rsidP="00EB2823">
      <w:pPr>
        <w:pStyle w:val="Caption"/>
        <w:spacing w:before="120" w:after="120" w:line="264" w:lineRule="auto"/>
        <w:rPr>
          <w:rFonts w:eastAsia="Calibri" w:cs="Calibri"/>
          <w:color w:val="000000"/>
          <w:lang w:eastAsia="en-US" w:bidi="ar-SA"/>
        </w:rPr>
      </w:pPr>
      <w:bookmarkStart w:id="70" w:name="_Toc205365735"/>
      <w:r>
        <w:t xml:space="preserve">Figure </w:t>
      </w:r>
      <w:r>
        <w:fldChar w:fldCharType="begin"/>
      </w:r>
      <w:r>
        <w:instrText>SEQ Figure \* ARABIC</w:instrText>
      </w:r>
      <w:r>
        <w:fldChar w:fldCharType="separate"/>
      </w:r>
      <w:r w:rsidR="009F382F">
        <w:rPr>
          <w:noProof/>
        </w:rPr>
        <w:t>10</w:t>
      </w:r>
      <w:r>
        <w:fldChar w:fldCharType="end"/>
      </w:r>
      <w:r>
        <w:t xml:space="preserve">: </w:t>
      </w:r>
      <w:r w:rsidRPr="00141678">
        <w:t>Back-end integration constraints arise due the multiple vertical silo structures found in many supply-chain organisational system.</w:t>
      </w:r>
      <w:bookmarkEnd w:id="70"/>
    </w:p>
    <w:p w14:paraId="4686E4ED" w14:textId="71861C30" w:rsidR="003B08B1" w:rsidRPr="002C72C2" w:rsidRDefault="00CA318F" w:rsidP="00D97635">
      <w:pPr>
        <w:pStyle w:val="ListParagraph"/>
        <w:numPr>
          <w:ilvl w:val="0"/>
          <w:numId w:val="0"/>
        </w:numPr>
        <w:spacing w:line="264" w:lineRule="auto"/>
        <w:ind w:left="720"/>
        <w:rPr>
          <w:lang w:eastAsia="en-US" w:bidi="ar-SA"/>
        </w:rPr>
      </w:pPr>
      <w:r>
        <w:t xml:space="preserve"> </w:t>
      </w:r>
    </w:p>
    <w:p w14:paraId="725B177C" w14:textId="77777777" w:rsidR="00D97635" w:rsidRDefault="00D97635">
      <w:r>
        <w:rPr>
          <w:b/>
          <w:bCs/>
        </w:rPr>
        <w:br w:type="page"/>
      </w:r>
    </w:p>
    <w:tbl>
      <w:tblPr>
        <w:tblStyle w:val="GridTable5Dark"/>
        <w:tblW w:w="0" w:type="auto"/>
        <w:tblLook w:val="04A0" w:firstRow="1" w:lastRow="0" w:firstColumn="1" w:lastColumn="0" w:noHBand="0" w:noVBand="1"/>
      </w:tblPr>
      <w:tblGrid>
        <w:gridCol w:w="8210"/>
      </w:tblGrid>
      <w:tr w:rsidR="00791266" w:rsidRPr="002C72C2" w14:paraId="35A47089" w14:textId="77777777" w:rsidTr="008F2E81">
        <w:trPr>
          <w:cnfStyle w:val="100000000000" w:firstRow="1" w:lastRow="0" w:firstColumn="0" w:lastColumn="0" w:oddVBand="0" w:evenVBand="0" w:oddHBand="0" w:evenHBand="0" w:firstRowFirstColumn="0" w:firstRowLastColumn="0" w:lastRowFirstColumn="0" w:lastRowLastColumn="0"/>
          <w:trHeight w:val="9621"/>
        </w:trPr>
        <w:tc>
          <w:tcPr>
            <w:cnfStyle w:val="001000000000" w:firstRow="0" w:lastRow="0" w:firstColumn="1" w:lastColumn="0" w:oddVBand="0" w:evenVBand="0" w:oddHBand="0" w:evenHBand="0" w:firstRowFirstColumn="0" w:firstRowLastColumn="0" w:lastRowFirstColumn="0" w:lastRowLastColumn="0"/>
            <w:tcW w:w="8210" w:type="dxa"/>
          </w:tcPr>
          <w:p w14:paraId="504B3DA9" w14:textId="7A386A36" w:rsidR="00791266" w:rsidRPr="002F2243" w:rsidRDefault="00791266" w:rsidP="00014ED2">
            <w:pPr>
              <w:spacing w:before="120" w:after="120" w:line="264" w:lineRule="auto"/>
              <w:ind w:left="175"/>
              <w:rPr>
                <w:rStyle w:val="Strong"/>
                <w:b w:val="0"/>
                <w:bCs w:val="0"/>
                <w:sz w:val="28"/>
              </w:rPr>
            </w:pPr>
            <w:r w:rsidRPr="00CC7B9F">
              <w:rPr>
                <w:rStyle w:val="Strong"/>
                <w:b w:val="0"/>
                <w:bCs w:val="0"/>
                <w:sz w:val="28"/>
              </w:rPr>
              <w:t xml:space="preserve">Key Concepts </w:t>
            </w:r>
            <w:r w:rsidR="00B95B8B">
              <w:rPr>
                <w:rStyle w:val="Strong"/>
                <w:b w:val="0"/>
                <w:bCs w:val="0"/>
                <w:sz w:val="28"/>
              </w:rPr>
              <w:t>I</w:t>
            </w:r>
            <w:r w:rsidR="008364BE" w:rsidRPr="00CC7B9F">
              <w:rPr>
                <w:rFonts w:ascii="PP Mori SemiBold" w:hAnsi="PP Mori SemiBold"/>
                <w:noProof/>
                <w:sz w:val="20"/>
                <w:szCs w:val="20"/>
              </w:rPr>
              <w:drawing>
                <wp:inline distT="0" distB="0" distL="0" distR="0" wp14:anchorId="7AF2A481" wp14:editId="499DDF40">
                  <wp:extent cx="272006" cy="272006"/>
                  <wp:effectExtent l="0" t="0" r="6350" b="6350"/>
                  <wp:docPr id="549566315"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272006" cy="272006"/>
                          </a:xfrm>
                          <a:prstGeom prst="rect">
                            <a:avLst/>
                          </a:prstGeom>
                        </pic:spPr>
                      </pic:pic>
                    </a:graphicData>
                  </a:graphic>
                </wp:inline>
              </w:drawing>
            </w:r>
          </w:p>
          <w:p w14:paraId="44EB40D6" w14:textId="77777777" w:rsidR="00791266" w:rsidRPr="00E52A60" w:rsidRDefault="00791266" w:rsidP="00014ED2">
            <w:pPr>
              <w:pStyle w:val="Subtitle"/>
              <w:spacing w:before="180" w:after="120" w:line="264" w:lineRule="auto"/>
              <w:ind w:left="175"/>
              <w:rPr>
                <w:rStyle w:val="Emphasis"/>
                <w:rFonts w:ascii="PP Mori SemiBold" w:hAnsi="PP Mori SemiBold"/>
                <w:sz w:val="24"/>
                <w:szCs w:val="40"/>
              </w:rPr>
            </w:pPr>
            <w:r w:rsidRPr="00E52A60">
              <w:rPr>
                <w:rStyle w:val="Emphasis"/>
                <w:rFonts w:ascii="PP Mori SemiBold" w:hAnsi="PP Mori SemiBold"/>
                <w:sz w:val="24"/>
                <w:szCs w:val="40"/>
              </w:rPr>
              <w:t>Layered Decomposition</w:t>
            </w:r>
          </w:p>
          <w:p w14:paraId="102326CA" w14:textId="2EF68556" w:rsidR="00791266" w:rsidRPr="002C72C2" w:rsidRDefault="00791266" w:rsidP="00014ED2">
            <w:pPr>
              <w:spacing w:before="120" w:after="120" w:line="264" w:lineRule="auto"/>
              <w:ind w:left="175"/>
              <w:rPr>
                <w:b w:val="0"/>
                <w:lang w:eastAsia="en-US" w:bidi="ar-SA"/>
              </w:rPr>
            </w:pPr>
            <w:r w:rsidRPr="002C72C2">
              <w:rPr>
                <w:b w:val="0"/>
                <w:lang w:eastAsia="en-US" w:bidi="ar-SA"/>
              </w:rPr>
              <w:t>A formally established mathematical technique employed in many technology sectors to solve Ultra Large</w:t>
            </w:r>
            <w:r w:rsidR="00F73719">
              <w:rPr>
                <w:b w:val="0"/>
                <w:lang w:eastAsia="en-US" w:bidi="ar-SA"/>
              </w:rPr>
              <w:t xml:space="preserve"> </w:t>
            </w:r>
            <w:r w:rsidRPr="002C72C2">
              <w:rPr>
                <w:b w:val="0"/>
                <w:lang w:eastAsia="en-US" w:bidi="ar-SA"/>
              </w:rPr>
              <w:t>Scale (ULS) optimisation problems characterised by highly coupled constraints</w:t>
            </w:r>
            <w:r w:rsidR="00374950">
              <w:rPr>
                <w:b w:val="0"/>
                <w:lang w:eastAsia="en-US" w:bidi="ar-SA"/>
              </w:rPr>
              <w:t xml:space="preserve">. </w:t>
            </w:r>
          </w:p>
          <w:p w14:paraId="2F93CD14" w14:textId="5FC41279" w:rsidR="00791266" w:rsidRPr="002C72C2" w:rsidRDefault="00791266" w:rsidP="00014ED2">
            <w:pPr>
              <w:spacing w:before="120" w:after="120" w:line="264" w:lineRule="auto"/>
              <w:ind w:left="175"/>
              <w:rPr>
                <w:b w:val="0"/>
                <w:lang w:eastAsia="en-US" w:bidi="ar-SA"/>
              </w:rPr>
            </w:pPr>
            <w:r w:rsidRPr="002C72C2">
              <w:rPr>
                <w:b w:val="0"/>
                <w:lang w:eastAsia="en-US" w:bidi="ar-SA"/>
              </w:rPr>
              <w:t>In the case of power systems transitioning from hundreds to tens of millions of participating energy resources and experiencing growing levels of operational volatility, layered decomposition provides an empirical basis for solving many critical architectural issues, including otherwise intractable operational coordination problems</w:t>
            </w:r>
            <w:r w:rsidR="00374950">
              <w:rPr>
                <w:b w:val="0"/>
                <w:lang w:eastAsia="en-US" w:bidi="ar-SA"/>
              </w:rPr>
              <w:t xml:space="preserve">. </w:t>
            </w:r>
          </w:p>
          <w:p w14:paraId="2F0BBDB9" w14:textId="66FA3A31" w:rsidR="00791266" w:rsidRDefault="00791266" w:rsidP="00014ED2">
            <w:pPr>
              <w:spacing w:before="120" w:after="120" w:line="264" w:lineRule="auto"/>
              <w:ind w:left="175"/>
              <w:rPr>
                <w:bCs w:val="0"/>
                <w:lang w:eastAsia="en-US" w:bidi="ar-SA"/>
              </w:rPr>
            </w:pPr>
            <w:r w:rsidRPr="002C72C2">
              <w:rPr>
                <w:b w:val="0"/>
                <w:lang w:eastAsia="en-US" w:bidi="ar-SA"/>
              </w:rPr>
              <w:t>In contrast with more traditional hierarchical control, it enables highly complex problems to be decomposed multiple times into sub-problems, which then work in combination to solve the original problem in a manner that addresses long-term scalability, extensibility, cyber-security and resilience issues</w:t>
            </w:r>
            <w:r w:rsidR="00374950">
              <w:rPr>
                <w:b w:val="0"/>
                <w:lang w:eastAsia="en-US" w:bidi="ar-SA"/>
              </w:rPr>
              <w:t xml:space="preserve">. </w:t>
            </w:r>
            <w:r w:rsidRPr="002C72C2">
              <w:rPr>
                <w:b w:val="0"/>
                <w:lang w:eastAsia="en-US" w:bidi="ar-SA"/>
              </w:rPr>
              <w:t>Importantly, rather than ‘competing’ with other architecture models currently or proposed for use in the power sector, layered decomposition provides a universal, canonical structure for unifying alternative models</w:t>
            </w:r>
            <w:r w:rsidR="00374950">
              <w:rPr>
                <w:b w:val="0"/>
                <w:lang w:eastAsia="en-US" w:bidi="ar-SA"/>
              </w:rPr>
              <w:t xml:space="preserve">. </w:t>
            </w:r>
          </w:p>
          <w:p w14:paraId="707A2591" w14:textId="77777777" w:rsidR="0082311C" w:rsidRPr="00014ED2" w:rsidRDefault="0082311C" w:rsidP="0082311C">
            <w:pPr>
              <w:pStyle w:val="Subtitle"/>
              <w:spacing w:before="180" w:after="120" w:line="264" w:lineRule="auto"/>
              <w:ind w:left="175"/>
              <w:rPr>
                <w:rStyle w:val="Emphasis"/>
                <w:rFonts w:ascii="PP Mori SemiBold" w:hAnsi="PP Mori SemiBold"/>
                <w:sz w:val="24"/>
                <w:szCs w:val="40"/>
              </w:rPr>
            </w:pPr>
            <w:r w:rsidRPr="00014ED2">
              <w:rPr>
                <w:rStyle w:val="Emphasis"/>
                <w:rFonts w:ascii="PP Mori SemiBold" w:hAnsi="PP Mori SemiBold"/>
                <w:sz w:val="24"/>
                <w:szCs w:val="40"/>
              </w:rPr>
              <w:t>Co-optimisation</w:t>
            </w:r>
          </w:p>
          <w:p w14:paraId="021A73B5" w14:textId="77777777" w:rsidR="0082311C" w:rsidRDefault="0082311C" w:rsidP="0082311C">
            <w:pPr>
              <w:spacing w:before="120" w:after="120" w:line="264" w:lineRule="auto"/>
              <w:ind w:left="175"/>
              <w:rPr>
                <w:bCs w:val="0"/>
                <w:lang w:eastAsia="en-US" w:bidi="ar-SA"/>
              </w:rPr>
            </w:pPr>
            <w:r w:rsidRPr="002C72C2">
              <w:rPr>
                <w:b w:val="0"/>
                <w:lang w:eastAsia="en-US" w:bidi="ar-SA"/>
              </w:rPr>
              <w:t>Co-optimisation is a structured approach to ensuring that energy resource services dispatched and/or financially incentivised in one vertical tier/layer of the power system (e.g. bulk power, transmission or distribution system) are not driving unintended negative consequences in other tiers/layers of the system.</w:t>
            </w:r>
          </w:p>
          <w:p w14:paraId="5B277403" w14:textId="77777777" w:rsidR="00A75735" w:rsidRPr="008364BE" w:rsidRDefault="00A75735" w:rsidP="00A75735">
            <w:pPr>
              <w:pStyle w:val="Subtitle"/>
              <w:spacing w:before="180" w:after="120" w:line="264" w:lineRule="auto"/>
              <w:ind w:left="175"/>
              <w:rPr>
                <w:rStyle w:val="Emphasis"/>
                <w:rFonts w:ascii="PP Mori SemiBold" w:hAnsi="PP Mori SemiBold"/>
                <w:sz w:val="24"/>
                <w:szCs w:val="40"/>
              </w:rPr>
            </w:pPr>
            <w:r w:rsidRPr="008364BE">
              <w:rPr>
                <w:rStyle w:val="Emphasis"/>
                <w:rFonts w:ascii="PP Mori SemiBold" w:hAnsi="PP Mori SemiBold"/>
                <w:sz w:val="24"/>
                <w:szCs w:val="40"/>
              </w:rPr>
              <w:t>Visibility</w:t>
            </w:r>
          </w:p>
          <w:p w14:paraId="139A84DD" w14:textId="77777777" w:rsidR="00A75735" w:rsidRPr="002C72C2" w:rsidRDefault="00A75735" w:rsidP="00A75735">
            <w:pPr>
              <w:spacing w:before="120" w:after="120" w:line="264" w:lineRule="auto"/>
              <w:ind w:left="175"/>
              <w:rPr>
                <w:b w:val="0"/>
                <w:lang w:eastAsia="en-US" w:bidi="ar-SA"/>
              </w:rPr>
            </w:pPr>
            <w:r w:rsidRPr="002C72C2">
              <w:rPr>
                <w:b w:val="0"/>
                <w:lang w:eastAsia="en-US" w:bidi="ar-SA"/>
              </w:rPr>
              <w:t xml:space="preserve">The degree to which information on </w:t>
            </w:r>
            <w:r>
              <w:rPr>
                <w:b w:val="0"/>
                <w:lang w:eastAsia="en-US" w:bidi="ar-SA"/>
              </w:rPr>
              <w:t>e</w:t>
            </w:r>
            <w:r w:rsidRPr="00743A7F">
              <w:rPr>
                <w:b w:val="0"/>
                <w:lang w:eastAsia="en-US" w:bidi="ar-SA"/>
              </w:rPr>
              <w:t>nergy resource</w:t>
            </w:r>
            <w:r w:rsidRPr="002C72C2">
              <w:rPr>
                <w:b w:val="0"/>
                <w:lang w:eastAsia="en-US" w:bidi="ar-SA"/>
              </w:rPr>
              <w:t xml:space="preserve"> characteristics and operational information is available to the Market/System Operator (MSO), Distribution System Operator (DSO), and other authorised third parties. </w:t>
            </w:r>
          </w:p>
          <w:p w14:paraId="542F4CDC" w14:textId="091BE8A8" w:rsidR="00CB3D73" w:rsidRPr="00A75735" w:rsidRDefault="00A75735" w:rsidP="00CB3D73">
            <w:pPr>
              <w:spacing w:before="120" w:after="120" w:line="264" w:lineRule="auto"/>
              <w:ind w:left="175"/>
              <w:rPr>
                <w:b w:val="0"/>
                <w:bCs w:val="0"/>
                <w:lang w:eastAsia="en-US" w:bidi="ar-SA"/>
              </w:rPr>
            </w:pPr>
            <w:r w:rsidRPr="002C72C2">
              <w:rPr>
                <w:b w:val="0"/>
                <w:lang w:eastAsia="en-US" w:bidi="ar-SA"/>
              </w:rPr>
              <w:t xml:space="preserve">Examples include real-time or near real-time information on electrical demand, generation output, state of charge for </w:t>
            </w:r>
            <w:r w:rsidRPr="00743A7F">
              <w:rPr>
                <w:b w:val="0"/>
                <w:lang w:eastAsia="en-US" w:bidi="ar-SA"/>
              </w:rPr>
              <w:t>energy storage</w:t>
            </w:r>
            <w:r w:rsidRPr="002C72C2">
              <w:rPr>
                <w:b w:val="0"/>
                <w:lang w:eastAsia="en-US" w:bidi="ar-SA"/>
              </w:rPr>
              <w:t xml:space="preserve">, availability of </w:t>
            </w:r>
            <w:r w:rsidRPr="00743A7F">
              <w:rPr>
                <w:b w:val="0"/>
                <w:lang w:eastAsia="en-US" w:bidi="ar-SA"/>
              </w:rPr>
              <w:t>demand response</w:t>
            </w:r>
            <w:r w:rsidRPr="002C72C2">
              <w:rPr>
                <w:b w:val="0"/>
                <w:lang w:eastAsia="en-US" w:bidi="ar-SA"/>
              </w:rPr>
              <w:t>, system voltages and system frequency, and power flows on major network elements.</w:t>
            </w:r>
            <w:r w:rsidR="00CB3D73">
              <w:rPr>
                <w:b w:val="0"/>
                <w:lang w:eastAsia="en-US" w:bidi="ar-SA"/>
              </w:rPr>
              <w:t xml:space="preserve"> </w:t>
            </w:r>
            <w:r w:rsidR="00D362A1" w:rsidRPr="00AA7B07">
              <w:rPr>
                <w:b w:val="0"/>
                <w:lang w:eastAsia="en-US" w:bidi="ar-SA"/>
              </w:rPr>
              <w:t>Statistical</w:t>
            </w:r>
            <w:r w:rsidR="00CB3D73" w:rsidRPr="00AA7B07">
              <w:rPr>
                <w:b w:val="0"/>
                <w:lang w:eastAsia="en-US" w:bidi="ar-SA"/>
              </w:rPr>
              <w:t xml:space="preserve"> data filtering methods also allow establishing trustworthiness of the obtained data enabling the visibility, and reconcile them amongst each other, and with respect to network models, to identify bad and / or malicious data.</w:t>
            </w:r>
          </w:p>
        </w:tc>
      </w:tr>
    </w:tbl>
    <w:p w14:paraId="38B850AA" w14:textId="77777777" w:rsidR="002424E2" w:rsidRPr="002C72C2" w:rsidRDefault="002424E2" w:rsidP="00EB2823">
      <w:pPr>
        <w:spacing w:before="120" w:after="120" w:line="264" w:lineRule="auto"/>
        <w:rPr>
          <w:lang w:eastAsia="en-US" w:bidi="ar-SA"/>
        </w:rPr>
      </w:pPr>
    </w:p>
    <w:p w14:paraId="00439390" w14:textId="77777777" w:rsidR="002C785A" w:rsidRPr="002C72C2" w:rsidRDefault="002C785A" w:rsidP="00EB2823">
      <w:pPr>
        <w:spacing w:before="120" w:after="120" w:line="264" w:lineRule="auto"/>
        <w:rPr>
          <w:rFonts w:ascii="PP Mori SemiBold" w:eastAsiaTheme="majorEastAsia" w:hAnsi="PP Mori SemiBold" w:cstheme="majorBidi"/>
          <w:color w:val="001D25" w:themeColor="accent1" w:themeShade="80"/>
          <w:sz w:val="24"/>
          <w:szCs w:val="30"/>
          <w:lang w:eastAsia="en-US" w:bidi="ar-SA"/>
        </w:rPr>
      </w:pPr>
      <w:r w:rsidRPr="002C72C2">
        <w:rPr>
          <w:lang w:eastAsia="en-US" w:bidi="ar-SA"/>
        </w:rPr>
        <w:br w:type="page"/>
      </w:r>
    </w:p>
    <w:p w14:paraId="0C643751" w14:textId="71921DD0" w:rsidR="00C20B8C" w:rsidRPr="002C72C2" w:rsidRDefault="006705E2" w:rsidP="00EB2823">
      <w:pPr>
        <w:pStyle w:val="Heading3"/>
        <w:spacing w:line="264" w:lineRule="auto"/>
        <w:rPr>
          <w:lang w:eastAsia="en-US" w:bidi="ar-SA"/>
        </w:rPr>
      </w:pPr>
      <w:bookmarkStart w:id="71" w:name="_Whole-system_Buffering_Needs"/>
      <w:bookmarkStart w:id="72" w:name="_Toc205533967"/>
      <w:bookmarkStart w:id="73" w:name="S_424"/>
      <w:bookmarkEnd w:id="71"/>
      <w:r>
        <w:rPr>
          <w:lang w:eastAsia="en-US" w:bidi="ar-SA"/>
        </w:rPr>
        <w:t>Whole-s</w:t>
      </w:r>
      <w:r w:rsidR="00C20B8C" w:rsidRPr="002C72C2">
        <w:rPr>
          <w:lang w:eastAsia="en-US" w:bidi="ar-SA"/>
        </w:rPr>
        <w:t>ystem Buffering Needs</w:t>
      </w:r>
      <w:bookmarkEnd w:id="72"/>
    </w:p>
    <w:tbl>
      <w:tblPr>
        <w:tblStyle w:val="TableGrid"/>
        <w:tblW w:w="0" w:type="auto"/>
        <w:tblLook w:val="04A0" w:firstRow="1" w:lastRow="0" w:firstColumn="1" w:lastColumn="0" w:noHBand="0" w:noVBand="1"/>
      </w:tblPr>
      <w:tblGrid>
        <w:gridCol w:w="8210"/>
      </w:tblGrid>
      <w:tr w:rsidR="003B08B1" w14:paraId="247CF21D" w14:textId="77777777" w:rsidTr="008F2E81">
        <w:tc>
          <w:tcPr>
            <w:tcW w:w="8210" w:type="dxa"/>
            <w:shd w:val="clear" w:color="auto" w:fill="013C4C" w:themeFill="text1"/>
          </w:tcPr>
          <w:bookmarkEnd w:id="73"/>
          <w:p w14:paraId="4DCBF4D8" w14:textId="7BA4892D" w:rsidR="003B08B1" w:rsidRPr="00D01543" w:rsidRDefault="006705E2" w:rsidP="006705E2">
            <w:pPr>
              <w:spacing w:before="180" w:after="180" w:line="264" w:lineRule="auto"/>
              <w:ind w:left="170" w:right="170"/>
              <w:rPr>
                <w:i/>
                <w:iCs/>
                <w:lang w:eastAsia="en-US" w:bidi="ar-SA"/>
              </w:rPr>
            </w:pPr>
            <w:r w:rsidRPr="00D01543">
              <w:rPr>
                <w:i/>
                <w:iCs/>
                <w:lang w:eastAsia="en-US" w:bidi="ar-SA"/>
              </w:rPr>
              <w:t>As a growing proportion of renewable generation is deployed, unprecedented levels of power flow volatility are propagated across the end-to-end system</w:t>
            </w:r>
            <w:r w:rsidR="00374950">
              <w:rPr>
                <w:i/>
                <w:iCs/>
                <w:lang w:eastAsia="en-US" w:bidi="ar-SA"/>
              </w:rPr>
              <w:t xml:space="preserve">. </w:t>
            </w:r>
            <w:r w:rsidRPr="00D01543">
              <w:rPr>
                <w:i/>
                <w:iCs/>
                <w:lang w:eastAsia="en-US" w:bidi="ar-SA"/>
              </w:rPr>
              <w:t>While most complex systems and supply chains have internal buffering mechanisms (e.g. warehouses, storage tanks), these have not been widely available in conventional power systems</w:t>
            </w:r>
            <w:r w:rsidR="00374950">
              <w:rPr>
                <w:i/>
                <w:iCs/>
                <w:lang w:eastAsia="en-US" w:bidi="ar-SA"/>
              </w:rPr>
              <w:t xml:space="preserve">. </w:t>
            </w:r>
            <w:r w:rsidRPr="00D01543">
              <w:rPr>
                <w:i/>
                <w:iCs/>
                <w:lang w:eastAsia="en-US" w:bidi="ar-SA"/>
              </w:rPr>
              <w:t>Given the scale of Variable Renewable Energy (VRE) and CER/DER deployment underway, a targeted and whole-system approach to deploying energy storage for system buffering will be required to augment system balancing and operational coordination</w:t>
            </w:r>
            <w:r w:rsidR="00374950">
              <w:rPr>
                <w:i/>
                <w:iCs/>
                <w:lang w:eastAsia="en-US" w:bidi="ar-SA"/>
              </w:rPr>
              <w:t xml:space="preserve">. </w:t>
            </w:r>
          </w:p>
        </w:tc>
      </w:tr>
    </w:tbl>
    <w:p w14:paraId="63CEFB8D" w14:textId="77777777" w:rsidR="001159B4" w:rsidRPr="00EB2823" w:rsidRDefault="001159B4" w:rsidP="00954BAC">
      <w:pPr>
        <w:pStyle w:val="Heading4"/>
        <w:numPr>
          <w:ilvl w:val="0"/>
          <w:numId w:val="56"/>
        </w:numPr>
        <w:spacing w:before="240" w:after="120" w:line="264" w:lineRule="auto"/>
        <w:rPr>
          <w:i w:val="0"/>
          <w:iCs w:val="0"/>
        </w:rPr>
      </w:pPr>
      <w:r w:rsidRPr="00EB2823">
        <w:rPr>
          <w:i w:val="0"/>
          <w:iCs w:val="0"/>
        </w:rPr>
        <w:t>Cross Cutting Issue</w:t>
      </w:r>
    </w:p>
    <w:p w14:paraId="16954C88" w14:textId="2B43C78E" w:rsidR="001159B4" w:rsidRPr="002C72C2" w:rsidRDefault="001159B4" w:rsidP="00EB2823">
      <w:pPr>
        <w:spacing w:before="120" w:after="120" w:line="264" w:lineRule="auto"/>
        <w:rPr>
          <w:lang w:eastAsia="en-US" w:bidi="ar-SA"/>
        </w:rPr>
      </w:pPr>
      <w:r w:rsidRPr="002C72C2">
        <w:rPr>
          <w:lang w:eastAsia="en-US" w:bidi="ar-SA"/>
        </w:rPr>
        <w:t>Electric</w:t>
      </w:r>
      <w:r w:rsidR="00D82CFD" w:rsidRPr="002C72C2">
        <w:rPr>
          <w:lang w:eastAsia="en-US" w:bidi="ar-SA"/>
        </w:rPr>
        <w:t xml:space="preserve">ity </w:t>
      </w:r>
      <w:r w:rsidR="00543661" w:rsidRPr="002C72C2">
        <w:rPr>
          <w:lang w:eastAsia="en-US" w:bidi="ar-SA"/>
        </w:rPr>
        <w:t>systems</w:t>
      </w:r>
      <w:r w:rsidR="000B2062" w:rsidRPr="002C72C2">
        <w:rPr>
          <w:lang w:eastAsia="en-US" w:bidi="ar-SA"/>
        </w:rPr>
        <w:t xml:space="preserve"> </w:t>
      </w:r>
      <w:r w:rsidRPr="002C72C2">
        <w:rPr>
          <w:lang w:eastAsia="en-US" w:bidi="ar-SA"/>
        </w:rPr>
        <w:t xml:space="preserve">were </w:t>
      </w:r>
      <w:r w:rsidR="000B2062" w:rsidRPr="002C72C2">
        <w:rPr>
          <w:lang w:eastAsia="en-US" w:bidi="ar-SA"/>
        </w:rPr>
        <w:t xml:space="preserve">originally </w:t>
      </w:r>
      <w:r w:rsidR="00D82CFD" w:rsidRPr="002C72C2">
        <w:rPr>
          <w:lang w:eastAsia="en-US" w:bidi="ar-SA"/>
        </w:rPr>
        <w:t xml:space="preserve">designed </w:t>
      </w:r>
      <w:r w:rsidR="00012342" w:rsidRPr="002C72C2">
        <w:rPr>
          <w:lang w:eastAsia="en-US" w:bidi="ar-SA"/>
        </w:rPr>
        <w:t xml:space="preserve">with generation being provided </w:t>
      </w:r>
      <w:r w:rsidR="000B2062" w:rsidRPr="002C72C2">
        <w:rPr>
          <w:lang w:eastAsia="en-US" w:bidi="ar-SA"/>
        </w:rPr>
        <w:t xml:space="preserve">almost exclusively </w:t>
      </w:r>
      <w:r w:rsidRPr="002C72C2">
        <w:rPr>
          <w:lang w:eastAsia="en-US" w:bidi="ar-SA"/>
        </w:rPr>
        <w:t>by large rotating machine generators which provided system inertia</w:t>
      </w:r>
      <w:r w:rsidR="00012342" w:rsidRPr="002C72C2">
        <w:rPr>
          <w:lang w:eastAsia="en-US" w:bidi="ar-SA"/>
        </w:rPr>
        <w:t xml:space="preserve"> as a</w:t>
      </w:r>
      <w:r w:rsidR="00311DB4" w:rsidRPr="002C72C2">
        <w:rPr>
          <w:lang w:eastAsia="en-US" w:bidi="ar-SA"/>
        </w:rPr>
        <w:t xml:space="preserve"> </w:t>
      </w:r>
      <w:r w:rsidR="00012342" w:rsidRPr="002C72C2">
        <w:rPr>
          <w:lang w:eastAsia="en-US" w:bidi="ar-SA"/>
        </w:rPr>
        <w:t>by-product of their operation</w:t>
      </w:r>
      <w:r w:rsidRPr="002C72C2">
        <w:rPr>
          <w:lang w:eastAsia="en-US" w:bidi="ar-SA"/>
        </w:rPr>
        <w:t xml:space="preserve">. </w:t>
      </w:r>
      <w:r w:rsidR="00012342" w:rsidRPr="002C72C2">
        <w:rPr>
          <w:lang w:eastAsia="en-US" w:bidi="ar-SA"/>
        </w:rPr>
        <w:t>Power system c</w:t>
      </w:r>
      <w:r w:rsidRPr="002C72C2">
        <w:rPr>
          <w:lang w:eastAsia="en-US" w:bidi="ar-SA"/>
        </w:rPr>
        <w:t>ontrol</w:t>
      </w:r>
      <w:r w:rsidR="00311DB4" w:rsidRPr="002C72C2">
        <w:rPr>
          <w:lang w:eastAsia="en-US" w:bidi="ar-SA"/>
        </w:rPr>
        <w:t>s m</w:t>
      </w:r>
      <w:r w:rsidRPr="002C72C2">
        <w:rPr>
          <w:lang w:eastAsia="en-US" w:bidi="ar-SA"/>
        </w:rPr>
        <w:t xml:space="preserve">ade use of this along with various active control measures to keep </w:t>
      </w:r>
      <w:r w:rsidR="009F566B" w:rsidRPr="002C72C2">
        <w:rPr>
          <w:lang w:eastAsia="en-US" w:bidi="ar-SA"/>
        </w:rPr>
        <w:t>the system o</w:t>
      </w:r>
      <w:r w:rsidRPr="002C72C2">
        <w:rPr>
          <w:lang w:eastAsia="en-US" w:bidi="ar-SA"/>
        </w:rPr>
        <w:t>perating in a smooth and stable manner</w:t>
      </w:r>
      <w:r w:rsidR="0072475A" w:rsidRPr="002C72C2">
        <w:rPr>
          <w:lang w:eastAsia="en-US" w:bidi="ar-SA"/>
        </w:rPr>
        <w:t xml:space="preserve"> resilient to </w:t>
      </w:r>
      <w:r w:rsidR="00311DB4" w:rsidRPr="002C72C2">
        <w:rPr>
          <w:lang w:eastAsia="en-US" w:bidi="ar-SA"/>
        </w:rPr>
        <w:t xml:space="preserve">load </w:t>
      </w:r>
      <w:r w:rsidRPr="002C72C2">
        <w:rPr>
          <w:lang w:eastAsia="en-US" w:bidi="ar-SA"/>
        </w:rPr>
        <w:t xml:space="preserve">variations. </w:t>
      </w:r>
    </w:p>
    <w:p w14:paraId="78A5BDFE" w14:textId="3F1619AC" w:rsidR="001159B4" w:rsidRPr="002C72C2" w:rsidRDefault="001159B4" w:rsidP="00EB2823">
      <w:pPr>
        <w:spacing w:before="120" w:after="120" w:line="264" w:lineRule="auto"/>
        <w:rPr>
          <w:lang w:eastAsia="en-US" w:bidi="ar-SA"/>
        </w:rPr>
      </w:pPr>
      <w:r w:rsidRPr="002C72C2">
        <w:rPr>
          <w:lang w:eastAsia="en-US" w:bidi="ar-SA"/>
        </w:rPr>
        <w:t xml:space="preserve">As </w:t>
      </w:r>
      <w:r w:rsidR="0072475A" w:rsidRPr="002C72C2">
        <w:rPr>
          <w:lang w:eastAsia="en-US" w:bidi="ar-SA"/>
        </w:rPr>
        <w:t xml:space="preserve">power system </w:t>
      </w:r>
      <w:r w:rsidRPr="002C72C2">
        <w:rPr>
          <w:lang w:eastAsia="en-US" w:bidi="ar-SA"/>
        </w:rPr>
        <w:t xml:space="preserve">decarbonisation proceeds, rotating machines are being replaced with </w:t>
      </w:r>
      <w:r w:rsidR="000703BB" w:rsidRPr="002C72C2">
        <w:rPr>
          <w:lang w:eastAsia="en-US" w:bidi="ar-SA"/>
        </w:rPr>
        <w:t>Invertor Based Resources (IBR)</w:t>
      </w:r>
      <w:r w:rsidRPr="002C72C2">
        <w:rPr>
          <w:lang w:eastAsia="en-US" w:bidi="ar-SA"/>
        </w:rPr>
        <w:t>, particular</w:t>
      </w:r>
      <w:r w:rsidR="000703BB" w:rsidRPr="002C72C2">
        <w:rPr>
          <w:lang w:eastAsia="en-US" w:bidi="ar-SA"/>
        </w:rPr>
        <w:t xml:space="preserve">ly in the form of </w:t>
      </w:r>
      <w:r w:rsidRPr="002C72C2">
        <w:rPr>
          <w:lang w:eastAsia="en-US" w:bidi="ar-SA"/>
        </w:rPr>
        <w:t xml:space="preserve">solar and wind generation. These resources are stochastic in nature and so inject power flow volatility into the grid, without contributing to system inertia to </w:t>
      </w:r>
      <w:r w:rsidR="0072475A" w:rsidRPr="002C72C2">
        <w:rPr>
          <w:lang w:eastAsia="en-US" w:bidi="ar-SA"/>
        </w:rPr>
        <w:t xml:space="preserve">help </w:t>
      </w:r>
      <w:r w:rsidRPr="002C72C2">
        <w:rPr>
          <w:lang w:eastAsia="en-US" w:bidi="ar-SA"/>
        </w:rPr>
        <w:t xml:space="preserve">smooth out the volatility effects. Consequently, legacy power system controls </w:t>
      </w:r>
      <w:r w:rsidR="00992EBA" w:rsidRPr="002C72C2">
        <w:rPr>
          <w:lang w:eastAsia="en-US" w:bidi="ar-SA"/>
        </w:rPr>
        <w:t>alone are no longer</w:t>
      </w:r>
      <w:r w:rsidRPr="002C72C2">
        <w:rPr>
          <w:lang w:eastAsia="en-US" w:bidi="ar-SA"/>
        </w:rPr>
        <w:t xml:space="preserve"> </w:t>
      </w:r>
      <w:r w:rsidR="00992EBA" w:rsidRPr="002C72C2">
        <w:rPr>
          <w:lang w:eastAsia="en-US" w:bidi="ar-SA"/>
        </w:rPr>
        <w:t xml:space="preserve">sufficient for </w:t>
      </w:r>
      <w:r w:rsidRPr="002C72C2">
        <w:rPr>
          <w:lang w:eastAsia="en-US" w:bidi="ar-SA"/>
        </w:rPr>
        <w:t>the task to ensuring the smooth and stable delivery of electricity</w:t>
      </w:r>
      <w:r w:rsidR="004F5A82" w:rsidRPr="002C72C2">
        <w:rPr>
          <w:lang w:eastAsia="en-US" w:bidi="ar-SA"/>
        </w:rPr>
        <w:t>,</w:t>
      </w:r>
      <w:r w:rsidR="004B1B79" w:rsidRPr="002C72C2">
        <w:rPr>
          <w:lang w:eastAsia="en-US" w:bidi="ar-SA"/>
        </w:rPr>
        <w:t xml:space="preserve"> which </w:t>
      </w:r>
      <w:r w:rsidR="004F5A82" w:rsidRPr="002C72C2">
        <w:rPr>
          <w:lang w:eastAsia="en-US" w:bidi="ar-SA"/>
        </w:rPr>
        <w:t xml:space="preserve">is placing </w:t>
      </w:r>
      <w:r w:rsidRPr="002C72C2">
        <w:rPr>
          <w:lang w:eastAsia="en-US" w:bidi="ar-SA"/>
        </w:rPr>
        <w:t>strains on every aspect of power system operations.</w:t>
      </w:r>
    </w:p>
    <w:p w14:paraId="0976A925" w14:textId="77777777" w:rsidR="001159B4" w:rsidRPr="00EB2823" w:rsidRDefault="001159B4" w:rsidP="00954BAC">
      <w:pPr>
        <w:pStyle w:val="Heading4"/>
        <w:numPr>
          <w:ilvl w:val="0"/>
          <w:numId w:val="56"/>
        </w:numPr>
        <w:spacing w:before="240" w:after="120" w:line="264" w:lineRule="auto"/>
        <w:rPr>
          <w:i w:val="0"/>
          <w:iCs w:val="0"/>
        </w:rPr>
      </w:pPr>
      <w:r w:rsidRPr="00EB2823">
        <w:rPr>
          <w:i w:val="0"/>
          <w:iCs w:val="0"/>
        </w:rPr>
        <w:t>Contributing Factors</w:t>
      </w:r>
    </w:p>
    <w:p w14:paraId="7CEC90CC" w14:textId="231E9240" w:rsidR="00BE3F41" w:rsidRDefault="00BE3F41" w:rsidP="00A14289">
      <w:pPr>
        <w:spacing w:before="120" w:after="120" w:line="264" w:lineRule="auto"/>
        <w:rPr>
          <w:lang w:eastAsia="en-US" w:bidi="ar-SA"/>
        </w:rPr>
      </w:pPr>
      <w:r>
        <w:rPr>
          <w:lang w:eastAsia="en-US" w:bidi="ar-SA"/>
        </w:rPr>
        <w:t xml:space="preserve">From a power system </w:t>
      </w:r>
      <w:r w:rsidR="00C01ACD">
        <w:rPr>
          <w:lang w:eastAsia="en-US" w:bidi="ar-SA"/>
        </w:rPr>
        <w:t>perspective, several factors</w:t>
      </w:r>
      <w:r w:rsidR="0004570F">
        <w:rPr>
          <w:lang w:eastAsia="en-US" w:bidi="ar-SA"/>
        </w:rPr>
        <w:t xml:space="preserve"> drive the need for significant system buffering</w:t>
      </w:r>
      <w:r w:rsidR="00347FDF">
        <w:rPr>
          <w:lang w:eastAsia="en-US" w:bidi="ar-SA"/>
        </w:rPr>
        <w:t xml:space="preserve">, particularly </w:t>
      </w:r>
      <w:r w:rsidR="0004570F">
        <w:rPr>
          <w:lang w:eastAsia="en-US" w:bidi="ar-SA"/>
        </w:rPr>
        <w:t xml:space="preserve">as conventional </w:t>
      </w:r>
      <w:r w:rsidR="00347FDF">
        <w:rPr>
          <w:lang w:eastAsia="en-US" w:bidi="ar-SA"/>
        </w:rPr>
        <w:t xml:space="preserve">synchronous </w:t>
      </w:r>
      <w:r w:rsidR="0004570F">
        <w:rPr>
          <w:lang w:eastAsia="en-US" w:bidi="ar-SA"/>
        </w:rPr>
        <w:t>generation is withdrawn and the proportion of IBR increases</w:t>
      </w:r>
      <w:r w:rsidR="00374950">
        <w:rPr>
          <w:lang w:eastAsia="en-US" w:bidi="ar-SA"/>
        </w:rPr>
        <w:t xml:space="preserve">. </w:t>
      </w:r>
      <w:r w:rsidR="0004570F">
        <w:rPr>
          <w:lang w:eastAsia="en-US" w:bidi="ar-SA"/>
        </w:rPr>
        <w:t xml:space="preserve">These include: </w:t>
      </w:r>
    </w:p>
    <w:p w14:paraId="24B9F560" w14:textId="054F19B1" w:rsidR="00347FDF" w:rsidRPr="002C72C2" w:rsidRDefault="00347FDF" w:rsidP="00954BAC">
      <w:pPr>
        <w:pStyle w:val="ListParagraph"/>
        <w:numPr>
          <w:ilvl w:val="0"/>
          <w:numId w:val="44"/>
        </w:numPr>
        <w:spacing w:line="264" w:lineRule="auto"/>
        <w:rPr>
          <w:lang w:eastAsia="en-US" w:bidi="ar-SA"/>
        </w:rPr>
      </w:pPr>
      <w:r w:rsidRPr="002C72C2">
        <w:rPr>
          <w:lang w:eastAsia="en-US" w:bidi="ar-SA"/>
        </w:rPr>
        <w:t xml:space="preserve">As </w:t>
      </w:r>
      <w:r>
        <w:rPr>
          <w:lang w:eastAsia="en-US" w:bidi="ar-SA"/>
        </w:rPr>
        <w:t xml:space="preserve">synchronous </w:t>
      </w:r>
      <w:r w:rsidRPr="002C72C2">
        <w:rPr>
          <w:lang w:eastAsia="en-US" w:bidi="ar-SA"/>
        </w:rPr>
        <w:t xml:space="preserve">generation is replaced by IBR, electromechanical system inertia </w:t>
      </w:r>
      <w:r w:rsidR="00A83B2D">
        <w:rPr>
          <w:lang w:eastAsia="en-US" w:bidi="ar-SA"/>
        </w:rPr>
        <w:t>declines</w:t>
      </w:r>
      <w:r w:rsidR="00A83B2D" w:rsidRPr="002C72C2">
        <w:rPr>
          <w:lang w:eastAsia="en-US" w:bidi="ar-SA"/>
        </w:rPr>
        <w:t>.</w:t>
      </w:r>
    </w:p>
    <w:p w14:paraId="5C428F48" w14:textId="029B1807" w:rsidR="00BE3F41" w:rsidRPr="002C72C2" w:rsidRDefault="00BE3F41" w:rsidP="00954BAC">
      <w:pPr>
        <w:pStyle w:val="ListParagraph"/>
        <w:numPr>
          <w:ilvl w:val="0"/>
          <w:numId w:val="44"/>
        </w:numPr>
        <w:spacing w:line="264" w:lineRule="auto"/>
        <w:rPr>
          <w:lang w:eastAsia="en-US" w:bidi="ar-SA"/>
        </w:rPr>
      </w:pPr>
      <w:r w:rsidRPr="002C72C2">
        <w:rPr>
          <w:lang w:eastAsia="en-US" w:bidi="ar-SA"/>
        </w:rPr>
        <w:t xml:space="preserve">Legacy grid controls depend upon system inertia to smooth out variations in power flow, manage generator load sharing, and help maintain </w:t>
      </w:r>
      <w:r w:rsidR="00A83B2D" w:rsidRPr="002C72C2">
        <w:rPr>
          <w:lang w:eastAsia="en-US" w:bidi="ar-SA"/>
        </w:rPr>
        <w:t>stability.</w:t>
      </w:r>
    </w:p>
    <w:p w14:paraId="39634B39" w14:textId="7034F087" w:rsidR="00BE3F41" w:rsidRPr="002C72C2" w:rsidRDefault="00BE3F41" w:rsidP="00954BAC">
      <w:pPr>
        <w:pStyle w:val="ListParagraph"/>
        <w:numPr>
          <w:ilvl w:val="0"/>
          <w:numId w:val="44"/>
        </w:numPr>
        <w:spacing w:line="264" w:lineRule="auto"/>
        <w:rPr>
          <w:lang w:eastAsia="en-US" w:bidi="ar-SA"/>
        </w:rPr>
      </w:pPr>
      <w:r w:rsidRPr="002C72C2">
        <w:rPr>
          <w:lang w:eastAsia="en-US" w:bidi="ar-SA"/>
        </w:rPr>
        <w:t>Without alternate measures, increasing power flow volatility will propagate through</w:t>
      </w:r>
      <w:r w:rsidR="00347FDF">
        <w:rPr>
          <w:lang w:eastAsia="en-US" w:bidi="ar-SA"/>
        </w:rPr>
        <w:t xml:space="preserve">out the </w:t>
      </w:r>
      <w:r w:rsidR="00952027">
        <w:rPr>
          <w:lang w:eastAsia="en-US" w:bidi="ar-SA"/>
        </w:rPr>
        <w:t xml:space="preserve">end-to-end </w:t>
      </w:r>
      <w:r w:rsidR="00A83B2D" w:rsidRPr="002C72C2">
        <w:rPr>
          <w:lang w:eastAsia="en-US" w:bidi="ar-SA"/>
        </w:rPr>
        <w:t>system.</w:t>
      </w:r>
    </w:p>
    <w:p w14:paraId="3149A63F" w14:textId="22D66B35" w:rsidR="00BE3F41" w:rsidRPr="002C72C2" w:rsidRDefault="00BE3F41" w:rsidP="00954BAC">
      <w:pPr>
        <w:pStyle w:val="ListParagraph"/>
        <w:numPr>
          <w:ilvl w:val="0"/>
          <w:numId w:val="44"/>
        </w:numPr>
        <w:spacing w:line="264" w:lineRule="auto"/>
        <w:rPr>
          <w:lang w:eastAsia="en-US" w:bidi="ar-SA"/>
        </w:rPr>
      </w:pPr>
      <w:r w:rsidRPr="002C72C2">
        <w:rPr>
          <w:lang w:eastAsia="en-US" w:bidi="ar-SA"/>
        </w:rPr>
        <w:t>Power flow volatility does not just arise from the bulk power system</w:t>
      </w:r>
      <w:r w:rsidR="00952027">
        <w:rPr>
          <w:lang w:eastAsia="en-US" w:bidi="ar-SA"/>
        </w:rPr>
        <w:t xml:space="preserve"> but also </w:t>
      </w:r>
      <w:r w:rsidRPr="002C72C2">
        <w:rPr>
          <w:lang w:eastAsia="en-US" w:bidi="ar-SA"/>
        </w:rPr>
        <w:t xml:space="preserve">from CER/DER </w:t>
      </w:r>
      <w:r w:rsidR="00952027">
        <w:rPr>
          <w:lang w:eastAsia="en-US" w:bidi="ar-SA"/>
        </w:rPr>
        <w:t xml:space="preserve">deployed at scale, meaning that </w:t>
      </w:r>
      <w:r w:rsidRPr="002C72C2">
        <w:rPr>
          <w:lang w:eastAsia="en-US" w:bidi="ar-SA"/>
        </w:rPr>
        <w:t>volatility propagation will be multi-</w:t>
      </w:r>
      <w:r w:rsidR="00A83B2D" w:rsidRPr="002C72C2">
        <w:rPr>
          <w:lang w:eastAsia="en-US" w:bidi="ar-SA"/>
        </w:rPr>
        <w:t>directional.</w:t>
      </w:r>
    </w:p>
    <w:p w14:paraId="717B8A56" w14:textId="7F08C6B7" w:rsidR="00BE3F41" w:rsidRPr="002C72C2" w:rsidRDefault="00BE3F41" w:rsidP="00954BAC">
      <w:pPr>
        <w:pStyle w:val="ListParagraph"/>
        <w:numPr>
          <w:ilvl w:val="0"/>
          <w:numId w:val="44"/>
        </w:numPr>
        <w:spacing w:line="264" w:lineRule="auto"/>
        <w:rPr>
          <w:lang w:eastAsia="en-US" w:bidi="ar-SA"/>
        </w:rPr>
      </w:pPr>
      <w:r w:rsidRPr="002C72C2">
        <w:rPr>
          <w:lang w:eastAsia="en-US" w:bidi="ar-SA"/>
        </w:rPr>
        <w:t>Power flow volatility will affect every other aspect of power system operation, including regulation, stabili</w:t>
      </w:r>
      <w:r>
        <w:rPr>
          <w:lang w:eastAsia="en-US" w:bidi="ar-SA"/>
        </w:rPr>
        <w:t>s</w:t>
      </w:r>
      <w:r w:rsidRPr="002C72C2">
        <w:rPr>
          <w:lang w:eastAsia="en-US" w:bidi="ar-SA"/>
        </w:rPr>
        <w:t>ation, synchroni</w:t>
      </w:r>
      <w:r>
        <w:rPr>
          <w:lang w:eastAsia="en-US" w:bidi="ar-SA"/>
        </w:rPr>
        <w:t>s</w:t>
      </w:r>
      <w:r w:rsidRPr="002C72C2">
        <w:rPr>
          <w:lang w:eastAsia="en-US" w:bidi="ar-SA"/>
        </w:rPr>
        <w:t xml:space="preserve">ation, protection, power quality, and market </w:t>
      </w:r>
      <w:r w:rsidR="00A83B2D" w:rsidRPr="002C72C2">
        <w:rPr>
          <w:lang w:eastAsia="en-US" w:bidi="ar-SA"/>
        </w:rPr>
        <w:t>operations.</w:t>
      </w:r>
    </w:p>
    <w:p w14:paraId="2B770213" w14:textId="381693CB" w:rsidR="00BE3F41" w:rsidRPr="002C72C2" w:rsidRDefault="00BE3F41" w:rsidP="00954BAC">
      <w:pPr>
        <w:pStyle w:val="ListParagraph"/>
        <w:numPr>
          <w:ilvl w:val="0"/>
          <w:numId w:val="44"/>
        </w:numPr>
        <w:spacing w:line="264" w:lineRule="auto"/>
        <w:rPr>
          <w:lang w:eastAsia="en-US" w:bidi="ar-SA"/>
        </w:rPr>
      </w:pPr>
      <w:r w:rsidRPr="002C72C2">
        <w:rPr>
          <w:lang w:eastAsia="en-US" w:bidi="ar-SA"/>
        </w:rPr>
        <w:t>System services will be increasingly needed to deal with the volatility but will themselves be subject to volatility when derived from IBR</w:t>
      </w:r>
      <w:r w:rsidR="00A83B2D">
        <w:rPr>
          <w:lang w:eastAsia="en-US" w:bidi="ar-SA"/>
        </w:rPr>
        <w:t>.</w:t>
      </w:r>
    </w:p>
    <w:p w14:paraId="0F975E0F" w14:textId="4BFBFF3F" w:rsidR="00BE3F41" w:rsidRPr="002C72C2" w:rsidRDefault="00BE3F41" w:rsidP="00954BAC">
      <w:pPr>
        <w:pStyle w:val="ListParagraph"/>
        <w:numPr>
          <w:ilvl w:val="0"/>
          <w:numId w:val="44"/>
        </w:numPr>
        <w:spacing w:line="264" w:lineRule="auto"/>
        <w:rPr>
          <w:lang w:eastAsia="en-US" w:bidi="ar-SA"/>
        </w:rPr>
      </w:pPr>
      <w:r w:rsidRPr="002C72C2">
        <w:rPr>
          <w:lang w:eastAsia="en-US" w:bidi="ar-SA"/>
        </w:rPr>
        <w:t xml:space="preserve">As </w:t>
      </w:r>
      <w:r w:rsidR="00A14289">
        <w:rPr>
          <w:lang w:eastAsia="en-US" w:bidi="ar-SA"/>
        </w:rPr>
        <w:t xml:space="preserve">deep </w:t>
      </w:r>
      <w:r w:rsidRPr="002C72C2">
        <w:rPr>
          <w:lang w:eastAsia="en-US" w:bidi="ar-SA"/>
        </w:rPr>
        <w:t>decarboni</w:t>
      </w:r>
      <w:r>
        <w:rPr>
          <w:lang w:eastAsia="en-US" w:bidi="ar-SA"/>
        </w:rPr>
        <w:t>s</w:t>
      </w:r>
      <w:r w:rsidRPr="002C72C2">
        <w:rPr>
          <w:lang w:eastAsia="en-US" w:bidi="ar-SA"/>
        </w:rPr>
        <w:t>ation</w:t>
      </w:r>
      <w:r w:rsidR="00A14289">
        <w:rPr>
          <w:lang w:eastAsia="en-US" w:bidi="ar-SA"/>
        </w:rPr>
        <w:t xml:space="preserve"> is achieved</w:t>
      </w:r>
      <w:r w:rsidRPr="002C72C2">
        <w:rPr>
          <w:lang w:eastAsia="en-US" w:bidi="ar-SA"/>
        </w:rPr>
        <w:t xml:space="preserve">, absent other measures the grid will have very low or even no </w:t>
      </w:r>
      <w:r w:rsidR="008E1481" w:rsidRPr="002C72C2">
        <w:rPr>
          <w:lang w:eastAsia="en-US" w:bidi="ar-SA"/>
        </w:rPr>
        <w:t>inertia and</w:t>
      </w:r>
      <w:r w:rsidRPr="002C72C2">
        <w:rPr>
          <w:lang w:eastAsia="en-US" w:bidi="ar-SA"/>
        </w:rPr>
        <w:t xml:space="preserve"> so will present significant control challenges.</w:t>
      </w:r>
    </w:p>
    <w:p w14:paraId="0FE48149" w14:textId="77777777" w:rsidR="00743548" w:rsidRDefault="00DA5DD2" w:rsidP="00743548">
      <w:pPr>
        <w:spacing w:before="120" w:after="120" w:line="264" w:lineRule="auto"/>
        <w:rPr>
          <w:lang w:eastAsia="en-US" w:bidi="ar-SA"/>
        </w:rPr>
      </w:pPr>
      <w:r>
        <w:rPr>
          <w:lang w:eastAsia="en-US" w:bidi="ar-SA"/>
        </w:rPr>
        <w:t>Several factors intrinsic to IBR</w:t>
      </w:r>
      <w:r w:rsidR="00743548">
        <w:rPr>
          <w:lang w:eastAsia="en-US" w:bidi="ar-SA"/>
        </w:rPr>
        <w:t xml:space="preserve"> also drive the n</w:t>
      </w:r>
      <w:r>
        <w:rPr>
          <w:lang w:eastAsia="en-US" w:bidi="ar-SA"/>
        </w:rPr>
        <w:t>eed for significant system buffering</w:t>
      </w:r>
      <w:r w:rsidR="00743548">
        <w:rPr>
          <w:lang w:eastAsia="en-US" w:bidi="ar-SA"/>
        </w:rPr>
        <w:t xml:space="preserve"> as follows: </w:t>
      </w:r>
    </w:p>
    <w:p w14:paraId="5D3D9C03" w14:textId="6C1A62C1" w:rsidR="00854BC3" w:rsidRPr="002C72C2" w:rsidRDefault="001159B4" w:rsidP="00954BAC">
      <w:pPr>
        <w:pStyle w:val="ListParagraph"/>
        <w:numPr>
          <w:ilvl w:val="0"/>
          <w:numId w:val="44"/>
        </w:numPr>
        <w:spacing w:line="264" w:lineRule="auto"/>
        <w:rPr>
          <w:lang w:eastAsia="en-US" w:bidi="ar-SA"/>
        </w:rPr>
      </w:pPr>
      <w:r w:rsidRPr="002C72C2">
        <w:rPr>
          <w:lang w:eastAsia="en-US" w:bidi="ar-SA"/>
        </w:rPr>
        <w:t>IBR resources are stochastic rather than dispatchable</w:t>
      </w:r>
      <w:r w:rsidR="00204392">
        <w:rPr>
          <w:lang w:eastAsia="en-US" w:bidi="ar-SA"/>
        </w:rPr>
        <w:t xml:space="preserve">, </w:t>
      </w:r>
      <w:r w:rsidR="00DA5DD2">
        <w:rPr>
          <w:lang w:eastAsia="en-US" w:bidi="ar-SA"/>
        </w:rPr>
        <w:t xml:space="preserve">which </w:t>
      </w:r>
      <w:r w:rsidR="00743548">
        <w:rPr>
          <w:lang w:eastAsia="en-US" w:bidi="ar-SA"/>
        </w:rPr>
        <w:t>is itself a</w:t>
      </w:r>
      <w:r w:rsidR="00DA5DD2">
        <w:rPr>
          <w:lang w:eastAsia="en-US" w:bidi="ar-SA"/>
        </w:rPr>
        <w:t xml:space="preserve"> </w:t>
      </w:r>
      <w:r w:rsidRPr="002C72C2">
        <w:rPr>
          <w:lang w:eastAsia="en-US" w:bidi="ar-SA"/>
        </w:rPr>
        <w:t xml:space="preserve">source of power flow </w:t>
      </w:r>
      <w:r w:rsidR="00A83B2D" w:rsidRPr="002C72C2">
        <w:rPr>
          <w:lang w:eastAsia="en-US" w:bidi="ar-SA"/>
        </w:rPr>
        <w:t>volatility</w:t>
      </w:r>
      <w:r w:rsidR="00A83B2D">
        <w:rPr>
          <w:lang w:eastAsia="en-US" w:bidi="ar-SA"/>
        </w:rPr>
        <w:t>.</w:t>
      </w:r>
    </w:p>
    <w:p w14:paraId="7D3E48AB" w14:textId="756F83C6" w:rsidR="001159B4" w:rsidRPr="002C72C2" w:rsidRDefault="001159B4" w:rsidP="00954BAC">
      <w:pPr>
        <w:pStyle w:val="ListParagraph"/>
        <w:numPr>
          <w:ilvl w:val="0"/>
          <w:numId w:val="44"/>
        </w:numPr>
        <w:spacing w:line="264" w:lineRule="auto"/>
        <w:rPr>
          <w:lang w:eastAsia="en-US" w:bidi="ar-SA"/>
        </w:rPr>
      </w:pPr>
      <w:r w:rsidRPr="002C72C2">
        <w:rPr>
          <w:lang w:eastAsia="en-US" w:bidi="ar-SA"/>
        </w:rPr>
        <w:t xml:space="preserve">IBR resources have little or no inherent rotational </w:t>
      </w:r>
      <w:r w:rsidR="00CB3ECA" w:rsidRPr="002C72C2">
        <w:rPr>
          <w:lang w:eastAsia="en-US" w:bidi="ar-SA"/>
        </w:rPr>
        <w:t>momentum and</w:t>
      </w:r>
      <w:r w:rsidRPr="002C72C2">
        <w:rPr>
          <w:lang w:eastAsia="en-US" w:bidi="ar-SA"/>
        </w:rPr>
        <w:t xml:space="preserve"> so contribute little or nothing to system </w:t>
      </w:r>
      <w:r w:rsidR="00A83B2D" w:rsidRPr="002C72C2">
        <w:rPr>
          <w:lang w:eastAsia="en-US" w:bidi="ar-SA"/>
        </w:rPr>
        <w:t>inertia.</w:t>
      </w:r>
    </w:p>
    <w:p w14:paraId="5976BB0F" w14:textId="1407A2A4" w:rsidR="001159B4" w:rsidRPr="002C72C2" w:rsidRDefault="001159B4" w:rsidP="00954BAC">
      <w:pPr>
        <w:pStyle w:val="ListParagraph"/>
        <w:numPr>
          <w:ilvl w:val="0"/>
          <w:numId w:val="44"/>
        </w:numPr>
        <w:spacing w:line="264" w:lineRule="auto"/>
        <w:rPr>
          <w:lang w:eastAsia="en-US" w:bidi="ar-SA"/>
        </w:rPr>
      </w:pPr>
      <w:r w:rsidRPr="002C72C2">
        <w:rPr>
          <w:lang w:eastAsia="en-US" w:bidi="ar-SA"/>
        </w:rPr>
        <w:t>Power flow volatility injection takes place on slow (daily) and fast (sub-minute to sub-second) time scales</w:t>
      </w:r>
      <w:r w:rsidR="00A83B2D">
        <w:rPr>
          <w:lang w:eastAsia="en-US" w:bidi="ar-SA"/>
        </w:rPr>
        <w:t>.</w:t>
      </w:r>
    </w:p>
    <w:p w14:paraId="45C07001" w14:textId="22CC3FA5" w:rsidR="0010388F" w:rsidRPr="002C72C2" w:rsidRDefault="001159B4" w:rsidP="00954BAC">
      <w:pPr>
        <w:pStyle w:val="ListParagraph"/>
        <w:numPr>
          <w:ilvl w:val="0"/>
          <w:numId w:val="44"/>
        </w:numPr>
        <w:spacing w:line="264" w:lineRule="auto"/>
        <w:rPr>
          <w:lang w:eastAsia="en-US" w:bidi="ar-SA"/>
        </w:rPr>
      </w:pPr>
      <w:r w:rsidRPr="002C72C2">
        <w:rPr>
          <w:lang w:eastAsia="en-US" w:bidi="ar-SA"/>
        </w:rPr>
        <w:t xml:space="preserve">The use of IBR in place of traditional generation has a </w:t>
      </w:r>
      <w:r w:rsidR="00743548">
        <w:rPr>
          <w:lang w:eastAsia="en-US" w:bidi="ar-SA"/>
        </w:rPr>
        <w:t xml:space="preserve">dual impact </w:t>
      </w:r>
      <w:r w:rsidRPr="002C72C2">
        <w:rPr>
          <w:lang w:eastAsia="en-US" w:bidi="ar-SA"/>
        </w:rPr>
        <w:t>on the power system: injection of power flow volatility and simultaneous reduction of stabili</w:t>
      </w:r>
      <w:r w:rsidR="00BE3F41">
        <w:rPr>
          <w:lang w:eastAsia="en-US" w:bidi="ar-SA"/>
        </w:rPr>
        <w:t>s</w:t>
      </w:r>
      <w:r w:rsidRPr="002C72C2">
        <w:rPr>
          <w:lang w:eastAsia="en-US" w:bidi="ar-SA"/>
        </w:rPr>
        <w:t>ing system inertia.</w:t>
      </w:r>
    </w:p>
    <w:p w14:paraId="42014CBE" w14:textId="77777777" w:rsidR="001159B4" w:rsidRPr="00EB2823" w:rsidRDefault="001159B4" w:rsidP="00954BAC">
      <w:pPr>
        <w:pStyle w:val="Heading4"/>
        <w:numPr>
          <w:ilvl w:val="0"/>
          <w:numId w:val="56"/>
        </w:numPr>
        <w:spacing w:before="240" w:after="120" w:line="264" w:lineRule="auto"/>
        <w:rPr>
          <w:i w:val="0"/>
          <w:iCs w:val="0"/>
        </w:rPr>
      </w:pPr>
      <w:r w:rsidRPr="00EB2823">
        <w:rPr>
          <w:i w:val="0"/>
          <w:iCs w:val="0"/>
        </w:rPr>
        <w:t>Solution Requirements</w:t>
      </w:r>
    </w:p>
    <w:p w14:paraId="46E9F934" w14:textId="544D3223" w:rsidR="001159B4" w:rsidRDefault="003D60AD" w:rsidP="00EB2823">
      <w:pPr>
        <w:spacing w:before="120" w:after="120" w:line="264" w:lineRule="auto"/>
        <w:rPr>
          <w:lang w:eastAsia="en-US" w:bidi="ar-SA"/>
        </w:rPr>
      </w:pPr>
      <w:r>
        <w:rPr>
          <w:lang w:eastAsia="en-US" w:bidi="ar-SA"/>
        </w:rPr>
        <w:t xml:space="preserve">As </w:t>
      </w:r>
      <w:r w:rsidR="00636571">
        <w:rPr>
          <w:lang w:eastAsia="en-US" w:bidi="ar-SA"/>
        </w:rPr>
        <w:t>conventional generation is withdrawn, the i</w:t>
      </w:r>
      <w:r w:rsidR="001159B4" w:rsidRPr="002C72C2">
        <w:rPr>
          <w:lang w:eastAsia="en-US" w:bidi="ar-SA"/>
        </w:rPr>
        <w:t xml:space="preserve">ntegration of IBR </w:t>
      </w:r>
      <w:r w:rsidR="00583543">
        <w:rPr>
          <w:lang w:eastAsia="en-US" w:bidi="ar-SA"/>
        </w:rPr>
        <w:t xml:space="preserve">at </w:t>
      </w:r>
      <w:r w:rsidR="00026181">
        <w:rPr>
          <w:lang w:eastAsia="en-US" w:bidi="ar-SA"/>
        </w:rPr>
        <w:t xml:space="preserve">scale into </w:t>
      </w:r>
      <w:r w:rsidR="001159B4" w:rsidRPr="002C72C2">
        <w:rPr>
          <w:lang w:eastAsia="en-US" w:bidi="ar-SA"/>
        </w:rPr>
        <w:t xml:space="preserve">the NEM will require </w:t>
      </w:r>
      <w:r w:rsidR="00636571">
        <w:rPr>
          <w:lang w:eastAsia="en-US" w:bidi="ar-SA"/>
        </w:rPr>
        <w:t xml:space="preserve">structural changes to the </w:t>
      </w:r>
      <w:r w:rsidR="00E62A7D">
        <w:rPr>
          <w:lang w:eastAsia="en-US" w:bidi="ar-SA"/>
        </w:rPr>
        <w:t xml:space="preserve">system, </w:t>
      </w:r>
      <w:r w:rsidR="0027523C">
        <w:rPr>
          <w:lang w:eastAsia="en-US" w:bidi="ar-SA"/>
        </w:rPr>
        <w:t xml:space="preserve">particularly </w:t>
      </w:r>
      <w:r w:rsidR="00E62A7D">
        <w:rPr>
          <w:lang w:eastAsia="en-US" w:bidi="ar-SA"/>
        </w:rPr>
        <w:t>with</w:t>
      </w:r>
      <w:r>
        <w:rPr>
          <w:lang w:eastAsia="en-US" w:bidi="ar-SA"/>
        </w:rPr>
        <w:t xml:space="preserve"> regard to</w:t>
      </w:r>
      <w:r w:rsidR="0027523C">
        <w:rPr>
          <w:lang w:eastAsia="en-US" w:bidi="ar-SA"/>
        </w:rPr>
        <w:t xml:space="preserve"> the strategic deployment of </w:t>
      </w:r>
      <w:r w:rsidR="001159B4" w:rsidRPr="002C72C2">
        <w:rPr>
          <w:lang w:eastAsia="en-US" w:bidi="ar-SA"/>
        </w:rPr>
        <w:t>buffering throughout the system</w:t>
      </w:r>
      <w:r w:rsidR="00374950">
        <w:rPr>
          <w:lang w:eastAsia="en-US" w:bidi="ar-SA"/>
        </w:rPr>
        <w:t xml:space="preserve">. </w:t>
      </w:r>
    </w:p>
    <w:p w14:paraId="7EA5C9E5" w14:textId="1F26B81A" w:rsidR="001159B4" w:rsidRPr="002C72C2" w:rsidRDefault="0098116F" w:rsidP="005E7A06">
      <w:pPr>
        <w:spacing w:before="120" w:after="120" w:line="264" w:lineRule="auto"/>
        <w:rPr>
          <w:lang w:eastAsia="en-US" w:bidi="ar-SA"/>
        </w:rPr>
      </w:pPr>
      <w:r>
        <w:rPr>
          <w:lang w:eastAsia="en-US" w:bidi="ar-SA"/>
        </w:rPr>
        <w:t xml:space="preserve">The buffering of </w:t>
      </w:r>
      <w:r w:rsidR="001159B4" w:rsidRPr="002C72C2">
        <w:rPr>
          <w:lang w:eastAsia="en-US" w:bidi="ar-SA"/>
        </w:rPr>
        <w:t>power flow</w:t>
      </w:r>
      <w:r>
        <w:rPr>
          <w:lang w:eastAsia="en-US" w:bidi="ar-SA"/>
        </w:rPr>
        <w:t xml:space="preserve"> volatility require</w:t>
      </w:r>
      <w:r w:rsidR="002214A6">
        <w:rPr>
          <w:lang w:eastAsia="en-US" w:bidi="ar-SA"/>
        </w:rPr>
        <w:t xml:space="preserve">s </w:t>
      </w:r>
      <w:r w:rsidR="001159B4" w:rsidRPr="002C72C2">
        <w:rPr>
          <w:lang w:eastAsia="en-US" w:bidi="ar-SA"/>
        </w:rPr>
        <w:t>fast bilateral (two-way) energy storage</w:t>
      </w:r>
      <w:r w:rsidR="00796A91">
        <w:rPr>
          <w:lang w:eastAsia="en-US" w:bidi="ar-SA"/>
        </w:rPr>
        <w:t xml:space="preserve"> </w:t>
      </w:r>
      <w:r w:rsidR="002214A6">
        <w:rPr>
          <w:lang w:eastAsia="en-US" w:bidi="ar-SA"/>
        </w:rPr>
        <w:t xml:space="preserve">connected </w:t>
      </w:r>
      <w:r w:rsidR="001159B4" w:rsidRPr="002C72C2">
        <w:rPr>
          <w:lang w:eastAsia="en-US" w:bidi="ar-SA"/>
        </w:rPr>
        <w:t xml:space="preserve">to the power system </w:t>
      </w:r>
      <w:r w:rsidR="002214A6">
        <w:rPr>
          <w:lang w:eastAsia="en-US" w:bidi="ar-SA"/>
        </w:rPr>
        <w:t>via</w:t>
      </w:r>
      <w:r w:rsidR="001159B4" w:rsidRPr="002C72C2">
        <w:rPr>
          <w:lang w:eastAsia="en-US" w:bidi="ar-SA"/>
        </w:rPr>
        <w:t xml:space="preserve"> bilateral power electronics</w:t>
      </w:r>
      <w:r w:rsidR="00796A91">
        <w:rPr>
          <w:lang w:eastAsia="en-US" w:bidi="ar-SA"/>
        </w:rPr>
        <w:t xml:space="preserve">. </w:t>
      </w:r>
      <w:r w:rsidR="001159B4" w:rsidRPr="002C72C2">
        <w:rPr>
          <w:lang w:eastAsia="en-US" w:bidi="ar-SA"/>
        </w:rPr>
        <w:t xml:space="preserve">New forms of control </w:t>
      </w:r>
      <w:r w:rsidR="007A1C1C">
        <w:rPr>
          <w:lang w:eastAsia="en-US" w:bidi="ar-SA"/>
        </w:rPr>
        <w:t xml:space="preserve">will </w:t>
      </w:r>
      <w:r w:rsidR="002214A6">
        <w:rPr>
          <w:lang w:eastAsia="en-US" w:bidi="ar-SA"/>
        </w:rPr>
        <w:t xml:space="preserve">also </w:t>
      </w:r>
      <w:r w:rsidR="007A1C1C">
        <w:rPr>
          <w:lang w:eastAsia="en-US" w:bidi="ar-SA"/>
        </w:rPr>
        <w:t xml:space="preserve">be </w:t>
      </w:r>
      <w:r w:rsidR="001159B4" w:rsidRPr="002C72C2">
        <w:rPr>
          <w:lang w:eastAsia="en-US" w:bidi="ar-SA"/>
        </w:rPr>
        <w:t>needed to operate these storage devices in the context of an IBR-based power system</w:t>
      </w:r>
      <w:r w:rsidR="00374950">
        <w:rPr>
          <w:lang w:eastAsia="en-US" w:bidi="ar-SA"/>
        </w:rPr>
        <w:t xml:space="preserve">. </w:t>
      </w:r>
      <w:r w:rsidR="005E7A06">
        <w:rPr>
          <w:lang w:eastAsia="en-US" w:bidi="ar-SA"/>
        </w:rPr>
        <w:t xml:space="preserve">This </w:t>
      </w:r>
      <w:r w:rsidR="001159B4" w:rsidRPr="002C72C2">
        <w:rPr>
          <w:lang w:eastAsia="en-US" w:bidi="ar-SA"/>
        </w:rPr>
        <w:t>storage</w:t>
      </w:r>
      <w:r w:rsidR="005E7A06">
        <w:rPr>
          <w:lang w:eastAsia="en-US" w:bidi="ar-SA"/>
        </w:rPr>
        <w:t xml:space="preserve">-based </w:t>
      </w:r>
      <w:r w:rsidR="001159B4" w:rsidRPr="002C72C2">
        <w:rPr>
          <w:lang w:eastAsia="en-US" w:bidi="ar-SA"/>
        </w:rPr>
        <w:t>buffer</w:t>
      </w:r>
      <w:r w:rsidR="005E7A06">
        <w:rPr>
          <w:lang w:eastAsia="en-US" w:bidi="ar-SA"/>
        </w:rPr>
        <w:t xml:space="preserve">ing </w:t>
      </w:r>
      <w:r w:rsidR="001159B4" w:rsidRPr="002C72C2">
        <w:rPr>
          <w:lang w:eastAsia="en-US" w:bidi="ar-SA"/>
        </w:rPr>
        <w:t xml:space="preserve">arrangement </w:t>
      </w:r>
      <w:r w:rsidR="005E7A06">
        <w:rPr>
          <w:lang w:eastAsia="en-US" w:bidi="ar-SA"/>
        </w:rPr>
        <w:t>will likely need to be s</w:t>
      </w:r>
      <w:r w:rsidR="001159B4" w:rsidRPr="002C72C2">
        <w:rPr>
          <w:lang w:eastAsia="en-US" w:bidi="ar-SA"/>
        </w:rPr>
        <w:t xml:space="preserve">tructured in a four-tier architecture: </w:t>
      </w:r>
    </w:p>
    <w:p w14:paraId="393F550C" w14:textId="39F8708D" w:rsidR="001159B4" w:rsidRPr="002C72C2" w:rsidRDefault="001159B4" w:rsidP="00954BAC">
      <w:pPr>
        <w:pStyle w:val="ListParagraph"/>
        <w:numPr>
          <w:ilvl w:val="0"/>
          <w:numId w:val="64"/>
        </w:numPr>
        <w:spacing w:line="264" w:lineRule="auto"/>
        <w:rPr>
          <w:lang w:eastAsia="en-US" w:bidi="ar-SA"/>
        </w:rPr>
      </w:pPr>
      <w:r w:rsidRPr="002C72C2">
        <w:rPr>
          <w:lang w:eastAsia="en-US" w:bidi="ar-SA"/>
        </w:rPr>
        <w:t>Bulk Power System storag</w:t>
      </w:r>
      <w:r w:rsidR="00970E90">
        <w:rPr>
          <w:lang w:eastAsia="en-US" w:bidi="ar-SA"/>
        </w:rPr>
        <w:t xml:space="preserve">e: </w:t>
      </w:r>
      <w:r w:rsidR="009B24DC">
        <w:rPr>
          <w:lang w:eastAsia="en-US" w:bidi="ar-SA"/>
        </w:rPr>
        <w:t>l</w:t>
      </w:r>
      <w:r w:rsidRPr="002C72C2">
        <w:rPr>
          <w:lang w:eastAsia="en-US" w:bidi="ar-SA"/>
        </w:rPr>
        <w:t xml:space="preserve">arge </w:t>
      </w:r>
      <w:r w:rsidR="00970E90">
        <w:rPr>
          <w:lang w:eastAsia="en-US" w:bidi="ar-SA"/>
        </w:rPr>
        <w:t xml:space="preserve">utility-scale, </w:t>
      </w:r>
      <w:r w:rsidRPr="002C72C2">
        <w:rPr>
          <w:lang w:eastAsia="en-US" w:bidi="ar-SA"/>
        </w:rPr>
        <w:t xml:space="preserve">transmission-connected storage units intended to supply grid services, stochastic balancing, and wide-area blackout ride-through; these are bid into electricity markets and coordinated by </w:t>
      </w:r>
      <w:r w:rsidR="00C2572C">
        <w:rPr>
          <w:lang w:eastAsia="en-US" w:bidi="ar-SA"/>
        </w:rPr>
        <w:t xml:space="preserve">the </w:t>
      </w:r>
      <w:r w:rsidRPr="002C72C2">
        <w:rPr>
          <w:lang w:eastAsia="en-US" w:bidi="ar-SA"/>
        </w:rPr>
        <w:t xml:space="preserve">system </w:t>
      </w:r>
      <w:r w:rsidR="00A83B2D" w:rsidRPr="002C72C2">
        <w:rPr>
          <w:lang w:eastAsia="en-US" w:bidi="ar-SA"/>
        </w:rPr>
        <w:t>operator.</w:t>
      </w:r>
    </w:p>
    <w:p w14:paraId="4DAE74C4" w14:textId="0169B80A" w:rsidR="001159B4" w:rsidRPr="002C72C2" w:rsidRDefault="001159B4" w:rsidP="00954BAC">
      <w:pPr>
        <w:pStyle w:val="ListParagraph"/>
        <w:numPr>
          <w:ilvl w:val="0"/>
          <w:numId w:val="64"/>
        </w:numPr>
        <w:spacing w:line="264" w:lineRule="auto"/>
        <w:rPr>
          <w:lang w:eastAsia="en-US" w:bidi="ar-SA"/>
        </w:rPr>
      </w:pPr>
      <w:r w:rsidRPr="002C72C2">
        <w:rPr>
          <w:lang w:eastAsia="en-US" w:bidi="ar-SA"/>
        </w:rPr>
        <w:t>Embedded storage networks</w:t>
      </w:r>
      <w:r w:rsidR="009B24DC">
        <w:rPr>
          <w:lang w:eastAsia="en-US" w:bidi="ar-SA"/>
        </w:rPr>
        <w:t xml:space="preserve">: </w:t>
      </w:r>
      <w:r w:rsidRPr="002C72C2">
        <w:rPr>
          <w:lang w:eastAsia="en-US" w:bidi="ar-SA"/>
        </w:rPr>
        <w:t xml:space="preserve">storage devices located </w:t>
      </w:r>
      <w:r w:rsidR="007B764E">
        <w:rPr>
          <w:lang w:eastAsia="en-US" w:bidi="ar-SA"/>
        </w:rPr>
        <w:t xml:space="preserve">at </w:t>
      </w:r>
      <w:r w:rsidR="0078089C">
        <w:rPr>
          <w:lang w:eastAsia="en-US" w:bidi="ar-SA"/>
        </w:rPr>
        <w:t xml:space="preserve">Bulk Supply Point (BSP) </w:t>
      </w:r>
      <w:r w:rsidRPr="002C72C2">
        <w:rPr>
          <w:lang w:eastAsia="en-US" w:bidi="ar-SA"/>
        </w:rPr>
        <w:t xml:space="preserve">substations </w:t>
      </w:r>
      <w:r w:rsidR="00137C0C">
        <w:rPr>
          <w:lang w:eastAsia="en-US" w:bidi="ar-SA"/>
        </w:rPr>
        <w:t>which</w:t>
      </w:r>
      <w:r w:rsidRPr="002C72C2">
        <w:rPr>
          <w:lang w:eastAsia="en-US" w:bidi="ar-SA"/>
        </w:rPr>
        <w:t xml:space="preserve"> </w:t>
      </w:r>
      <w:r w:rsidR="00137C0C">
        <w:rPr>
          <w:lang w:eastAsia="en-US" w:bidi="ar-SA"/>
        </w:rPr>
        <w:t>employ</w:t>
      </w:r>
      <w:r w:rsidRPr="002C72C2">
        <w:rPr>
          <w:lang w:eastAsia="en-US" w:bidi="ar-SA"/>
        </w:rPr>
        <w:t xml:space="preserve"> power electronics and advanced sub-second cycle time controls</w:t>
      </w:r>
      <w:r w:rsidR="00191309">
        <w:rPr>
          <w:lang w:eastAsia="en-US" w:bidi="ar-SA"/>
        </w:rPr>
        <w:t xml:space="preserve"> (to </w:t>
      </w:r>
      <w:r w:rsidR="00191309" w:rsidRPr="002C72C2">
        <w:rPr>
          <w:lang w:eastAsia="en-US" w:bidi="ar-SA"/>
        </w:rPr>
        <w:t xml:space="preserve">function as buffers </w:t>
      </w:r>
      <w:r w:rsidR="00191309">
        <w:rPr>
          <w:lang w:eastAsia="en-US" w:bidi="ar-SA"/>
        </w:rPr>
        <w:t>or ‘</w:t>
      </w:r>
      <w:r w:rsidR="00191309" w:rsidRPr="002C72C2">
        <w:rPr>
          <w:lang w:eastAsia="en-US" w:bidi="ar-SA"/>
        </w:rPr>
        <w:t>shock absorbers</w:t>
      </w:r>
      <w:r w:rsidR="00191309">
        <w:rPr>
          <w:lang w:eastAsia="en-US" w:bidi="ar-SA"/>
        </w:rPr>
        <w:t xml:space="preserve">’ </w:t>
      </w:r>
      <w:r w:rsidR="004B24E8">
        <w:rPr>
          <w:lang w:eastAsia="en-US" w:bidi="ar-SA"/>
        </w:rPr>
        <w:t>for</w:t>
      </w:r>
      <w:r w:rsidR="00191309" w:rsidRPr="002C72C2">
        <w:rPr>
          <w:lang w:eastAsia="en-US" w:bidi="ar-SA"/>
        </w:rPr>
        <w:t xml:space="preserve"> manag</w:t>
      </w:r>
      <w:r w:rsidR="00191309">
        <w:rPr>
          <w:lang w:eastAsia="en-US" w:bidi="ar-SA"/>
        </w:rPr>
        <w:t>ing</w:t>
      </w:r>
      <w:r w:rsidR="00191309" w:rsidRPr="002C72C2">
        <w:rPr>
          <w:lang w:eastAsia="en-US" w:bidi="ar-SA"/>
        </w:rPr>
        <w:t xml:space="preserve"> power flow volatility</w:t>
      </w:r>
      <w:r w:rsidR="004B24E8">
        <w:rPr>
          <w:lang w:eastAsia="en-US" w:bidi="ar-SA"/>
        </w:rPr>
        <w:t xml:space="preserve"> rather than participating in </w:t>
      </w:r>
      <w:r w:rsidRPr="002C72C2">
        <w:rPr>
          <w:lang w:eastAsia="en-US" w:bidi="ar-SA"/>
        </w:rPr>
        <w:t>markets</w:t>
      </w:r>
      <w:r w:rsidR="00A83B2D">
        <w:rPr>
          <w:lang w:eastAsia="en-US" w:bidi="ar-SA"/>
        </w:rPr>
        <w:t>)</w:t>
      </w:r>
      <w:r w:rsidR="00A83B2D" w:rsidRPr="002C72C2">
        <w:rPr>
          <w:lang w:eastAsia="en-US" w:bidi="ar-SA"/>
        </w:rPr>
        <w:t>.</w:t>
      </w:r>
    </w:p>
    <w:p w14:paraId="38C26104" w14:textId="5334230F" w:rsidR="001159B4" w:rsidRPr="002C72C2" w:rsidRDefault="001159B4" w:rsidP="00954BAC">
      <w:pPr>
        <w:pStyle w:val="ListParagraph"/>
        <w:numPr>
          <w:ilvl w:val="0"/>
          <w:numId w:val="64"/>
        </w:numPr>
        <w:spacing w:line="264" w:lineRule="auto"/>
        <w:rPr>
          <w:lang w:eastAsia="en-US" w:bidi="ar-SA"/>
        </w:rPr>
      </w:pPr>
      <w:r w:rsidRPr="002C72C2">
        <w:rPr>
          <w:lang w:eastAsia="en-US" w:bidi="ar-SA"/>
        </w:rPr>
        <w:t>Distribution point-connected storage units</w:t>
      </w:r>
      <w:r w:rsidR="0013641F">
        <w:rPr>
          <w:lang w:eastAsia="en-US" w:bidi="ar-SA"/>
        </w:rPr>
        <w:t xml:space="preserve">: </w:t>
      </w:r>
      <w:r w:rsidRPr="002C72C2">
        <w:rPr>
          <w:lang w:eastAsia="en-US" w:bidi="ar-SA"/>
        </w:rPr>
        <w:t>standalone units connected to distribution</w:t>
      </w:r>
      <w:r w:rsidR="005E61AD">
        <w:rPr>
          <w:lang w:eastAsia="en-US" w:bidi="ar-SA"/>
        </w:rPr>
        <w:t xml:space="preserve"> network</w:t>
      </w:r>
      <w:r w:rsidR="00937BAF">
        <w:rPr>
          <w:lang w:eastAsia="en-US" w:bidi="ar-SA"/>
        </w:rPr>
        <w:t xml:space="preserve"> infrastructure</w:t>
      </w:r>
      <w:r w:rsidR="006F5CD0">
        <w:rPr>
          <w:lang w:eastAsia="en-US" w:bidi="ar-SA"/>
        </w:rPr>
        <w:t>, l</w:t>
      </w:r>
      <w:r w:rsidRPr="002C72C2">
        <w:rPr>
          <w:lang w:eastAsia="en-US" w:bidi="ar-SA"/>
        </w:rPr>
        <w:t xml:space="preserve">ocated and sized via resilience and engineering considerations for ad hoc purposes such as balancing </w:t>
      </w:r>
      <w:r w:rsidR="0013641F">
        <w:rPr>
          <w:lang w:eastAsia="en-US" w:bidi="ar-SA"/>
        </w:rPr>
        <w:t xml:space="preserve">large, </w:t>
      </w:r>
      <w:r w:rsidRPr="002C72C2">
        <w:rPr>
          <w:lang w:eastAsia="en-US" w:bidi="ar-SA"/>
        </w:rPr>
        <w:t>distribution</w:t>
      </w:r>
      <w:r w:rsidR="006F5CD0">
        <w:rPr>
          <w:lang w:eastAsia="en-US" w:bidi="ar-SA"/>
        </w:rPr>
        <w:t>-</w:t>
      </w:r>
      <w:r w:rsidRPr="002C72C2">
        <w:rPr>
          <w:lang w:eastAsia="en-US" w:bidi="ar-SA"/>
        </w:rPr>
        <w:t>connected solar arrays, supporting specific facility outage ride-through, and enabling microgrids</w:t>
      </w:r>
      <w:r w:rsidR="00A83B2D">
        <w:rPr>
          <w:lang w:eastAsia="en-US" w:bidi="ar-SA"/>
        </w:rPr>
        <w:t>.</w:t>
      </w:r>
      <w:r w:rsidR="0013641F">
        <w:rPr>
          <w:lang w:eastAsia="en-US" w:bidi="ar-SA"/>
        </w:rPr>
        <w:t xml:space="preserve"> </w:t>
      </w:r>
    </w:p>
    <w:p w14:paraId="141099D1" w14:textId="16D5CD07" w:rsidR="001159B4" w:rsidRPr="002C72C2" w:rsidRDefault="001159B4" w:rsidP="00954BAC">
      <w:pPr>
        <w:pStyle w:val="ListParagraph"/>
        <w:numPr>
          <w:ilvl w:val="0"/>
          <w:numId w:val="64"/>
        </w:numPr>
        <w:spacing w:line="264" w:lineRule="auto"/>
        <w:rPr>
          <w:lang w:eastAsia="en-US" w:bidi="ar-SA"/>
        </w:rPr>
      </w:pPr>
      <w:r w:rsidRPr="002C72C2">
        <w:rPr>
          <w:lang w:eastAsia="en-US" w:bidi="ar-SA"/>
        </w:rPr>
        <w:t>Behind-the-meter storage</w:t>
      </w:r>
      <w:r w:rsidR="0013641F">
        <w:rPr>
          <w:lang w:eastAsia="en-US" w:bidi="ar-SA"/>
        </w:rPr>
        <w:t xml:space="preserve">: </w:t>
      </w:r>
      <w:r w:rsidRPr="002C72C2">
        <w:rPr>
          <w:lang w:eastAsia="en-US" w:bidi="ar-SA"/>
        </w:rPr>
        <w:t xml:space="preserve">autonomous units located in </w:t>
      </w:r>
      <w:r w:rsidR="00B62894">
        <w:rPr>
          <w:lang w:eastAsia="en-US" w:bidi="ar-SA"/>
        </w:rPr>
        <w:t xml:space="preserve">customer </w:t>
      </w:r>
      <w:r w:rsidRPr="002C72C2">
        <w:rPr>
          <w:lang w:eastAsia="en-US" w:bidi="ar-SA"/>
        </w:rPr>
        <w:t>premises for usage optimi</w:t>
      </w:r>
      <w:r w:rsidR="00BE3F41">
        <w:rPr>
          <w:lang w:eastAsia="en-US" w:bidi="ar-SA"/>
        </w:rPr>
        <w:t>s</w:t>
      </w:r>
      <w:r w:rsidRPr="002C72C2">
        <w:rPr>
          <w:lang w:eastAsia="en-US" w:bidi="ar-SA"/>
        </w:rPr>
        <w:t>ation, bill management, and personal resilience</w:t>
      </w:r>
      <w:r w:rsidR="002F09F6">
        <w:rPr>
          <w:lang w:eastAsia="en-US" w:bidi="ar-SA"/>
        </w:rPr>
        <w:t xml:space="preserve">, with unutilised capacity potentially leveraged </w:t>
      </w:r>
      <w:r w:rsidR="00250EAC">
        <w:rPr>
          <w:lang w:eastAsia="en-US" w:bidi="ar-SA"/>
        </w:rPr>
        <w:t xml:space="preserve">through </w:t>
      </w:r>
      <w:r w:rsidR="00B8085F">
        <w:rPr>
          <w:lang w:eastAsia="en-US" w:bidi="ar-SA"/>
        </w:rPr>
        <w:t xml:space="preserve">remunerated </w:t>
      </w:r>
      <w:r w:rsidR="00276EAD">
        <w:rPr>
          <w:lang w:eastAsia="en-US" w:bidi="ar-SA"/>
        </w:rPr>
        <w:t>coordination</w:t>
      </w:r>
      <w:r w:rsidR="00C21334">
        <w:rPr>
          <w:lang w:eastAsia="en-US" w:bidi="ar-SA"/>
        </w:rPr>
        <w:t xml:space="preserve">. </w:t>
      </w:r>
    </w:p>
    <w:p w14:paraId="4B6F1CE2" w14:textId="24223682" w:rsidR="006C78F4" w:rsidRDefault="00C21334" w:rsidP="00C21334">
      <w:pPr>
        <w:spacing w:before="120" w:after="120" w:line="264" w:lineRule="auto"/>
        <w:rPr>
          <w:lang w:eastAsia="en-US" w:bidi="ar-SA"/>
        </w:rPr>
      </w:pPr>
      <w:r>
        <w:rPr>
          <w:lang w:eastAsia="en-US" w:bidi="ar-SA"/>
        </w:rPr>
        <w:t>Ultimately c</w:t>
      </w:r>
      <w:r w:rsidR="001159B4" w:rsidRPr="002C72C2">
        <w:rPr>
          <w:lang w:eastAsia="en-US" w:bidi="ar-SA"/>
        </w:rPr>
        <w:t>ontrol of the embedded storage network must be dedicated and fast, based on real time grid state, and not operated via market mechanisms</w:t>
      </w:r>
      <w:hyperlink w:anchor="Ref_23" w:history="1">
        <w:r w:rsidR="004863EE" w:rsidRPr="00A83B2D">
          <w:rPr>
            <w:rStyle w:val="Hyperlink"/>
            <w:lang w:eastAsia="en-US" w:bidi="ar-SA"/>
          </w:rPr>
          <w:fldChar w:fldCharType="begin"/>
        </w:r>
        <w:r w:rsidR="00732E28" w:rsidRPr="00A83B2D">
          <w:rPr>
            <w:rStyle w:val="Hyperlink"/>
            <w:lang w:eastAsia="en-US" w:bidi="ar-SA"/>
          </w:rPr>
          <w:instrText xml:space="preserve"> ADDIN ZOTERO_ITEM CSL_CITATION {"citationID":"zVNasPGT","properties":{"formattedCitation":"[23]","plainCitation":"[23]","noteIndex":0},"citationItems":[{"id":12,"uris":["http://zotero.org/users/local/BgaHAIQb/items/UUGNWFNG","http://zotero.org/users/17348326/items/UUGNWFNG"],"itemData":{"id":12,"type":"report","call-number":"1-888-375-PNNL (7665)","event-place":"Richland, Washington 99354","publisher":"Pacific Northwest National Laboratory (PNNL)","publisher-place":"Richland, Washington 99354","title":"Control of Embedded Bulk Electric Storage Networks for Operational Flexibility and Grid Resilience","URL":"https://gridarchitecture.pnnl.gov/media/advanced/Control_of_Embedded_Grid_Storage_Networks_v0_3.pdf","author":[{"family":"Taft","given":"JD"}],"issued":{"date-parts":[["2021",6]]}}}],"schema":"https://github.com/citation-style-language/schema/raw/master/csl-citation.json"} </w:instrText>
        </w:r>
        <w:r w:rsidR="004863EE" w:rsidRPr="00A83B2D">
          <w:rPr>
            <w:rStyle w:val="Hyperlink"/>
            <w:lang w:eastAsia="en-US" w:bidi="ar-SA"/>
          </w:rPr>
          <w:fldChar w:fldCharType="separate"/>
        </w:r>
        <w:r w:rsidR="00732E28" w:rsidRPr="00A83B2D">
          <w:rPr>
            <w:rStyle w:val="Hyperlink"/>
          </w:rPr>
          <w:t>[23]</w:t>
        </w:r>
        <w:r w:rsidR="004863EE" w:rsidRPr="00A83B2D">
          <w:rPr>
            <w:rStyle w:val="Hyperlink"/>
            <w:lang w:eastAsia="en-US" w:bidi="ar-SA"/>
          </w:rPr>
          <w:fldChar w:fldCharType="end"/>
        </w:r>
      </w:hyperlink>
      <w:r w:rsidR="00A83B2D">
        <w:rPr>
          <w:lang w:eastAsia="en-US" w:bidi="ar-SA"/>
        </w:rPr>
        <w:t>.</w:t>
      </w:r>
    </w:p>
    <w:p w14:paraId="5502CC0F" w14:textId="77777777" w:rsidR="000B1E61" w:rsidRDefault="000B1E61">
      <w:pPr>
        <w:spacing w:before="0" w:after="160" w:line="259" w:lineRule="auto"/>
        <w:rPr>
          <w:rFonts w:ascii="PP Mori SemiBold" w:eastAsiaTheme="majorEastAsia" w:hAnsi="PP Mori SemiBold" w:cstheme="majorBidi"/>
          <w:color w:val="001D25" w:themeColor="accent1" w:themeShade="7F"/>
          <w:sz w:val="24"/>
          <w:szCs w:val="30"/>
          <w:lang w:eastAsia="en-US" w:bidi="ar-SA"/>
        </w:rPr>
      </w:pPr>
      <w:r>
        <w:rPr>
          <w:lang w:eastAsia="en-US" w:bidi="ar-SA"/>
        </w:rPr>
        <w:br w:type="page"/>
      </w:r>
    </w:p>
    <w:p w14:paraId="4FD4DFBF" w14:textId="33E43645" w:rsidR="00C20B8C" w:rsidRPr="002C72C2" w:rsidRDefault="004002A3" w:rsidP="00EB2823">
      <w:pPr>
        <w:pStyle w:val="Heading3"/>
        <w:spacing w:line="264" w:lineRule="auto"/>
        <w:rPr>
          <w:lang w:eastAsia="en-US" w:bidi="ar-SA"/>
        </w:rPr>
      </w:pPr>
      <w:bookmarkStart w:id="74" w:name="_Multiple_Aggregator/VPP_Risks"/>
      <w:bookmarkStart w:id="75" w:name="_Toc205533968"/>
      <w:bookmarkStart w:id="76" w:name="S_425"/>
      <w:bookmarkEnd w:id="74"/>
      <w:r w:rsidRPr="002C72C2">
        <w:rPr>
          <w:lang w:eastAsia="en-US" w:bidi="ar-SA"/>
        </w:rPr>
        <w:t>Multiple Aggregator/VPP Risks</w:t>
      </w:r>
      <w:bookmarkEnd w:id="75"/>
    </w:p>
    <w:tbl>
      <w:tblPr>
        <w:tblStyle w:val="TableGrid"/>
        <w:tblW w:w="0" w:type="auto"/>
        <w:tblLook w:val="04A0" w:firstRow="1" w:lastRow="0" w:firstColumn="1" w:lastColumn="0" w:noHBand="0" w:noVBand="1"/>
      </w:tblPr>
      <w:tblGrid>
        <w:gridCol w:w="8210"/>
      </w:tblGrid>
      <w:tr w:rsidR="003B08B1" w14:paraId="4E095158" w14:textId="77777777" w:rsidTr="008F2E81">
        <w:tc>
          <w:tcPr>
            <w:tcW w:w="8210" w:type="dxa"/>
            <w:shd w:val="clear" w:color="auto" w:fill="013C4C" w:themeFill="text1"/>
          </w:tcPr>
          <w:bookmarkEnd w:id="76"/>
          <w:p w14:paraId="2DAFD84A" w14:textId="3C7E42F4" w:rsidR="003B08B1" w:rsidRPr="00D01543" w:rsidRDefault="00340CF2" w:rsidP="006705E2">
            <w:pPr>
              <w:spacing w:before="180" w:after="180" w:line="264" w:lineRule="auto"/>
              <w:ind w:left="170" w:right="170"/>
              <w:rPr>
                <w:i/>
                <w:iCs/>
                <w:lang w:eastAsia="en-US" w:bidi="ar-SA"/>
              </w:rPr>
            </w:pPr>
            <w:r w:rsidRPr="00D01543">
              <w:rPr>
                <w:i/>
                <w:iCs/>
                <w:lang w:eastAsia="en-US" w:bidi="ar-SA"/>
              </w:rPr>
              <w:t>The involvement of multiple CER/DER aggregators and Virtual Power Plants (VPP) introduces an additional level of structural and functional complexity across several layers of a GW-scale power system</w:t>
            </w:r>
            <w:r w:rsidR="00374950">
              <w:rPr>
                <w:i/>
                <w:iCs/>
                <w:lang w:eastAsia="en-US" w:bidi="ar-SA"/>
              </w:rPr>
              <w:t xml:space="preserve">. </w:t>
            </w:r>
            <w:r w:rsidRPr="00D01543">
              <w:rPr>
                <w:i/>
                <w:iCs/>
                <w:lang w:eastAsia="en-US" w:bidi="ar-SA"/>
              </w:rPr>
              <w:t>In the absence of a holistic structurally based approach to their integration, system and market operations will face increasing conflicts and inefficiencies where aggregators and VPPs are present at significant scale.</w:t>
            </w:r>
          </w:p>
        </w:tc>
      </w:tr>
    </w:tbl>
    <w:p w14:paraId="3C1B5AA2" w14:textId="77777777" w:rsidR="00FC09A0" w:rsidRPr="00EB2823" w:rsidRDefault="00FC09A0" w:rsidP="00954BAC">
      <w:pPr>
        <w:pStyle w:val="Heading4"/>
        <w:numPr>
          <w:ilvl w:val="0"/>
          <w:numId w:val="57"/>
        </w:numPr>
        <w:spacing w:before="240" w:after="120" w:line="264" w:lineRule="auto"/>
        <w:rPr>
          <w:i w:val="0"/>
          <w:iCs w:val="0"/>
        </w:rPr>
      </w:pPr>
      <w:r w:rsidRPr="00EB2823">
        <w:rPr>
          <w:i w:val="0"/>
          <w:iCs w:val="0"/>
        </w:rPr>
        <w:t>Cross Cutting Issue</w:t>
      </w:r>
    </w:p>
    <w:p w14:paraId="0070E01B" w14:textId="05CA0CE8" w:rsidR="00FC09A0" w:rsidRPr="002C72C2" w:rsidRDefault="000949D5" w:rsidP="00EB2823">
      <w:pPr>
        <w:spacing w:before="120" w:after="120" w:line="264" w:lineRule="auto"/>
        <w:rPr>
          <w:lang w:eastAsia="en-US" w:bidi="ar-SA"/>
        </w:rPr>
      </w:pPr>
      <w:r>
        <w:rPr>
          <w:lang w:eastAsia="en-US" w:bidi="ar-SA"/>
        </w:rPr>
        <w:t xml:space="preserve">Modern power systems such as the NEM and WEM </w:t>
      </w:r>
      <w:r w:rsidR="00FC09A0" w:rsidRPr="002C72C2">
        <w:rPr>
          <w:lang w:eastAsia="en-US" w:bidi="ar-SA"/>
        </w:rPr>
        <w:t xml:space="preserve">developed over decades </w:t>
      </w:r>
      <w:r>
        <w:rPr>
          <w:lang w:eastAsia="en-US" w:bidi="ar-SA"/>
        </w:rPr>
        <w:t xml:space="preserve">based on a set of </w:t>
      </w:r>
      <w:r w:rsidR="00FC09A0" w:rsidRPr="002C72C2">
        <w:rPr>
          <w:lang w:eastAsia="en-US" w:bidi="ar-SA"/>
        </w:rPr>
        <w:t>inherent assumptions</w:t>
      </w:r>
      <w:r w:rsidR="00DC3313">
        <w:rPr>
          <w:lang w:eastAsia="en-US" w:bidi="ar-SA"/>
        </w:rPr>
        <w:t xml:space="preserve"> which informed the</w:t>
      </w:r>
      <w:r w:rsidR="00764EC2">
        <w:rPr>
          <w:lang w:eastAsia="en-US" w:bidi="ar-SA"/>
        </w:rPr>
        <w:t>ir</w:t>
      </w:r>
      <w:r w:rsidR="00DC3313">
        <w:rPr>
          <w:lang w:eastAsia="en-US" w:bidi="ar-SA"/>
        </w:rPr>
        <w:t xml:space="preserve"> legacy </w:t>
      </w:r>
      <w:r w:rsidR="00FC09A0" w:rsidRPr="002C72C2">
        <w:rPr>
          <w:lang w:eastAsia="en-US" w:bidi="ar-SA"/>
        </w:rPr>
        <w:t>structure</w:t>
      </w:r>
      <w:r w:rsidR="00764EC2">
        <w:rPr>
          <w:lang w:eastAsia="en-US" w:bidi="ar-SA"/>
        </w:rPr>
        <w:t>s</w:t>
      </w:r>
      <w:r w:rsidR="00FC09A0" w:rsidRPr="002C72C2">
        <w:rPr>
          <w:lang w:eastAsia="en-US" w:bidi="ar-SA"/>
        </w:rPr>
        <w:t xml:space="preserve">. These </w:t>
      </w:r>
      <w:r w:rsidR="00764EC2">
        <w:rPr>
          <w:lang w:eastAsia="en-US" w:bidi="ar-SA"/>
        </w:rPr>
        <w:t xml:space="preserve">assumptions </w:t>
      </w:r>
      <w:r w:rsidR="00FC09A0" w:rsidRPr="002C72C2">
        <w:rPr>
          <w:lang w:eastAsia="en-US" w:bidi="ar-SA"/>
        </w:rPr>
        <w:t>include</w:t>
      </w:r>
      <w:r w:rsidR="00B5543D">
        <w:rPr>
          <w:lang w:eastAsia="en-US" w:bidi="ar-SA"/>
        </w:rPr>
        <w:t xml:space="preserve"> unidirectional </w:t>
      </w:r>
      <w:r w:rsidR="00FC09A0" w:rsidRPr="002C72C2">
        <w:rPr>
          <w:lang w:eastAsia="en-US" w:bidi="ar-SA"/>
        </w:rPr>
        <w:t>flow</w:t>
      </w:r>
      <w:r w:rsidR="006E296C">
        <w:rPr>
          <w:lang w:eastAsia="en-US" w:bidi="ar-SA"/>
        </w:rPr>
        <w:t xml:space="preserve"> of </w:t>
      </w:r>
      <w:r w:rsidR="00FC09A0" w:rsidRPr="002C72C2">
        <w:rPr>
          <w:lang w:eastAsia="en-US" w:bidi="ar-SA"/>
        </w:rPr>
        <w:t xml:space="preserve">real power, dispatchable bulk power generation connected </w:t>
      </w:r>
      <w:r w:rsidR="006E296C">
        <w:rPr>
          <w:lang w:eastAsia="en-US" w:bidi="ar-SA"/>
        </w:rPr>
        <w:t xml:space="preserve">upstream </w:t>
      </w:r>
      <w:r w:rsidR="00FC09A0" w:rsidRPr="002C72C2">
        <w:rPr>
          <w:lang w:eastAsia="en-US" w:bidi="ar-SA"/>
        </w:rPr>
        <w:t xml:space="preserve">at the transmission level, and </w:t>
      </w:r>
      <w:r w:rsidR="006E296C">
        <w:rPr>
          <w:lang w:eastAsia="en-US" w:bidi="ar-SA"/>
        </w:rPr>
        <w:t xml:space="preserve">largely </w:t>
      </w:r>
      <w:r w:rsidR="00FC09A0" w:rsidRPr="002C72C2">
        <w:rPr>
          <w:lang w:eastAsia="en-US" w:bidi="ar-SA"/>
        </w:rPr>
        <w:t xml:space="preserve">passive loads. </w:t>
      </w:r>
      <w:r w:rsidR="006E296C">
        <w:rPr>
          <w:lang w:eastAsia="en-US" w:bidi="ar-SA"/>
        </w:rPr>
        <w:t xml:space="preserve">A complex set of </w:t>
      </w:r>
      <w:r w:rsidR="00FC09A0" w:rsidRPr="002C72C2">
        <w:rPr>
          <w:lang w:eastAsia="en-US" w:bidi="ar-SA"/>
        </w:rPr>
        <w:t>processes, protection and controls, sensing and measurement, data management, and industry structures evolved in response to these assumptions.</w:t>
      </w:r>
    </w:p>
    <w:p w14:paraId="0CF19454" w14:textId="47B5BCD1" w:rsidR="00605E39" w:rsidRDefault="00FC09A0" w:rsidP="00EB2823">
      <w:pPr>
        <w:spacing w:before="120" w:after="120" w:line="264" w:lineRule="auto"/>
        <w:rPr>
          <w:lang w:eastAsia="en-US" w:bidi="ar-SA"/>
        </w:rPr>
      </w:pPr>
      <w:r w:rsidRPr="002C72C2">
        <w:rPr>
          <w:lang w:eastAsia="en-US" w:bidi="ar-SA"/>
        </w:rPr>
        <w:t xml:space="preserve">The adoption of </w:t>
      </w:r>
      <w:r w:rsidR="007A3C74" w:rsidRPr="002C72C2">
        <w:rPr>
          <w:lang w:eastAsia="en-US" w:bidi="ar-SA"/>
        </w:rPr>
        <w:t>CER/DER</w:t>
      </w:r>
      <w:r w:rsidRPr="002C72C2">
        <w:rPr>
          <w:lang w:eastAsia="en-US" w:bidi="ar-SA"/>
        </w:rPr>
        <w:t xml:space="preserve"> </w:t>
      </w:r>
      <w:r w:rsidR="006E296C">
        <w:rPr>
          <w:lang w:eastAsia="en-US" w:bidi="ar-SA"/>
        </w:rPr>
        <w:t xml:space="preserve">at </w:t>
      </w:r>
      <w:r w:rsidRPr="002C72C2">
        <w:rPr>
          <w:lang w:eastAsia="en-US" w:bidi="ar-SA"/>
        </w:rPr>
        <w:t xml:space="preserve">scale </w:t>
      </w:r>
      <w:r w:rsidR="006E296C">
        <w:rPr>
          <w:lang w:eastAsia="en-US" w:bidi="ar-SA"/>
        </w:rPr>
        <w:t xml:space="preserve">fundamentally </w:t>
      </w:r>
      <w:r w:rsidRPr="002C72C2">
        <w:rPr>
          <w:lang w:eastAsia="en-US" w:bidi="ar-SA"/>
        </w:rPr>
        <w:t xml:space="preserve">challenges these assumptions in ways that </w:t>
      </w:r>
      <w:r w:rsidR="00A76EC4">
        <w:rPr>
          <w:lang w:eastAsia="en-US" w:bidi="ar-SA"/>
        </w:rPr>
        <w:t xml:space="preserve">impact the </w:t>
      </w:r>
      <w:r w:rsidR="000F72E6">
        <w:rPr>
          <w:lang w:eastAsia="en-US" w:bidi="ar-SA"/>
        </w:rPr>
        <w:t xml:space="preserve">adequacy of these legacy </w:t>
      </w:r>
      <w:r w:rsidRPr="002C72C2">
        <w:rPr>
          <w:lang w:eastAsia="en-US" w:bidi="ar-SA"/>
        </w:rPr>
        <w:t xml:space="preserve">structures. One of the most significant changes is the rise of the </w:t>
      </w:r>
      <w:r w:rsidR="007A3C74" w:rsidRPr="002C72C2">
        <w:rPr>
          <w:lang w:eastAsia="en-US" w:bidi="ar-SA"/>
        </w:rPr>
        <w:t>CER/DER</w:t>
      </w:r>
      <w:r w:rsidRPr="002C72C2">
        <w:rPr>
          <w:lang w:eastAsia="en-US" w:bidi="ar-SA"/>
        </w:rPr>
        <w:t xml:space="preserve"> aggregator or </w:t>
      </w:r>
      <w:r w:rsidR="000F72E6">
        <w:rPr>
          <w:lang w:eastAsia="en-US" w:bidi="ar-SA"/>
        </w:rPr>
        <w:t>Virtual Power Plant (</w:t>
      </w:r>
      <w:r w:rsidRPr="002C72C2">
        <w:rPr>
          <w:lang w:eastAsia="en-US" w:bidi="ar-SA"/>
        </w:rPr>
        <w:t>VPP</w:t>
      </w:r>
      <w:r w:rsidR="000F72E6">
        <w:rPr>
          <w:lang w:eastAsia="en-US" w:bidi="ar-SA"/>
        </w:rPr>
        <w:t xml:space="preserve">) </w:t>
      </w:r>
      <w:r w:rsidRPr="002C72C2">
        <w:rPr>
          <w:lang w:eastAsia="en-US" w:bidi="ar-SA"/>
        </w:rPr>
        <w:t xml:space="preserve">capability. Not only does this new capability imply new functionality, </w:t>
      </w:r>
      <w:r w:rsidR="000F72E6" w:rsidRPr="002C72C2">
        <w:rPr>
          <w:lang w:eastAsia="en-US" w:bidi="ar-SA"/>
        </w:rPr>
        <w:t>but it is also</w:t>
      </w:r>
      <w:r w:rsidRPr="002C72C2">
        <w:rPr>
          <w:lang w:eastAsia="en-US" w:bidi="ar-SA"/>
        </w:rPr>
        <w:t xml:space="preserve"> likely to result in an entire</w:t>
      </w:r>
      <w:r w:rsidR="000F72E6">
        <w:rPr>
          <w:lang w:eastAsia="en-US" w:bidi="ar-SA"/>
        </w:rPr>
        <w:t xml:space="preserve">ly </w:t>
      </w:r>
      <w:r w:rsidRPr="002C72C2">
        <w:rPr>
          <w:lang w:eastAsia="en-US" w:bidi="ar-SA"/>
        </w:rPr>
        <w:t xml:space="preserve">new class of entity involved in </w:t>
      </w:r>
      <w:r w:rsidR="000F72E6">
        <w:rPr>
          <w:lang w:eastAsia="en-US" w:bidi="ar-SA"/>
        </w:rPr>
        <w:t xml:space="preserve">power system </w:t>
      </w:r>
      <w:r w:rsidRPr="002C72C2">
        <w:rPr>
          <w:lang w:eastAsia="en-US" w:bidi="ar-SA"/>
        </w:rPr>
        <w:t>operations</w:t>
      </w:r>
      <w:r w:rsidR="00605E39">
        <w:rPr>
          <w:lang w:eastAsia="en-US" w:bidi="ar-SA"/>
        </w:rPr>
        <w:t xml:space="preserve">, </w:t>
      </w:r>
      <w:r w:rsidRPr="002C72C2">
        <w:rPr>
          <w:lang w:eastAsia="en-US" w:bidi="ar-SA"/>
        </w:rPr>
        <w:t xml:space="preserve">and a new layer or structure that has not previously existed in the evolution of </w:t>
      </w:r>
      <w:r w:rsidR="00605E39">
        <w:rPr>
          <w:lang w:eastAsia="en-US" w:bidi="ar-SA"/>
        </w:rPr>
        <w:t xml:space="preserve">grid </w:t>
      </w:r>
      <w:r w:rsidRPr="002C72C2">
        <w:rPr>
          <w:lang w:eastAsia="en-US" w:bidi="ar-SA"/>
        </w:rPr>
        <w:t>to date</w:t>
      </w:r>
      <w:r w:rsidR="00374950">
        <w:rPr>
          <w:lang w:eastAsia="en-US" w:bidi="ar-SA"/>
        </w:rPr>
        <w:t xml:space="preserve">. </w:t>
      </w:r>
    </w:p>
    <w:p w14:paraId="05522AD4" w14:textId="48984EE8" w:rsidR="00FC09A0" w:rsidRPr="002C72C2" w:rsidRDefault="00FC09A0" w:rsidP="00EB2823">
      <w:pPr>
        <w:spacing w:before="120" w:after="120" w:line="264" w:lineRule="auto"/>
        <w:rPr>
          <w:lang w:eastAsia="en-US" w:bidi="ar-SA"/>
        </w:rPr>
      </w:pPr>
      <w:r w:rsidRPr="002C72C2">
        <w:rPr>
          <w:lang w:eastAsia="en-US" w:bidi="ar-SA"/>
        </w:rPr>
        <w:t xml:space="preserve">The introduction of </w:t>
      </w:r>
      <w:r w:rsidR="009B580C">
        <w:rPr>
          <w:lang w:eastAsia="en-US" w:bidi="ar-SA"/>
        </w:rPr>
        <w:t>VPPs, particularly where active at scale</w:t>
      </w:r>
      <w:r w:rsidR="00B466D9">
        <w:rPr>
          <w:lang w:eastAsia="en-US" w:bidi="ar-SA"/>
        </w:rPr>
        <w:t xml:space="preserve">, </w:t>
      </w:r>
      <w:r w:rsidRPr="002C72C2">
        <w:rPr>
          <w:lang w:eastAsia="en-US" w:bidi="ar-SA"/>
        </w:rPr>
        <w:t>creates</w:t>
      </w:r>
      <w:r w:rsidR="00CF0969">
        <w:rPr>
          <w:lang w:eastAsia="en-US" w:bidi="ar-SA"/>
        </w:rPr>
        <w:t xml:space="preserve"> new</w:t>
      </w:r>
      <w:r w:rsidRPr="002C72C2">
        <w:rPr>
          <w:lang w:eastAsia="en-US" w:bidi="ar-SA"/>
        </w:rPr>
        <w:t xml:space="preserve"> complications in the operation of </w:t>
      </w:r>
      <w:r w:rsidR="00A12528">
        <w:rPr>
          <w:lang w:eastAsia="en-US" w:bidi="ar-SA"/>
        </w:rPr>
        <w:t xml:space="preserve">both the bulk power </w:t>
      </w:r>
      <w:r w:rsidR="000E083E">
        <w:rPr>
          <w:lang w:eastAsia="en-US" w:bidi="ar-SA"/>
        </w:rPr>
        <w:t xml:space="preserve">system and </w:t>
      </w:r>
      <w:r w:rsidRPr="002C72C2">
        <w:rPr>
          <w:lang w:eastAsia="en-US" w:bidi="ar-SA"/>
        </w:rPr>
        <w:t>distribution</w:t>
      </w:r>
      <w:r w:rsidR="00EE3B51">
        <w:rPr>
          <w:lang w:eastAsia="en-US" w:bidi="ar-SA"/>
        </w:rPr>
        <w:t xml:space="preserve"> systems</w:t>
      </w:r>
      <w:r w:rsidR="00374950">
        <w:rPr>
          <w:lang w:eastAsia="en-US" w:bidi="ar-SA"/>
        </w:rPr>
        <w:t xml:space="preserve">. </w:t>
      </w:r>
      <w:r w:rsidR="007D5ABD">
        <w:rPr>
          <w:lang w:eastAsia="en-US" w:bidi="ar-SA"/>
        </w:rPr>
        <w:t xml:space="preserve">This is due to the reality that VPPs </w:t>
      </w:r>
      <w:r w:rsidR="00D76606">
        <w:rPr>
          <w:lang w:eastAsia="en-US" w:bidi="ar-SA"/>
        </w:rPr>
        <w:t>will be p</w:t>
      </w:r>
      <w:r w:rsidRPr="002C72C2">
        <w:rPr>
          <w:lang w:eastAsia="en-US" w:bidi="ar-SA"/>
        </w:rPr>
        <w:t>erforming functions that affect grid operations</w:t>
      </w:r>
      <w:r w:rsidR="00C17C73">
        <w:rPr>
          <w:lang w:eastAsia="en-US" w:bidi="ar-SA"/>
        </w:rPr>
        <w:t xml:space="preserve"> both at the LV feeder level </w:t>
      </w:r>
      <w:r w:rsidR="003A1B63">
        <w:rPr>
          <w:lang w:eastAsia="en-US" w:bidi="ar-SA"/>
        </w:rPr>
        <w:t>and a</w:t>
      </w:r>
      <w:r w:rsidRPr="002C72C2">
        <w:rPr>
          <w:lang w:eastAsia="en-US" w:bidi="ar-SA"/>
        </w:rPr>
        <w:t>t the bulk</w:t>
      </w:r>
      <w:r w:rsidR="003A1B63">
        <w:rPr>
          <w:lang w:eastAsia="en-US" w:bidi="ar-SA"/>
        </w:rPr>
        <w:t xml:space="preserve"> power</w:t>
      </w:r>
      <w:r w:rsidRPr="002C72C2">
        <w:rPr>
          <w:lang w:eastAsia="en-US" w:bidi="ar-SA"/>
        </w:rPr>
        <w:t xml:space="preserve"> level. </w:t>
      </w:r>
    </w:p>
    <w:p w14:paraId="3C41B147" w14:textId="77777777" w:rsidR="00FC09A0" w:rsidRPr="00EB2823" w:rsidRDefault="00FC09A0" w:rsidP="00954BAC">
      <w:pPr>
        <w:pStyle w:val="Heading4"/>
        <w:numPr>
          <w:ilvl w:val="0"/>
          <w:numId w:val="57"/>
        </w:numPr>
        <w:spacing w:before="240" w:line="264" w:lineRule="auto"/>
        <w:ind w:left="357" w:hanging="357"/>
        <w:rPr>
          <w:i w:val="0"/>
          <w:iCs w:val="0"/>
        </w:rPr>
      </w:pPr>
      <w:r w:rsidRPr="00EB2823">
        <w:rPr>
          <w:i w:val="0"/>
          <w:iCs w:val="0"/>
        </w:rPr>
        <w:t>Contributing Factors</w:t>
      </w:r>
    </w:p>
    <w:p w14:paraId="75A830C6" w14:textId="2503227B" w:rsidR="006206D4" w:rsidRPr="004B6C65" w:rsidRDefault="004717B3" w:rsidP="005501AC">
      <w:pPr>
        <w:spacing w:before="120" w:after="120" w:line="264" w:lineRule="auto"/>
        <w:rPr>
          <w:rStyle w:val="IntenseEmphasis"/>
        </w:rPr>
      </w:pPr>
      <w:r>
        <w:rPr>
          <w:rStyle w:val="IntenseEmphasis"/>
        </w:rPr>
        <w:t>Careful Allocation of New</w:t>
      </w:r>
      <w:r w:rsidR="006206D4" w:rsidRPr="004B6C65">
        <w:rPr>
          <w:rStyle w:val="IntenseEmphasis"/>
        </w:rPr>
        <w:t xml:space="preserve"> Roles/Responsibilities </w:t>
      </w:r>
    </w:p>
    <w:p w14:paraId="7B050A8E" w14:textId="3929FB1D" w:rsidR="00E14CC1" w:rsidRDefault="00FC09A0" w:rsidP="009836D0">
      <w:pPr>
        <w:spacing w:before="120" w:after="120" w:line="264" w:lineRule="auto"/>
        <w:rPr>
          <w:lang w:eastAsia="en-US" w:bidi="ar-SA"/>
        </w:rPr>
      </w:pPr>
      <w:r w:rsidRPr="002C72C2">
        <w:rPr>
          <w:lang w:eastAsia="en-US" w:bidi="ar-SA"/>
        </w:rPr>
        <w:t xml:space="preserve">The participation of </w:t>
      </w:r>
      <w:r w:rsidR="005E2B91" w:rsidRPr="002C72C2">
        <w:rPr>
          <w:lang w:eastAsia="en-US" w:bidi="ar-SA"/>
        </w:rPr>
        <w:t>CER/DER aggregator</w:t>
      </w:r>
      <w:r w:rsidR="005E2B91">
        <w:rPr>
          <w:lang w:eastAsia="en-US" w:bidi="ar-SA"/>
        </w:rPr>
        <w:t xml:space="preserve">s or </w:t>
      </w:r>
      <w:r w:rsidRPr="002C72C2">
        <w:rPr>
          <w:lang w:eastAsia="en-US" w:bidi="ar-SA"/>
        </w:rPr>
        <w:t xml:space="preserve">VPPs in grid operations </w:t>
      </w:r>
      <w:r w:rsidR="003E28C0">
        <w:rPr>
          <w:lang w:eastAsia="en-US" w:bidi="ar-SA"/>
        </w:rPr>
        <w:t>will require</w:t>
      </w:r>
      <w:r w:rsidRPr="002C72C2">
        <w:rPr>
          <w:lang w:eastAsia="en-US" w:bidi="ar-SA"/>
        </w:rPr>
        <w:t xml:space="preserve"> the definition of new capabilitie</w:t>
      </w:r>
      <w:r w:rsidR="00555FF3">
        <w:rPr>
          <w:lang w:eastAsia="en-US" w:bidi="ar-SA"/>
        </w:rPr>
        <w:t xml:space="preserve">s, and therefore the </w:t>
      </w:r>
      <w:r w:rsidRPr="002C72C2">
        <w:rPr>
          <w:lang w:eastAsia="en-US" w:bidi="ar-SA"/>
        </w:rPr>
        <w:t>new functionalities</w:t>
      </w:r>
      <w:r w:rsidR="00555FF3">
        <w:rPr>
          <w:lang w:eastAsia="en-US" w:bidi="ar-SA"/>
        </w:rPr>
        <w:t xml:space="preserve"> </w:t>
      </w:r>
      <w:r w:rsidR="004C1FC3">
        <w:rPr>
          <w:lang w:eastAsia="en-US" w:bidi="ar-SA"/>
        </w:rPr>
        <w:t xml:space="preserve">needed </w:t>
      </w:r>
      <w:r w:rsidRPr="002C72C2">
        <w:rPr>
          <w:lang w:eastAsia="en-US" w:bidi="ar-SA"/>
        </w:rPr>
        <w:t xml:space="preserve">to support them. Not </w:t>
      </w:r>
      <w:r w:rsidR="005E2B91" w:rsidRPr="002C72C2">
        <w:rPr>
          <w:lang w:eastAsia="en-US" w:bidi="ar-SA"/>
        </w:rPr>
        <w:t>all</w:t>
      </w:r>
      <w:r w:rsidRPr="002C72C2">
        <w:rPr>
          <w:lang w:eastAsia="en-US" w:bidi="ar-SA"/>
        </w:rPr>
        <w:t xml:space="preserve"> the </w:t>
      </w:r>
      <w:r w:rsidR="003538C2">
        <w:rPr>
          <w:lang w:eastAsia="en-US" w:bidi="ar-SA"/>
        </w:rPr>
        <w:t xml:space="preserve">required </w:t>
      </w:r>
      <w:r w:rsidRPr="002C72C2">
        <w:rPr>
          <w:lang w:eastAsia="en-US" w:bidi="ar-SA"/>
        </w:rPr>
        <w:t>functionalities or capabilities can necessarily be provided by the</w:t>
      </w:r>
      <w:r w:rsidR="005E2B91">
        <w:rPr>
          <w:lang w:eastAsia="en-US" w:bidi="ar-SA"/>
        </w:rPr>
        <w:t>se entities</w:t>
      </w:r>
      <w:r w:rsidR="00FE4415">
        <w:rPr>
          <w:lang w:eastAsia="en-US" w:bidi="ar-SA"/>
        </w:rPr>
        <w:t>, however</w:t>
      </w:r>
      <w:r w:rsidR="00374950">
        <w:rPr>
          <w:lang w:eastAsia="en-US" w:bidi="ar-SA"/>
        </w:rPr>
        <w:t xml:space="preserve">. </w:t>
      </w:r>
      <w:r w:rsidR="0016715E">
        <w:rPr>
          <w:lang w:eastAsia="en-US" w:bidi="ar-SA"/>
        </w:rPr>
        <w:t xml:space="preserve">Therefore, the </w:t>
      </w:r>
      <w:r w:rsidRPr="002C72C2">
        <w:rPr>
          <w:lang w:eastAsia="en-US" w:bidi="ar-SA"/>
        </w:rPr>
        <w:t xml:space="preserve">new roles and responsibilities </w:t>
      </w:r>
      <w:r w:rsidR="0034017A">
        <w:rPr>
          <w:lang w:eastAsia="en-US" w:bidi="ar-SA"/>
        </w:rPr>
        <w:t xml:space="preserve">will need to be </w:t>
      </w:r>
      <w:r w:rsidRPr="002C72C2">
        <w:rPr>
          <w:lang w:eastAsia="en-US" w:bidi="ar-SA"/>
        </w:rPr>
        <w:t xml:space="preserve">defined and </w:t>
      </w:r>
      <w:r w:rsidR="007D681D">
        <w:rPr>
          <w:lang w:eastAsia="en-US" w:bidi="ar-SA"/>
        </w:rPr>
        <w:t xml:space="preserve">allocated </w:t>
      </w:r>
      <w:r w:rsidRPr="002C72C2">
        <w:rPr>
          <w:lang w:eastAsia="en-US" w:bidi="ar-SA"/>
        </w:rPr>
        <w:t xml:space="preserve">to </w:t>
      </w:r>
      <w:r w:rsidR="0034017A">
        <w:rPr>
          <w:lang w:eastAsia="en-US" w:bidi="ar-SA"/>
        </w:rPr>
        <w:t xml:space="preserve">relevant </w:t>
      </w:r>
      <w:r w:rsidRPr="002C72C2">
        <w:rPr>
          <w:lang w:eastAsia="en-US" w:bidi="ar-SA"/>
        </w:rPr>
        <w:t xml:space="preserve">entities in a </w:t>
      </w:r>
      <w:r w:rsidR="0034017A" w:rsidRPr="002C72C2">
        <w:rPr>
          <w:lang w:eastAsia="en-US" w:bidi="ar-SA"/>
        </w:rPr>
        <w:t>rigorous</w:t>
      </w:r>
      <w:r w:rsidR="0034017A">
        <w:rPr>
          <w:lang w:eastAsia="en-US" w:bidi="ar-SA"/>
        </w:rPr>
        <w:t xml:space="preserve">, systemic </w:t>
      </w:r>
      <w:r w:rsidRPr="002C72C2">
        <w:rPr>
          <w:lang w:eastAsia="en-US" w:bidi="ar-SA"/>
        </w:rPr>
        <w:t xml:space="preserve">manner </w:t>
      </w:r>
      <w:r w:rsidR="007D681D">
        <w:rPr>
          <w:lang w:eastAsia="en-US" w:bidi="ar-SA"/>
        </w:rPr>
        <w:t>that</w:t>
      </w:r>
      <w:r w:rsidRPr="002C72C2">
        <w:rPr>
          <w:lang w:eastAsia="en-US" w:bidi="ar-SA"/>
        </w:rPr>
        <w:t xml:space="preserve"> ensure</w:t>
      </w:r>
      <w:r w:rsidR="007D681D">
        <w:rPr>
          <w:lang w:eastAsia="en-US" w:bidi="ar-SA"/>
        </w:rPr>
        <w:t>s</w:t>
      </w:r>
      <w:r w:rsidRPr="002C72C2">
        <w:rPr>
          <w:lang w:eastAsia="en-US" w:bidi="ar-SA"/>
        </w:rPr>
        <w:t xml:space="preserve"> efficient, secure, and conflict-free operation</w:t>
      </w:r>
      <w:r w:rsidR="00E14CC1">
        <w:rPr>
          <w:lang w:eastAsia="en-US" w:bidi="ar-SA"/>
        </w:rPr>
        <w:t xml:space="preserve"> </w:t>
      </w:r>
      <w:r w:rsidR="00E14CC1" w:rsidRPr="0043196B">
        <w:rPr>
          <w:lang w:eastAsia="en-US" w:bidi="ar-SA"/>
        </w:rPr>
        <w:t>(refer</w:t>
      </w:r>
      <w:r w:rsidR="00254F7E">
        <w:rPr>
          <w:lang w:eastAsia="en-US" w:bidi="ar-SA"/>
        </w:rPr>
        <w:t xml:space="preserve"> also to</w:t>
      </w:r>
      <w:r w:rsidR="00E14CC1" w:rsidRPr="0043196B">
        <w:rPr>
          <w:lang w:eastAsia="en-US" w:bidi="ar-SA"/>
        </w:rPr>
        <w:t xml:space="preserve"> </w:t>
      </w:r>
      <w:hyperlink w:anchor="_Roles_&amp;_Responsibilities" w:history="1">
        <w:r w:rsidR="00E14CC1" w:rsidRPr="00083806">
          <w:rPr>
            <w:rStyle w:val="Hyperlink"/>
            <w:lang w:eastAsia="en-US" w:bidi="ar-SA"/>
          </w:rPr>
          <w:t xml:space="preserve">Section </w:t>
        </w:r>
        <w:r w:rsidR="0043196B" w:rsidRPr="00083806">
          <w:rPr>
            <w:rStyle w:val="Hyperlink"/>
            <w:lang w:eastAsia="en-US" w:bidi="ar-SA"/>
          </w:rPr>
          <w:t>4.4.1</w:t>
        </w:r>
      </w:hyperlink>
      <w:r w:rsidR="00E14CC1" w:rsidRPr="0043196B">
        <w:rPr>
          <w:lang w:eastAsia="en-US" w:bidi="ar-SA"/>
        </w:rPr>
        <w:t>)</w:t>
      </w:r>
      <w:r w:rsidR="00374950">
        <w:rPr>
          <w:lang w:eastAsia="en-US" w:bidi="ar-SA"/>
        </w:rPr>
        <w:t xml:space="preserve">. </w:t>
      </w:r>
      <w:r w:rsidR="009836D0" w:rsidRPr="0043196B">
        <w:rPr>
          <w:lang w:eastAsia="en-US" w:bidi="ar-SA"/>
        </w:rPr>
        <w:t xml:space="preserve">Some </w:t>
      </w:r>
      <w:r w:rsidR="00E14CC1" w:rsidRPr="0043196B">
        <w:rPr>
          <w:lang w:eastAsia="en-US" w:bidi="ar-SA"/>
        </w:rPr>
        <w:t>related</w:t>
      </w:r>
      <w:r w:rsidR="00E14CC1">
        <w:rPr>
          <w:lang w:eastAsia="en-US" w:bidi="ar-SA"/>
        </w:rPr>
        <w:t xml:space="preserve"> considerations</w:t>
      </w:r>
      <w:r w:rsidR="0034017A">
        <w:rPr>
          <w:lang w:eastAsia="en-US" w:bidi="ar-SA"/>
        </w:rPr>
        <w:t xml:space="preserve"> also</w:t>
      </w:r>
      <w:r w:rsidR="00E14CC1">
        <w:rPr>
          <w:lang w:eastAsia="en-US" w:bidi="ar-SA"/>
        </w:rPr>
        <w:t xml:space="preserve"> include: </w:t>
      </w:r>
    </w:p>
    <w:p w14:paraId="33183DF5" w14:textId="256FF55A" w:rsidR="002D3F01" w:rsidRPr="002C72C2" w:rsidRDefault="00E14CC1" w:rsidP="00954BAC">
      <w:pPr>
        <w:pStyle w:val="ListParagraph"/>
        <w:numPr>
          <w:ilvl w:val="0"/>
          <w:numId w:val="45"/>
        </w:numPr>
        <w:spacing w:line="264" w:lineRule="auto"/>
        <w:rPr>
          <w:lang w:eastAsia="en-US" w:bidi="ar-SA"/>
        </w:rPr>
      </w:pPr>
      <w:r>
        <w:rPr>
          <w:lang w:eastAsia="en-US" w:bidi="ar-SA"/>
        </w:rPr>
        <w:t>The rigorous d</w:t>
      </w:r>
      <w:r w:rsidR="002D3F01" w:rsidRPr="002C72C2">
        <w:rPr>
          <w:lang w:eastAsia="en-US" w:bidi="ar-SA"/>
        </w:rPr>
        <w:t xml:space="preserve">efinition of </w:t>
      </w:r>
      <w:r w:rsidR="00BA51E6">
        <w:rPr>
          <w:lang w:eastAsia="en-US" w:bidi="ar-SA"/>
        </w:rPr>
        <w:t xml:space="preserve">the necessary </w:t>
      </w:r>
      <w:r w:rsidR="002D3F01" w:rsidRPr="002C72C2">
        <w:rPr>
          <w:lang w:eastAsia="en-US" w:bidi="ar-SA"/>
        </w:rPr>
        <w:t xml:space="preserve">capabilities and functionalities is </w:t>
      </w:r>
      <w:r w:rsidR="0034017A">
        <w:rPr>
          <w:lang w:eastAsia="en-US" w:bidi="ar-SA"/>
        </w:rPr>
        <w:t xml:space="preserve">critical </w:t>
      </w:r>
      <w:r w:rsidR="002D3F01" w:rsidRPr="002C72C2">
        <w:rPr>
          <w:lang w:eastAsia="en-US" w:bidi="ar-SA"/>
        </w:rPr>
        <w:t>to determin</w:t>
      </w:r>
      <w:r w:rsidR="0034017A">
        <w:rPr>
          <w:lang w:eastAsia="en-US" w:bidi="ar-SA"/>
        </w:rPr>
        <w:t xml:space="preserve">ing the </w:t>
      </w:r>
      <w:r w:rsidR="002D3F01" w:rsidRPr="002C72C2">
        <w:rPr>
          <w:lang w:eastAsia="en-US" w:bidi="ar-SA"/>
        </w:rPr>
        <w:t>data/information requirements</w:t>
      </w:r>
      <w:r w:rsidR="0034017A">
        <w:rPr>
          <w:lang w:eastAsia="en-US" w:bidi="ar-SA"/>
        </w:rPr>
        <w:t xml:space="preserve">, </w:t>
      </w:r>
      <w:r w:rsidR="002D3F01" w:rsidRPr="002C72C2">
        <w:rPr>
          <w:lang w:eastAsia="en-US" w:bidi="ar-SA"/>
        </w:rPr>
        <w:t>flows</w:t>
      </w:r>
      <w:r w:rsidR="0034017A">
        <w:rPr>
          <w:lang w:eastAsia="en-US" w:bidi="ar-SA"/>
        </w:rPr>
        <w:t xml:space="preserve"> and enabling architectures</w:t>
      </w:r>
    </w:p>
    <w:p w14:paraId="440DBDAA" w14:textId="7F6A208E" w:rsidR="002D3F01" w:rsidRDefault="002D3F01" w:rsidP="00954BAC">
      <w:pPr>
        <w:pStyle w:val="ListParagraph"/>
        <w:numPr>
          <w:ilvl w:val="0"/>
          <w:numId w:val="45"/>
        </w:numPr>
        <w:spacing w:line="264" w:lineRule="auto"/>
        <w:rPr>
          <w:lang w:eastAsia="en-US" w:bidi="ar-SA"/>
        </w:rPr>
      </w:pPr>
      <w:r w:rsidRPr="002C72C2">
        <w:rPr>
          <w:lang w:eastAsia="en-US" w:bidi="ar-SA"/>
        </w:rPr>
        <w:t xml:space="preserve">Some capabilities and/functions likely already exist but may not be in a form usable by </w:t>
      </w:r>
      <w:r w:rsidR="0089439A" w:rsidRPr="002C72C2">
        <w:rPr>
          <w:lang w:eastAsia="en-US" w:bidi="ar-SA"/>
        </w:rPr>
        <w:t>CER/DER aggregator</w:t>
      </w:r>
      <w:r w:rsidR="0089439A">
        <w:rPr>
          <w:lang w:eastAsia="en-US" w:bidi="ar-SA"/>
        </w:rPr>
        <w:t xml:space="preserve">s or </w:t>
      </w:r>
      <w:r w:rsidR="0089439A" w:rsidRPr="002C72C2">
        <w:rPr>
          <w:lang w:eastAsia="en-US" w:bidi="ar-SA"/>
        </w:rPr>
        <w:t>VPPs</w:t>
      </w:r>
      <w:r w:rsidR="00875AB5">
        <w:rPr>
          <w:lang w:eastAsia="en-US" w:bidi="ar-SA"/>
        </w:rPr>
        <w:t>, and</w:t>
      </w:r>
    </w:p>
    <w:p w14:paraId="3EFF07E4" w14:textId="5DB3F45B" w:rsidR="002D3F01" w:rsidRPr="002C72C2" w:rsidRDefault="001532FA" w:rsidP="00954BAC">
      <w:pPr>
        <w:pStyle w:val="ListParagraph"/>
        <w:numPr>
          <w:ilvl w:val="0"/>
          <w:numId w:val="45"/>
        </w:numPr>
        <w:spacing w:line="264" w:lineRule="auto"/>
        <w:rPr>
          <w:lang w:eastAsia="en-US" w:bidi="ar-SA"/>
        </w:rPr>
      </w:pPr>
      <w:r>
        <w:rPr>
          <w:lang w:eastAsia="en-US" w:bidi="ar-SA"/>
        </w:rPr>
        <w:t>C</w:t>
      </w:r>
      <w:r w:rsidR="005522D8" w:rsidRPr="002C72C2">
        <w:rPr>
          <w:lang w:eastAsia="en-US" w:bidi="ar-SA"/>
        </w:rPr>
        <w:t>onsolidation and grouping of functions, assignment of function groups to roles, and mapping of roles to entities (AEMO, DNSPs</w:t>
      </w:r>
      <w:r w:rsidR="005522D8">
        <w:rPr>
          <w:lang w:eastAsia="en-US" w:bidi="ar-SA"/>
        </w:rPr>
        <w:t>, DSOs, VPPs</w:t>
      </w:r>
      <w:r w:rsidR="005522D8" w:rsidRPr="002C72C2">
        <w:rPr>
          <w:lang w:eastAsia="en-US" w:bidi="ar-SA"/>
        </w:rPr>
        <w:t>) must avoid duplication and coupling conflicts</w:t>
      </w:r>
      <w:r w:rsidR="00875AB5">
        <w:rPr>
          <w:lang w:eastAsia="en-US" w:bidi="ar-SA"/>
        </w:rPr>
        <w:t>.</w:t>
      </w:r>
    </w:p>
    <w:tbl>
      <w:tblPr>
        <w:tblStyle w:val="GridTable4"/>
        <w:tblW w:w="8217" w:type="dxa"/>
        <w:tblLook w:val="04A0" w:firstRow="1" w:lastRow="0" w:firstColumn="1" w:lastColumn="0" w:noHBand="0" w:noVBand="1"/>
      </w:tblPr>
      <w:tblGrid>
        <w:gridCol w:w="8217"/>
      </w:tblGrid>
      <w:tr w:rsidR="007B1AAA" w:rsidRPr="002C72C2" w14:paraId="45A8E16B" w14:textId="77777777" w:rsidTr="008F2E81">
        <w:trPr>
          <w:cnfStyle w:val="100000000000" w:firstRow="1" w:lastRow="0" w:firstColumn="0" w:lastColumn="0" w:oddVBand="0" w:evenVBand="0" w:oddHBand="0" w:evenHBand="0" w:firstRowFirstColumn="0" w:firstRowLastColumn="0" w:lastRowFirstColumn="0" w:lastRowLastColumn="0"/>
          <w:trHeight w:val="5594"/>
        </w:trPr>
        <w:tc>
          <w:tcPr>
            <w:cnfStyle w:val="001000000000" w:firstRow="0" w:lastRow="0" w:firstColumn="1" w:lastColumn="0" w:oddVBand="0" w:evenVBand="0" w:oddHBand="0" w:evenHBand="0" w:firstRowFirstColumn="0" w:firstRowLastColumn="0" w:lastRowFirstColumn="0" w:lastRowLastColumn="0"/>
            <w:tcW w:w="8217" w:type="dxa"/>
          </w:tcPr>
          <w:p w14:paraId="124E93D9" w14:textId="47484DF7" w:rsidR="007B1AAA" w:rsidRPr="002F2243" w:rsidRDefault="007B1AAA" w:rsidP="00014ED2">
            <w:pPr>
              <w:spacing w:before="120" w:after="0" w:line="264" w:lineRule="auto"/>
              <w:ind w:left="175"/>
              <w:rPr>
                <w:rStyle w:val="Strong"/>
                <w:b w:val="0"/>
                <w:bCs w:val="0"/>
                <w:color w:val="auto"/>
                <w:sz w:val="28"/>
              </w:rPr>
            </w:pPr>
            <w:r w:rsidRPr="00CC7B9F">
              <w:rPr>
                <w:rStyle w:val="Strong"/>
                <w:b w:val="0"/>
                <w:bCs w:val="0"/>
                <w:sz w:val="28"/>
              </w:rPr>
              <w:t xml:space="preserve">Key Concepts </w:t>
            </w:r>
            <w:r w:rsidR="00B95B8B">
              <w:rPr>
                <w:rStyle w:val="Strong"/>
                <w:b w:val="0"/>
                <w:bCs w:val="0"/>
                <w:sz w:val="28"/>
              </w:rPr>
              <w:t>J</w:t>
            </w:r>
            <w:r>
              <w:rPr>
                <w:rStyle w:val="Strong"/>
                <w:b w:val="0"/>
                <w:bCs w:val="0"/>
                <w:sz w:val="28"/>
              </w:rPr>
              <w:t xml:space="preserve"> </w:t>
            </w:r>
            <w:r w:rsidRPr="00F10C61">
              <w:rPr>
                <w:rFonts w:ascii="PP Mori SemiBold" w:hAnsi="PP Mori SemiBold"/>
                <w:noProof/>
                <w:sz w:val="20"/>
                <w:szCs w:val="20"/>
              </w:rPr>
              <w:drawing>
                <wp:inline distT="0" distB="0" distL="0" distR="0" wp14:anchorId="7ADC9285" wp14:editId="7AEDF18C">
                  <wp:extent cx="272006" cy="272006"/>
                  <wp:effectExtent l="0" t="0" r="6350" b="6350"/>
                  <wp:docPr id="762021941"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5"/>
                              </a:ext>
                            </a:extLst>
                          </a:blip>
                          <a:stretch>
                            <a:fillRect/>
                          </a:stretch>
                        </pic:blipFill>
                        <pic:spPr>
                          <a:xfrm>
                            <a:off x="0" y="0"/>
                            <a:ext cx="272006" cy="272006"/>
                          </a:xfrm>
                          <a:prstGeom prst="rect">
                            <a:avLst/>
                          </a:prstGeom>
                        </pic:spPr>
                      </pic:pic>
                    </a:graphicData>
                  </a:graphic>
                </wp:inline>
              </w:drawing>
            </w:r>
            <w:r>
              <w:rPr>
                <w:rStyle w:val="Strong"/>
                <w:b w:val="0"/>
                <w:bCs w:val="0"/>
                <w:sz w:val="28"/>
              </w:rPr>
              <w:t xml:space="preserve"> </w:t>
            </w:r>
          </w:p>
          <w:p w14:paraId="504CB036" w14:textId="77777777" w:rsidR="00324C49" w:rsidRPr="004336B1" w:rsidRDefault="00324C49" w:rsidP="00324C49">
            <w:pPr>
              <w:spacing w:after="80" w:line="264" w:lineRule="auto"/>
              <w:ind w:left="176" w:right="170"/>
              <w:rPr>
                <w:rFonts w:ascii="PP Mori SemiBold" w:hAnsi="PP Mori SemiBold"/>
                <w:i/>
                <w:iCs/>
                <w:sz w:val="24"/>
                <w:szCs w:val="40"/>
              </w:rPr>
            </w:pPr>
            <w:r>
              <w:rPr>
                <w:rFonts w:ascii="PP Mori SemiBold" w:hAnsi="PP Mori SemiBold"/>
                <w:i/>
                <w:iCs/>
                <w:sz w:val="24"/>
                <w:szCs w:val="40"/>
              </w:rPr>
              <w:t>Interface</w:t>
            </w:r>
          </w:p>
          <w:p w14:paraId="2910F29E" w14:textId="77777777" w:rsidR="00324C49" w:rsidRPr="004336B1" w:rsidRDefault="00324C49" w:rsidP="00324C49">
            <w:pPr>
              <w:spacing w:before="0" w:after="120" w:line="264" w:lineRule="auto"/>
              <w:ind w:left="176" w:right="170"/>
              <w:rPr>
                <w:b w:val="0"/>
                <w:lang w:eastAsia="en-US" w:bidi="ar-SA"/>
              </w:rPr>
            </w:pPr>
            <w:r w:rsidRPr="00380775">
              <w:rPr>
                <w:b w:val="0"/>
                <w:lang w:eastAsia="en-US" w:bidi="ar-SA"/>
              </w:rPr>
              <w:t>A point of interaction or boundary where different subsystems, components, or modules communicate and exchange information or energy. It defines the protocols, standards, and methods through which these interactions occur, ensuring compatibility and coordination among the interconnected parts of the system. Interfaces are crucial for the integration and functionality of complex systems, allowing diverse elements to work together effectively.</w:t>
            </w:r>
          </w:p>
          <w:p w14:paraId="0A385990" w14:textId="77777777" w:rsidR="00324C49" w:rsidRPr="004336B1" w:rsidRDefault="00324C49" w:rsidP="00324C49">
            <w:pPr>
              <w:spacing w:before="180" w:after="80" w:line="264" w:lineRule="auto"/>
              <w:ind w:left="176" w:right="170"/>
              <w:rPr>
                <w:rFonts w:ascii="PP Mori SemiBold" w:hAnsi="PP Mori SemiBold"/>
                <w:i/>
                <w:iCs/>
                <w:sz w:val="24"/>
                <w:szCs w:val="40"/>
              </w:rPr>
            </w:pPr>
            <w:r>
              <w:rPr>
                <w:rFonts w:ascii="PP Mori SemiBold" w:hAnsi="PP Mori SemiBold"/>
                <w:i/>
                <w:iCs/>
                <w:sz w:val="24"/>
                <w:szCs w:val="40"/>
              </w:rPr>
              <w:t>Interoperability</w:t>
            </w:r>
          </w:p>
          <w:p w14:paraId="2ED0ABB3" w14:textId="77777777" w:rsidR="00324C49" w:rsidRPr="00380775" w:rsidRDefault="00324C49" w:rsidP="00324C49">
            <w:pPr>
              <w:spacing w:before="0" w:after="120" w:line="264" w:lineRule="auto"/>
              <w:ind w:left="176" w:right="170"/>
              <w:rPr>
                <w:b w:val="0"/>
                <w:lang w:eastAsia="en-US" w:bidi="ar-SA"/>
              </w:rPr>
            </w:pPr>
            <w:r w:rsidRPr="00380775">
              <w:rPr>
                <w:b w:val="0"/>
                <w:lang w:eastAsia="en-US" w:bidi="ar-SA"/>
              </w:rPr>
              <w:t>The capability of two or more systems, components or applications to share, transfer, and readily use energy, power, information and services securely and effectively with little or no inconvenience to the user.</w:t>
            </w:r>
          </w:p>
          <w:p w14:paraId="1657C952" w14:textId="77777777" w:rsidR="00324C49" w:rsidRDefault="00324C49" w:rsidP="00324C49">
            <w:pPr>
              <w:spacing w:before="0" w:after="120" w:line="264" w:lineRule="auto"/>
              <w:ind w:left="176" w:right="170"/>
              <w:rPr>
                <w:bCs w:val="0"/>
                <w:lang w:eastAsia="en-US" w:bidi="ar-SA"/>
              </w:rPr>
            </w:pPr>
            <w:r w:rsidRPr="00380775">
              <w:rPr>
                <w:b w:val="0"/>
                <w:lang w:eastAsia="en-US" w:bidi="ar-SA"/>
              </w:rPr>
              <w:t xml:space="preserve">Future-ready approaches to Interoperability recognise that is has an intrinsic relationship to the underpinning Structure and Roles &amp; Responsibilities of the wider system, both in their current state form and as they will plausibly need to evolve to enable an increasingly decarbonised future system. </w:t>
            </w:r>
          </w:p>
          <w:p w14:paraId="6AF7F618" w14:textId="2EBB5382" w:rsidR="007B1AAA" w:rsidRPr="002C72C2" w:rsidRDefault="007B1AAA" w:rsidP="00B95B8B">
            <w:pPr>
              <w:spacing w:before="120" w:after="120" w:line="264" w:lineRule="auto"/>
              <w:ind w:left="175"/>
              <w:rPr>
                <w:b w:val="0"/>
                <w:lang w:eastAsia="en-US" w:bidi="ar-SA"/>
              </w:rPr>
            </w:pPr>
          </w:p>
        </w:tc>
      </w:tr>
    </w:tbl>
    <w:p w14:paraId="03892880" w14:textId="316A39BC" w:rsidR="00FC09A0" w:rsidRPr="004B6C65" w:rsidRDefault="00FC09A0" w:rsidP="001371D2">
      <w:pPr>
        <w:spacing w:before="360" w:after="120" w:line="264" w:lineRule="auto"/>
        <w:rPr>
          <w:rStyle w:val="IntenseEmphasis"/>
        </w:rPr>
      </w:pPr>
      <w:r w:rsidRPr="004B6C65">
        <w:rPr>
          <w:rStyle w:val="IntenseEmphasis"/>
        </w:rPr>
        <w:t>Hidden Coupling</w:t>
      </w:r>
      <w:r w:rsidR="007A1744">
        <w:rPr>
          <w:rStyle w:val="IntenseEmphasis"/>
        </w:rPr>
        <w:t xml:space="preserve"> and </w:t>
      </w:r>
      <w:r w:rsidRPr="004B6C65">
        <w:rPr>
          <w:rStyle w:val="IntenseEmphasis"/>
        </w:rPr>
        <w:t>Tier</w:t>
      </w:r>
      <w:r w:rsidR="007A1744">
        <w:rPr>
          <w:rStyle w:val="IntenseEmphasis"/>
        </w:rPr>
        <w:t>/Layer</w:t>
      </w:r>
      <w:r w:rsidRPr="004B6C65">
        <w:rPr>
          <w:rStyle w:val="IntenseEmphasis"/>
        </w:rPr>
        <w:t xml:space="preserve"> Bypassing</w:t>
      </w:r>
    </w:p>
    <w:p w14:paraId="51550A70" w14:textId="75B3CB42" w:rsidR="00651C01" w:rsidRDefault="00FC09A0" w:rsidP="00EB2823">
      <w:pPr>
        <w:spacing w:before="120" w:after="120" w:line="264" w:lineRule="auto"/>
        <w:rPr>
          <w:lang w:eastAsia="en-US" w:bidi="ar-SA"/>
        </w:rPr>
      </w:pPr>
      <w:r w:rsidRPr="002C72C2">
        <w:rPr>
          <w:lang w:eastAsia="en-US" w:bidi="ar-SA"/>
        </w:rPr>
        <w:t xml:space="preserve">The use of </w:t>
      </w:r>
      <w:r w:rsidR="007A3C74" w:rsidRPr="002C72C2">
        <w:rPr>
          <w:lang w:eastAsia="en-US" w:bidi="ar-SA"/>
        </w:rPr>
        <w:t>CER/DER</w:t>
      </w:r>
      <w:r w:rsidRPr="002C72C2">
        <w:rPr>
          <w:lang w:eastAsia="en-US" w:bidi="ar-SA"/>
        </w:rPr>
        <w:t xml:space="preserve"> aggregators or VPPs can result in hidden coupling, meaning that </w:t>
      </w:r>
      <w:r w:rsidR="00A37712">
        <w:rPr>
          <w:lang w:eastAsia="en-US" w:bidi="ar-SA"/>
        </w:rPr>
        <w:t xml:space="preserve">resources connected to </w:t>
      </w:r>
      <w:r w:rsidRPr="002C72C2">
        <w:rPr>
          <w:lang w:eastAsia="en-US" w:bidi="ar-SA"/>
        </w:rPr>
        <w:t xml:space="preserve">the distribution </w:t>
      </w:r>
      <w:r w:rsidR="00A37712">
        <w:rPr>
          <w:lang w:eastAsia="en-US" w:bidi="ar-SA"/>
        </w:rPr>
        <w:t xml:space="preserve">system </w:t>
      </w:r>
      <w:r w:rsidRPr="002C72C2">
        <w:rPr>
          <w:lang w:eastAsia="en-US" w:bidi="ar-SA"/>
        </w:rPr>
        <w:t xml:space="preserve">can end up being controlled or </w:t>
      </w:r>
      <w:r w:rsidR="00E5460D">
        <w:rPr>
          <w:lang w:eastAsia="en-US" w:bidi="ar-SA"/>
        </w:rPr>
        <w:t xml:space="preserve">directly influenced </w:t>
      </w:r>
      <w:r w:rsidRPr="002C72C2">
        <w:rPr>
          <w:lang w:eastAsia="en-US" w:bidi="ar-SA"/>
        </w:rPr>
        <w:t xml:space="preserve">by more than one </w:t>
      </w:r>
      <w:r w:rsidR="00E5460D">
        <w:rPr>
          <w:lang w:eastAsia="en-US" w:bidi="ar-SA"/>
        </w:rPr>
        <w:t xml:space="preserve">entity, </w:t>
      </w:r>
      <w:r w:rsidRPr="002C72C2">
        <w:rPr>
          <w:lang w:eastAsia="en-US" w:bidi="ar-SA"/>
        </w:rPr>
        <w:t>process</w:t>
      </w:r>
      <w:r w:rsidR="00E5460D">
        <w:rPr>
          <w:lang w:eastAsia="en-US" w:bidi="ar-SA"/>
        </w:rPr>
        <w:t xml:space="preserve"> or </w:t>
      </w:r>
      <w:r w:rsidRPr="002C72C2">
        <w:rPr>
          <w:lang w:eastAsia="en-US" w:bidi="ar-SA"/>
        </w:rPr>
        <w:t>control</w:t>
      </w:r>
      <w:r w:rsidR="00E5460D">
        <w:rPr>
          <w:lang w:eastAsia="en-US" w:bidi="ar-SA"/>
        </w:rPr>
        <w:t xml:space="preserve"> </w:t>
      </w:r>
      <w:r w:rsidR="00A26D53">
        <w:rPr>
          <w:lang w:eastAsia="en-US" w:bidi="ar-SA"/>
        </w:rPr>
        <w:t>mechanism</w:t>
      </w:r>
      <w:r w:rsidR="00374950">
        <w:rPr>
          <w:lang w:eastAsia="en-US" w:bidi="ar-SA"/>
        </w:rPr>
        <w:t xml:space="preserve">. </w:t>
      </w:r>
    </w:p>
    <w:p w14:paraId="01810F9A" w14:textId="563C038C" w:rsidR="00D913C4" w:rsidRDefault="00BA1DD3" w:rsidP="00EB2823">
      <w:pPr>
        <w:spacing w:before="120" w:after="120" w:line="264" w:lineRule="auto"/>
        <w:rPr>
          <w:lang w:eastAsia="en-US" w:bidi="ar-SA"/>
        </w:rPr>
      </w:pPr>
      <w:r>
        <w:rPr>
          <w:lang w:eastAsia="en-US" w:bidi="ar-SA"/>
        </w:rPr>
        <w:t xml:space="preserve">For example, if </w:t>
      </w:r>
      <w:r w:rsidR="00554D47">
        <w:rPr>
          <w:lang w:eastAsia="en-US" w:bidi="ar-SA"/>
        </w:rPr>
        <w:t xml:space="preserve">numerous </w:t>
      </w:r>
      <w:r>
        <w:rPr>
          <w:lang w:eastAsia="en-US" w:bidi="ar-SA"/>
        </w:rPr>
        <w:t>VPP</w:t>
      </w:r>
      <w:r w:rsidR="00554D47">
        <w:rPr>
          <w:lang w:eastAsia="en-US" w:bidi="ar-SA"/>
        </w:rPr>
        <w:t>s</w:t>
      </w:r>
      <w:r w:rsidR="00FC09A0" w:rsidRPr="002C72C2">
        <w:rPr>
          <w:lang w:eastAsia="en-US" w:bidi="ar-SA"/>
        </w:rPr>
        <w:t xml:space="preserve"> </w:t>
      </w:r>
      <w:r w:rsidR="00554D47" w:rsidRPr="002C72C2">
        <w:rPr>
          <w:lang w:eastAsia="en-US" w:bidi="ar-SA"/>
        </w:rPr>
        <w:t>directly</w:t>
      </w:r>
      <w:r w:rsidR="00554D47">
        <w:rPr>
          <w:lang w:eastAsia="en-US" w:bidi="ar-SA"/>
        </w:rPr>
        <w:t xml:space="preserve"> control large volumes of </w:t>
      </w:r>
      <w:r w:rsidR="007A3C74" w:rsidRPr="002C72C2">
        <w:rPr>
          <w:lang w:eastAsia="en-US" w:bidi="ar-SA"/>
        </w:rPr>
        <w:t>CER/DER</w:t>
      </w:r>
      <w:r w:rsidR="00FC09A0" w:rsidRPr="002C72C2">
        <w:rPr>
          <w:lang w:eastAsia="en-US" w:bidi="ar-SA"/>
        </w:rPr>
        <w:t xml:space="preserve">, then dispatch from AEMO through these entities </w:t>
      </w:r>
      <w:r w:rsidR="00554D47">
        <w:rPr>
          <w:lang w:eastAsia="en-US" w:bidi="ar-SA"/>
        </w:rPr>
        <w:t>may</w:t>
      </w:r>
      <w:r w:rsidR="00FC09A0" w:rsidRPr="002C72C2">
        <w:rPr>
          <w:lang w:eastAsia="en-US" w:bidi="ar-SA"/>
        </w:rPr>
        <w:t xml:space="preserve"> conflict with </w:t>
      </w:r>
      <w:r w:rsidR="005852B2">
        <w:rPr>
          <w:lang w:eastAsia="en-US" w:bidi="ar-SA"/>
        </w:rPr>
        <w:t>management o</w:t>
      </w:r>
      <w:r w:rsidR="00FC09A0" w:rsidRPr="002C72C2">
        <w:rPr>
          <w:lang w:eastAsia="en-US" w:bidi="ar-SA"/>
        </w:rPr>
        <w:t xml:space="preserve">f the distribution grid by the </w:t>
      </w:r>
      <w:r w:rsidR="008D215F">
        <w:rPr>
          <w:lang w:eastAsia="en-US" w:bidi="ar-SA"/>
        </w:rPr>
        <w:t xml:space="preserve">relevant </w:t>
      </w:r>
      <w:r w:rsidR="00FC09A0" w:rsidRPr="002C72C2">
        <w:rPr>
          <w:lang w:eastAsia="en-US" w:bidi="ar-SA"/>
        </w:rPr>
        <w:t>DNSP. This is problematic for several reasons, including that DNSPs have the responsibility maintain</w:t>
      </w:r>
      <w:r w:rsidR="00BF0158">
        <w:rPr>
          <w:lang w:eastAsia="en-US" w:bidi="ar-SA"/>
        </w:rPr>
        <w:t xml:space="preserve"> d</w:t>
      </w:r>
      <w:r w:rsidR="00FC09A0" w:rsidRPr="002C72C2">
        <w:rPr>
          <w:lang w:eastAsia="en-US" w:bidi="ar-SA"/>
        </w:rPr>
        <w:t xml:space="preserve">istribution </w:t>
      </w:r>
      <w:r w:rsidR="00BF0158">
        <w:rPr>
          <w:lang w:eastAsia="en-US" w:bidi="ar-SA"/>
        </w:rPr>
        <w:t>system</w:t>
      </w:r>
      <w:r w:rsidR="00E83755">
        <w:rPr>
          <w:lang w:eastAsia="en-US" w:bidi="ar-SA"/>
        </w:rPr>
        <w:t xml:space="preserve"> </w:t>
      </w:r>
      <w:r w:rsidR="00FC09A0" w:rsidRPr="002C72C2">
        <w:rPr>
          <w:lang w:eastAsia="en-US" w:bidi="ar-SA"/>
        </w:rPr>
        <w:t xml:space="preserve">reliability. More directly, </w:t>
      </w:r>
      <w:r w:rsidR="00377494">
        <w:rPr>
          <w:lang w:eastAsia="en-US" w:bidi="ar-SA"/>
        </w:rPr>
        <w:t xml:space="preserve">the </w:t>
      </w:r>
      <w:r w:rsidR="00FC09A0" w:rsidRPr="002C72C2">
        <w:rPr>
          <w:lang w:eastAsia="en-US" w:bidi="ar-SA"/>
        </w:rPr>
        <w:t>control of</w:t>
      </w:r>
      <w:r w:rsidR="00E83755">
        <w:rPr>
          <w:lang w:eastAsia="en-US" w:bidi="ar-SA"/>
        </w:rPr>
        <w:t xml:space="preserve"> distribution </w:t>
      </w:r>
      <w:r w:rsidR="00554D47">
        <w:rPr>
          <w:lang w:eastAsia="en-US" w:bidi="ar-SA"/>
        </w:rPr>
        <w:t xml:space="preserve">elements </w:t>
      </w:r>
      <w:r w:rsidR="00AF6C83">
        <w:rPr>
          <w:lang w:eastAsia="en-US" w:bidi="ar-SA"/>
        </w:rPr>
        <w:t xml:space="preserve">and individual feeders </w:t>
      </w:r>
      <w:r w:rsidR="00E83755">
        <w:rPr>
          <w:lang w:eastAsia="en-US" w:bidi="ar-SA"/>
        </w:rPr>
        <w:t>may</w:t>
      </w:r>
      <w:r w:rsidR="00FC09A0" w:rsidRPr="002C72C2">
        <w:rPr>
          <w:lang w:eastAsia="en-US" w:bidi="ar-SA"/>
        </w:rPr>
        <w:t xml:space="preserve"> be compromised by </w:t>
      </w:r>
      <w:r w:rsidR="00377494">
        <w:rPr>
          <w:lang w:eastAsia="en-US" w:bidi="ar-SA"/>
        </w:rPr>
        <w:t xml:space="preserve">the </w:t>
      </w:r>
      <w:r w:rsidR="00FC09A0" w:rsidRPr="002C72C2">
        <w:rPr>
          <w:lang w:eastAsia="en-US" w:bidi="ar-SA"/>
        </w:rPr>
        <w:t xml:space="preserve">conflicting objectives </w:t>
      </w:r>
      <w:r w:rsidR="002B35A5">
        <w:rPr>
          <w:lang w:eastAsia="en-US" w:bidi="ar-SA"/>
        </w:rPr>
        <w:t xml:space="preserve">being pursued by </w:t>
      </w:r>
      <w:r w:rsidR="00D65B86">
        <w:rPr>
          <w:lang w:eastAsia="en-US" w:bidi="ar-SA"/>
        </w:rPr>
        <w:t>various</w:t>
      </w:r>
      <w:r w:rsidR="00C0595D">
        <w:rPr>
          <w:lang w:eastAsia="en-US" w:bidi="ar-SA"/>
        </w:rPr>
        <w:t xml:space="preserve"> independent </w:t>
      </w:r>
      <w:r w:rsidR="00FC09A0" w:rsidRPr="002C72C2">
        <w:rPr>
          <w:lang w:eastAsia="en-US" w:bidi="ar-SA"/>
        </w:rPr>
        <w:t>entities</w:t>
      </w:r>
      <w:r w:rsidR="00377494">
        <w:rPr>
          <w:lang w:eastAsia="en-US" w:bidi="ar-SA"/>
        </w:rPr>
        <w:t xml:space="preserve"> directly </w:t>
      </w:r>
      <w:r w:rsidR="00490967">
        <w:rPr>
          <w:lang w:eastAsia="en-US" w:bidi="ar-SA"/>
        </w:rPr>
        <w:t xml:space="preserve">influencing the operation of </w:t>
      </w:r>
      <w:r w:rsidR="0097010E">
        <w:rPr>
          <w:lang w:eastAsia="en-US" w:bidi="ar-SA"/>
        </w:rPr>
        <w:t>CER/DER</w:t>
      </w:r>
      <w:r w:rsidR="00946562">
        <w:rPr>
          <w:lang w:eastAsia="en-US" w:bidi="ar-SA"/>
        </w:rPr>
        <w:t xml:space="preserve"> </w:t>
      </w:r>
      <w:r w:rsidR="00D65B86">
        <w:rPr>
          <w:lang w:eastAsia="en-US" w:bidi="ar-SA"/>
        </w:rPr>
        <w:t xml:space="preserve">which are connected to them </w:t>
      </w:r>
      <w:r w:rsidR="00946562">
        <w:rPr>
          <w:lang w:eastAsia="en-US" w:bidi="ar-SA"/>
        </w:rPr>
        <w:t>at scale</w:t>
      </w:r>
      <w:r w:rsidR="00FC09A0" w:rsidRPr="002C72C2">
        <w:rPr>
          <w:lang w:eastAsia="en-US" w:bidi="ar-SA"/>
        </w:rPr>
        <w:t xml:space="preserve">. </w:t>
      </w:r>
    </w:p>
    <w:p w14:paraId="4B8B937E" w14:textId="6F435C7E" w:rsidR="00871B34" w:rsidRPr="002C72C2" w:rsidRDefault="00D9718A" w:rsidP="00EB2823">
      <w:pPr>
        <w:spacing w:before="120" w:after="120" w:line="264" w:lineRule="auto"/>
        <w:rPr>
          <w:lang w:eastAsia="en-US" w:bidi="ar-SA"/>
        </w:rPr>
      </w:pPr>
      <w:r>
        <w:rPr>
          <w:lang w:eastAsia="en-US" w:bidi="ar-SA"/>
        </w:rPr>
        <w:t>In this case, t</w:t>
      </w:r>
      <w:r w:rsidR="00FC09A0" w:rsidRPr="002C72C2">
        <w:rPr>
          <w:lang w:eastAsia="en-US" w:bidi="ar-SA"/>
        </w:rPr>
        <w:t>ier</w:t>
      </w:r>
      <w:r w:rsidR="00D65B86">
        <w:rPr>
          <w:lang w:eastAsia="en-US" w:bidi="ar-SA"/>
        </w:rPr>
        <w:t>/layer</w:t>
      </w:r>
      <w:r w:rsidR="00FC09A0" w:rsidRPr="002C72C2">
        <w:rPr>
          <w:lang w:eastAsia="en-US" w:bidi="ar-SA"/>
        </w:rPr>
        <w:t xml:space="preserve"> bypassing, where </w:t>
      </w:r>
      <w:r w:rsidR="00071CC0">
        <w:rPr>
          <w:lang w:eastAsia="en-US" w:bidi="ar-SA"/>
        </w:rPr>
        <w:t xml:space="preserve">CER/DER </w:t>
      </w:r>
      <w:r w:rsidR="002E3C11">
        <w:rPr>
          <w:lang w:eastAsia="en-US" w:bidi="ar-SA"/>
        </w:rPr>
        <w:t>dispatch</w:t>
      </w:r>
      <w:r w:rsidR="00FC09A0" w:rsidRPr="002C72C2">
        <w:rPr>
          <w:lang w:eastAsia="en-US" w:bidi="ar-SA"/>
        </w:rPr>
        <w:t xml:space="preserve"> from AEMO </w:t>
      </w:r>
      <w:r w:rsidR="00733A09">
        <w:rPr>
          <w:lang w:eastAsia="en-US" w:bidi="ar-SA"/>
        </w:rPr>
        <w:t xml:space="preserve">via </w:t>
      </w:r>
      <w:r w:rsidR="00F254F0">
        <w:rPr>
          <w:lang w:eastAsia="en-US" w:bidi="ar-SA"/>
        </w:rPr>
        <w:t xml:space="preserve">the </w:t>
      </w:r>
      <w:r w:rsidR="002E3C11">
        <w:rPr>
          <w:lang w:eastAsia="en-US" w:bidi="ar-SA"/>
        </w:rPr>
        <w:t xml:space="preserve">various </w:t>
      </w:r>
      <w:r w:rsidR="00FC09A0" w:rsidRPr="002C72C2">
        <w:rPr>
          <w:lang w:eastAsia="en-US" w:bidi="ar-SA"/>
        </w:rPr>
        <w:t xml:space="preserve">VPPs </w:t>
      </w:r>
      <w:r w:rsidR="00071CC0">
        <w:rPr>
          <w:lang w:eastAsia="en-US" w:bidi="ar-SA"/>
        </w:rPr>
        <w:t xml:space="preserve">effectively </w:t>
      </w:r>
      <w:r w:rsidR="00FC09A0" w:rsidRPr="002C72C2">
        <w:rPr>
          <w:lang w:eastAsia="en-US" w:bidi="ar-SA"/>
        </w:rPr>
        <w:t>bypasses the</w:t>
      </w:r>
      <w:r w:rsidR="009B0DAE">
        <w:rPr>
          <w:lang w:eastAsia="en-US" w:bidi="ar-SA"/>
        </w:rPr>
        <w:t xml:space="preserve"> relevant </w:t>
      </w:r>
      <w:r w:rsidR="00FC09A0" w:rsidRPr="002C72C2">
        <w:rPr>
          <w:lang w:eastAsia="en-US" w:bidi="ar-SA"/>
        </w:rPr>
        <w:t>DNSP</w:t>
      </w:r>
      <w:r w:rsidR="009B0DAE">
        <w:rPr>
          <w:lang w:eastAsia="en-US" w:bidi="ar-SA"/>
        </w:rPr>
        <w:t>/DSO</w:t>
      </w:r>
      <w:r w:rsidR="002F0733">
        <w:rPr>
          <w:lang w:eastAsia="en-US" w:bidi="ar-SA"/>
        </w:rPr>
        <w:t xml:space="preserve">, </w:t>
      </w:r>
      <w:r w:rsidR="00FC09A0" w:rsidRPr="002C72C2">
        <w:rPr>
          <w:lang w:eastAsia="en-US" w:bidi="ar-SA"/>
        </w:rPr>
        <w:t>is a primary structural cause of hidden coupling.</w:t>
      </w:r>
    </w:p>
    <w:p w14:paraId="28F35B48" w14:textId="77D60A1E" w:rsidR="004149ED" w:rsidRDefault="004149ED" w:rsidP="00EB2823">
      <w:pPr>
        <w:keepNext/>
        <w:spacing w:before="120" w:after="120" w:line="264" w:lineRule="auto"/>
      </w:pPr>
      <w:bookmarkStart w:id="77" w:name="Figure_11"/>
      <w:r w:rsidRPr="004149ED">
        <w:rPr>
          <w:noProof/>
        </w:rPr>
        <w:drawing>
          <wp:inline distT="0" distB="0" distL="0" distR="0" wp14:anchorId="76A66061" wp14:editId="682A4A6B">
            <wp:extent cx="5219700" cy="2316753"/>
            <wp:effectExtent l="0" t="0" r="0" b="7620"/>
            <wp:docPr id="2062600315" name="Picture 1" descr="A diagram of a cloud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00315" name="Picture 1" descr="A diagram of a cloud system&#10;&#10;AI-generated content may be incorrect."/>
                    <pic:cNvPicPr/>
                  </pic:nvPicPr>
                  <pic:blipFill rotWithShape="1">
                    <a:blip r:embed="rId33"/>
                    <a:srcRect t="17344"/>
                    <a:stretch/>
                  </pic:blipFill>
                  <pic:spPr bwMode="auto">
                    <a:xfrm>
                      <a:off x="0" y="0"/>
                      <a:ext cx="5219700" cy="2316753"/>
                    </a:xfrm>
                    <a:prstGeom prst="rect">
                      <a:avLst/>
                    </a:prstGeom>
                    <a:ln>
                      <a:noFill/>
                    </a:ln>
                    <a:extLst>
                      <a:ext uri="{53640926-AAD7-44D8-BBD7-CCE9431645EC}">
                        <a14:shadowObscured xmlns:a14="http://schemas.microsoft.com/office/drawing/2010/main"/>
                      </a:ext>
                    </a:extLst>
                  </pic:spPr>
                </pic:pic>
              </a:graphicData>
            </a:graphic>
          </wp:inline>
        </w:drawing>
      </w:r>
      <w:bookmarkEnd w:id="77"/>
    </w:p>
    <w:p w14:paraId="686CABC8" w14:textId="13F01456" w:rsidR="002E6643" w:rsidRDefault="004149ED" w:rsidP="002F0733">
      <w:pPr>
        <w:pStyle w:val="Caption"/>
        <w:spacing w:before="120" w:after="240" w:line="264" w:lineRule="auto"/>
      </w:pPr>
      <w:bookmarkStart w:id="78" w:name="_Toc205365736"/>
      <w:r>
        <w:t xml:space="preserve">Figure </w:t>
      </w:r>
      <w:r>
        <w:fldChar w:fldCharType="begin"/>
      </w:r>
      <w:r>
        <w:instrText>SEQ Figure \* ARABIC</w:instrText>
      </w:r>
      <w:r>
        <w:fldChar w:fldCharType="separate"/>
      </w:r>
      <w:r w:rsidR="009F382F">
        <w:rPr>
          <w:noProof/>
        </w:rPr>
        <w:t>11</w:t>
      </w:r>
      <w:r>
        <w:fldChar w:fldCharType="end"/>
      </w:r>
      <w:r>
        <w:t xml:space="preserve">: </w:t>
      </w:r>
      <w:r w:rsidR="007224E0">
        <w:t>Examples of how</w:t>
      </w:r>
      <w:r>
        <w:t xml:space="preserve"> hidden coupling can</w:t>
      </w:r>
      <w:r w:rsidR="007224E0">
        <w:t xml:space="preserve"> manifest</w:t>
      </w:r>
      <w:r w:rsidR="00875AB5">
        <w:t>.</w:t>
      </w:r>
      <w:bookmarkEnd w:id="78"/>
    </w:p>
    <w:p w14:paraId="6749CF21" w14:textId="14740462" w:rsidR="007A49E0" w:rsidRPr="002C72C2" w:rsidRDefault="002F0733" w:rsidP="00EB2823">
      <w:pPr>
        <w:spacing w:before="120" w:after="120" w:line="264" w:lineRule="auto"/>
        <w:rPr>
          <w:lang w:eastAsia="en-US" w:bidi="ar-SA"/>
        </w:rPr>
      </w:pPr>
      <w:r>
        <w:rPr>
          <w:lang w:eastAsia="en-US" w:bidi="ar-SA"/>
        </w:rPr>
        <w:t>It is notable that s</w:t>
      </w:r>
      <w:r w:rsidR="00047E4D" w:rsidRPr="002C72C2">
        <w:rPr>
          <w:lang w:eastAsia="en-US" w:bidi="ar-SA"/>
        </w:rPr>
        <w:t>ome jurisdictions have gone down the path of mandating</w:t>
      </w:r>
      <w:r w:rsidR="00D352A2">
        <w:rPr>
          <w:lang w:eastAsia="en-US" w:bidi="ar-SA"/>
        </w:rPr>
        <w:t xml:space="preserve"> Multi-entity (‘Hybrid’) </w:t>
      </w:r>
      <w:r w:rsidR="007A3C74" w:rsidRPr="002C72C2">
        <w:rPr>
          <w:lang w:eastAsia="en-US" w:bidi="ar-SA"/>
        </w:rPr>
        <w:t>CER/DER</w:t>
      </w:r>
      <w:r w:rsidR="00047E4D" w:rsidRPr="002C72C2">
        <w:rPr>
          <w:lang w:eastAsia="en-US" w:bidi="ar-SA"/>
        </w:rPr>
        <w:t xml:space="preserve"> coordination solutions, notably in the </w:t>
      </w:r>
      <w:r>
        <w:rPr>
          <w:lang w:eastAsia="en-US" w:bidi="ar-SA"/>
        </w:rPr>
        <w:t>United States</w:t>
      </w:r>
      <w:r w:rsidR="00047E4D" w:rsidRPr="002C72C2">
        <w:rPr>
          <w:lang w:eastAsia="en-US" w:bidi="ar-SA"/>
        </w:rPr>
        <w:t xml:space="preserve"> with FERC Order 2222</w:t>
      </w:r>
      <w:r w:rsidR="006F0581">
        <w:rPr>
          <w:lang w:eastAsia="en-US" w:bidi="ar-SA"/>
        </w:rPr>
        <w:t xml:space="preserve"> </w:t>
      </w:r>
      <w:hyperlink w:anchor="Ref_21" w:history="1">
        <w:r w:rsidR="000F5541" w:rsidRPr="00192EAB">
          <w:rPr>
            <w:rStyle w:val="Hyperlink"/>
            <w:lang w:eastAsia="en-US" w:bidi="ar-SA"/>
          </w:rPr>
          <w:fldChar w:fldCharType="begin"/>
        </w:r>
        <w:r w:rsidR="00732E28" w:rsidRPr="00192EAB">
          <w:rPr>
            <w:rStyle w:val="Hyperlink"/>
            <w:lang w:eastAsia="en-US" w:bidi="ar-SA"/>
          </w:rPr>
          <w:instrText xml:space="preserve"> ADDIN ZOTERO_ITEM CSL_CITATION {"citationID":"Su0iO1Ft","properties":{"formattedCitation":"[21]","plainCitation":"[21]","noteIndex":0},"citationItems":[{"id":10,"uris":["http://zotero.org/users/local/BgaHAIQb/items/ALZVMQSK","http://zotero.org/users/17348326/items/ALZVMQSK"],"itemData":{"id":10,"type":"report","publisher":"U.S. Department of Energy","title":"FERC Order 222 Recommendations","URL":"https://www.energy.gov/sites/default/files/2021-04/EAC%20FERC%20Order%202222%20Recommendations_Approved.pdf","author":[{"family":"U.S. Department of Energy","given":"Electricity Advisory Committee"}],"issued":{"date-parts":[["2021",4]]}}}],"schema":"https://github.com/citation-style-language/schema/raw/master/csl-citation.json"} </w:instrText>
        </w:r>
        <w:r w:rsidR="000F5541" w:rsidRPr="00192EAB">
          <w:rPr>
            <w:rStyle w:val="Hyperlink"/>
            <w:lang w:eastAsia="en-US" w:bidi="ar-SA"/>
          </w:rPr>
          <w:fldChar w:fldCharType="separate"/>
        </w:r>
        <w:r w:rsidR="00732E28" w:rsidRPr="00192EAB">
          <w:rPr>
            <w:rStyle w:val="Hyperlink"/>
          </w:rPr>
          <w:t>[21]</w:t>
        </w:r>
        <w:r w:rsidR="000F5541" w:rsidRPr="00192EAB">
          <w:rPr>
            <w:rStyle w:val="Hyperlink"/>
            <w:lang w:eastAsia="en-US" w:bidi="ar-SA"/>
          </w:rPr>
          <w:fldChar w:fldCharType="end"/>
        </w:r>
      </w:hyperlink>
      <w:r w:rsidR="00047E4D" w:rsidRPr="002C72C2">
        <w:rPr>
          <w:lang w:eastAsia="en-US" w:bidi="ar-SA"/>
        </w:rPr>
        <w:t xml:space="preserve">. Such arrangements are compromises that allow </w:t>
      </w:r>
      <w:r w:rsidR="007A3C74" w:rsidRPr="002C72C2">
        <w:rPr>
          <w:lang w:eastAsia="en-US" w:bidi="ar-SA"/>
        </w:rPr>
        <w:t>CER/DER</w:t>
      </w:r>
      <w:r w:rsidR="00047E4D" w:rsidRPr="002C72C2">
        <w:rPr>
          <w:lang w:eastAsia="en-US" w:bidi="ar-SA"/>
        </w:rPr>
        <w:t xml:space="preserve"> aggregators or VPPs </w:t>
      </w:r>
      <w:r>
        <w:rPr>
          <w:lang w:eastAsia="en-US" w:bidi="ar-SA"/>
        </w:rPr>
        <w:t xml:space="preserve">to </w:t>
      </w:r>
      <w:r w:rsidR="00047E4D" w:rsidRPr="002C72C2">
        <w:rPr>
          <w:lang w:eastAsia="en-US" w:bidi="ar-SA"/>
        </w:rPr>
        <w:t xml:space="preserve">participate in both distribution level and bulk system operator electricity markets, and then to handle </w:t>
      </w:r>
      <w:r w:rsidR="007A3C74" w:rsidRPr="002C72C2">
        <w:rPr>
          <w:lang w:eastAsia="en-US" w:bidi="ar-SA"/>
        </w:rPr>
        <w:t>CER/DER</w:t>
      </w:r>
      <w:r w:rsidR="00047E4D" w:rsidRPr="002C72C2">
        <w:rPr>
          <w:lang w:eastAsia="en-US" w:bidi="ar-SA"/>
        </w:rPr>
        <w:t xml:space="preserve"> dispatches</w:t>
      </w:r>
      <w:r w:rsidR="00374950">
        <w:rPr>
          <w:lang w:eastAsia="en-US" w:bidi="ar-SA"/>
        </w:rPr>
        <w:t xml:space="preserve">. </w:t>
      </w:r>
      <w:r>
        <w:rPr>
          <w:lang w:eastAsia="en-US" w:bidi="ar-SA"/>
        </w:rPr>
        <w:t>While this ma</w:t>
      </w:r>
      <w:r w:rsidR="00966D36">
        <w:rPr>
          <w:lang w:eastAsia="en-US" w:bidi="ar-SA"/>
        </w:rPr>
        <w:t xml:space="preserve">y function acceptably at </w:t>
      </w:r>
      <w:r w:rsidR="005E4A5A">
        <w:rPr>
          <w:lang w:eastAsia="en-US" w:bidi="ar-SA"/>
        </w:rPr>
        <w:t xml:space="preserve">lower levels of CER/DER, </w:t>
      </w:r>
      <w:r w:rsidR="00AB1A53">
        <w:rPr>
          <w:lang w:eastAsia="en-US" w:bidi="ar-SA"/>
        </w:rPr>
        <w:t xml:space="preserve">it </w:t>
      </w:r>
      <w:r w:rsidR="00EA589E">
        <w:rPr>
          <w:lang w:eastAsia="en-US" w:bidi="ar-SA"/>
        </w:rPr>
        <w:t xml:space="preserve">is </w:t>
      </w:r>
      <w:r w:rsidR="00047E4D" w:rsidRPr="002C72C2">
        <w:rPr>
          <w:lang w:eastAsia="en-US" w:bidi="ar-SA"/>
        </w:rPr>
        <w:t>problematic</w:t>
      </w:r>
      <w:r w:rsidR="00EA589E">
        <w:rPr>
          <w:lang w:eastAsia="en-US" w:bidi="ar-SA"/>
        </w:rPr>
        <w:t xml:space="preserve"> for the longer-term </w:t>
      </w:r>
      <w:r w:rsidR="00047E4D" w:rsidRPr="002C72C2">
        <w:rPr>
          <w:lang w:eastAsia="en-US" w:bidi="ar-SA"/>
        </w:rPr>
        <w:t xml:space="preserve">as it creates a tier-bypassing structure which results in hidden coupling. This is different from the examples shown above but creates </w:t>
      </w:r>
      <w:r w:rsidR="007A1744" w:rsidRPr="002C72C2">
        <w:rPr>
          <w:lang w:eastAsia="en-US" w:bidi="ar-SA"/>
        </w:rPr>
        <w:t xml:space="preserve">the </w:t>
      </w:r>
      <w:r w:rsidR="007A1744">
        <w:rPr>
          <w:lang w:eastAsia="en-US" w:bidi="ar-SA"/>
        </w:rPr>
        <w:t xml:space="preserve">very </w:t>
      </w:r>
      <w:r w:rsidR="007A1744" w:rsidRPr="002C72C2">
        <w:rPr>
          <w:lang w:eastAsia="en-US" w:bidi="ar-SA"/>
        </w:rPr>
        <w:t>same</w:t>
      </w:r>
      <w:r w:rsidR="00047E4D" w:rsidRPr="002C72C2">
        <w:rPr>
          <w:lang w:eastAsia="en-US" w:bidi="ar-SA"/>
        </w:rPr>
        <w:t xml:space="preserve"> issues. Structural </w:t>
      </w:r>
      <w:r w:rsidR="007A1744">
        <w:rPr>
          <w:lang w:eastAsia="en-US" w:bidi="ar-SA"/>
        </w:rPr>
        <w:t xml:space="preserve">choices that result in </w:t>
      </w:r>
      <w:r w:rsidR="00047E4D" w:rsidRPr="002C72C2">
        <w:rPr>
          <w:lang w:eastAsia="en-US" w:bidi="ar-SA"/>
        </w:rPr>
        <w:t>tier</w:t>
      </w:r>
      <w:r w:rsidR="007A1744">
        <w:rPr>
          <w:lang w:eastAsia="en-US" w:bidi="ar-SA"/>
        </w:rPr>
        <w:t>/layer</w:t>
      </w:r>
      <w:r w:rsidR="00047E4D" w:rsidRPr="002C72C2">
        <w:rPr>
          <w:lang w:eastAsia="en-US" w:bidi="ar-SA"/>
        </w:rPr>
        <w:t xml:space="preserve"> bypassing and hidden coupling should be rigorously avoided.</w:t>
      </w:r>
    </w:p>
    <w:p w14:paraId="01CC9E11" w14:textId="77777777" w:rsidR="00A3660B" w:rsidRPr="004B6C65" w:rsidRDefault="00A3660B" w:rsidP="00A3660B">
      <w:pPr>
        <w:spacing w:before="180" w:after="120" w:line="264" w:lineRule="auto"/>
        <w:rPr>
          <w:rStyle w:val="IntenseEmphasis"/>
        </w:rPr>
      </w:pPr>
      <w:r w:rsidRPr="004B6C65">
        <w:rPr>
          <w:rStyle w:val="IntenseEmphasis"/>
        </w:rPr>
        <w:t>Aggregator/VPP Service Area Interpenetration</w:t>
      </w:r>
    </w:p>
    <w:p w14:paraId="21D892B2" w14:textId="2A8F8737" w:rsidR="00A3660B" w:rsidRPr="002C72C2" w:rsidRDefault="00A3660B" w:rsidP="00A3660B">
      <w:pPr>
        <w:spacing w:before="120" w:after="120" w:line="264" w:lineRule="auto"/>
        <w:rPr>
          <w:lang w:eastAsia="en-US" w:bidi="ar-SA"/>
        </w:rPr>
      </w:pPr>
      <w:r w:rsidRPr="002C72C2">
        <w:rPr>
          <w:lang w:eastAsia="en-US" w:bidi="ar-SA"/>
        </w:rPr>
        <w:t xml:space="preserve">A </w:t>
      </w:r>
      <w:r w:rsidR="007C0A65">
        <w:rPr>
          <w:lang w:eastAsia="en-US" w:bidi="ar-SA"/>
        </w:rPr>
        <w:t xml:space="preserve">further </w:t>
      </w:r>
      <w:r w:rsidRPr="002C72C2">
        <w:rPr>
          <w:lang w:eastAsia="en-US" w:bidi="ar-SA"/>
        </w:rPr>
        <w:t xml:space="preserve">hidden coupling issue can arise of there are multiple competitive </w:t>
      </w:r>
      <w:r w:rsidR="007C0A65">
        <w:rPr>
          <w:lang w:eastAsia="en-US" w:bidi="ar-SA"/>
        </w:rPr>
        <w:t xml:space="preserve">CER/DER </w:t>
      </w:r>
      <w:r w:rsidRPr="002C72C2">
        <w:rPr>
          <w:lang w:eastAsia="en-US" w:bidi="ar-SA"/>
        </w:rPr>
        <w:t>aggregators or VPPs who seek CER</w:t>
      </w:r>
      <w:r w:rsidR="007C0A65">
        <w:rPr>
          <w:lang w:eastAsia="en-US" w:bidi="ar-SA"/>
        </w:rPr>
        <w:t>/DER</w:t>
      </w:r>
      <w:r w:rsidRPr="002C72C2">
        <w:rPr>
          <w:lang w:eastAsia="en-US" w:bidi="ar-SA"/>
        </w:rPr>
        <w:t xml:space="preserve"> subscribers without territorial limitations. In this case individual CER</w:t>
      </w:r>
      <w:r w:rsidR="007C0A65">
        <w:rPr>
          <w:lang w:eastAsia="en-US" w:bidi="ar-SA"/>
        </w:rPr>
        <w:t>/DER</w:t>
      </w:r>
      <w:r w:rsidRPr="002C72C2">
        <w:rPr>
          <w:lang w:eastAsia="en-US" w:bidi="ar-SA"/>
        </w:rPr>
        <w:t xml:space="preserve"> </w:t>
      </w:r>
      <w:r w:rsidR="001D619C">
        <w:rPr>
          <w:lang w:eastAsia="en-US" w:bidi="ar-SA"/>
        </w:rPr>
        <w:t>will be managed d</w:t>
      </w:r>
      <w:r w:rsidRPr="002C72C2">
        <w:rPr>
          <w:lang w:eastAsia="en-US" w:bidi="ar-SA"/>
        </w:rPr>
        <w:t xml:space="preserve">ifferent </w:t>
      </w:r>
      <w:r w:rsidR="001D619C">
        <w:rPr>
          <w:lang w:eastAsia="en-US" w:bidi="ar-SA"/>
        </w:rPr>
        <w:t xml:space="preserve">entities </w:t>
      </w:r>
      <w:r w:rsidRPr="002C72C2">
        <w:rPr>
          <w:lang w:eastAsia="en-US" w:bidi="ar-SA"/>
        </w:rPr>
        <w:t>even if they are physically or electrically adjacent.</w:t>
      </w:r>
    </w:p>
    <w:p w14:paraId="0C808A11" w14:textId="77777777" w:rsidR="00A3660B" w:rsidRDefault="00A3660B" w:rsidP="00A3660B">
      <w:pPr>
        <w:keepNext/>
        <w:spacing w:before="120" w:after="120" w:line="264" w:lineRule="auto"/>
      </w:pPr>
      <w:r w:rsidRPr="00EA1DE8">
        <w:rPr>
          <w:noProof/>
        </w:rPr>
        <w:t xml:space="preserve"> </w:t>
      </w:r>
      <w:bookmarkStart w:id="79" w:name="Figure_12"/>
      <w:r w:rsidRPr="00EA1DE8">
        <w:rPr>
          <w:noProof/>
        </w:rPr>
        <w:drawing>
          <wp:inline distT="0" distB="0" distL="0" distR="0" wp14:anchorId="660FF2A6" wp14:editId="06D651E7">
            <wp:extent cx="5219700" cy="2217219"/>
            <wp:effectExtent l="0" t="0" r="0" b="0"/>
            <wp:docPr id="702816916"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16916" name="Picture 1" descr="A diagram of a network&#10;&#10;AI-generated content may be incorrect."/>
                    <pic:cNvPicPr/>
                  </pic:nvPicPr>
                  <pic:blipFill rotWithShape="1">
                    <a:blip r:embed="rId34"/>
                    <a:srcRect t="16004"/>
                    <a:stretch/>
                  </pic:blipFill>
                  <pic:spPr bwMode="auto">
                    <a:xfrm>
                      <a:off x="0" y="0"/>
                      <a:ext cx="5219700" cy="2217219"/>
                    </a:xfrm>
                    <a:prstGeom prst="rect">
                      <a:avLst/>
                    </a:prstGeom>
                    <a:ln>
                      <a:noFill/>
                    </a:ln>
                    <a:extLst>
                      <a:ext uri="{53640926-AAD7-44D8-BBD7-CCE9431645EC}">
                        <a14:shadowObscured xmlns:a14="http://schemas.microsoft.com/office/drawing/2010/main"/>
                      </a:ext>
                    </a:extLst>
                  </pic:spPr>
                </pic:pic>
              </a:graphicData>
            </a:graphic>
          </wp:inline>
        </w:drawing>
      </w:r>
      <w:bookmarkEnd w:id="79"/>
    </w:p>
    <w:p w14:paraId="3A3D58A9" w14:textId="609CADC4" w:rsidR="00A3660B" w:rsidRDefault="00A3660B" w:rsidP="00A3660B">
      <w:pPr>
        <w:pStyle w:val="Caption"/>
        <w:spacing w:before="120" w:after="120" w:line="264" w:lineRule="auto"/>
      </w:pPr>
      <w:bookmarkStart w:id="80" w:name="_Toc205365737"/>
      <w:r>
        <w:t xml:space="preserve">Figure </w:t>
      </w:r>
      <w:r>
        <w:fldChar w:fldCharType="begin"/>
      </w:r>
      <w:r>
        <w:instrText>SEQ Figure \* ARABIC</w:instrText>
      </w:r>
      <w:r>
        <w:fldChar w:fldCharType="separate"/>
      </w:r>
      <w:r w:rsidR="009F382F">
        <w:rPr>
          <w:noProof/>
        </w:rPr>
        <w:t>12</w:t>
      </w:r>
      <w:r>
        <w:fldChar w:fldCharType="end"/>
      </w:r>
      <w:r>
        <w:t xml:space="preserve">: </w:t>
      </w:r>
      <w:r w:rsidR="007224E0">
        <w:t xml:space="preserve">Examples of how </w:t>
      </w:r>
      <w:r>
        <w:t xml:space="preserve">multi-VPP hidden coupling can </w:t>
      </w:r>
      <w:r w:rsidR="007224E0">
        <w:t>manifest.</w:t>
      </w:r>
      <w:bookmarkEnd w:id="80"/>
    </w:p>
    <w:p w14:paraId="5E7F24DB" w14:textId="77777777" w:rsidR="00A3660B" w:rsidRDefault="00A3660B" w:rsidP="00A3660B">
      <w:pPr>
        <w:keepNext/>
        <w:spacing w:before="120" w:after="120" w:line="264" w:lineRule="auto"/>
      </w:pPr>
      <w:r w:rsidRPr="00591843">
        <w:rPr>
          <w:noProof/>
        </w:rPr>
        <w:t xml:space="preserve"> </w:t>
      </w:r>
      <w:bookmarkStart w:id="81" w:name="Figure_13"/>
      <w:r w:rsidRPr="00591843">
        <w:rPr>
          <w:noProof/>
        </w:rPr>
        <w:drawing>
          <wp:inline distT="0" distB="0" distL="0" distR="0" wp14:anchorId="09D696FE" wp14:editId="2B16BBCC">
            <wp:extent cx="5219700" cy="2376090"/>
            <wp:effectExtent l="0" t="0" r="0" b="5715"/>
            <wp:docPr id="44928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82860" name=""/>
                    <pic:cNvPicPr/>
                  </pic:nvPicPr>
                  <pic:blipFill rotWithShape="1">
                    <a:blip r:embed="rId35"/>
                    <a:srcRect t="9877"/>
                    <a:stretch/>
                  </pic:blipFill>
                  <pic:spPr bwMode="auto">
                    <a:xfrm>
                      <a:off x="0" y="0"/>
                      <a:ext cx="5219700" cy="2376090"/>
                    </a:xfrm>
                    <a:prstGeom prst="rect">
                      <a:avLst/>
                    </a:prstGeom>
                    <a:ln>
                      <a:noFill/>
                    </a:ln>
                    <a:extLst>
                      <a:ext uri="{53640926-AAD7-44D8-BBD7-CCE9431645EC}">
                        <a14:shadowObscured xmlns:a14="http://schemas.microsoft.com/office/drawing/2010/main"/>
                      </a:ext>
                    </a:extLst>
                  </pic:spPr>
                </pic:pic>
              </a:graphicData>
            </a:graphic>
          </wp:inline>
        </w:drawing>
      </w:r>
      <w:bookmarkEnd w:id="81"/>
    </w:p>
    <w:p w14:paraId="4EB5E11D" w14:textId="0934C7BC" w:rsidR="00A3660B" w:rsidRDefault="00A3660B" w:rsidP="001D619C">
      <w:pPr>
        <w:pStyle w:val="Caption"/>
        <w:spacing w:before="120" w:after="240" w:line="264" w:lineRule="auto"/>
      </w:pPr>
      <w:bookmarkStart w:id="82" w:name="_Toc205365738"/>
      <w:r>
        <w:t xml:space="preserve">Figure </w:t>
      </w:r>
      <w:r>
        <w:fldChar w:fldCharType="begin"/>
      </w:r>
      <w:r>
        <w:instrText>SEQ Figure \* ARABIC</w:instrText>
      </w:r>
      <w:r>
        <w:fldChar w:fldCharType="separate"/>
      </w:r>
      <w:r w:rsidR="009F382F">
        <w:rPr>
          <w:noProof/>
        </w:rPr>
        <w:t>13</w:t>
      </w:r>
      <w:r>
        <w:fldChar w:fldCharType="end"/>
      </w:r>
      <w:r>
        <w:t>: Circuit switching can instantly change VPP-Grid Network Configurations</w:t>
      </w:r>
      <w:r w:rsidR="007224E0">
        <w:t>.</w:t>
      </w:r>
      <w:bookmarkEnd w:id="82"/>
    </w:p>
    <w:p w14:paraId="1ADFED38" w14:textId="6155BBA7" w:rsidR="00E35D9C" w:rsidRDefault="00E35D9C" w:rsidP="00E35D9C">
      <w:pPr>
        <w:spacing w:line="264" w:lineRule="auto"/>
        <w:rPr>
          <w:lang w:eastAsia="en-US" w:bidi="ar-SA"/>
        </w:rPr>
      </w:pPr>
      <w:r>
        <w:rPr>
          <w:lang w:eastAsia="en-US" w:bidi="ar-SA"/>
        </w:rPr>
        <w:t xml:space="preserve">Key points of note under this scenario include: </w:t>
      </w:r>
    </w:p>
    <w:p w14:paraId="328A0388" w14:textId="5BF09958" w:rsidR="00A3660B" w:rsidRPr="002C72C2" w:rsidRDefault="00A3660B" w:rsidP="00954BAC">
      <w:pPr>
        <w:pStyle w:val="ListParagraph"/>
        <w:numPr>
          <w:ilvl w:val="0"/>
          <w:numId w:val="46"/>
        </w:numPr>
        <w:spacing w:line="264" w:lineRule="auto"/>
        <w:rPr>
          <w:lang w:eastAsia="en-US" w:bidi="ar-SA"/>
        </w:rPr>
      </w:pPr>
      <w:r w:rsidRPr="002C72C2">
        <w:rPr>
          <w:lang w:eastAsia="en-US" w:bidi="ar-SA"/>
        </w:rPr>
        <w:t>Switching of CER</w:t>
      </w:r>
      <w:r w:rsidR="00E35D9C">
        <w:rPr>
          <w:lang w:eastAsia="en-US" w:bidi="ar-SA"/>
        </w:rPr>
        <w:t xml:space="preserve">/DER </w:t>
      </w:r>
      <w:r w:rsidRPr="002C72C2">
        <w:rPr>
          <w:lang w:eastAsia="en-US" w:bidi="ar-SA"/>
        </w:rPr>
        <w:t xml:space="preserve">from one aggregator or VPP to another may occur, causing an issue of keeping track of how </w:t>
      </w:r>
      <w:r w:rsidR="00E30C77">
        <w:rPr>
          <w:lang w:eastAsia="en-US" w:bidi="ar-SA"/>
        </w:rPr>
        <w:t xml:space="preserve">and by whom specific resources are </w:t>
      </w:r>
      <w:r w:rsidRPr="002C72C2">
        <w:rPr>
          <w:lang w:eastAsia="en-US" w:bidi="ar-SA"/>
        </w:rPr>
        <w:t xml:space="preserve">being </w:t>
      </w:r>
      <w:r w:rsidR="00E746E2" w:rsidRPr="002C72C2">
        <w:rPr>
          <w:lang w:eastAsia="en-US" w:bidi="ar-SA"/>
        </w:rPr>
        <w:t>managed</w:t>
      </w:r>
      <w:r w:rsidR="00E746E2">
        <w:rPr>
          <w:lang w:eastAsia="en-US" w:bidi="ar-SA"/>
        </w:rPr>
        <w:t>.</w:t>
      </w:r>
      <w:r w:rsidR="00E30C77">
        <w:rPr>
          <w:lang w:eastAsia="en-US" w:bidi="ar-SA"/>
        </w:rPr>
        <w:t xml:space="preserve"> </w:t>
      </w:r>
    </w:p>
    <w:p w14:paraId="73B644C1" w14:textId="1EBE8710" w:rsidR="00A3660B" w:rsidRPr="002C72C2" w:rsidRDefault="00A3660B" w:rsidP="00954BAC">
      <w:pPr>
        <w:pStyle w:val="ListParagraph"/>
        <w:numPr>
          <w:ilvl w:val="0"/>
          <w:numId w:val="46"/>
        </w:numPr>
        <w:spacing w:line="264" w:lineRule="auto"/>
        <w:rPr>
          <w:lang w:eastAsia="en-US" w:bidi="ar-SA"/>
        </w:rPr>
      </w:pPr>
      <w:r w:rsidRPr="002C72C2">
        <w:rPr>
          <w:lang w:eastAsia="en-US" w:bidi="ar-SA"/>
        </w:rPr>
        <w:t xml:space="preserve">If separate </w:t>
      </w:r>
      <w:r w:rsidR="00233B06">
        <w:rPr>
          <w:lang w:eastAsia="en-US" w:bidi="ar-SA"/>
        </w:rPr>
        <w:t xml:space="preserve">entities </w:t>
      </w:r>
      <w:r w:rsidRPr="002C72C2">
        <w:rPr>
          <w:lang w:eastAsia="en-US" w:bidi="ar-SA"/>
        </w:rPr>
        <w:t>manage CER</w:t>
      </w:r>
      <w:r w:rsidR="00E30C77">
        <w:rPr>
          <w:lang w:eastAsia="en-US" w:bidi="ar-SA"/>
        </w:rPr>
        <w:t>/DER</w:t>
      </w:r>
      <w:r w:rsidRPr="002C72C2">
        <w:rPr>
          <w:lang w:eastAsia="en-US" w:bidi="ar-SA"/>
        </w:rPr>
        <w:t xml:space="preserve"> on the same </w:t>
      </w:r>
      <w:r w:rsidR="00233B06">
        <w:rPr>
          <w:lang w:eastAsia="en-US" w:bidi="ar-SA"/>
        </w:rPr>
        <w:t>LV</w:t>
      </w:r>
      <w:r w:rsidRPr="002C72C2">
        <w:rPr>
          <w:lang w:eastAsia="en-US" w:bidi="ar-SA"/>
        </w:rPr>
        <w:t xml:space="preserve"> </w:t>
      </w:r>
      <w:r w:rsidR="00E30C77">
        <w:rPr>
          <w:lang w:eastAsia="en-US" w:bidi="ar-SA"/>
        </w:rPr>
        <w:t>feeder</w:t>
      </w:r>
      <w:r w:rsidRPr="002C72C2">
        <w:rPr>
          <w:lang w:eastAsia="en-US" w:bidi="ar-SA"/>
        </w:rPr>
        <w:t xml:space="preserve">, inter-VPP coordination is needed to </w:t>
      </w:r>
      <w:r w:rsidR="00233B06">
        <w:rPr>
          <w:lang w:eastAsia="en-US" w:bidi="ar-SA"/>
        </w:rPr>
        <w:t>ensure</w:t>
      </w:r>
      <w:r w:rsidRPr="002C72C2">
        <w:rPr>
          <w:lang w:eastAsia="en-US" w:bidi="ar-SA"/>
        </w:rPr>
        <w:t xml:space="preserve"> that adjacent CER</w:t>
      </w:r>
      <w:r w:rsidR="00A5233D">
        <w:rPr>
          <w:lang w:eastAsia="en-US" w:bidi="ar-SA"/>
        </w:rPr>
        <w:t>/DER do n</w:t>
      </w:r>
      <w:r w:rsidRPr="002C72C2">
        <w:rPr>
          <w:lang w:eastAsia="en-US" w:bidi="ar-SA"/>
        </w:rPr>
        <w:t xml:space="preserve">ot </w:t>
      </w:r>
      <w:r w:rsidR="00233B06">
        <w:rPr>
          <w:lang w:eastAsia="en-US" w:bidi="ar-SA"/>
        </w:rPr>
        <w:t>interfere</w:t>
      </w:r>
      <w:r w:rsidRPr="002C72C2">
        <w:rPr>
          <w:lang w:eastAsia="en-US" w:bidi="ar-SA"/>
        </w:rPr>
        <w:t xml:space="preserve"> with each other </w:t>
      </w:r>
      <w:r w:rsidR="00233B06">
        <w:rPr>
          <w:lang w:eastAsia="en-US" w:bidi="ar-SA"/>
        </w:rPr>
        <w:t>and/or</w:t>
      </w:r>
      <w:r w:rsidRPr="002C72C2">
        <w:rPr>
          <w:lang w:eastAsia="en-US" w:bidi="ar-SA"/>
        </w:rPr>
        <w:t xml:space="preserve"> caus</w:t>
      </w:r>
      <w:r w:rsidR="00233B06">
        <w:rPr>
          <w:lang w:eastAsia="en-US" w:bidi="ar-SA"/>
        </w:rPr>
        <w:t>e</w:t>
      </w:r>
      <w:r w:rsidRPr="002C72C2">
        <w:rPr>
          <w:lang w:eastAsia="en-US" w:bidi="ar-SA"/>
        </w:rPr>
        <w:t xml:space="preserve"> local </w:t>
      </w:r>
      <w:r w:rsidR="00A5233D">
        <w:rPr>
          <w:lang w:eastAsia="en-US" w:bidi="ar-SA"/>
        </w:rPr>
        <w:t xml:space="preserve">feeder </w:t>
      </w:r>
      <w:r w:rsidR="00816D67">
        <w:rPr>
          <w:lang w:eastAsia="en-US" w:bidi="ar-SA"/>
        </w:rPr>
        <w:t xml:space="preserve">issues </w:t>
      </w:r>
      <w:r w:rsidR="00036B96">
        <w:rPr>
          <w:lang w:eastAsia="en-US" w:bidi="ar-SA"/>
        </w:rPr>
        <w:t xml:space="preserve">(e.g. </w:t>
      </w:r>
      <w:r w:rsidRPr="002C72C2">
        <w:rPr>
          <w:lang w:eastAsia="en-US" w:bidi="ar-SA"/>
        </w:rPr>
        <w:t>voltage regulation, thermal, or protection limits</w:t>
      </w:r>
      <w:r w:rsidR="00E746E2" w:rsidRPr="002C72C2">
        <w:rPr>
          <w:lang w:eastAsia="en-US" w:bidi="ar-SA"/>
        </w:rPr>
        <w:t>)</w:t>
      </w:r>
      <w:r w:rsidR="00E746E2">
        <w:rPr>
          <w:lang w:eastAsia="en-US" w:bidi="ar-SA"/>
        </w:rPr>
        <w:t>.</w:t>
      </w:r>
      <w:r w:rsidR="00036B96">
        <w:rPr>
          <w:lang w:eastAsia="en-US" w:bidi="ar-SA"/>
        </w:rPr>
        <w:t xml:space="preserve"> </w:t>
      </w:r>
    </w:p>
    <w:p w14:paraId="3278A3D7" w14:textId="41E7E13A" w:rsidR="00A3660B" w:rsidRPr="002C72C2" w:rsidRDefault="003E5639" w:rsidP="00954BAC">
      <w:pPr>
        <w:pStyle w:val="ListParagraph"/>
        <w:numPr>
          <w:ilvl w:val="0"/>
          <w:numId w:val="46"/>
        </w:numPr>
        <w:spacing w:line="264" w:lineRule="auto"/>
        <w:rPr>
          <w:lang w:eastAsia="en-US" w:bidi="ar-SA"/>
        </w:rPr>
      </w:pPr>
      <w:r>
        <w:rPr>
          <w:lang w:eastAsia="en-US" w:bidi="ar-SA"/>
        </w:rPr>
        <w:t xml:space="preserve">Avoiding negative impacts from </w:t>
      </w:r>
      <w:r w:rsidR="00940C5E">
        <w:rPr>
          <w:lang w:eastAsia="en-US" w:bidi="ar-SA"/>
        </w:rPr>
        <w:t>influencing C</w:t>
      </w:r>
      <w:r w:rsidR="00A3660B" w:rsidRPr="002C72C2">
        <w:rPr>
          <w:lang w:eastAsia="en-US" w:bidi="ar-SA"/>
        </w:rPr>
        <w:t>ER</w:t>
      </w:r>
      <w:r w:rsidR="00233B06">
        <w:rPr>
          <w:lang w:eastAsia="en-US" w:bidi="ar-SA"/>
        </w:rPr>
        <w:t>/DER</w:t>
      </w:r>
      <w:r w:rsidR="00A3660B" w:rsidRPr="002C72C2">
        <w:rPr>
          <w:lang w:eastAsia="en-US" w:bidi="ar-SA"/>
        </w:rPr>
        <w:t xml:space="preserve"> </w:t>
      </w:r>
      <w:r w:rsidR="00296695">
        <w:rPr>
          <w:lang w:eastAsia="en-US" w:bidi="ar-SA"/>
        </w:rPr>
        <w:t xml:space="preserve">connected </w:t>
      </w:r>
      <w:r w:rsidR="00244396">
        <w:rPr>
          <w:lang w:eastAsia="en-US" w:bidi="ar-SA"/>
        </w:rPr>
        <w:t xml:space="preserve">at scale </w:t>
      </w:r>
      <w:r w:rsidR="00296695">
        <w:rPr>
          <w:lang w:eastAsia="en-US" w:bidi="ar-SA"/>
        </w:rPr>
        <w:t xml:space="preserve">to </w:t>
      </w:r>
      <w:r w:rsidR="00244396">
        <w:rPr>
          <w:lang w:eastAsia="en-US" w:bidi="ar-SA"/>
        </w:rPr>
        <w:t xml:space="preserve">a particular </w:t>
      </w:r>
      <w:r w:rsidR="001A5345">
        <w:rPr>
          <w:lang w:eastAsia="en-US" w:bidi="ar-SA"/>
        </w:rPr>
        <w:t>LV</w:t>
      </w:r>
      <w:r w:rsidR="00296695">
        <w:rPr>
          <w:lang w:eastAsia="en-US" w:bidi="ar-SA"/>
        </w:rPr>
        <w:t xml:space="preserve"> </w:t>
      </w:r>
      <w:r w:rsidR="00233B06">
        <w:rPr>
          <w:lang w:eastAsia="en-US" w:bidi="ar-SA"/>
        </w:rPr>
        <w:t>feeder</w:t>
      </w:r>
      <w:r w:rsidR="00244396">
        <w:rPr>
          <w:lang w:eastAsia="en-US" w:bidi="ar-SA"/>
        </w:rPr>
        <w:t xml:space="preserve"> will </w:t>
      </w:r>
      <w:r w:rsidR="00A3660B" w:rsidRPr="002C72C2">
        <w:rPr>
          <w:lang w:eastAsia="en-US" w:bidi="ar-SA"/>
        </w:rPr>
        <w:t>require knowledge of distribution grid state</w:t>
      </w:r>
      <w:r w:rsidR="00374950">
        <w:rPr>
          <w:lang w:eastAsia="en-US" w:bidi="ar-SA"/>
        </w:rPr>
        <w:t xml:space="preserve">. </w:t>
      </w:r>
      <w:r w:rsidR="004D0828">
        <w:rPr>
          <w:lang w:eastAsia="en-US" w:bidi="ar-SA"/>
        </w:rPr>
        <w:t>However, it is unclear w</w:t>
      </w:r>
      <w:r w:rsidR="00A3660B" w:rsidRPr="002C72C2">
        <w:rPr>
          <w:lang w:eastAsia="en-US" w:bidi="ar-SA"/>
        </w:rPr>
        <w:t>hether real time distribution grid state is available at all</w:t>
      </w:r>
      <w:r w:rsidR="002877E8">
        <w:rPr>
          <w:lang w:eastAsia="en-US" w:bidi="ar-SA"/>
        </w:rPr>
        <w:t xml:space="preserve"> and </w:t>
      </w:r>
      <w:r w:rsidR="00A3660B" w:rsidRPr="002C72C2">
        <w:rPr>
          <w:lang w:eastAsia="en-US" w:bidi="ar-SA"/>
        </w:rPr>
        <w:t>whether it should be shared with the VPPs</w:t>
      </w:r>
      <w:r w:rsidR="00FB1412">
        <w:rPr>
          <w:lang w:eastAsia="en-US" w:bidi="ar-SA"/>
        </w:rPr>
        <w:t xml:space="preserve"> (given the </w:t>
      </w:r>
      <w:r w:rsidR="00A3660B" w:rsidRPr="002C72C2">
        <w:rPr>
          <w:lang w:eastAsia="en-US" w:bidi="ar-SA"/>
        </w:rPr>
        <w:t>questions of security and market fairness</w:t>
      </w:r>
      <w:r w:rsidR="00FB1412">
        <w:rPr>
          <w:lang w:eastAsia="en-US" w:bidi="ar-SA"/>
        </w:rPr>
        <w:t xml:space="preserve"> that it raises</w:t>
      </w:r>
      <w:r w:rsidR="00E746E2">
        <w:rPr>
          <w:lang w:eastAsia="en-US" w:bidi="ar-SA"/>
        </w:rPr>
        <w:t>)</w:t>
      </w:r>
      <w:r w:rsidR="00E746E2" w:rsidRPr="002C72C2">
        <w:rPr>
          <w:lang w:eastAsia="en-US" w:bidi="ar-SA"/>
        </w:rPr>
        <w:t>.</w:t>
      </w:r>
    </w:p>
    <w:p w14:paraId="59322F2B" w14:textId="1A40D018" w:rsidR="00A3660B" w:rsidRPr="002C72C2" w:rsidRDefault="00A3660B" w:rsidP="00954BAC">
      <w:pPr>
        <w:pStyle w:val="ListParagraph"/>
        <w:numPr>
          <w:ilvl w:val="0"/>
          <w:numId w:val="46"/>
        </w:numPr>
        <w:spacing w:line="264" w:lineRule="auto"/>
        <w:rPr>
          <w:lang w:eastAsia="en-US" w:bidi="ar-SA"/>
        </w:rPr>
      </w:pPr>
      <w:r w:rsidRPr="002C72C2">
        <w:rPr>
          <w:lang w:eastAsia="en-US" w:bidi="ar-SA"/>
        </w:rPr>
        <w:t xml:space="preserve">If </w:t>
      </w:r>
      <w:r w:rsidR="00FB1412">
        <w:rPr>
          <w:lang w:eastAsia="en-US" w:bidi="ar-SA"/>
        </w:rPr>
        <w:t xml:space="preserve">a form of </w:t>
      </w:r>
      <w:r w:rsidRPr="002C72C2">
        <w:rPr>
          <w:lang w:eastAsia="en-US" w:bidi="ar-SA"/>
        </w:rPr>
        <w:t xml:space="preserve">hybrid coordination structure allows for VPPs to participate simultaneously in both </w:t>
      </w:r>
      <w:r w:rsidR="00FB1412">
        <w:rPr>
          <w:lang w:eastAsia="en-US" w:bidi="ar-SA"/>
        </w:rPr>
        <w:t>bulk power markets and dist</w:t>
      </w:r>
      <w:r w:rsidRPr="002C72C2">
        <w:rPr>
          <w:lang w:eastAsia="en-US" w:bidi="ar-SA"/>
        </w:rPr>
        <w:t>ribution</w:t>
      </w:r>
      <w:r w:rsidR="00FB1412">
        <w:rPr>
          <w:lang w:eastAsia="en-US" w:bidi="ar-SA"/>
        </w:rPr>
        <w:t>-</w:t>
      </w:r>
      <w:r w:rsidRPr="002C72C2">
        <w:rPr>
          <w:lang w:eastAsia="en-US" w:bidi="ar-SA"/>
        </w:rPr>
        <w:t>level market</w:t>
      </w:r>
      <w:r w:rsidR="00987856">
        <w:rPr>
          <w:lang w:eastAsia="en-US" w:bidi="ar-SA"/>
        </w:rPr>
        <w:t xml:space="preserve"> mechanisms, </w:t>
      </w:r>
      <w:r w:rsidRPr="002C72C2">
        <w:rPr>
          <w:lang w:eastAsia="en-US" w:bidi="ar-SA"/>
        </w:rPr>
        <w:t xml:space="preserve">this creates </w:t>
      </w:r>
      <w:r w:rsidR="00987856">
        <w:rPr>
          <w:lang w:eastAsia="en-US" w:bidi="ar-SA"/>
        </w:rPr>
        <w:t xml:space="preserve">a </w:t>
      </w:r>
      <w:r w:rsidRPr="002C72C2">
        <w:rPr>
          <w:lang w:eastAsia="en-US" w:bidi="ar-SA"/>
        </w:rPr>
        <w:t>structural hidden coupling, with its well-</w:t>
      </w:r>
      <w:r w:rsidR="00987856">
        <w:rPr>
          <w:lang w:eastAsia="en-US" w:bidi="ar-SA"/>
        </w:rPr>
        <w:t>recognised</w:t>
      </w:r>
      <w:r w:rsidRPr="002C72C2">
        <w:rPr>
          <w:lang w:eastAsia="en-US" w:bidi="ar-SA"/>
        </w:rPr>
        <w:t xml:space="preserve"> problems and </w:t>
      </w:r>
      <w:r w:rsidR="00E746E2" w:rsidRPr="002C72C2">
        <w:rPr>
          <w:lang w:eastAsia="en-US" w:bidi="ar-SA"/>
        </w:rPr>
        <w:t>disadvantages</w:t>
      </w:r>
      <w:r w:rsidR="00E746E2">
        <w:rPr>
          <w:lang w:eastAsia="en-US" w:bidi="ar-SA"/>
        </w:rPr>
        <w:t>.</w:t>
      </w:r>
      <w:r w:rsidR="00987856">
        <w:rPr>
          <w:lang w:eastAsia="en-US" w:bidi="ar-SA"/>
        </w:rPr>
        <w:t xml:space="preserve"> </w:t>
      </w:r>
    </w:p>
    <w:p w14:paraId="75486A12" w14:textId="06CB4209" w:rsidR="00A3660B" w:rsidRPr="002C72C2" w:rsidRDefault="00A3660B" w:rsidP="00954BAC">
      <w:pPr>
        <w:pStyle w:val="ListParagraph"/>
        <w:numPr>
          <w:ilvl w:val="0"/>
          <w:numId w:val="46"/>
        </w:numPr>
        <w:spacing w:line="264" w:lineRule="auto"/>
        <w:rPr>
          <w:lang w:eastAsia="en-US" w:bidi="ar-SA"/>
        </w:rPr>
      </w:pPr>
      <w:r w:rsidRPr="002C72C2">
        <w:rPr>
          <w:lang w:eastAsia="en-US" w:bidi="ar-SA"/>
        </w:rPr>
        <w:t xml:space="preserve">The introduction of </w:t>
      </w:r>
      <w:r w:rsidR="001371D2">
        <w:rPr>
          <w:lang w:eastAsia="en-US" w:bidi="ar-SA"/>
        </w:rPr>
        <w:t xml:space="preserve">CER/DER aggregators or VPPs as </w:t>
      </w:r>
      <w:r w:rsidRPr="002C72C2">
        <w:rPr>
          <w:lang w:eastAsia="en-US" w:bidi="ar-SA"/>
        </w:rPr>
        <w:t xml:space="preserve">an additional layer of entities </w:t>
      </w:r>
      <w:r w:rsidR="00E35E97">
        <w:rPr>
          <w:lang w:eastAsia="en-US" w:bidi="ar-SA"/>
        </w:rPr>
        <w:t xml:space="preserve">involved in grid management </w:t>
      </w:r>
      <w:r w:rsidR="001371D2">
        <w:rPr>
          <w:lang w:eastAsia="en-US" w:bidi="ar-SA"/>
        </w:rPr>
        <w:t xml:space="preserve">can </w:t>
      </w:r>
      <w:r w:rsidRPr="002C72C2">
        <w:rPr>
          <w:lang w:eastAsia="en-US" w:bidi="ar-SA"/>
        </w:rPr>
        <w:t>cause new latencies, which at scale can cause control loop instability or break operational cycle times</w:t>
      </w:r>
      <w:r w:rsidR="00095FD7">
        <w:rPr>
          <w:lang w:eastAsia="en-US" w:bidi="ar-SA"/>
        </w:rPr>
        <w:t>.</w:t>
      </w:r>
    </w:p>
    <w:p w14:paraId="2E4B68B1" w14:textId="48BDC72D" w:rsidR="00DC6058" w:rsidRDefault="00A3660B" w:rsidP="00954BAC">
      <w:pPr>
        <w:pStyle w:val="ListParagraph"/>
        <w:numPr>
          <w:ilvl w:val="0"/>
          <w:numId w:val="46"/>
        </w:numPr>
        <w:spacing w:line="264" w:lineRule="auto"/>
        <w:rPr>
          <w:lang w:eastAsia="en-US" w:bidi="ar-SA"/>
        </w:rPr>
      </w:pPr>
      <w:r w:rsidRPr="002C72C2">
        <w:rPr>
          <w:lang w:eastAsia="en-US" w:bidi="ar-SA"/>
        </w:rPr>
        <w:t>If dynamic invocation of CER</w:t>
      </w:r>
      <w:r w:rsidR="001371D2">
        <w:rPr>
          <w:lang w:eastAsia="en-US" w:bidi="ar-SA"/>
        </w:rPr>
        <w:t>/DER</w:t>
      </w:r>
      <w:r w:rsidRPr="002C72C2">
        <w:rPr>
          <w:lang w:eastAsia="en-US" w:bidi="ar-SA"/>
        </w:rPr>
        <w:t xml:space="preserve"> on a real time (sub-minutes, for example) basis is to be employed</w:t>
      </w:r>
      <w:r w:rsidR="001371D2">
        <w:rPr>
          <w:lang w:eastAsia="en-US" w:bidi="ar-SA"/>
        </w:rPr>
        <w:t>,</w:t>
      </w:r>
      <w:r w:rsidRPr="002C72C2">
        <w:rPr>
          <w:lang w:eastAsia="en-US" w:bidi="ar-SA"/>
        </w:rPr>
        <w:t xml:space="preserve"> and some form of fairness is appropriate, a new </w:t>
      </w:r>
      <w:r w:rsidR="001371D2">
        <w:rPr>
          <w:lang w:eastAsia="en-US" w:bidi="ar-SA"/>
        </w:rPr>
        <w:t>type</w:t>
      </w:r>
      <w:r w:rsidRPr="002C72C2">
        <w:rPr>
          <w:lang w:eastAsia="en-US" w:bidi="ar-SA"/>
        </w:rPr>
        <w:t xml:space="preserve"> of coordination across aggregators/VPPs will be needed.</w:t>
      </w:r>
    </w:p>
    <w:p w14:paraId="0DF56C22" w14:textId="77777777" w:rsidR="00B15928" w:rsidRDefault="00B15928">
      <w:pPr>
        <w:spacing w:before="0" w:after="160" w:line="259" w:lineRule="auto"/>
        <w:rPr>
          <w:lang w:eastAsia="en-US" w:bidi="ar-SA"/>
        </w:rPr>
      </w:pPr>
      <w:r>
        <w:rPr>
          <w:lang w:eastAsia="en-US" w:bidi="ar-SA"/>
        </w:rPr>
        <w:br w:type="page"/>
      </w:r>
    </w:p>
    <w:p w14:paraId="786D7DFA" w14:textId="4E46D20F" w:rsidR="00DC6058" w:rsidRPr="007224E0" w:rsidRDefault="000A5BBC" w:rsidP="00954BAC">
      <w:pPr>
        <w:pStyle w:val="ListParagraph"/>
        <w:numPr>
          <w:ilvl w:val="0"/>
          <w:numId w:val="46"/>
        </w:numPr>
        <w:spacing w:line="264" w:lineRule="auto"/>
        <w:rPr>
          <w:lang w:eastAsia="en-US" w:bidi="ar-SA"/>
        </w:rPr>
      </w:pPr>
      <w:r w:rsidRPr="007224E0">
        <w:rPr>
          <w:lang w:eastAsia="en-US" w:bidi="ar-SA"/>
        </w:rPr>
        <w:t>Cluster coupling occurs when edge devices are addressed in groups that do not allow for separation of edge device commands by specific criterion: location, device type, device service provision, etc. This causes an inability to control resources by functional type or intended use or purpose. Its causes include use of edge devices that do not have individual addresses but only respond to command codes, or applications that do not disaggregate device commands, or control systems that can only issue commands to blocks of devices rather than to individual devices, or device databases that do not have sufficient information to distinguish devices by type, geolocation, electrical location, or other criteria.</w:t>
      </w:r>
    </w:p>
    <w:p w14:paraId="3E63DE8D" w14:textId="266277B6" w:rsidR="007A793A" w:rsidRDefault="007A793A" w:rsidP="00954BAC">
      <w:pPr>
        <w:pStyle w:val="ListParagraph"/>
        <w:numPr>
          <w:ilvl w:val="0"/>
          <w:numId w:val="46"/>
        </w:numPr>
        <w:rPr>
          <w:lang w:eastAsia="en-US" w:bidi="ar-SA"/>
        </w:rPr>
      </w:pPr>
      <w:r w:rsidRPr="007A793A">
        <w:rPr>
          <w:lang w:eastAsia="en-US" w:bidi="ar-SA"/>
        </w:rPr>
        <w:t>Note that the use of Dynamic Operating Envelopes (DOEs) does not resolve the potential hidden coupling problems or the CER</w:t>
      </w:r>
      <w:r w:rsidR="00ED585B">
        <w:rPr>
          <w:lang w:eastAsia="en-US" w:bidi="ar-SA"/>
        </w:rPr>
        <w:t xml:space="preserve">/DER </w:t>
      </w:r>
      <w:r w:rsidRPr="007A793A">
        <w:rPr>
          <w:lang w:eastAsia="en-US" w:bidi="ar-SA"/>
        </w:rPr>
        <w:t>dispatch problems. In fact, the existence of interpenetrated VPPs complicates the operation of the DOEs, since it becomes necessary to create an extra layer of complexity in DOE dispatch to deal with the mappings of circuits to CERs to VPPs. In effect, the DOEs can become coupled through the ad hoc VPP-to-CER</w:t>
      </w:r>
      <w:r w:rsidR="00AD7E84">
        <w:rPr>
          <w:lang w:eastAsia="en-US" w:bidi="ar-SA"/>
        </w:rPr>
        <w:t>/DER</w:t>
      </w:r>
      <w:r w:rsidRPr="007A793A">
        <w:rPr>
          <w:lang w:eastAsia="en-US" w:bidi="ar-SA"/>
        </w:rPr>
        <w:t xml:space="preserve"> mappings.</w:t>
      </w:r>
    </w:p>
    <w:p w14:paraId="2547DB92" w14:textId="77777777" w:rsidR="001371D2" w:rsidRDefault="001371D2">
      <w:pPr>
        <w:spacing w:before="0" w:after="160" w:line="259" w:lineRule="auto"/>
        <w:rPr>
          <w:rStyle w:val="IntenseEmphasis"/>
        </w:rPr>
      </w:pPr>
      <w:r>
        <w:rPr>
          <w:rStyle w:val="IntenseEmphasis"/>
        </w:rPr>
        <w:br w:type="page"/>
      </w:r>
    </w:p>
    <w:tbl>
      <w:tblPr>
        <w:tblStyle w:val="GridTable5Dark"/>
        <w:tblW w:w="0" w:type="auto"/>
        <w:tblLook w:val="04A0" w:firstRow="1" w:lastRow="0" w:firstColumn="1" w:lastColumn="0" w:noHBand="0" w:noVBand="1"/>
      </w:tblPr>
      <w:tblGrid>
        <w:gridCol w:w="8210"/>
      </w:tblGrid>
      <w:tr w:rsidR="001371D2" w:rsidRPr="002C72C2" w14:paraId="0F101237" w14:textId="77777777" w:rsidTr="00EF166C">
        <w:trPr>
          <w:cnfStyle w:val="100000000000" w:firstRow="1" w:lastRow="0" w:firstColumn="0" w:lastColumn="0" w:oddVBand="0" w:evenVBand="0" w:oddHBand="0" w:evenHBand="0" w:firstRowFirstColumn="0" w:firstRowLastColumn="0" w:lastRowFirstColumn="0" w:lastRowLastColumn="0"/>
          <w:trHeight w:val="10047"/>
        </w:trPr>
        <w:tc>
          <w:tcPr>
            <w:cnfStyle w:val="001000000000" w:firstRow="0" w:lastRow="0" w:firstColumn="1" w:lastColumn="0" w:oddVBand="0" w:evenVBand="0" w:oddHBand="0" w:evenHBand="0" w:firstRowFirstColumn="0" w:firstRowLastColumn="0" w:lastRowFirstColumn="0" w:lastRowLastColumn="0"/>
            <w:tcW w:w="8210" w:type="dxa"/>
          </w:tcPr>
          <w:p w14:paraId="6D31897F" w14:textId="6C752054" w:rsidR="001371D2" w:rsidRPr="002F2243" w:rsidRDefault="001371D2" w:rsidP="00A04E5C">
            <w:pPr>
              <w:spacing w:before="120" w:after="120" w:line="264" w:lineRule="auto"/>
              <w:ind w:left="176"/>
              <w:rPr>
                <w:rStyle w:val="Strong"/>
                <w:b w:val="0"/>
                <w:bCs w:val="0"/>
                <w:sz w:val="28"/>
              </w:rPr>
            </w:pPr>
            <w:r w:rsidRPr="00CC7B9F">
              <w:rPr>
                <w:rStyle w:val="Strong"/>
                <w:b w:val="0"/>
                <w:bCs w:val="0"/>
                <w:sz w:val="28"/>
              </w:rPr>
              <w:t xml:space="preserve">Key Concepts </w:t>
            </w:r>
            <w:r w:rsidR="00EF166C">
              <w:rPr>
                <w:rStyle w:val="Strong"/>
                <w:b w:val="0"/>
                <w:bCs w:val="0"/>
                <w:sz w:val="28"/>
              </w:rPr>
              <w:t>K</w:t>
            </w:r>
            <w:r w:rsidR="008364BE" w:rsidRPr="00CC7B9F">
              <w:rPr>
                <w:rFonts w:ascii="PP Mori SemiBold" w:hAnsi="PP Mori SemiBold"/>
                <w:noProof/>
                <w:sz w:val="20"/>
                <w:szCs w:val="20"/>
              </w:rPr>
              <w:drawing>
                <wp:inline distT="0" distB="0" distL="0" distR="0" wp14:anchorId="517E296C" wp14:editId="7007F903">
                  <wp:extent cx="272006" cy="272006"/>
                  <wp:effectExtent l="0" t="0" r="6350" b="6350"/>
                  <wp:docPr id="945007764"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272006" cy="272006"/>
                          </a:xfrm>
                          <a:prstGeom prst="rect">
                            <a:avLst/>
                          </a:prstGeom>
                        </pic:spPr>
                      </pic:pic>
                    </a:graphicData>
                  </a:graphic>
                </wp:inline>
              </w:drawing>
            </w:r>
          </w:p>
          <w:p w14:paraId="2074C699" w14:textId="77777777" w:rsidR="001371D2" w:rsidRPr="00014ED2" w:rsidRDefault="001371D2" w:rsidP="00A04E5C">
            <w:pPr>
              <w:pStyle w:val="Subtitle"/>
              <w:spacing w:before="180" w:after="100" w:line="264" w:lineRule="auto"/>
              <w:ind w:left="176"/>
              <w:rPr>
                <w:rStyle w:val="Emphasis"/>
                <w:rFonts w:ascii="PP Mori SemiBold" w:hAnsi="PP Mori SemiBold"/>
                <w:sz w:val="24"/>
                <w:szCs w:val="40"/>
              </w:rPr>
            </w:pPr>
            <w:r w:rsidRPr="00014ED2">
              <w:rPr>
                <w:rStyle w:val="Emphasis"/>
                <w:rFonts w:ascii="PP Mori SemiBold" w:hAnsi="PP Mori SemiBold"/>
                <w:sz w:val="24"/>
                <w:szCs w:val="40"/>
              </w:rPr>
              <w:t xml:space="preserve">Architectural Issues </w:t>
            </w:r>
          </w:p>
          <w:p w14:paraId="3AF39FFE" w14:textId="21AE31ED" w:rsidR="001371D2" w:rsidRPr="002C72C2" w:rsidRDefault="001371D2" w:rsidP="00A04E5C">
            <w:pPr>
              <w:spacing w:before="120" w:after="100" w:line="264" w:lineRule="auto"/>
              <w:ind w:left="176"/>
              <w:rPr>
                <w:b w:val="0"/>
                <w:lang w:eastAsia="en-US" w:bidi="ar-SA"/>
              </w:rPr>
            </w:pPr>
            <w:r w:rsidRPr="002C72C2">
              <w:rPr>
                <w:b w:val="0"/>
                <w:lang w:eastAsia="en-US" w:bidi="ar-SA"/>
              </w:rPr>
              <w:t xml:space="preserve">Following are </w:t>
            </w:r>
            <w:r w:rsidR="005E042E">
              <w:rPr>
                <w:b w:val="0"/>
                <w:lang w:eastAsia="en-US" w:bidi="ar-SA"/>
              </w:rPr>
              <w:t>eight</w:t>
            </w:r>
            <w:r w:rsidRPr="002C72C2">
              <w:rPr>
                <w:b w:val="0"/>
                <w:lang w:eastAsia="en-US" w:bidi="ar-SA"/>
              </w:rPr>
              <w:t xml:space="preserve"> important structural issues that </w:t>
            </w:r>
            <w:r w:rsidRPr="00185510">
              <w:rPr>
                <w:b w:val="0"/>
                <w:lang w:eastAsia="en-US" w:bidi="ar-SA"/>
              </w:rPr>
              <w:t>the</w:t>
            </w:r>
            <w:r w:rsidR="00313D01">
              <w:rPr>
                <w:b w:val="0"/>
                <w:lang w:eastAsia="en-US" w:bidi="ar-SA"/>
              </w:rPr>
              <w:t xml:space="preserve"> </w:t>
            </w:r>
            <w:r w:rsidR="00CC7B9F">
              <w:rPr>
                <w:b w:val="0"/>
                <w:lang w:eastAsia="en-US" w:bidi="ar-SA"/>
              </w:rPr>
              <w:t xml:space="preserve">Power </w:t>
            </w:r>
            <w:r w:rsidR="00313D01">
              <w:rPr>
                <w:b w:val="0"/>
                <w:lang w:eastAsia="en-US" w:bidi="ar-SA"/>
              </w:rPr>
              <w:t>Systems Architecture discipline</w:t>
            </w:r>
            <w:r w:rsidR="00CC7B9F">
              <w:rPr>
                <w:b w:val="0"/>
                <w:lang w:eastAsia="en-US" w:bidi="ar-SA"/>
              </w:rPr>
              <w:t>s</w:t>
            </w:r>
            <w:r w:rsidRPr="002C72C2">
              <w:rPr>
                <w:b w:val="0"/>
                <w:lang w:eastAsia="en-US" w:bidi="ar-SA"/>
              </w:rPr>
              <w:t xml:space="preserve"> address</w:t>
            </w:r>
            <w:r w:rsidR="00CC7B9F">
              <w:rPr>
                <w:b w:val="0"/>
                <w:lang w:eastAsia="en-US" w:bidi="ar-SA"/>
              </w:rPr>
              <w:t xml:space="preserve"> </w:t>
            </w:r>
            <w:r w:rsidRPr="002C72C2">
              <w:rPr>
                <w:b w:val="0"/>
                <w:lang w:eastAsia="en-US" w:bidi="ar-SA"/>
              </w:rPr>
              <w:t xml:space="preserve">that will otherwise negatively impact the operability and resilience of decarbonising power systems:  </w:t>
            </w:r>
          </w:p>
          <w:p w14:paraId="2F4DA6E5" w14:textId="428261E1" w:rsidR="001371D2" w:rsidRPr="002C72C2" w:rsidRDefault="001371D2" w:rsidP="00954BAC">
            <w:pPr>
              <w:pStyle w:val="ListParagraph"/>
              <w:numPr>
                <w:ilvl w:val="0"/>
                <w:numId w:val="23"/>
              </w:numPr>
              <w:spacing w:before="100" w:after="100" w:line="264" w:lineRule="auto"/>
              <w:ind w:left="602" w:hanging="284"/>
              <w:rPr>
                <w:b w:val="0"/>
                <w:lang w:eastAsia="en-US" w:bidi="ar-SA"/>
              </w:rPr>
            </w:pPr>
            <w:r w:rsidRPr="00014ED2">
              <w:rPr>
                <w:rFonts w:ascii="PP Mori SemiBold" w:hAnsi="PP Mori SemiBold"/>
                <w:b w:val="0"/>
                <w:lang w:eastAsia="en-US" w:bidi="ar-SA"/>
              </w:rPr>
              <w:t>Tier/Layer Bypassing:</w:t>
            </w:r>
            <w:r>
              <w:rPr>
                <w:rFonts w:ascii="PP Mori SemiBold" w:hAnsi="PP Mori SemiBold"/>
                <w:b w:val="0"/>
                <w:lang w:eastAsia="en-US" w:bidi="ar-SA"/>
              </w:rPr>
              <w:t xml:space="preserve"> </w:t>
            </w:r>
            <w:r w:rsidRPr="002C72C2">
              <w:rPr>
                <w:b w:val="0"/>
                <w:lang w:eastAsia="en-US" w:bidi="ar-SA"/>
              </w:rPr>
              <w:t>The creation of information flows or coordination signals that ‘leapfrog’ a vertical tier/layer of the power system’s operational hierarchy</w:t>
            </w:r>
            <w:r w:rsidR="00374950">
              <w:rPr>
                <w:b w:val="0"/>
                <w:lang w:eastAsia="en-US" w:bidi="ar-SA"/>
              </w:rPr>
              <w:t xml:space="preserve">. </w:t>
            </w:r>
          </w:p>
          <w:p w14:paraId="51086DF1" w14:textId="77777777" w:rsidR="001371D2" w:rsidRPr="002C72C2" w:rsidRDefault="001371D2" w:rsidP="00954BAC">
            <w:pPr>
              <w:pStyle w:val="ListParagraph"/>
              <w:numPr>
                <w:ilvl w:val="0"/>
                <w:numId w:val="23"/>
              </w:numPr>
              <w:spacing w:before="100" w:after="100" w:line="264" w:lineRule="auto"/>
              <w:ind w:left="602" w:hanging="284"/>
              <w:rPr>
                <w:b w:val="0"/>
                <w:lang w:eastAsia="en-US" w:bidi="ar-SA"/>
              </w:rPr>
            </w:pPr>
            <w:r w:rsidRPr="00014ED2">
              <w:rPr>
                <w:rFonts w:ascii="PP Mori SemiBold" w:hAnsi="PP Mori SemiBold"/>
                <w:b w:val="0"/>
                <w:lang w:eastAsia="en-US" w:bidi="ar-SA"/>
              </w:rPr>
              <w:t>Coordination Gapping:</w:t>
            </w:r>
            <w:r w:rsidRPr="002C72C2">
              <w:rPr>
                <w:b w:val="0"/>
                <w:lang w:eastAsia="en-US" w:bidi="ar-SA"/>
              </w:rPr>
              <w:t xml:space="preserve"> An element of the power system does not receive an explicit flow of coordination signals from any higher tier/layer of the system and therefore operates in isolation.</w:t>
            </w:r>
          </w:p>
          <w:p w14:paraId="4B6E8CB8" w14:textId="77777777" w:rsidR="001371D2" w:rsidRPr="0068319C" w:rsidRDefault="001371D2" w:rsidP="00954BAC">
            <w:pPr>
              <w:pStyle w:val="ListParagraph"/>
              <w:numPr>
                <w:ilvl w:val="0"/>
                <w:numId w:val="23"/>
              </w:numPr>
              <w:spacing w:before="100" w:after="100" w:line="264" w:lineRule="auto"/>
              <w:ind w:left="602" w:hanging="284"/>
              <w:rPr>
                <w:b w:val="0"/>
                <w:lang w:eastAsia="en-US" w:bidi="ar-SA"/>
              </w:rPr>
            </w:pPr>
            <w:r w:rsidRPr="00014ED2">
              <w:rPr>
                <w:rFonts w:ascii="PP Mori SemiBold" w:hAnsi="PP Mori SemiBold"/>
                <w:b w:val="0"/>
                <w:lang w:eastAsia="en-US" w:bidi="ar-SA"/>
              </w:rPr>
              <w:t>Hidden Coupling:</w:t>
            </w:r>
            <w:r w:rsidRPr="002C72C2">
              <w:rPr>
                <w:b w:val="0"/>
                <w:lang w:eastAsia="en-US" w:bidi="ar-SA"/>
              </w:rPr>
              <w:t xml:space="preserve"> Two or more control entities with partial views of system state issue simultaneous but conflicting coordination signals to a CER/DER or component of the power system. </w:t>
            </w:r>
          </w:p>
          <w:p w14:paraId="0D3956AD" w14:textId="3E2FCE32" w:rsidR="0068319C" w:rsidRPr="00F13CCD" w:rsidRDefault="0068319C" w:rsidP="00954BAC">
            <w:pPr>
              <w:pStyle w:val="ListParagraph"/>
              <w:numPr>
                <w:ilvl w:val="0"/>
                <w:numId w:val="23"/>
              </w:numPr>
              <w:spacing w:before="100" w:after="100" w:line="264" w:lineRule="auto"/>
              <w:ind w:left="602" w:hanging="284"/>
              <w:rPr>
                <w:b w:val="0"/>
                <w:lang w:eastAsia="en-US" w:bidi="ar-SA"/>
              </w:rPr>
            </w:pPr>
            <w:r w:rsidRPr="00F13CCD">
              <w:rPr>
                <w:rFonts w:ascii="PP Mori SemiBold" w:hAnsi="PP Mori SemiBold"/>
                <w:b w:val="0"/>
                <w:lang w:eastAsia="en-US" w:bidi="ar-SA"/>
              </w:rPr>
              <w:t>Cluster Coupling:</w:t>
            </w:r>
            <w:r>
              <w:rPr>
                <w:rFonts w:ascii="PP Mori SemiBold" w:hAnsi="PP Mori SemiBold"/>
                <w:b w:val="0"/>
                <w:lang w:eastAsia="en-US" w:bidi="ar-SA"/>
              </w:rPr>
              <w:t xml:space="preserve"> </w:t>
            </w:r>
            <w:r w:rsidRPr="00F13CCD">
              <w:rPr>
                <w:b w:val="0"/>
                <w:lang w:eastAsia="en-US" w:bidi="ar-SA"/>
              </w:rPr>
              <w:t xml:space="preserve">Where </w:t>
            </w:r>
            <w:r w:rsidR="00895670" w:rsidRPr="00F13CCD">
              <w:rPr>
                <w:b w:val="0"/>
                <w:lang w:eastAsia="en-US" w:bidi="ar-SA"/>
              </w:rPr>
              <w:t xml:space="preserve">CER/DER </w:t>
            </w:r>
            <w:r w:rsidRPr="00F13CCD">
              <w:rPr>
                <w:b w:val="0"/>
                <w:lang w:eastAsia="en-US" w:bidi="ar-SA"/>
              </w:rPr>
              <w:t>are addressed in groups that do not allow for separation of edge device commands by specific criterion: location, device type, device service provision, etc.</w:t>
            </w:r>
            <w:r w:rsidRPr="00F13CCD">
              <w:rPr>
                <w:lang w:eastAsia="en-US" w:bidi="ar-SA"/>
              </w:rPr>
              <w:t xml:space="preserve"> </w:t>
            </w:r>
          </w:p>
          <w:p w14:paraId="6B194456" w14:textId="77777777" w:rsidR="001371D2" w:rsidRPr="002C72C2" w:rsidRDefault="001371D2" w:rsidP="00954BAC">
            <w:pPr>
              <w:pStyle w:val="ListParagraph"/>
              <w:numPr>
                <w:ilvl w:val="0"/>
                <w:numId w:val="23"/>
              </w:numPr>
              <w:spacing w:before="100" w:after="100" w:line="264" w:lineRule="auto"/>
              <w:ind w:left="602" w:hanging="284"/>
              <w:rPr>
                <w:b w:val="0"/>
                <w:lang w:eastAsia="en-US" w:bidi="ar-SA"/>
              </w:rPr>
            </w:pPr>
            <w:r w:rsidRPr="00014ED2">
              <w:rPr>
                <w:rFonts w:ascii="PP Mori SemiBold" w:hAnsi="PP Mori SemiBold"/>
                <w:b w:val="0"/>
                <w:lang w:eastAsia="en-US" w:bidi="ar-SA"/>
              </w:rPr>
              <w:t>Latency Cascading:</w:t>
            </w:r>
            <w:r w:rsidRPr="002C72C2">
              <w:rPr>
                <w:b w:val="0"/>
                <w:lang w:eastAsia="en-US" w:bidi="ar-SA"/>
              </w:rPr>
              <w:t xml:space="preserve"> Creation of compounding latencies in information flows due to the serial routing of data through various computational systems, processes and organisations. </w:t>
            </w:r>
          </w:p>
          <w:p w14:paraId="1F0B8A94" w14:textId="77777777" w:rsidR="00986F53" w:rsidRPr="001D116D" w:rsidRDefault="00986F53" w:rsidP="00986F53">
            <w:pPr>
              <w:pStyle w:val="ListParagraph"/>
              <w:numPr>
                <w:ilvl w:val="0"/>
                <w:numId w:val="23"/>
              </w:numPr>
              <w:spacing w:before="100" w:after="100" w:line="264" w:lineRule="auto"/>
              <w:ind w:left="602" w:hanging="284"/>
              <w:rPr>
                <w:b w:val="0"/>
                <w:lang w:eastAsia="en-US" w:bidi="ar-SA"/>
              </w:rPr>
            </w:pPr>
            <w:r w:rsidRPr="00986F53">
              <w:rPr>
                <w:rFonts w:ascii="PP Mori SemiBold" w:hAnsi="PP Mori SemiBold"/>
                <w:b w:val="0"/>
                <w:lang w:eastAsia="en-US" w:bidi="ar-SA"/>
              </w:rPr>
              <w:t>Computational Time &amp; Cost Excursions:</w:t>
            </w:r>
            <w:r w:rsidRPr="00986F53">
              <w:rPr>
                <w:b w:val="0"/>
                <w:lang w:eastAsia="en-US" w:bidi="ar-SA"/>
              </w:rPr>
              <w:t xml:space="preserve"> Where massive data volumes, latencies and processing ‘bottlenecks’ occur, compounded by unresolved structural issues, optimisation engines risk hitting a computational ‘time wall’ where no amount of computing resource will be adequate to solve the optimisation problems in an acceptable time and at an efficient cost.</w:t>
            </w:r>
            <w:r w:rsidRPr="00986F53">
              <w:rPr>
                <w:rStyle w:val="FootnoteReference"/>
                <w:bCs w:val="0"/>
                <w:color w:val="auto"/>
                <w:sz w:val="20"/>
                <w:szCs w:val="25"/>
              </w:rPr>
              <w:footnoteReference w:id="14"/>
            </w:r>
          </w:p>
          <w:p w14:paraId="40F4D39E" w14:textId="77777777" w:rsidR="001371D2" w:rsidRPr="002C72C2" w:rsidRDefault="001371D2" w:rsidP="00954BAC">
            <w:pPr>
              <w:pStyle w:val="ListParagraph"/>
              <w:numPr>
                <w:ilvl w:val="0"/>
                <w:numId w:val="23"/>
              </w:numPr>
              <w:spacing w:before="100" w:after="100" w:line="264" w:lineRule="auto"/>
              <w:ind w:left="602" w:hanging="284"/>
              <w:rPr>
                <w:b w:val="0"/>
                <w:lang w:eastAsia="en-US" w:bidi="ar-SA"/>
              </w:rPr>
            </w:pPr>
            <w:r w:rsidRPr="00014ED2">
              <w:rPr>
                <w:rFonts w:ascii="PP Mori SemiBold" w:hAnsi="PP Mori SemiBold"/>
                <w:b w:val="0"/>
                <w:lang w:eastAsia="en-US" w:bidi="ar-SA"/>
              </w:rPr>
              <w:t xml:space="preserve">Cybersecurity Structural Vulnerabilities: </w:t>
            </w:r>
            <w:r w:rsidRPr="002C72C2">
              <w:rPr>
                <w:b w:val="0"/>
                <w:lang w:eastAsia="en-US" w:bidi="ar-SA"/>
              </w:rPr>
              <w:t xml:space="preserve">Ill-informed and often unnecessary structural choices result in communication and routings that create non-cyber vulnerabilities to system penetration. </w:t>
            </w:r>
          </w:p>
          <w:p w14:paraId="4D63F739" w14:textId="46F76FD8" w:rsidR="001371D2" w:rsidRPr="007054B8" w:rsidRDefault="001371D2" w:rsidP="00954BAC">
            <w:pPr>
              <w:pStyle w:val="ListParagraph"/>
              <w:numPr>
                <w:ilvl w:val="0"/>
                <w:numId w:val="23"/>
              </w:numPr>
              <w:spacing w:before="100" w:after="100" w:line="264" w:lineRule="auto"/>
              <w:ind w:left="602" w:hanging="284"/>
              <w:rPr>
                <w:b w:val="0"/>
                <w:lang w:eastAsia="en-US" w:bidi="ar-SA"/>
              </w:rPr>
            </w:pPr>
            <w:r w:rsidRPr="00014ED2">
              <w:rPr>
                <w:rFonts w:ascii="PP Mori SemiBold" w:hAnsi="PP Mori SemiBold"/>
                <w:b w:val="0"/>
                <w:lang w:eastAsia="en-US" w:bidi="ar-SA"/>
              </w:rPr>
              <w:t>Back-end Integration Constraints:</w:t>
            </w:r>
            <w:r>
              <w:rPr>
                <w:rFonts w:ascii="PP Mori SemiBold" w:hAnsi="PP Mori SemiBold"/>
                <w:b w:val="0"/>
                <w:lang w:eastAsia="en-US" w:bidi="ar-SA"/>
              </w:rPr>
              <w:t xml:space="preserve"> </w:t>
            </w:r>
            <w:r w:rsidRPr="002C72C2">
              <w:rPr>
                <w:b w:val="0"/>
                <w:lang w:eastAsia="en-US" w:bidi="ar-SA"/>
              </w:rPr>
              <w:t>Multiple vertical silo structures found in many supply-chain organisations drive significant back-end integration costs, anti-resilience and are anti-extensible due to the coupling of applications in which where failure in one can ripple through to degrade others</w:t>
            </w:r>
            <w:r w:rsidR="00374950">
              <w:rPr>
                <w:b w:val="0"/>
                <w:lang w:eastAsia="en-US" w:bidi="ar-SA"/>
              </w:rPr>
              <w:t xml:space="preserve">. </w:t>
            </w:r>
          </w:p>
        </w:tc>
      </w:tr>
    </w:tbl>
    <w:p w14:paraId="11DDE79B" w14:textId="77777777" w:rsidR="003136E1" w:rsidRDefault="003136E1" w:rsidP="002C5784">
      <w:pPr>
        <w:spacing w:after="120" w:line="264" w:lineRule="auto"/>
        <w:rPr>
          <w:rStyle w:val="IntenseEmphasis"/>
        </w:rPr>
      </w:pPr>
    </w:p>
    <w:p w14:paraId="1CA2E42A" w14:textId="090AE84C" w:rsidR="00A81716" w:rsidRPr="0019764C" w:rsidRDefault="00A81716" w:rsidP="002C5784">
      <w:pPr>
        <w:spacing w:after="120" w:line="264" w:lineRule="auto"/>
        <w:rPr>
          <w:rStyle w:val="IntenseEmphasis"/>
        </w:rPr>
      </w:pPr>
      <w:r w:rsidRPr="0019764C">
        <w:rPr>
          <w:rStyle w:val="IntenseEmphasis"/>
        </w:rPr>
        <w:t>Multi-level Market Co-Optimisation</w:t>
      </w:r>
    </w:p>
    <w:p w14:paraId="7D3DBBC5" w14:textId="31E2D51C" w:rsidR="00A8661C" w:rsidRDefault="00A81716" w:rsidP="00A04E5C">
      <w:pPr>
        <w:spacing w:before="100" w:after="100" w:line="240" w:lineRule="auto"/>
        <w:rPr>
          <w:lang w:eastAsia="en-US" w:bidi="ar-SA"/>
        </w:rPr>
      </w:pPr>
      <w:r w:rsidRPr="002C72C2">
        <w:rPr>
          <w:lang w:eastAsia="en-US" w:bidi="ar-SA"/>
        </w:rPr>
        <w:t>For</w:t>
      </w:r>
      <w:r w:rsidR="009674BB">
        <w:rPr>
          <w:lang w:eastAsia="en-US" w:bidi="ar-SA"/>
        </w:rPr>
        <w:t xml:space="preserve"> power</w:t>
      </w:r>
      <w:r w:rsidRPr="002C72C2">
        <w:rPr>
          <w:lang w:eastAsia="en-US" w:bidi="ar-SA"/>
        </w:rPr>
        <w:t xml:space="preserve"> systems with both bulk </w:t>
      </w:r>
      <w:r w:rsidR="009674BB">
        <w:rPr>
          <w:lang w:eastAsia="en-US" w:bidi="ar-SA"/>
        </w:rPr>
        <w:t>power</w:t>
      </w:r>
      <w:r w:rsidRPr="002C72C2">
        <w:rPr>
          <w:lang w:eastAsia="en-US" w:bidi="ar-SA"/>
        </w:rPr>
        <w:t xml:space="preserve"> markets and distribution</w:t>
      </w:r>
      <w:r w:rsidR="009674BB">
        <w:rPr>
          <w:lang w:eastAsia="en-US" w:bidi="ar-SA"/>
        </w:rPr>
        <w:t>-</w:t>
      </w:r>
      <w:r w:rsidRPr="002C72C2">
        <w:rPr>
          <w:lang w:eastAsia="en-US" w:bidi="ar-SA"/>
        </w:rPr>
        <w:t>level market</w:t>
      </w:r>
      <w:r w:rsidR="009674BB">
        <w:rPr>
          <w:lang w:eastAsia="en-US" w:bidi="ar-SA"/>
        </w:rPr>
        <w:t xml:space="preserve"> mechanisms</w:t>
      </w:r>
      <w:r w:rsidRPr="002C72C2">
        <w:rPr>
          <w:lang w:eastAsia="en-US" w:bidi="ar-SA"/>
        </w:rPr>
        <w:t xml:space="preserve"> for </w:t>
      </w:r>
      <w:r w:rsidR="007A3C74" w:rsidRPr="002C72C2">
        <w:rPr>
          <w:lang w:eastAsia="en-US" w:bidi="ar-SA"/>
        </w:rPr>
        <w:t>CER/DER</w:t>
      </w:r>
      <w:r w:rsidRPr="002C72C2">
        <w:rPr>
          <w:lang w:eastAsia="en-US" w:bidi="ar-SA"/>
        </w:rPr>
        <w:t xml:space="preserve">, it is important to </w:t>
      </w:r>
      <w:r w:rsidR="002C5784">
        <w:rPr>
          <w:lang w:eastAsia="en-US" w:bidi="ar-SA"/>
        </w:rPr>
        <w:t xml:space="preserve">recognise that markets </w:t>
      </w:r>
      <w:r w:rsidR="009674BB">
        <w:rPr>
          <w:lang w:eastAsia="en-US" w:bidi="ar-SA"/>
        </w:rPr>
        <w:t xml:space="preserve">function as elements of </w:t>
      </w:r>
      <w:r w:rsidR="002C5784">
        <w:rPr>
          <w:lang w:eastAsia="en-US" w:bidi="ar-SA"/>
        </w:rPr>
        <w:t xml:space="preserve">the </w:t>
      </w:r>
      <w:r w:rsidR="007A3C74" w:rsidRPr="002C72C2">
        <w:rPr>
          <w:lang w:eastAsia="en-US" w:bidi="ar-SA"/>
        </w:rPr>
        <w:t>CER/DER</w:t>
      </w:r>
      <w:r w:rsidRPr="002C72C2">
        <w:rPr>
          <w:lang w:eastAsia="en-US" w:bidi="ar-SA"/>
        </w:rPr>
        <w:t xml:space="preserve"> coordination</w:t>
      </w:r>
      <w:r w:rsidR="002C5784">
        <w:rPr>
          <w:lang w:eastAsia="en-US" w:bidi="ar-SA"/>
        </w:rPr>
        <w:t xml:space="preserve"> system</w:t>
      </w:r>
      <w:r w:rsidR="00F515D7">
        <w:rPr>
          <w:lang w:eastAsia="en-US" w:bidi="ar-SA"/>
        </w:rPr>
        <w:t xml:space="preserve"> which ultimately contributes to system balancing</w:t>
      </w:r>
      <w:r w:rsidR="00374950">
        <w:rPr>
          <w:lang w:eastAsia="en-US" w:bidi="ar-SA"/>
        </w:rPr>
        <w:t xml:space="preserve">. </w:t>
      </w:r>
      <w:r w:rsidR="004D25A6">
        <w:rPr>
          <w:lang w:eastAsia="en-US" w:bidi="ar-SA"/>
        </w:rPr>
        <w:t xml:space="preserve">It </w:t>
      </w:r>
      <w:r w:rsidR="00296FD8">
        <w:rPr>
          <w:lang w:eastAsia="en-US" w:bidi="ar-SA"/>
        </w:rPr>
        <w:t>is therefore</w:t>
      </w:r>
      <w:r w:rsidR="004D25A6">
        <w:rPr>
          <w:lang w:eastAsia="en-US" w:bidi="ar-SA"/>
        </w:rPr>
        <w:t xml:space="preserve"> important </w:t>
      </w:r>
      <w:r w:rsidR="00CE3F62">
        <w:rPr>
          <w:lang w:eastAsia="en-US" w:bidi="ar-SA"/>
        </w:rPr>
        <w:t xml:space="preserve">that the </w:t>
      </w:r>
      <w:r w:rsidRPr="002C72C2">
        <w:rPr>
          <w:lang w:eastAsia="en-US" w:bidi="ar-SA"/>
        </w:rPr>
        <w:t>structure and operation of market</w:t>
      </w:r>
      <w:r w:rsidR="004130E0">
        <w:rPr>
          <w:lang w:eastAsia="en-US" w:bidi="ar-SA"/>
        </w:rPr>
        <w:t xml:space="preserve"> mechanisms</w:t>
      </w:r>
      <w:r w:rsidR="00296FD8">
        <w:rPr>
          <w:lang w:eastAsia="en-US" w:bidi="ar-SA"/>
        </w:rPr>
        <w:t xml:space="preserve">, individually and together, </w:t>
      </w:r>
      <w:r w:rsidRPr="002C72C2">
        <w:rPr>
          <w:lang w:eastAsia="en-US" w:bidi="ar-SA"/>
        </w:rPr>
        <w:t xml:space="preserve">be </w:t>
      </w:r>
      <w:r w:rsidR="00296FD8">
        <w:rPr>
          <w:lang w:eastAsia="en-US" w:bidi="ar-SA"/>
        </w:rPr>
        <w:t xml:space="preserve">informed </w:t>
      </w:r>
      <w:r w:rsidR="00A8661C">
        <w:rPr>
          <w:lang w:eastAsia="en-US" w:bidi="ar-SA"/>
        </w:rPr>
        <w:t>by</w:t>
      </w:r>
      <w:r w:rsidR="00296FD8">
        <w:rPr>
          <w:lang w:eastAsia="en-US" w:bidi="ar-SA"/>
        </w:rPr>
        <w:t xml:space="preserve"> sound architectural principles</w:t>
      </w:r>
      <w:r w:rsidR="00AE0B15">
        <w:rPr>
          <w:lang w:eastAsia="en-US" w:bidi="ar-SA"/>
        </w:rPr>
        <w:t xml:space="preserve"> and </w:t>
      </w:r>
      <w:r w:rsidR="00586C92">
        <w:rPr>
          <w:lang w:eastAsia="en-US" w:bidi="ar-SA"/>
        </w:rPr>
        <w:t xml:space="preserve">the application of </w:t>
      </w:r>
      <w:r w:rsidR="00AE0B15" w:rsidRPr="002C72C2">
        <w:rPr>
          <w:lang w:eastAsia="en-US" w:bidi="ar-SA"/>
        </w:rPr>
        <w:t>layered decomposition</w:t>
      </w:r>
      <w:r w:rsidR="0072601D">
        <w:rPr>
          <w:lang w:eastAsia="en-US" w:bidi="ar-SA"/>
        </w:rPr>
        <w:t xml:space="preserve">. </w:t>
      </w:r>
    </w:p>
    <w:p w14:paraId="6FE2FCD9" w14:textId="0F5DD7C0" w:rsidR="00654B81" w:rsidRDefault="00A81716" w:rsidP="00A04E5C">
      <w:pPr>
        <w:spacing w:before="100" w:after="100" w:line="240" w:lineRule="auto"/>
        <w:rPr>
          <w:lang w:eastAsia="en-US" w:bidi="ar-SA"/>
        </w:rPr>
      </w:pPr>
      <w:r w:rsidRPr="002C72C2">
        <w:rPr>
          <w:lang w:eastAsia="en-US" w:bidi="ar-SA"/>
        </w:rPr>
        <w:t xml:space="preserve">In addition to avoiding </w:t>
      </w:r>
      <w:r w:rsidR="00142707">
        <w:rPr>
          <w:lang w:eastAsia="en-US" w:bidi="ar-SA"/>
        </w:rPr>
        <w:t xml:space="preserve">tier/layer </w:t>
      </w:r>
      <w:r w:rsidRPr="002C72C2">
        <w:rPr>
          <w:lang w:eastAsia="en-US" w:bidi="ar-SA"/>
        </w:rPr>
        <w:t>bypassing, the markets themselves require coordination, which is often called co-optimisation. This can be accomplished simply and efficiently by applying layered decomposition principles</w:t>
      </w:r>
      <w:r w:rsidR="00374950">
        <w:rPr>
          <w:lang w:eastAsia="en-US" w:bidi="ar-SA"/>
        </w:rPr>
        <w:t xml:space="preserve">. </w:t>
      </w:r>
      <w:r w:rsidR="00637850">
        <w:rPr>
          <w:lang w:eastAsia="en-US" w:bidi="ar-SA"/>
        </w:rPr>
        <w:t xml:space="preserve">Doing so also </w:t>
      </w:r>
      <w:r w:rsidR="00233735">
        <w:rPr>
          <w:lang w:eastAsia="en-US" w:bidi="ar-SA"/>
        </w:rPr>
        <w:t xml:space="preserve">avoids the </w:t>
      </w:r>
      <w:r w:rsidR="003F2634">
        <w:rPr>
          <w:lang w:eastAsia="en-US" w:bidi="ar-SA"/>
        </w:rPr>
        <w:t>significant d</w:t>
      </w:r>
      <w:r w:rsidRPr="002C72C2">
        <w:rPr>
          <w:lang w:eastAsia="en-US" w:bidi="ar-SA"/>
        </w:rPr>
        <w:t xml:space="preserve">isadvantages </w:t>
      </w:r>
      <w:r w:rsidR="003F2634">
        <w:rPr>
          <w:lang w:eastAsia="en-US" w:bidi="ar-SA"/>
        </w:rPr>
        <w:t>of needing t</w:t>
      </w:r>
      <w:r w:rsidRPr="002C72C2">
        <w:rPr>
          <w:lang w:eastAsia="en-US" w:bidi="ar-SA"/>
        </w:rPr>
        <w:t>o creat</w:t>
      </w:r>
      <w:r w:rsidR="003F2634">
        <w:rPr>
          <w:lang w:eastAsia="en-US" w:bidi="ar-SA"/>
        </w:rPr>
        <w:t>e</w:t>
      </w:r>
      <w:r w:rsidRPr="002C72C2">
        <w:rPr>
          <w:lang w:eastAsia="en-US" w:bidi="ar-SA"/>
        </w:rPr>
        <w:t xml:space="preserve"> </w:t>
      </w:r>
      <w:r w:rsidR="007D685B">
        <w:rPr>
          <w:lang w:eastAsia="en-US" w:bidi="ar-SA"/>
        </w:rPr>
        <w:t>a further e</w:t>
      </w:r>
      <w:r w:rsidRPr="002C72C2">
        <w:rPr>
          <w:lang w:eastAsia="en-US" w:bidi="ar-SA"/>
        </w:rPr>
        <w:t>ntity to somehow accomplish the co-optimisatio</w:t>
      </w:r>
      <w:r w:rsidR="00654B81">
        <w:rPr>
          <w:lang w:eastAsia="en-US" w:bidi="ar-SA"/>
        </w:rPr>
        <w:t xml:space="preserve">n, </w:t>
      </w:r>
      <w:r w:rsidR="00A04E5C">
        <w:rPr>
          <w:lang w:eastAsia="en-US" w:bidi="ar-SA"/>
        </w:rPr>
        <w:t>which include further escalation of c</w:t>
      </w:r>
      <w:r w:rsidR="00654B81" w:rsidRPr="002C72C2">
        <w:rPr>
          <w:lang w:eastAsia="en-US" w:bidi="ar-SA"/>
        </w:rPr>
        <w:t>omplexity, latency, and risk (operational, resilience, and cyber) to the system.</w:t>
      </w:r>
    </w:p>
    <w:p w14:paraId="1DABA015" w14:textId="4E22FE10" w:rsidR="00A81716" w:rsidRPr="002C72C2" w:rsidRDefault="00A81716" w:rsidP="00EB2823">
      <w:pPr>
        <w:spacing w:before="120" w:after="120" w:line="264" w:lineRule="auto"/>
        <w:rPr>
          <w:lang w:eastAsia="en-US" w:bidi="ar-SA"/>
        </w:rPr>
      </w:pPr>
      <w:r w:rsidRPr="002C72C2">
        <w:rPr>
          <w:lang w:eastAsia="en-US" w:bidi="ar-SA"/>
        </w:rPr>
        <w:t xml:space="preserve">As to the issue of ensuring market fairness and trustworthiness, this can be established using methods well-known in other jurisdictions, namely market operation regulatory rules and market surveillance (to ensure compliance). This is done, for example in the </w:t>
      </w:r>
      <w:r w:rsidR="00A905BD">
        <w:rPr>
          <w:lang w:eastAsia="en-US" w:bidi="ar-SA"/>
        </w:rPr>
        <w:t>United States</w:t>
      </w:r>
      <w:r w:rsidRPr="002C72C2">
        <w:rPr>
          <w:lang w:eastAsia="en-US" w:bidi="ar-SA"/>
        </w:rPr>
        <w:t xml:space="preserve"> for the regions that have vertically integrated electric utilities and no independent system operator, and for that matter, are also applied to the independent system operators’ markets.</w:t>
      </w:r>
    </w:p>
    <w:p w14:paraId="7E16262C" w14:textId="05F42BA7" w:rsidR="001371D2" w:rsidRPr="004B6C65" w:rsidRDefault="001371D2" w:rsidP="001371D2">
      <w:pPr>
        <w:spacing w:before="180" w:after="120" w:line="264" w:lineRule="auto"/>
        <w:rPr>
          <w:rStyle w:val="IntenseEmphasis"/>
        </w:rPr>
      </w:pPr>
      <w:r w:rsidRPr="004B6C65">
        <w:rPr>
          <w:rStyle w:val="IntenseEmphasis"/>
        </w:rPr>
        <w:t>Grid Visibilit</w:t>
      </w:r>
      <w:r>
        <w:rPr>
          <w:rStyle w:val="IntenseEmphasis"/>
        </w:rPr>
        <w:t xml:space="preserve">y and </w:t>
      </w:r>
      <w:r w:rsidRPr="004B6C65">
        <w:rPr>
          <w:rStyle w:val="IntenseEmphasis"/>
        </w:rPr>
        <w:t>Observability Issues</w:t>
      </w:r>
    </w:p>
    <w:p w14:paraId="3F21E0BF" w14:textId="6E1F9D22" w:rsidR="00856A16" w:rsidRDefault="00586C92" w:rsidP="00856A16">
      <w:pPr>
        <w:spacing w:before="120" w:after="120" w:line="264" w:lineRule="auto"/>
        <w:rPr>
          <w:lang w:eastAsia="en-US" w:bidi="ar-SA"/>
        </w:rPr>
      </w:pPr>
      <w:r>
        <w:rPr>
          <w:lang w:eastAsia="en-US" w:bidi="ar-SA"/>
        </w:rPr>
        <w:t xml:space="preserve">Finally, as noted above, </w:t>
      </w:r>
      <w:r w:rsidR="00FA7CB1">
        <w:rPr>
          <w:lang w:eastAsia="en-US" w:bidi="ar-SA"/>
        </w:rPr>
        <w:t xml:space="preserve">optimised management of </w:t>
      </w:r>
      <w:r w:rsidR="001371D2" w:rsidRPr="002C72C2">
        <w:rPr>
          <w:lang w:eastAsia="en-US" w:bidi="ar-SA"/>
        </w:rPr>
        <w:t>CER</w:t>
      </w:r>
      <w:r w:rsidR="001371D2">
        <w:rPr>
          <w:lang w:eastAsia="en-US" w:bidi="ar-SA"/>
        </w:rPr>
        <w:t>/DER</w:t>
      </w:r>
      <w:r w:rsidR="00FA7CB1">
        <w:rPr>
          <w:lang w:eastAsia="en-US" w:bidi="ar-SA"/>
        </w:rPr>
        <w:t xml:space="preserve"> </w:t>
      </w:r>
      <w:r w:rsidR="00021F83">
        <w:rPr>
          <w:lang w:eastAsia="en-US" w:bidi="ar-SA"/>
        </w:rPr>
        <w:t xml:space="preserve">in a manner that </w:t>
      </w:r>
      <w:r w:rsidR="006E6604">
        <w:rPr>
          <w:lang w:eastAsia="en-US" w:bidi="ar-SA"/>
        </w:rPr>
        <w:t xml:space="preserve">both </w:t>
      </w:r>
      <w:r w:rsidR="00021F83">
        <w:rPr>
          <w:lang w:eastAsia="en-US" w:bidi="ar-SA"/>
        </w:rPr>
        <w:t xml:space="preserve">avoids </w:t>
      </w:r>
      <w:r w:rsidR="002C140D">
        <w:rPr>
          <w:lang w:eastAsia="en-US" w:bidi="ar-SA"/>
        </w:rPr>
        <w:t xml:space="preserve">negative </w:t>
      </w:r>
      <w:r w:rsidR="007651C8">
        <w:rPr>
          <w:lang w:eastAsia="en-US" w:bidi="ar-SA"/>
        </w:rPr>
        <w:t xml:space="preserve">impacts on LV </w:t>
      </w:r>
      <w:r w:rsidR="00544DA7">
        <w:rPr>
          <w:lang w:eastAsia="en-US" w:bidi="ar-SA"/>
        </w:rPr>
        <w:t xml:space="preserve">and MV </w:t>
      </w:r>
      <w:r w:rsidR="007651C8">
        <w:rPr>
          <w:lang w:eastAsia="en-US" w:bidi="ar-SA"/>
        </w:rPr>
        <w:t xml:space="preserve">network elements and </w:t>
      </w:r>
      <w:r w:rsidR="00634031">
        <w:rPr>
          <w:lang w:eastAsia="en-US" w:bidi="ar-SA"/>
        </w:rPr>
        <w:t xml:space="preserve">enhances the value of network services, </w:t>
      </w:r>
      <w:r w:rsidR="00856A16">
        <w:rPr>
          <w:lang w:eastAsia="en-US" w:bidi="ar-SA"/>
        </w:rPr>
        <w:t xml:space="preserve">may </w:t>
      </w:r>
      <w:r w:rsidR="001371D2" w:rsidRPr="002C72C2">
        <w:rPr>
          <w:lang w:eastAsia="en-US" w:bidi="ar-SA"/>
        </w:rPr>
        <w:t xml:space="preserve">require detailed distribution grid state determination </w:t>
      </w:r>
      <w:r w:rsidR="005E1946">
        <w:rPr>
          <w:lang w:eastAsia="en-US" w:bidi="ar-SA"/>
        </w:rPr>
        <w:t>(estimation)</w:t>
      </w:r>
      <w:r w:rsidR="001371D2" w:rsidRPr="002C72C2">
        <w:rPr>
          <w:lang w:eastAsia="en-US" w:bidi="ar-SA"/>
        </w:rPr>
        <w:t xml:space="preserve"> in real time.</w:t>
      </w:r>
      <w:r w:rsidR="000D52F0">
        <w:rPr>
          <w:lang w:eastAsia="en-US" w:bidi="ar-SA"/>
        </w:rPr>
        <w:t xml:space="preserve"> State estimation in distribution networks </w:t>
      </w:r>
      <w:r w:rsidR="00F95997">
        <w:rPr>
          <w:lang w:eastAsia="en-US" w:bidi="ar-SA"/>
        </w:rPr>
        <w:t xml:space="preserve">is challenging, due to </w:t>
      </w:r>
      <w:r w:rsidR="00C530CF">
        <w:rPr>
          <w:lang w:eastAsia="en-US" w:bidi="ar-SA"/>
        </w:rPr>
        <w:t xml:space="preserve">a variety of reasons. A first is the </w:t>
      </w:r>
      <w:r w:rsidR="00F95997">
        <w:rPr>
          <w:lang w:eastAsia="en-US" w:bidi="ar-SA"/>
        </w:rPr>
        <w:t xml:space="preserve">diversity of measurement devices, e.g. SCADA RTUs, smart meters, transformer monitors, as well as </w:t>
      </w:r>
      <w:r w:rsidR="001B254E">
        <w:rPr>
          <w:lang w:eastAsia="en-US" w:bidi="ar-SA"/>
        </w:rPr>
        <w:t>issues with limited sensor coverage</w:t>
      </w:r>
      <w:r w:rsidR="00622D5D">
        <w:rPr>
          <w:lang w:eastAsia="en-US" w:bidi="ar-SA"/>
        </w:rPr>
        <w:t xml:space="preserve">. </w:t>
      </w:r>
      <w:r w:rsidR="00C530CF">
        <w:rPr>
          <w:lang w:eastAsia="en-US" w:bidi="ar-SA"/>
        </w:rPr>
        <w:t>Secondly</w:t>
      </w:r>
      <w:r w:rsidR="0029302B">
        <w:rPr>
          <w:lang w:eastAsia="en-US" w:bidi="ar-SA"/>
        </w:rPr>
        <w:t>, for physics-based state estimation techniques</w:t>
      </w:r>
      <w:r w:rsidR="00C530CF">
        <w:rPr>
          <w:lang w:eastAsia="en-US" w:bidi="ar-SA"/>
        </w:rPr>
        <w:t xml:space="preserve">, </w:t>
      </w:r>
      <w:r w:rsidR="004C6C80">
        <w:rPr>
          <w:lang w:eastAsia="en-US" w:bidi="ar-SA"/>
        </w:rPr>
        <w:t>network models need to be built</w:t>
      </w:r>
      <w:r w:rsidR="0029302B">
        <w:rPr>
          <w:lang w:eastAsia="en-US" w:bidi="ar-SA"/>
        </w:rPr>
        <w:t xml:space="preserve">, calibrated, and kept in sync with the </w:t>
      </w:r>
      <w:r w:rsidR="00825438">
        <w:rPr>
          <w:lang w:eastAsia="en-US" w:bidi="ar-SA"/>
        </w:rPr>
        <w:t>switching configuration of the network in real time</w:t>
      </w:r>
      <w:r w:rsidR="00623ECC">
        <w:rPr>
          <w:lang w:eastAsia="en-US" w:bidi="ar-SA"/>
        </w:rPr>
        <w:t>, which is not common practice today</w:t>
      </w:r>
      <w:r w:rsidR="00825438">
        <w:rPr>
          <w:lang w:eastAsia="en-US" w:bidi="ar-SA"/>
        </w:rPr>
        <w:t xml:space="preserve">. </w:t>
      </w:r>
      <w:r w:rsidR="007D3BF6">
        <w:rPr>
          <w:lang w:eastAsia="en-US" w:bidi="ar-SA"/>
        </w:rPr>
        <w:t>State estimation in distribution networks helps</w:t>
      </w:r>
      <w:r w:rsidR="000C2927">
        <w:rPr>
          <w:lang w:eastAsia="en-US" w:bidi="ar-SA"/>
        </w:rPr>
        <w:t xml:space="preserve"> with identifying network </w:t>
      </w:r>
      <w:r w:rsidR="009C732A">
        <w:rPr>
          <w:lang w:eastAsia="en-US" w:bidi="ar-SA"/>
        </w:rPr>
        <w:t>congestion and</w:t>
      </w:r>
      <w:r w:rsidR="000C2927">
        <w:rPr>
          <w:lang w:eastAsia="en-US" w:bidi="ar-SA"/>
        </w:rPr>
        <w:t xml:space="preserve"> can fill in the gaps in sensor coverage using stat</w:t>
      </w:r>
      <w:r w:rsidR="005423EC">
        <w:rPr>
          <w:lang w:eastAsia="en-US" w:bidi="ar-SA"/>
        </w:rPr>
        <w:t xml:space="preserve">istical techniques. </w:t>
      </w:r>
    </w:p>
    <w:p w14:paraId="2AE622C3" w14:textId="534BB557" w:rsidR="001371D2" w:rsidRPr="002C72C2" w:rsidRDefault="001371D2" w:rsidP="004C1015">
      <w:pPr>
        <w:spacing w:before="120" w:after="120" w:line="264" w:lineRule="auto"/>
        <w:rPr>
          <w:lang w:eastAsia="en-US" w:bidi="ar-SA"/>
        </w:rPr>
      </w:pPr>
      <w:r w:rsidRPr="002C72C2">
        <w:rPr>
          <w:lang w:eastAsia="en-US" w:bidi="ar-SA"/>
        </w:rPr>
        <w:t xml:space="preserve">This implies a detailed level of distribution </w:t>
      </w:r>
      <w:r w:rsidR="00856A16">
        <w:rPr>
          <w:lang w:eastAsia="en-US" w:bidi="ar-SA"/>
        </w:rPr>
        <w:t>feeder</w:t>
      </w:r>
      <w:r w:rsidRPr="002C72C2">
        <w:rPr>
          <w:lang w:eastAsia="en-US" w:bidi="ar-SA"/>
        </w:rPr>
        <w:t xml:space="preserve"> instrumentation</w:t>
      </w:r>
      <w:r w:rsidR="00D77783">
        <w:rPr>
          <w:lang w:eastAsia="en-US" w:bidi="ar-SA"/>
        </w:rPr>
        <w:t xml:space="preserve"> and </w:t>
      </w:r>
      <w:r w:rsidR="00D07F2A">
        <w:rPr>
          <w:lang w:eastAsia="en-US" w:bidi="ar-SA"/>
        </w:rPr>
        <w:t xml:space="preserve">will require </w:t>
      </w:r>
      <w:r w:rsidRPr="002C72C2">
        <w:rPr>
          <w:lang w:eastAsia="en-US" w:bidi="ar-SA"/>
        </w:rPr>
        <w:t>a capability at the DNSP level to perform state estimation</w:t>
      </w:r>
      <w:r w:rsidR="00374950">
        <w:rPr>
          <w:lang w:eastAsia="en-US" w:bidi="ar-SA"/>
        </w:rPr>
        <w:t xml:space="preserve">. </w:t>
      </w:r>
      <w:r w:rsidRPr="002C72C2">
        <w:rPr>
          <w:lang w:eastAsia="en-US" w:bidi="ar-SA"/>
        </w:rPr>
        <w:t>Detailed VPP-to-CER/DER-to-</w:t>
      </w:r>
      <w:r w:rsidR="001A50F3">
        <w:rPr>
          <w:lang w:eastAsia="en-US" w:bidi="ar-SA"/>
        </w:rPr>
        <w:t xml:space="preserve">LV </w:t>
      </w:r>
      <w:r w:rsidR="00FC6ABE">
        <w:rPr>
          <w:lang w:eastAsia="en-US" w:bidi="ar-SA"/>
        </w:rPr>
        <w:t xml:space="preserve">Network </w:t>
      </w:r>
      <w:r w:rsidRPr="002C72C2">
        <w:rPr>
          <w:lang w:eastAsia="en-US" w:bidi="ar-SA"/>
        </w:rPr>
        <w:t xml:space="preserve">mapping </w:t>
      </w:r>
      <w:r w:rsidR="00FC6ABE">
        <w:rPr>
          <w:lang w:eastAsia="en-US" w:bidi="ar-SA"/>
        </w:rPr>
        <w:t xml:space="preserve">will also need to be </w:t>
      </w:r>
      <w:r w:rsidRPr="002C72C2">
        <w:rPr>
          <w:lang w:eastAsia="en-US" w:bidi="ar-SA"/>
        </w:rPr>
        <w:t xml:space="preserve">maintained and updated in </w:t>
      </w:r>
      <w:r w:rsidR="00FC6ABE">
        <w:rPr>
          <w:lang w:eastAsia="en-US" w:bidi="ar-SA"/>
        </w:rPr>
        <w:t xml:space="preserve">near </w:t>
      </w:r>
      <w:r w:rsidRPr="002C72C2">
        <w:rPr>
          <w:lang w:eastAsia="en-US" w:bidi="ar-SA"/>
        </w:rPr>
        <w:t xml:space="preserve">real time so that effects of CER/DER </w:t>
      </w:r>
      <w:r w:rsidR="00C7324E">
        <w:rPr>
          <w:lang w:eastAsia="en-US" w:bidi="ar-SA"/>
        </w:rPr>
        <w:t>activation can</w:t>
      </w:r>
      <w:r w:rsidRPr="002C72C2">
        <w:rPr>
          <w:lang w:eastAsia="en-US" w:bidi="ar-SA"/>
        </w:rPr>
        <w:t xml:space="preserve"> be assessed during real time operations.</w:t>
      </w:r>
    </w:p>
    <w:p w14:paraId="3770C657" w14:textId="77777777" w:rsidR="00D0164E" w:rsidRPr="00EB2823" w:rsidRDefault="00D0164E" w:rsidP="00954BAC">
      <w:pPr>
        <w:pStyle w:val="Heading4"/>
        <w:numPr>
          <w:ilvl w:val="0"/>
          <w:numId w:val="57"/>
        </w:numPr>
        <w:spacing w:before="240" w:after="120" w:line="264" w:lineRule="auto"/>
        <w:rPr>
          <w:i w:val="0"/>
          <w:iCs w:val="0"/>
        </w:rPr>
      </w:pPr>
      <w:r w:rsidRPr="00EB2823">
        <w:rPr>
          <w:i w:val="0"/>
          <w:iCs w:val="0"/>
        </w:rPr>
        <w:t>Solution Requirements</w:t>
      </w:r>
    </w:p>
    <w:p w14:paraId="7C75D4DA" w14:textId="50985BD7" w:rsidR="00D0164E" w:rsidRDefault="00FB75E5" w:rsidP="00CF5F0F">
      <w:pPr>
        <w:spacing w:before="100" w:after="100"/>
        <w:rPr>
          <w:lang w:eastAsia="en-US" w:bidi="ar-SA"/>
        </w:rPr>
      </w:pPr>
      <w:r>
        <w:rPr>
          <w:lang w:eastAsia="en-US" w:bidi="ar-SA"/>
        </w:rPr>
        <w:t>Moving beyond demonstration volumes, the in</w:t>
      </w:r>
      <w:r w:rsidR="00D0164E" w:rsidRPr="002C72C2">
        <w:rPr>
          <w:lang w:eastAsia="en-US" w:bidi="ar-SA"/>
        </w:rPr>
        <w:t>tegration of</w:t>
      </w:r>
      <w:r>
        <w:rPr>
          <w:lang w:eastAsia="en-US" w:bidi="ar-SA"/>
        </w:rPr>
        <w:t xml:space="preserve"> CER/DER </w:t>
      </w:r>
      <w:r w:rsidR="00D0164E" w:rsidRPr="002C72C2">
        <w:rPr>
          <w:lang w:eastAsia="en-US" w:bidi="ar-SA"/>
        </w:rPr>
        <w:t>aggregator</w:t>
      </w:r>
      <w:r>
        <w:rPr>
          <w:lang w:eastAsia="en-US" w:bidi="ar-SA"/>
        </w:rPr>
        <w:t xml:space="preserve">s and </w:t>
      </w:r>
      <w:r w:rsidR="00D0164E" w:rsidRPr="002C72C2">
        <w:rPr>
          <w:lang w:eastAsia="en-US" w:bidi="ar-SA"/>
        </w:rPr>
        <w:t xml:space="preserve">VPPs into the NEM </w:t>
      </w:r>
      <w:r>
        <w:rPr>
          <w:lang w:eastAsia="en-US" w:bidi="ar-SA"/>
        </w:rPr>
        <w:t xml:space="preserve">and WEM </w:t>
      </w:r>
      <w:r w:rsidR="005C2CC6">
        <w:rPr>
          <w:lang w:eastAsia="en-US" w:bidi="ar-SA"/>
        </w:rPr>
        <w:t xml:space="preserve">at significant scale </w:t>
      </w:r>
      <w:r w:rsidR="00D0164E" w:rsidRPr="002C72C2">
        <w:rPr>
          <w:lang w:eastAsia="en-US" w:bidi="ar-SA"/>
        </w:rPr>
        <w:t>will require advanced forms of coordination, increased distribution level observability</w:t>
      </w:r>
      <w:r w:rsidR="0010564B">
        <w:rPr>
          <w:lang w:eastAsia="en-US" w:bidi="ar-SA"/>
        </w:rPr>
        <w:t xml:space="preserve">, </w:t>
      </w:r>
      <w:r w:rsidR="00D0164E" w:rsidRPr="002C72C2">
        <w:rPr>
          <w:lang w:eastAsia="en-US" w:bidi="ar-SA"/>
        </w:rPr>
        <w:t>careful definition and aggregation of functions</w:t>
      </w:r>
      <w:r w:rsidR="0010564B">
        <w:rPr>
          <w:lang w:eastAsia="en-US" w:bidi="ar-SA"/>
        </w:rPr>
        <w:t xml:space="preserve"> and the </w:t>
      </w:r>
      <w:r w:rsidR="00D0164E" w:rsidRPr="002C72C2">
        <w:rPr>
          <w:lang w:eastAsia="en-US" w:bidi="ar-SA"/>
        </w:rPr>
        <w:t>rigorous assignment of functions to roles</w:t>
      </w:r>
      <w:r w:rsidR="0010564B">
        <w:rPr>
          <w:lang w:eastAsia="en-US" w:bidi="ar-SA"/>
        </w:rPr>
        <w:t>,</w:t>
      </w:r>
      <w:r w:rsidR="00D0164E" w:rsidRPr="002C72C2">
        <w:rPr>
          <w:lang w:eastAsia="en-US" w:bidi="ar-SA"/>
        </w:rPr>
        <w:t xml:space="preserve"> and roles to </w:t>
      </w:r>
      <w:r w:rsidR="0010564B">
        <w:rPr>
          <w:lang w:eastAsia="en-US" w:bidi="ar-SA"/>
        </w:rPr>
        <w:t xml:space="preserve">specific </w:t>
      </w:r>
      <w:r w:rsidR="00D0164E" w:rsidRPr="002C72C2">
        <w:rPr>
          <w:lang w:eastAsia="en-US" w:bidi="ar-SA"/>
        </w:rPr>
        <w:t>entities</w:t>
      </w:r>
      <w:r w:rsidR="0010564B">
        <w:rPr>
          <w:lang w:eastAsia="en-US" w:bidi="ar-SA"/>
        </w:rPr>
        <w:t xml:space="preserve"> capable of performing them</w:t>
      </w:r>
      <w:r w:rsidR="00D0164E" w:rsidRPr="002C72C2">
        <w:rPr>
          <w:lang w:eastAsia="en-US" w:bidi="ar-SA"/>
        </w:rPr>
        <w:t>.</w:t>
      </w:r>
    </w:p>
    <w:p w14:paraId="6A4669B4" w14:textId="2C904115" w:rsidR="000852A7" w:rsidRPr="002C72C2" w:rsidRDefault="000852A7" w:rsidP="00CF5F0F">
      <w:pPr>
        <w:spacing w:before="100" w:after="100"/>
        <w:rPr>
          <w:lang w:eastAsia="en-US" w:bidi="ar-SA"/>
        </w:rPr>
      </w:pPr>
      <w:r>
        <w:rPr>
          <w:lang w:eastAsia="en-US" w:bidi="ar-SA"/>
        </w:rPr>
        <w:t>The following observations outline key</w:t>
      </w:r>
      <w:r w:rsidR="00B91B54">
        <w:rPr>
          <w:lang w:eastAsia="en-US" w:bidi="ar-SA"/>
        </w:rPr>
        <w:t xml:space="preserve"> further </w:t>
      </w:r>
      <w:r w:rsidR="00724D36">
        <w:rPr>
          <w:lang w:eastAsia="en-US" w:bidi="ar-SA"/>
        </w:rPr>
        <w:t>matters</w:t>
      </w:r>
      <w:r w:rsidR="00B91B54">
        <w:rPr>
          <w:lang w:eastAsia="en-US" w:bidi="ar-SA"/>
        </w:rPr>
        <w:t xml:space="preserve"> </w:t>
      </w:r>
      <w:r w:rsidR="00724D36">
        <w:rPr>
          <w:lang w:eastAsia="en-US" w:bidi="ar-SA"/>
        </w:rPr>
        <w:t>that must be considered:</w:t>
      </w:r>
    </w:p>
    <w:p w14:paraId="4F739E3D" w14:textId="2B1CDF60" w:rsidR="00D0164E" w:rsidRPr="002C72C2" w:rsidRDefault="00D0164E" w:rsidP="00954BAC">
      <w:pPr>
        <w:pStyle w:val="ListParagraph"/>
        <w:numPr>
          <w:ilvl w:val="0"/>
          <w:numId w:val="47"/>
        </w:numPr>
        <w:spacing w:before="100" w:after="100" w:line="252" w:lineRule="auto"/>
        <w:rPr>
          <w:lang w:eastAsia="en-US" w:bidi="ar-SA"/>
        </w:rPr>
      </w:pPr>
      <w:r w:rsidRPr="002C72C2">
        <w:rPr>
          <w:lang w:eastAsia="en-US" w:bidi="ar-SA"/>
        </w:rPr>
        <w:t xml:space="preserve">Enhanced observability </w:t>
      </w:r>
      <w:r w:rsidR="00724D36">
        <w:rPr>
          <w:lang w:eastAsia="en-US" w:bidi="ar-SA"/>
        </w:rPr>
        <w:t xml:space="preserve">will require both </w:t>
      </w:r>
      <w:r w:rsidRPr="002C72C2">
        <w:rPr>
          <w:lang w:eastAsia="en-US" w:bidi="ar-SA"/>
        </w:rPr>
        <w:t>distribution electrical grid state</w:t>
      </w:r>
      <w:r w:rsidR="00724D36">
        <w:rPr>
          <w:lang w:eastAsia="en-US" w:bidi="ar-SA"/>
        </w:rPr>
        <w:t xml:space="preserve"> and </w:t>
      </w:r>
      <w:r w:rsidRPr="002C72C2">
        <w:rPr>
          <w:lang w:eastAsia="en-US" w:bidi="ar-SA"/>
        </w:rPr>
        <w:t xml:space="preserve">real time </w:t>
      </w:r>
      <w:r w:rsidR="00AC433B">
        <w:rPr>
          <w:lang w:eastAsia="en-US" w:bidi="ar-SA"/>
        </w:rPr>
        <w:t xml:space="preserve">feeder </w:t>
      </w:r>
      <w:r w:rsidRPr="002C72C2">
        <w:rPr>
          <w:lang w:eastAsia="en-US" w:bidi="ar-SA"/>
        </w:rPr>
        <w:t>topological state</w:t>
      </w:r>
      <w:r w:rsidR="00C61815">
        <w:rPr>
          <w:lang w:eastAsia="en-US" w:bidi="ar-SA"/>
        </w:rPr>
        <w:t xml:space="preserve"> (given the dynamic nature of </w:t>
      </w:r>
      <w:r w:rsidR="00856277">
        <w:rPr>
          <w:lang w:eastAsia="en-US" w:bidi="ar-SA"/>
        </w:rPr>
        <w:t>switching)</w:t>
      </w:r>
      <w:r w:rsidR="00095FD7">
        <w:rPr>
          <w:lang w:eastAsia="en-US" w:bidi="ar-SA"/>
        </w:rPr>
        <w:t>.</w:t>
      </w:r>
    </w:p>
    <w:p w14:paraId="30971A39" w14:textId="46BBC6C2" w:rsidR="00D72F84" w:rsidRPr="002C72C2" w:rsidRDefault="00D0164E" w:rsidP="00954BAC">
      <w:pPr>
        <w:pStyle w:val="ListParagraph"/>
        <w:numPr>
          <w:ilvl w:val="0"/>
          <w:numId w:val="47"/>
        </w:numPr>
        <w:spacing w:before="100" w:after="100" w:line="252" w:lineRule="auto"/>
        <w:rPr>
          <w:lang w:eastAsia="en-US" w:bidi="ar-SA"/>
        </w:rPr>
      </w:pPr>
      <w:r w:rsidRPr="002C72C2">
        <w:rPr>
          <w:lang w:eastAsia="en-US" w:bidi="ar-SA"/>
        </w:rPr>
        <w:t xml:space="preserve">Coordination </w:t>
      </w:r>
      <w:r w:rsidR="00AC4C8C">
        <w:rPr>
          <w:lang w:eastAsia="en-US" w:bidi="ar-SA"/>
        </w:rPr>
        <w:t xml:space="preserve">between </w:t>
      </w:r>
      <w:r w:rsidRPr="002C72C2">
        <w:rPr>
          <w:lang w:eastAsia="en-US" w:bidi="ar-SA"/>
        </w:rPr>
        <w:t>AEMO,</w:t>
      </w:r>
      <w:r w:rsidR="003C7FA1">
        <w:rPr>
          <w:lang w:eastAsia="en-US" w:bidi="ar-SA"/>
        </w:rPr>
        <w:t xml:space="preserve"> </w:t>
      </w:r>
      <w:r w:rsidR="00AC4C8C">
        <w:rPr>
          <w:lang w:eastAsia="en-US" w:bidi="ar-SA"/>
        </w:rPr>
        <w:t xml:space="preserve">DSOs, DNSPs and </w:t>
      </w:r>
      <w:r w:rsidRPr="002C72C2">
        <w:rPr>
          <w:lang w:eastAsia="en-US" w:bidi="ar-SA"/>
        </w:rPr>
        <w:t>VPPs</w:t>
      </w:r>
      <w:r w:rsidR="00AC4C8C">
        <w:rPr>
          <w:lang w:eastAsia="en-US" w:bidi="ar-SA"/>
        </w:rPr>
        <w:t xml:space="preserve"> </w:t>
      </w:r>
      <w:r w:rsidRPr="002C72C2">
        <w:rPr>
          <w:lang w:eastAsia="en-US" w:bidi="ar-SA"/>
        </w:rPr>
        <w:t>must be structured to ensure no hidden couplin</w:t>
      </w:r>
      <w:r w:rsidR="00F37B7F">
        <w:rPr>
          <w:lang w:eastAsia="en-US" w:bidi="ar-SA"/>
        </w:rPr>
        <w:t>g</w:t>
      </w:r>
      <w:r w:rsidR="0039099D">
        <w:rPr>
          <w:lang w:eastAsia="en-US" w:bidi="ar-SA"/>
        </w:rPr>
        <w:t xml:space="preserve"> to enable scalable approaches to</w:t>
      </w:r>
      <w:r w:rsidR="00F37B7F">
        <w:rPr>
          <w:lang w:eastAsia="en-US" w:bidi="ar-SA"/>
        </w:rPr>
        <w:t xml:space="preserve">: </w:t>
      </w:r>
    </w:p>
    <w:p w14:paraId="564A98BD" w14:textId="02D4C3E7" w:rsidR="00D0164E" w:rsidRPr="002C72C2" w:rsidRDefault="0039099D" w:rsidP="00954BAC">
      <w:pPr>
        <w:pStyle w:val="ListParagraph"/>
        <w:numPr>
          <w:ilvl w:val="1"/>
          <w:numId w:val="47"/>
        </w:numPr>
        <w:spacing w:before="100" w:after="100" w:line="252" w:lineRule="auto"/>
        <w:ind w:left="1276" w:hanging="425"/>
        <w:rPr>
          <w:lang w:eastAsia="en-US" w:bidi="ar-SA"/>
        </w:rPr>
      </w:pPr>
      <w:r>
        <w:rPr>
          <w:lang w:eastAsia="en-US" w:bidi="ar-SA"/>
        </w:rPr>
        <w:t>The op</w:t>
      </w:r>
      <w:r w:rsidR="00D0164E" w:rsidRPr="002C72C2">
        <w:rPr>
          <w:lang w:eastAsia="en-US" w:bidi="ar-SA"/>
        </w:rPr>
        <w:t>erational coordination</w:t>
      </w:r>
      <w:r>
        <w:rPr>
          <w:lang w:eastAsia="en-US" w:bidi="ar-SA"/>
        </w:rPr>
        <w:t xml:space="preserve"> of </w:t>
      </w:r>
      <w:r w:rsidR="007A3C74" w:rsidRPr="002C72C2">
        <w:rPr>
          <w:lang w:eastAsia="en-US" w:bidi="ar-SA"/>
        </w:rPr>
        <w:t>CER/DER</w:t>
      </w:r>
      <w:r w:rsidR="00D0164E" w:rsidRPr="002C72C2">
        <w:rPr>
          <w:lang w:eastAsia="en-US" w:bidi="ar-SA"/>
        </w:rPr>
        <w:t xml:space="preserve"> dispatch</w:t>
      </w:r>
      <w:r w:rsidR="000B7FD1">
        <w:rPr>
          <w:lang w:eastAsia="en-US" w:bidi="ar-SA"/>
        </w:rPr>
        <w:t xml:space="preserve"> at scale</w:t>
      </w:r>
      <w:r w:rsidR="00F470CD">
        <w:rPr>
          <w:lang w:eastAsia="en-US" w:bidi="ar-SA"/>
        </w:rPr>
        <w:t xml:space="preserve"> (i.e. </w:t>
      </w:r>
      <w:r w:rsidR="0031281B">
        <w:rPr>
          <w:lang w:eastAsia="en-US" w:bidi="ar-SA"/>
        </w:rPr>
        <w:t xml:space="preserve">ensuring </w:t>
      </w:r>
      <w:r w:rsidR="0018501E">
        <w:rPr>
          <w:lang w:eastAsia="en-US" w:bidi="ar-SA"/>
        </w:rPr>
        <w:t xml:space="preserve">aligned functions </w:t>
      </w:r>
      <w:r w:rsidR="00D0164E" w:rsidRPr="002C72C2">
        <w:rPr>
          <w:lang w:eastAsia="en-US" w:bidi="ar-SA"/>
        </w:rPr>
        <w:t xml:space="preserve">between DNSPs and </w:t>
      </w:r>
      <w:r w:rsidR="0018501E">
        <w:rPr>
          <w:lang w:eastAsia="en-US" w:bidi="ar-SA"/>
        </w:rPr>
        <w:t>VPPs)</w:t>
      </w:r>
    </w:p>
    <w:p w14:paraId="6AC1F794" w14:textId="376C1FC7" w:rsidR="00092CDB" w:rsidRPr="002C72C2" w:rsidRDefault="0018501E" w:rsidP="00954BAC">
      <w:pPr>
        <w:pStyle w:val="ListParagraph"/>
        <w:numPr>
          <w:ilvl w:val="1"/>
          <w:numId w:val="47"/>
        </w:numPr>
        <w:spacing w:before="100" w:after="100" w:line="252" w:lineRule="auto"/>
        <w:ind w:left="1276" w:hanging="425"/>
        <w:rPr>
          <w:lang w:eastAsia="en-US" w:bidi="ar-SA"/>
        </w:rPr>
      </w:pPr>
      <w:r>
        <w:rPr>
          <w:lang w:eastAsia="en-US" w:bidi="ar-SA"/>
        </w:rPr>
        <w:t>M</w:t>
      </w:r>
      <w:r w:rsidR="00092CDB" w:rsidRPr="002C72C2">
        <w:rPr>
          <w:lang w:eastAsia="en-US" w:bidi="ar-SA"/>
        </w:rPr>
        <w:t>arket participation by VPPs, which must not allow for tie</w:t>
      </w:r>
      <w:r>
        <w:rPr>
          <w:lang w:eastAsia="en-US" w:bidi="ar-SA"/>
        </w:rPr>
        <w:t xml:space="preserve">r/layer </w:t>
      </w:r>
      <w:r w:rsidR="00092CDB" w:rsidRPr="002C72C2">
        <w:rPr>
          <w:lang w:eastAsia="en-US" w:bidi="ar-SA"/>
        </w:rPr>
        <w:t>bypassing</w:t>
      </w:r>
    </w:p>
    <w:p w14:paraId="78A40BB0" w14:textId="5BE66EB2" w:rsidR="001A50F3" w:rsidRDefault="00F54A6E" w:rsidP="00954BAC">
      <w:pPr>
        <w:pStyle w:val="ListParagraph"/>
        <w:numPr>
          <w:ilvl w:val="1"/>
          <w:numId w:val="47"/>
        </w:numPr>
        <w:spacing w:before="100" w:after="100" w:line="252" w:lineRule="auto"/>
        <w:ind w:left="1276" w:hanging="425"/>
        <w:rPr>
          <w:lang w:eastAsia="en-US" w:bidi="ar-SA"/>
        </w:rPr>
      </w:pPr>
      <w:r>
        <w:rPr>
          <w:lang w:eastAsia="en-US" w:bidi="ar-SA"/>
        </w:rPr>
        <w:t>Interleaved V</w:t>
      </w:r>
      <w:r w:rsidR="00D0164E" w:rsidRPr="002C72C2">
        <w:rPr>
          <w:lang w:eastAsia="en-US" w:bidi="ar-SA"/>
        </w:rPr>
        <w:t>PP</w:t>
      </w:r>
      <w:r>
        <w:rPr>
          <w:lang w:eastAsia="en-US" w:bidi="ar-SA"/>
        </w:rPr>
        <w:t xml:space="preserve"> </w:t>
      </w:r>
      <w:r w:rsidR="00D0164E" w:rsidRPr="002C72C2">
        <w:rPr>
          <w:lang w:eastAsia="en-US" w:bidi="ar-SA"/>
        </w:rPr>
        <w:t xml:space="preserve">coordination to avoid </w:t>
      </w:r>
      <w:r w:rsidR="00A66865">
        <w:rPr>
          <w:lang w:eastAsia="en-US" w:bidi="ar-SA"/>
        </w:rPr>
        <w:t xml:space="preserve">LV feeder </w:t>
      </w:r>
      <w:r w:rsidR="00D0164E" w:rsidRPr="002C72C2">
        <w:rPr>
          <w:lang w:eastAsia="en-US" w:bidi="ar-SA"/>
        </w:rPr>
        <w:t xml:space="preserve">level coupling problems, </w:t>
      </w:r>
      <w:r w:rsidR="00C95735">
        <w:rPr>
          <w:lang w:eastAsia="en-US" w:bidi="ar-SA"/>
        </w:rPr>
        <w:t>and</w:t>
      </w:r>
      <w:r w:rsidR="00D0164E" w:rsidRPr="002C72C2">
        <w:rPr>
          <w:lang w:eastAsia="en-US" w:bidi="ar-SA"/>
        </w:rPr>
        <w:t xml:space="preserve"> </w:t>
      </w:r>
      <w:r w:rsidR="00754B5C">
        <w:rPr>
          <w:lang w:eastAsia="en-US" w:bidi="ar-SA"/>
        </w:rPr>
        <w:t xml:space="preserve">support </w:t>
      </w:r>
      <w:r w:rsidR="00D0164E" w:rsidRPr="002C72C2">
        <w:rPr>
          <w:lang w:eastAsia="en-US" w:bidi="ar-SA"/>
        </w:rPr>
        <w:t>fairness</w:t>
      </w:r>
      <w:r w:rsidR="00754B5C">
        <w:rPr>
          <w:lang w:eastAsia="en-US" w:bidi="ar-SA"/>
        </w:rPr>
        <w:t xml:space="preserve"> outcomes</w:t>
      </w:r>
      <w:r w:rsidR="001A50F3">
        <w:rPr>
          <w:lang w:eastAsia="en-US" w:bidi="ar-SA"/>
        </w:rPr>
        <w:t xml:space="preserve"> in real time</w:t>
      </w:r>
      <w:r w:rsidR="00B507FD">
        <w:rPr>
          <w:lang w:eastAsia="en-US" w:bidi="ar-SA"/>
        </w:rPr>
        <w:t xml:space="preserve">, </w:t>
      </w:r>
      <w:r w:rsidR="001A50F3">
        <w:rPr>
          <w:lang w:eastAsia="en-US" w:bidi="ar-SA"/>
        </w:rPr>
        <w:t xml:space="preserve">and </w:t>
      </w:r>
    </w:p>
    <w:p w14:paraId="51D083E0" w14:textId="3A91B477" w:rsidR="00D0164E" w:rsidRPr="002C72C2" w:rsidRDefault="00D0164E" w:rsidP="00954BAC">
      <w:pPr>
        <w:pStyle w:val="ListParagraph"/>
        <w:numPr>
          <w:ilvl w:val="1"/>
          <w:numId w:val="47"/>
        </w:numPr>
        <w:spacing w:before="100" w:after="100" w:line="252" w:lineRule="auto"/>
        <w:ind w:left="1276" w:hanging="425"/>
        <w:rPr>
          <w:lang w:eastAsia="en-US" w:bidi="ar-SA"/>
        </w:rPr>
      </w:pPr>
      <w:r w:rsidRPr="002C72C2">
        <w:rPr>
          <w:lang w:eastAsia="en-US" w:bidi="ar-SA"/>
        </w:rPr>
        <w:t>VPP-to-</w:t>
      </w:r>
      <w:r w:rsidR="007A3C74" w:rsidRPr="002C72C2">
        <w:rPr>
          <w:lang w:eastAsia="en-US" w:bidi="ar-SA"/>
        </w:rPr>
        <w:t>CER/DER</w:t>
      </w:r>
      <w:r w:rsidRPr="002C72C2">
        <w:rPr>
          <w:lang w:eastAsia="en-US" w:bidi="ar-SA"/>
        </w:rPr>
        <w:t>-to-</w:t>
      </w:r>
      <w:r w:rsidR="001A50F3">
        <w:rPr>
          <w:lang w:eastAsia="en-US" w:bidi="ar-SA"/>
        </w:rPr>
        <w:t>LV Network</w:t>
      </w:r>
      <w:r w:rsidRPr="002C72C2">
        <w:rPr>
          <w:lang w:eastAsia="en-US" w:bidi="ar-SA"/>
        </w:rPr>
        <w:t xml:space="preserve"> mappings must be kept accurate and </w:t>
      </w:r>
      <w:r w:rsidR="00D940FE">
        <w:rPr>
          <w:lang w:eastAsia="en-US" w:bidi="ar-SA"/>
        </w:rPr>
        <w:t>current.</w:t>
      </w:r>
    </w:p>
    <w:p w14:paraId="0C999268" w14:textId="7CB5E8D0" w:rsidR="00D940FE" w:rsidRDefault="005411C5" w:rsidP="00954BAC">
      <w:pPr>
        <w:pStyle w:val="ListParagraph"/>
        <w:numPr>
          <w:ilvl w:val="0"/>
          <w:numId w:val="47"/>
        </w:numPr>
        <w:spacing w:before="100" w:after="100" w:line="252" w:lineRule="auto"/>
        <w:rPr>
          <w:lang w:eastAsia="en-US" w:bidi="ar-SA"/>
        </w:rPr>
      </w:pPr>
      <w:r>
        <w:rPr>
          <w:lang w:eastAsia="en-US" w:bidi="ar-SA"/>
        </w:rPr>
        <w:t>M</w:t>
      </w:r>
      <w:r w:rsidR="00C5714B" w:rsidRPr="002C72C2">
        <w:rPr>
          <w:lang w:eastAsia="en-US" w:bidi="ar-SA"/>
        </w:rPr>
        <w:t xml:space="preserve">arket co-optimisation should be accomplished </w:t>
      </w:r>
      <w:r>
        <w:rPr>
          <w:lang w:eastAsia="en-US" w:bidi="ar-SA"/>
        </w:rPr>
        <w:t xml:space="preserve">by application of </w:t>
      </w:r>
      <w:r w:rsidRPr="002C72C2">
        <w:rPr>
          <w:lang w:eastAsia="en-US" w:bidi="ar-SA"/>
        </w:rPr>
        <w:t>layered decomposition principles</w:t>
      </w:r>
      <w:r>
        <w:rPr>
          <w:lang w:eastAsia="en-US" w:bidi="ar-SA"/>
        </w:rPr>
        <w:t xml:space="preserve">, avoiding the need to create further </w:t>
      </w:r>
      <w:r w:rsidR="007F0A05">
        <w:rPr>
          <w:lang w:eastAsia="en-US" w:bidi="ar-SA"/>
        </w:rPr>
        <w:t>‘c</w:t>
      </w:r>
      <w:r w:rsidR="00C5714B" w:rsidRPr="002C72C2">
        <w:rPr>
          <w:lang w:eastAsia="en-US" w:bidi="ar-SA"/>
        </w:rPr>
        <w:t>o-optimisation agent</w:t>
      </w:r>
      <w:r w:rsidR="008F3D62">
        <w:rPr>
          <w:lang w:eastAsia="en-US" w:bidi="ar-SA"/>
        </w:rPr>
        <w:t xml:space="preserve">’ </w:t>
      </w:r>
      <w:r w:rsidR="00B507FD">
        <w:rPr>
          <w:lang w:eastAsia="en-US" w:bidi="ar-SA"/>
        </w:rPr>
        <w:t>entities.</w:t>
      </w:r>
      <w:r w:rsidR="00D940FE">
        <w:rPr>
          <w:lang w:eastAsia="en-US" w:bidi="ar-SA"/>
        </w:rPr>
        <w:t xml:space="preserve"> </w:t>
      </w:r>
    </w:p>
    <w:p w14:paraId="116E4465" w14:textId="5EF56770" w:rsidR="00C5714B" w:rsidRPr="002C72C2" w:rsidRDefault="00C5714B" w:rsidP="00954BAC">
      <w:pPr>
        <w:pStyle w:val="ListParagraph"/>
        <w:numPr>
          <w:ilvl w:val="0"/>
          <w:numId w:val="47"/>
        </w:numPr>
        <w:spacing w:before="100" w:after="100" w:line="252" w:lineRule="auto"/>
        <w:rPr>
          <w:lang w:eastAsia="en-US" w:bidi="ar-SA"/>
        </w:rPr>
      </w:pPr>
      <w:r w:rsidRPr="002C72C2">
        <w:rPr>
          <w:lang w:eastAsia="en-US" w:bidi="ar-SA"/>
        </w:rPr>
        <w:t>Issues of market fairness and trust are best solved using market regulation and surveillance to ensure compliance, as is done in other jurisdictions</w:t>
      </w:r>
      <w:r w:rsidR="00B507FD">
        <w:rPr>
          <w:lang w:eastAsia="en-US" w:bidi="ar-SA"/>
        </w:rPr>
        <w:t>.</w:t>
      </w:r>
    </w:p>
    <w:p w14:paraId="0DEF9A4C" w14:textId="31642287" w:rsidR="00257612" w:rsidRPr="002C72C2" w:rsidRDefault="00257612" w:rsidP="00954BAC">
      <w:pPr>
        <w:pStyle w:val="ListParagraph"/>
        <w:numPr>
          <w:ilvl w:val="0"/>
          <w:numId w:val="47"/>
        </w:numPr>
        <w:spacing w:before="100" w:after="100" w:line="252" w:lineRule="auto"/>
        <w:rPr>
          <w:lang w:eastAsia="en-US" w:bidi="ar-SA"/>
        </w:rPr>
      </w:pPr>
      <w:r>
        <w:rPr>
          <w:lang w:eastAsia="en-US" w:bidi="ar-SA"/>
        </w:rPr>
        <w:t>Though observability can often be established and relied upon, special attention must be given to fallback strategies for network management</w:t>
      </w:r>
      <w:r w:rsidR="006A1ED4">
        <w:rPr>
          <w:lang w:eastAsia="en-US" w:bidi="ar-SA"/>
        </w:rPr>
        <w:t xml:space="preserve"> when </w:t>
      </w:r>
      <w:r w:rsidR="00177D29">
        <w:rPr>
          <w:lang w:eastAsia="en-US" w:bidi="ar-SA"/>
        </w:rPr>
        <w:t>for example communication or even the software platform itself is unavailable</w:t>
      </w:r>
      <w:r w:rsidR="00D012AC">
        <w:rPr>
          <w:lang w:eastAsia="en-US" w:bidi="ar-SA"/>
        </w:rPr>
        <w:t>.</w:t>
      </w:r>
    </w:p>
    <w:p w14:paraId="7CA5D367" w14:textId="4233ED87" w:rsidR="00334A58" w:rsidRPr="002C72C2" w:rsidRDefault="00D0164E" w:rsidP="00954BAC">
      <w:pPr>
        <w:pStyle w:val="ListParagraph"/>
        <w:numPr>
          <w:ilvl w:val="0"/>
          <w:numId w:val="47"/>
        </w:numPr>
        <w:spacing w:before="100" w:after="100" w:line="252" w:lineRule="auto"/>
        <w:rPr>
          <w:lang w:eastAsia="en-US" w:bidi="ar-SA"/>
        </w:rPr>
      </w:pPr>
      <w:r w:rsidRPr="002C72C2">
        <w:rPr>
          <w:lang w:eastAsia="en-US" w:bidi="ar-SA"/>
        </w:rPr>
        <w:t>VPP data management must be handled as a national security issue</w:t>
      </w:r>
      <w:r w:rsidR="00B507FD">
        <w:rPr>
          <w:lang w:eastAsia="en-US" w:bidi="ar-SA"/>
        </w:rPr>
        <w:t>.</w:t>
      </w:r>
      <w:r w:rsidR="00334A58" w:rsidRPr="00334A58">
        <w:rPr>
          <w:lang w:eastAsia="en-US" w:bidi="ar-SA"/>
        </w:rPr>
        <w:t xml:space="preserve"> </w:t>
      </w:r>
      <w:r w:rsidR="00334A58">
        <w:rPr>
          <w:lang w:eastAsia="en-US" w:bidi="ar-SA"/>
        </w:rPr>
        <w:t xml:space="preserve">This is because the data is being handled by third parties who are not subject to the same kind of oversight as </w:t>
      </w:r>
      <w:r w:rsidR="00F01E03">
        <w:rPr>
          <w:lang w:eastAsia="en-US" w:bidi="ar-SA"/>
        </w:rPr>
        <w:t>regulated</w:t>
      </w:r>
      <w:r w:rsidR="00334A58">
        <w:rPr>
          <w:lang w:eastAsia="en-US" w:bidi="ar-SA"/>
        </w:rPr>
        <w:t xml:space="preserve"> utilities.  The personnel, the locations where the data is stored and processed, the internal technical measures and procedures used to protect data, are all potential vulnerabilities. In cases where the VPPs may be able to affect grid operation directly, this raises additional security concerns.</w:t>
      </w:r>
    </w:p>
    <w:p w14:paraId="4BDCABA6" w14:textId="6DFF7528" w:rsidR="00D0164E" w:rsidRPr="002C72C2" w:rsidRDefault="00D0164E" w:rsidP="00954BAC">
      <w:pPr>
        <w:pStyle w:val="ListParagraph"/>
        <w:numPr>
          <w:ilvl w:val="0"/>
          <w:numId w:val="47"/>
        </w:numPr>
        <w:spacing w:before="100" w:after="100" w:line="252" w:lineRule="auto"/>
        <w:rPr>
          <w:lang w:eastAsia="en-US" w:bidi="ar-SA"/>
        </w:rPr>
      </w:pPr>
      <w:r w:rsidRPr="002C72C2">
        <w:rPr>
          <w:lang w:eastAsia="en-US" w:bidi="ar-SA"/>
        </w:rPr>
        <w:t>Processes for handling aggregator/VPP operational failure and business merger or exit must exist</w:t>
      </w:r>
      <w:r w:rsidR="00B507FD">
        <w:rPr>
          <w:lang w:eastAsia="en-US" w:bidi="ar-SA"/>
        </w:rPr>
        <w:t>.</w:t>
      </w:r>
    </w:p>
    <w:p w14:paraId="12B0ADB0" w14:textId="74527AE9" w:rsidR="00956B4D" w:rsidRPr="002C72C2" w:rsidRDefault="00F32E3A" w:rsidP="00954BAC">
      <w:pPr>
        <w:pStyle w:val="ListParagraph"/>
        <w:numPr>
          <w:ilvl w:val="0"/>
          <w:numId w:val="47"/>
        </w:numPr>
        <w:spacing w:before="100" w:after="100" w:line="252" w:lineRule="auto"/>
        <w:rPr>
          <w:lang w:eastAsia="en-US" w:bidi="ar-SA"/>
        </w:rPr>
      </w:pPr>
      <w:r>
        <w:rPr>
          <w:lang w:eastAsia="en-US" w:bidi="ar-SA"/>
        </w:rPr>
        <w:t>Distribution s</w:t>
      </w:r>
      <w:r w:rsidR="00956B4D">
        <w:rPr>
          <w:lang w:eastAsia="en-US" w:bidi="ar-SA"/>
        </w:rPr>
        <w:t>tate estimation</w:t>
      </w:r>
      <w:r>
        <w:rPr>
          <w:lang w:eastAsia="en-US" w:bidi="ar-SA"/>
        </w:rPr>
        <w:t xml:space="preserve"> comes with </w:t>
      </w:r>
      <w:r w:rsidR="00877038">
        <w:rPr>
          <w:lang w:eastAsia="en-US" w:bidi="ar-SA"/>
        </w:rPr>
        <w:t xml:space="preserve">cyber-physical security </w:t>
      </w:r>
      <w:r w:rsidR="004F611B">
        <w:rPr>
          <w:lang w:eastAsia="en-US" w:bidi="ar-SA"/>
        </w:rPr>
        <w:t xml:space="preserve">concerns, </w:t>
      </w:r>
      <w:r w:rsidR="005D6414">
        <w:rPr>
          <w:lang w:eastAsia="en-US" w:bidi="ar-SA"/>
        </w:rPr>
        <w:t xml:space="preserve">strategic </w:t>
      </w:r>
      <w:r w:rsidR="006B08C7">
        <w:rPr>
          <w:lang w:eastAsia="en-US" w:bidi="ar-SA"/>
        </w:rPr>
        <w:t>physical interference with the sensors may</w:t>
      </w:r>
      <w:r w:rsidR="005D6414">
        <w:rPr>
          <w:lang w:eastAsia="en-US" w:bidi="ar-SA"/>
        </w:rPr>
        <w:t xml:space="preserve"> lead to incorrect </w:t>
      </w:r>
      <w:r w:rsidR="000823CB">
        <w:rPr>
          <w:lang w:eastAsia="en-US" w:bidi="ar-SA"/>
        </w:rPr>
        <w:t>assessment of congestion.</w:t>
      </w:r>
      <w:r w:rsidR="0053077C">
        <w:rPr>
          <w:lang w:eastAsia="en-US" w:bidi="ar-SA"/>
        </w:rPr>
        <w:t xml:space="preserve"> </w:t>
      </w:r>
    </w:p>
    <w:p w14:paraId="6938A2F5" w14:textId="588B61A1" w:rsidR="00AD7E84" w:rsidRDefault="00D0164E" w:rsidP="00954BAC">
      <w:pPr>
        <w:pStyle w:val="ListParagraph"/>
        <w:numPr>
          <w:ilvl w:val="0"/>
          <w:numId w:val="47"/>
        </w:numPr>
        <w:spacing w:before="100" w:after="100" w:line="252" w:lineRule="auto"/>
        <w:rPr>
          <w:lang w:eastAsia="en-US" w:bidi="ar-SA"/>
        </w:rPr>
      </w:pPr>
      <w:r w:rsidRPr="002C72C2">
        <w:rPr>
          <w:lang w:eastAsia="en-US" w:bidi="ar-SA"/>
        </w:rPr>
        <w:t>The capability definition, functional decomposition, functional grouping, role definition, and role assignment processes must be rigorously structured to avoid internal hidden coupling and external conflict inter-entity conflict.</w:t>
      </w:r>
    </w:p>
    <w:p w14:paraId="07B226E9" w14:textId="51E6ECF3" w:rsidR="00835A23" w:rsidRPr="002C72C2" w:rsidRDefault="00AD7E84" w:rsidP="00AD7E84">
      <w:pPr>
        <w:spacing w:before="0" w:after="160" w:line="259" w:lineRule="auto"/>
        <w:rPr>
          <w:lang w:eastAsia="en-US" w:bidi="ar-SA"/>
        </w:rPr>
      </w:pPr>
      <w:r>
        <w:rPr>
          <w:lang w:eastAsia="en-US" w:bidi="ar-SA"/>
        </w:rPr>
        <w:br w:type="page"/>
      </w:r>
    </w:p>
    <w:p w14:paraId="3BB09076" w14:textId="4D1F2CF8" w:rsidR="00AB0D6A" w:rsidRPr="002C72C2" w:rsidRDefault="00AB0D6A" w:rsidP="00EB2823">
      <w:pPr>
        <w:pStyle w:val="Heading3"/>
        <w:spacing w:line="264" w:lineRule="auto"/>
        <w:rPr>
          <w:lang w:eastAsia="en-US" w:bidi="ar-SA"/>
        </w:rPr>
      </w:pPr>
      <w:bookmarkStart w:id="83" w:name="_Single_Point_of"/>
      <w:bookmarkStart w:id="84" w:name="_Toc205533969"/>
      <w:bookmarkStart w:id="85" w:name="S_426"/>
      <w:bookmarkEnd w:id="83"/>
      <w:r w:rsidRPr="002C72C2">
        <w:rPr>
          <w:lang w:eastAsia="en-US" w:bidi="ar-SA"/>
        </w:rPr>
        <w:t>Single Point of Failure Risks</w:t>
      </w:r>
      <w:bookmarkEnd w:id="84"/>
    </w:p>
    <w:tbl>
      <w:tblPr>
        <w:tblStyle w:val="TableGrid"/>
        <w:tblW w:w="0" w:type="auto"/>
        <w:tblLook w:val="04A0" w:firstRow="1" w:lastRow="0" w:firstColumn="1" w:lastColumn="0" w:noHBand="0" w:noVBand="1"/>
      </w:tblPr>
      <w:tblGrid>
        <w:gridCol w:w="8210"/>
      </w:tblGrid>
      <w:tr w:rsidR="003B08B1" w14:paraId="70E1531A" w14:textId="77777777" w:rsidTr="008F2E81">
        <w:tc>
          <w:tcPr>
            <w:tcW w:w="8210" w:type="dxa"/>
            <w:shd w:val="clear" w:color="auto" w:fill="013C4C" w:themeFill="text1"/>
          </w:tcPr>
          <w:bookmarkEnd w:id="85"/>
          <w:p w14:paraId="4DE8A3D0" w14:textId="7654E39F" w:rsidR="003B08B1" w:rsidRPr="00D01543" w:rsidRDefault="00D01543" w:rsidP="00340CF2">
            <w:pPr>
              <w:spacing w:before="180" w:after="180" w:line="264" w:lineRule="auto"/>
              <w:ind w:left="170" w:right="170"/>
              <w:rPr>
                <w:i/>
                <w:iCs/>
                <w:lang w:eastAsia="en-US" w:bidi="ar-SA"/>
              </w:rPr>
            </w:pPr>
            <w:r w:rsidRPr="00D01543">
              <w:rPr>
                <w:i/>
                <w:iCs/>
                <w:lang w:eastAsia="en-US" w:bidi="ar-SA"/>
              </w:rPr>
              <w:t>Electricity underpins every part of Australia’s digitalised economy</w:t>
            </w:r>
            <w:r w:rsidR="00374950">
              <w:rPr>
                <w:i/>
                <w:iCs/>
                <w:lang w:eastAsia="en-US" w:bidi="ar-SA"/>
              </w:rPr>
              <w:t xml:space="preserve">. </w:t>
            </w:r>
            <w:r w:rsidRPr="00D01543">
              <w:rPr>
                <w:i/>
                <w:iCs/>
                <w:lang w:eastAsia="en-US" w:bidi="ar-SA"/>
              </w:rPr>
              <w:t>Major disruptions rapidly cascade through numerous other societal systems</w:t>
            </w:r>
            <w:r w:rsidR="00374950">
              <w:rPr>
                <w:i/>
                <w:iCs/>
                <w:lang w:eastAsia="en-US" w:bidi="ar-SA"/>
              </w:rPr>
              <w:t xml:space="preserve">. </w:t>
            </w:r>
            <w:r w:rsidRPr="00D01543">
              <w:rPr>
                <w:i/>
                <w:iCs/>
                <w:lang w:eastAsia="en-US" w:bidi="ar-SA"/>
              </w:rPr>
              <w:t>Given the highly centralised origins of our power systems, driving toward economy-wide electrification also requires a transition to more modular grid structures designed for resilience and redundancy</w:t>
            </w:r>
            <w:r w:rsidR="00374950">
              <w:rPr>
                <w:i/>
                <w:iCs/>
                <w:lang w:eastAsia="en-US" w:bidi="ar-SA"/>
              </w:rPr>
              <w:t xml:space="preserve">. </w:t>
            </w:r>
            <w:r w:rsidRPr="00D01543">
              <w:rPr>
                <w:i/>
                <w:iCs/>
                <w:lang w:eastAsia="en-US" w:bidi="ar-SA"/>
              </w:rPr>
              <w:t>Failing to do so will significantly escalate major single-point-of-failure risks and national security vulnerabilities</w:t>
            </w:r>
            <w:r w:rsidR="00374950">
              <w:rPr>
                <w:i/>
                <w:iCs/>
                <w:lang w:eastAsia="en-US" w:bidi="ar-SA"/>
              </w:rPr>
              <w:t xml:space="preserve">. </w:t>
            </w:r>
          </w:p>
        </w:tc>
      </w:tr>
    </w:tbl>
    <w:p w14:paraId="78CC84B1" w14:textId="77777777" w:rsidR="006953F7" w:rsidRPr="00EB2823" w:rsidRDefault="006953F7" w:rsidP="00954BAC">
      <w:pPr>
        <w:pStyle w:val="Heading4"/>
        <w:numPr>
          <w:ilvl w:val="0"/>
          <w:numId w:val="58"/>
        </w:numPr>
        <w:spacing w:before="240" w:after="120" w:line="264" w:lineRule="auto"/>
        <w:rPr>
          <w:i w:val="0"/>
          <w:iCs w:val="0"/>
        </w:rPr>
      </w:pPr>
      <w:r w:rsidRPr="00EB2823">
        <w:rPr>
          <w:i w:val="0"/>
          <w:iCs w:val="0"/>
        </w:rPr>
        <w:t>Cross Cutting Issue</w:t>
      </w:r>
    </w:p>
    <w:p w14:paraId="1F4D71FA" w14:textId="7DBBFFAC" w:rsidR="00801668" w:rsidRDefault="00823E91" w:rsidP="00801668">
      <w:pPr>
        <w:spacing w:before="120" w:after="120" w:line="264" w:lineRule="auto"/>
        <w:rPr>
          <w:lang w:eastAsia="en-US" w:bidi="ar-SA"/>
        </w:rPr>
      </w:pPr>
      <w:r>
        <w:rPr>
          <w:lang w:eastAsia="en-US" w:bidi="ar-SA"/>
        </w:rPr>
        <w:t xml:space="preserve">The development of </w:t>
      </w:r>
      <w:r w:rsidR="00BC1713">
        <w:rPr>
          <w:lang w:eastAsia="en-US" w:bidi="ar-SA"/>
        </w:rPr>
        <w:t xml:space="preserve">our existing </w:t>
      </w:r>
      <w:r>
        <w:rPr>
          <w:lang w:eastAsia="en-US" w:bidi="ar-SA"/>
        </w:rPr>
        <w:t xml:space="preserve">power systems </w:t>
      </w:r>
      <w:r w:rsidR="00BC1713">
        <w:rPr>
          <w:lang w:eastAsia="en-US" w:bidi="ar-SA"/>
        </w:rPr>
        <w:t>occurred in a historical context</w:t>
      </w:r>
      <w:r w:rsidR="00327782">
        <w:rPr>
          <w:lang w:eastAsia="en-US" w:bidi="ar-SA"/>
        </w:rPr>
        <w:t xml:space="preserve">, </w:t>
      </w:r>
      <w:r>
        <w:rPr>
          <w:lang w:eastAsia="en-US" w:bidi="ar-SA"/>
        </w:rPr>
        <w:t xml:space="preserve">naturally </w:t>
      </w:r>
      <w:r w:rsidR="00327782">
        <w:rPr>
          <w:lang w:eastAsia="en-US" w:bidi="ar-SA"/>
        </w:rPr>
        <w:t xml:space="preserve">being informed by </w:t>
      </w:r>
      <w:r w:rsidR="00A71537">
        <w:rPr>
          <w:lang w:eastAsia="en-US" w:bidi="ar-SA"/>
        </w:rPr>
        <w:t xml:space="preserve">perspectives </w:t>
      </w:r>
      <w:r w:rsidR="006953F7" w:rsidRPr="002C72C2">
        <w:rPr>
          <w:lang w:eastAsia="en-US" w:bidi="ar-SA"/>
        </w:rPr>
        <w:t xml:space="preserve">about how </w:t>
      </w:r>
      <w:r w:rsidR="00810007">
        <w:rPr>
          <w:lang w:eastAsia="en-US" w:bidi="ar-SA"/>
        </w:rPr>
        <w:t>energy</w:t>
      </w:r>
      <w:r w:rsidR="00A71537">
        <w:rPr>
          <w:lang w:eastAsia="en-US" w:bidi="ar-SA"/>
        </w:rPr>
        <w:t xml:space="preserve">, in all its </w:t>
      </w:r>
      <w:r w:rsidR="00801668">
        <w:rPr>
          <w:lang w:eastAsia="en-US" w:bidi="ar-SA"/>
        </w:rPr>
        <w:t xml:space="preserve">varied </w:t>
      </w:r>
      <w:r w:rsidR="00A71537">
        <w:rPr>
          <w:lang w:eastAsia="en-US" w:bidi="ar-SA"/>
        </w:rPr>
        <w:t xml:space="preserve">sources, </w:t>
      </w:r>
      <w:r w:rsidR="00D47DC1">
        <w:rPr>
          <w:lang w:eastAsia="en-US" w:bidi="ar-SA"/>
        </w:rPr>
        <w:t>would be used in society</w:t>
      </w:r>
      <w:r w:rsidR="00374950">
        <w:rPr>
          <w:lang w:eastAsia="en-US" w:bidi="ar-SA"/>
        </w:rPr>
        <w:t xml:space="preserve">. </w:t>
      </w:r>
      <w:r w:rsidR="001363DC">
        <w:rPr>
          <w:lang w:eastAsia="en-US" w:bidi="ar-SA"/>
        </w:rPr>
        <w:t xml:space="preserve">This was </w:t>
      </w:r>
      <w:r w:rsidR="00327782">
        <w:rPr>
          <w:lang w:eastAsia="en-US" w:bidi="ar-SA"/>
        </w:rPr>
        <w:t xml:space="preserve">also </w:t>
      </w:r>
      <w:r w:rsidR="001363DC">
        <w:rPr>
          <w:lang w:eastAsia="en-US" w:bidi="ar-SA"/>
        </w:rPr>
        <w:t xml:space="preserve">a context where </w:t>
      </w:r>
      <w:r w:rsidR="000C4DE1">
        <w:rPr>
          <w:lang w:eastAsia="en-US" w:bidi="ar-SA"/>
        </w:rPr>
        <w:t>electricity</w:t>
      </w:r>
      <w:r w:rsidR="00AD1BFB">
        <w:rPr>
          <w:lang w:eastAsia="en-US" w:bidi="ar-SA"/>
        </w:rPr>
        <w:t xml:space="preserve"> was </w:t>
      </w:r>
      <w:r w:rsidR="000C4DE1">
        <w:rPr>
          <w:lang w:eastAsia="en-US" w:bidi="ar-SA"/>
        </w:rPr>
        <w:t xml:space="preserve">one of </w:t>
      </w:r>
      <w:r w:rsidR="006439F2">
        <w:rPr>
          <w:lang w:eastAsia="en-US" w:bidi="ar-SA"/>
        </w:rPr>
        <w:t xml:space="preserve">several </w:t>
      </w:r>
      <w:r w:rsidR="000C4DE1">
        <w:rPr>
          <w:lang w:eastAsia="en-US" w:bidi="ar-SA"/>
        </w:rPr>
        <w:t xml:space="preserve">energy </w:t>
      </w:r>
      <w:r w:rsidR="0029236A">
        <w:rPr>
          <w:lang w:eastAsia="en-US" w:bidi="ar-SA"/>
        </w:rPr>
        <w:t>vectors</w:t>
      </w:r>
      <w:r w:rsidR="000322EC">
        <w:rPr>
          <w:lang w:eastAsia="en-US" w:bidi="ar-SA"/>
        </w:rPr>
        <w:t xml:space="preserve"> that included </w:t>
      </w:r>
      <w:r w:rsidR="00AD1BFB">
        <w:rPr>
          <w:lang w:eastAsia="en-US" w:bidi="ar-SA"/>
        </w:rPr>
        <w:t xml:space="preserve">gas and </w:t>
      </w:r>
      <w:r w:rsidR="00865A82">
        <w:rPr>
          <w:lang w:eastAsia="en-US" w:bidi="ar-SA"/>
        </w:rPr>
        <w:t>petroleum, which</w:t>
      </w:r>
      <w:r w:rsidR="000322EC">
        <w:rPr>
          <w:lang w:eastAsia="en-US" w:bidi="ar-SA"/>
        </w:rPr>
        <w:t xml:space="preserve"> </w:t>
      </w:r>
      <w:r w:rsidR="0029236A">
        <w:rPr>
          <w:lang w:eastAsia="en-US" w:bidi="ar-SA"/>
        </w:rPr>
        <w:t>were</w:t>
      </w:r>
      <w:r w:rsidR="000322EC">
        <w:rPr>
          <w:lang w:eastAsia="en-US" w:bidi="ar-SA"/>
        </w:rPr>
        <w:t xml:space="preserve"> also </w:t>
      </w:r>
      <w:r w:rsidR="006479EC">
        <w:rPr>
          <w:lang w:eastAsia="en-US" w:bidi="ar-SA"/>
        </w:rPr>
        <w:t>be</w:t>
      </w:r>
      <w:r w:rsidR="0029236A">
        <w:rPr>
          <w:lang w:eastAsia="en-US" w:bidi="ar-SA"/>
        </w:rPr>
        <w:t>coming key to</w:t>
      </w:r>
      <w:r w:rsidR="00AD1BFB">
        <w:rPr>
          <w:lang w:eastAsia="en-US" w:bidi="ar-SA"/>
        </w:rPr>
        <w:t xml:space="preserve"> the functioning of a</w:t>
      </w:r>
      <w:r w:rsidR="0029236A">
        <w:rPr>
          <w:lang w:eastAsia="en-US" w:bidi="ar-SA"/>
        </w:rPr>
        <w:t xml:space="preserve"> modern society</w:t>
      </w:r>
      <w:r w:rsidR="00374950">
        <w:rPr>
          <w:lang w:eastAsia="en-US" w:bidi="ar-SA"/>
        </w:rPr>
        <w:t xml:space="preserve">. </w:t>
      </w:r>
      <w:r w:rsidR="0065405B">
        <w:rPr>
          <w:lang w:eastAsia="en-US" w:bidi="ar-SA"/>
        </w:rPr>
        <w:t xml:space="preserve">While lightly coupled, these </w:t>
      </w:r>
      <w:r w:rsidR="00043535">
        <w:rPr>
          <w:lang w:eastAsia="en-US" w:bidi="ar-SA"/>
        </w:rPr>
        <w:t xml:space="preserve">distinct energy systems </w:t>
      </w:r>
      <w:r w:rsidR="00865A82">
        <w:rPr>
          <w:lang w:eastAsia="en-US" w:bidi="ar-SA"/>
        </w:rPr>
        <w:t xml:space="preserve">intrinsically </w:t>
      </w:r>
      <w:r w:rsidR="00043535">
        <w:rPr>
          <w:lang w:eastAsia="en-US" w:bidi="ar-SA"/>
        </w:rPr>
        <w:t xml:space="preserve">provided </w:t>
      </w:r>
      <w:r w:rsidR="007F3F29">
        <w:rPr>
          <w:lang w:eastAsia="en-US" w:bidi="ar-SA"/>
        </w:rPr>
        <w:t>a</w:t>
      </w:r>
      <w:r w:rsidR="00043535">
        <w:rPr>
          <w:lang w:eastAsia="en-US" w:bidi="ar-SA"/>
        </w:rPr>
        <w:t xml:space="preserve"> level of redundancy </w:t>
      </w:r>
      <w:r w:rsidR="007F3F29">
        <w:rPr>
          <w:lang w:eastAsia="en-US" w:bidi="ar-SA"/>
        </w:rPr>
        <w:t>for society should one system fail at a given time</w:t>
      </w:r>
      <w:r w:rsidR="00374950">
        <w:rPr>
          <w:lang w:eastAsia="en-US" w:bidi="ar-SA"/>
        </w:rPr>
        <w:t xml:space="preserve">. </w:t>
      </w:r>
      <w:r w:rsidR="00B2503F">
        <w:rPr>
          <w:lang w:eastAsia="en-US" w:bidi="ar-SA"/>
        </w:rPr>
        <w:t>At that time, the</w:t>
      </w:r>
      <w:r w:rsidR="00952869">
        <w:rPr>
          <w:lang w:eastAsia="en-US" w:bidi="ar-SA"/>
        </w:rPr>
        <w:t xml:space="preserve"> societal</w:t>
      </w:r>
      <w:r w:rsidR="00B2503F">
        <w:rPr>
          <w:lang w:eastAsia="en-US" w:bidi="ar-SA"/>
        </w:rPr>
        <w:t xml:space="preserve"> transition to </w:t>
      </w:r>
      <w:r w:rsidR="00BC562A">
        <w:rPr>
          <w:lang w:eastAsia="en-US" w:bidi="ar-SA"/>
        </w:rPr>
        <w:t>deep</w:t>
      </w:r>
      <w:r w:rsidR="00952869">
        <w:rPr>
          <w:lang w:eastAsia="en-US" w:bidi="ar-SA"/>
        </w:rPr>
        <w:t xml:space="preserve"> dependence on advanced communications and cyber-physical systems was </w:t>
      </w:r>
      <w:r w:rsidR="005246A4">
        <w:rPr>
          <w:lang w:eastAsia="en-US" w:bidi="ar-SA"/>
        </w:rPr>
        <w:t>decades away</w:t>
      </w:r>
      <w:r w:rsidR="00952869">
        <w:rPr>
          <w:lang w:eastAsia="en-US" w:bidi="ar-SA"/>
        </w:rPr>
        <w:t xml:space="preserve">. </w:t>
      </w:r>
    </w:p>
    <w:p w14:paraId="75A94204" w14:textId="44EE1220" w:rsidR="000322B9" w:rsidRDefault="00952869" w:rsidP="00801668">
      <w:pPr>
        <w:spacing w:before="120" w:after="120" w:line="264" w:lineRule="auto"/>
        <w:rPr>
          <w:lang w:eastAsia="en-US" w:bidi="ar-SA"/>
        </w:rPr>
      </w:pPr>
      <w:r>
        <w:rPr>
          <w:lang w:eastAsia="en-US" w:bidi="ar-SA"/>
        </w:rPr>
        <w:t xml:space="preserve">By contrast, the </w:t>
      </w:r>
      <w:r w:rsidR="00797CAE">
        <w:rPr>
          <w:lang w:eastAsia="en-US" w:bidi="ar-SA"/>
        </w:rPr>
        <w:t xml:space="preserve">highly </w:t>
      </w:r>
      <w:r w:rsidRPr="000322B9">
        <w:rPr>
          <w:lang w:eastAsia="en-US" w:bidi="ar-SA"/>
        </w:rPr>
        <w:t>digitalised econom</w:t>
      </w:r>
      <w:r w:rsidR="00797CAE">
        <w:rPr>
          <w:lang w:eastAsia="en-US" w:bidi="ar-SA"/>
        </w:rPr>
        <w:t xml:space="preserve">ies of </w:t>
      </w:r>
      <w:r w:rsidR="005246A4">
        <w:rPr>
          <w:lang w:eastAsia="en-US" w:bidi="ar-SA"/>
        </w:rPr>
        <w:t>today</w:t>
      </w:r>
      <w:r w:rsidR="00797CAE">
        <w:rPr>
          <w:lang w:eastAsia="en-US" w:bidi="ar-SA"/>
        </w:rPr>
        <w:t xml:space="preserve"> are </w:t>
      </w:r>
      <w:r w:rsidR="005554B5">
        <w:rPr>
          <w:lang w:eastAsia="en-US" w:bidi="ar-SA"/>
        </w:rPr>
        <w:t xml:space="preserve">critically </w:t>
      </w:r>
      <w:r w:rsidRPr="000322B9">
        <w:rPr>
          <w:lang w:eastAsia="en-US" w:bidi="ar-SA"/>
        </w:rPr>
        <w:t xml:space="preserve">dependent on a reliable and resilient electricity system. </w:t>
      </w:r>
      <w:r w:rsidR="00797CAE">
        <w:rPr>
          <w:lang w:eastAsia="en-US" w:bidi="ar-SA"/>
        </w:rPr>
        <w:t>Indeed, e</w:t>
      </w:r>
      <w:r w:rsidRPr="000322B9">
        <w:rPr>
          <w:lang w:eastAsia="en-US" w:bidi="ar-SA"/>
        </w:rPr>
        <w:t xml:space="preserve">lectricity is </w:t>
      </w:r>
      <w:r w:rsidR="00CB3053">
        <w:rPr>
          <w:lang w:eastAsia="en-US" w:bidi="ar-SA"/>
        </w:rPr>
        <w:t>now a f</w:t>
      </w:r>
      <w:r w:rsidRPr="000322B9">
        <w:rPr>
          <w:lang w:eastAsia="en-US" w:bidi="ar-SA"/>
        </w:rPr>
        <w:t xml:space="preserve">oundational enabler of all digital </w:t>
      </w:r>
      <w:r w:rsidR="00797CAE">
        <w:rPr>
          <w:lang w:eastAsia="en-US" w:bidi="ar-SA"/>
        </w:rPr>
        <w:t xml:space="preserve">and communications </w:t>
      </w:r>
      <w:r w:rsidRPr="000322B9">
        <w:rPr>
          <w:lang w:eastAsia="en-US" w:bidi="ar-SA"/>
        </w:rPr>
        <w:t>infrastructure</w:t>
      </w:r>
      <w:r w:rsidR="00374950">
        <w:rPr>
          <w:lang w:eastAsia="en-US" w:bidi="ar-SA"/>
        </w:rPr>
        <w:t xml:space="preserve">. </w:t>
      </w:r>
      <w:r w:rsidR="00CB3053">
        <w:rPr>
          <w:lang w:eastAsia="en-US" w:bidi="ar-SA"/>
        </w:rPr>
        <w:t>Di</w:t>
      </w:r>
      <w:r w:rsidRPr="000322B9">
        <w:rPr>
          <w:lang w:eastAsia="en-US" w:bidi="ar-SA"/>
        </w:rPr>
        <w:t xml:space="preserve">sruptions to the grid can rapidly cascade through numerous </w:t>
      </w:r>
      <w:r w:rsidR="00CB3053">
        <w:rPr>
          <w:lang w:eastAsia="en-US" w:bidi="ar-SA"/>
        </w:rPr>
        <w:t>other societal systems</w:t>
      </w:r>
      <w:r w:rsidR="00467A1B">
        <w:rPr>
          <w:lang w:eastAsia="en-US" w:bidi="ar-SA"/>
        </w:rPr>
        <w:t>, including water, sewerage, food/cold chain</w:t>
      </w:r>
      <w:r w:rsidR="00487F2F">
        <w:rPr>
          <w:lang w:eastAsia="en-US" w:bidi="ar-SA"/>
        </w:rPr>
        <w:t>, transport, etc</w:t>
      </w:r>
      <w:r w:rsidR="00374950">
        <w:rPr>
          <w:lang w:eastAsia="en-US" w:bidi="ar-SA"/>
        </w:rPr>
        <w:t xml:space="preserve">. </w:t>
      </w:r>
      <w:r w:rsidR="00487F2F">
        <w:rPr>
          <w:lang w:eastAsia="en-US" w:bidi="ar-SA"/>
        </w:rPr>
        <w:t>Extended grid outages</w:t>
      </w:r>
      <w:r w:rsidR="005815D4">
        <w:rPr>
          <w:lang w:eastAsia="en-US" w:bidi="ar-SA"/>
        </w:rPr>
        <w:t xml:space="preserve">, today, </w:t>
      </w:r>
      <w:r w:rsidR="00487F2F">
        <w:rPr>
          <w:lang w:eastAsia="en-US" w:bidi="ar-SA"/>
        </w:rPr>
        <w:t xml:space="preserve">have a profound impact of the functioning of society </w:t>
      </w:r>
      <w:r w:rsidR="005815D4">
        <w:rPr>
          <w:lang w:eastAsia="en-US" w:bidi="ar-SA"/>
        </w:rPr>
        <w:t xml:space="preserve">– and full electrification is </w:t>
      </w:r>
      <w:r w:rsidR="00BC562A">
        <w:rPr>
          <w:lang w:eastAsia="en-US" w:bidi="ar-SA"/>
        </w:rPr>
        <w:t xml:space="preserve">still a long way </w:t>
      </w:r>
      <w:r w:rsidR="005815D4">
        <w:rPr>
          <w:lang w:eastAsia="en-US" w:bidi="ar-SA"/>
        </w:rPr>
        <w:t>off</w:t>
      </w:r>
      <w:r w:rsidR="00BC562A">
        <w:rPr>
          <w:lang w:eastAsia="en-US" w:bidi="ar-SA"/>
        </w:rPr>
        <w:t xml:space="preserve">. </w:t>
      </w:r>
    </w:p>
    <w:p w14:paraId="15EAD389" w14:textId="5F4FD8FF" w:rsidR="00D0495F" w:rsidRPr="00FF5CFC" w:rsidRDefault="00D0495F" w:rsidP="00D0495F">
      <w:pPr>
        <w:spacing w:before="120" w:after="120" w:line="264" w:lineRule="auto"/>
        <w:rPr>
          <w:lang w:eastAsia="en-US" w:bidi="ar-SA"/>
        </w:rPr>
      </w:pPr>
      <w:r w:rsidRPr="00FF5CFC">
        <w:rPr>
          <w:lang w:eastAsia="en-US" w:bidi="ar-SA"/>
        </w:rPr>
        <w:t xml:space="preserve">While full electrification offers major environmental and economic benefits, it introduces significant </w:t>
      </w:r>
      <w:r w:rsidR="00181117">
        <w:rPr>
          <w:lang w:eastAsia="en-US" w:bidi="ar-SA"/>
        </w:rPr>
        <w:t xml:space="preserve">societal and national security </w:t>
      </w:r>
      <w:r w:rsidRPr="00FF5CFC">
        <w:rPr>
          <w:lang w:eastAsia="en-US" w:bidi="ar-SA"/>
        </w:rPr>
        <w:t xml:space="preserve">risks if redundancy is lacking. The interdependence of </w:t>
      </w:r>
      <w:r w:rsidR="006A1AB1">
        <w:rPr>
          <w:lang w:eastAsia="en-US" w:bidi="ar-SA"/>
        </w:rPr>
        <w:t>almost all societal</w:t>
      </w:r>
      <w:r w:rsidRPr="00FF5CFC">
        <w:rPr>
          <w:lang w:eastAsia="en-US" w:bidi="ar-SA"/>
        </w:rPr>
        <w:t xml:space="preserve"> systems on electricity demands proactive risk mitigation</w:t>
      </w:r>
      <w:r w:rsidR="00374950">
        <w:rPr>
          <w:lang w:eastAsia="en-US" w:bidi="ar-SA"/>
        </w:rPr>
        <w:t xml:space="preserve">. </w:t>
      </w:r>
      <w:r w:rsidR="00442C77">
        <w:rPr>
          <w:lang w:eastAsia="en-US" w:bidi="ar-SA"/>
        </w:rPr>
        <w:t xml:space="preserve">This may include, for example, a </w:t>
      </w:r>
      <w:r w:rsidRPr="00FF5CFC">
        <w:rPr>
          <w:lang w:eastAsia="en-US" w:bidi="ar-SA"/>
        </w:rPr>
        <w:t xml:space="preserve">combination of </w:t>
      </w:r>
      <w:r w:rsidR="006D6A52">
        <w:rPr>
          <w:lang w:eastAsia="en-US" w:bidi="ar-SA"/>
        </w:rPr>
        <w:t>modularised system architectur</w:t>
      </w:r>
      <w:r w:rsidR="0061360F">
        <w:rPr>
          <w:lang w:eastAsia="en-US" w:bidi="ar-SA"/>
        </w:rPr>
        <w:t>e</w:t>
      </w:r>
      <w:r w:rsidR="00442C77">
        <w:rPr>
          <w:lang w:eastAsia="en-US" w:bidi="ar-SA"/>
        </w:rPr>
        <w:t>, resilience planning techniques</w:t>
      </w:r>
      <w:r w:rsidR="005554B5">
        <w:rPr>
          <w:lang w:eastAsia="en-US" w:bidi="ar-SA"/>
        </w:rPr>
        <w:t xml:space="preserve"> and the </w:t>
      </w:r>
      <w:r w:rsidR="0061360F">
        <w:rPr>
          <w:lang w:eastAsia="en-US" w:bidi="ar-SA"/>
        </w:rPr>
        <w:t>enabling</w:t>
      </w:r>
      <w:r w:rsidR="005554B5">
        <w:rPr>
          <w:lang w:eastAsia="en-US" w:bidi="ar-SA"/>
        </w:rPr>
        <w:t xml:space="preserve"> of </w:t>
      </w:r>
      <w:r w:rsidR="0061360F">
        <w:rPr>
          <w:lang w:eastAsia="en-US" w:bidi="ar-SA"/>
        </w:rPr>
        <w:t>localised clusters of d</w:t>
      </w:r>
      <w:r w:rsidR="006D6A52">
        <w:rPr>
          <w:lang w:eastAsia="en-US" w:bidi="ar-SA"/>
        </w:rPr>
        <w:t xml:space="preserve">istributed generation and </w:t>
      </w:r>
      <w:r w:rsidRPr="00FF5CFC">
        <w:rPr>
          <w:lang w:eastAsia="en-US" w:bidi="ar-SA"/>
        </w:rPr>
        <w:t>energy storage</w:t>
      </w:r>
      <w:r w:rsidR="0061360F">
        <w:rPr>
          <w:lang w:eastAsia="en-US" w:bidi="ar-SA"/>
        </w:rPr>
        <w:t xml:space="preserve"> to function </w:t>
      </w:r>
      <w:r w:rsidR="006A1AB1">
        <w:rPr>
          <w:lang w:eastAsia="en-US" w:bidi="ar-SA"/>
        </w:rPr>
        <w:t xml:space="preserve">autonomously </w:t>
      </w:r>
      <w:r w:rsidR="005554B5">
        <w:rPr>
          <w:lang w:eastAsia="en-US" w:bidi="ar-SA"/>
        </w:rPr>
        <w:t>for a</w:t>
      </w:r>
      <w:r w:rsidR="00D23612">
        <w:rPr>
          <w:lang w:eastAsia="en-US" w:bidi="ar-SA"/>
        </w:rPr>
        <w:t>n extended</w:t>
      </w:r>
      <w:r w:rsidR="005554B5">
        <w:rPr>
          <w:lang w:eastAsia="en-US" w:bidi="ar-SA"/>
        </w:rPr>
        <w:t xml:space="preserve"> period </w:t>
      </w:r>
      <w:r w:rsidR="00D23612">
        <w:rPr>
          <w:lang w:eastAsia="en-US" w:bidi="ar-SA"/>
        </w:rPr>
        <w:t xml:space="preserve">should </w:t>
      </w:r>
      <w:r w:rsidR="006A1AB1">
        <w:rPr>
          <w:lang w:eastAsia="en-US" w:bidi="ar-SA"/>
        </w:rPr>
        <w:t xml:space="preserve">wider grid </w:t>
      </w:r>
      <w:r w:rsidR="005554B5">
        <w:rPr>
          <w:lang w:eastAsia="en-US" w:bidi="ar-SA"/>
        </w:rPr>
        <w:t>outages occur</w:t>
      </w:r>
      <w:r w:rsidR="006A1AB1">
        <w:rPr>
          <w:lang w:eastAsia="en-US" w:bidi="ar-SA"/>
        </w:rPr>
        <w:t>.</w:t>
      </w:r>
    </w:p>
    <w:p w14:paraId="2875EEF8" w14:textId="77777777" w:rsidR="006953F7" w:rsidRPr="00EB2823" w:rsidRDefault="006953F7" w:rsidP="00954BAC">
      <w:pPr>
        <w:pStyle w:val="Heading4"/>
        <w:numPr>
          <w:ilvl w:val="0"/>
          <w:numId w:val="58"/>
        </w:numPr>
        <w:spacing w:before="240" w:after="120" w:line="264" w:lineRule="auto"/>
        <w:rPr>
          <w:i w:val="0"/>
          <w:iCs w:val="0"/>
        </w:rPr>
      </w:pPr>
      <w:r w:rsidRPr="00EB2823">
        <w:rPr>
          <w:i w:val="0"/>
          <w:iCs w:val="0"/>
        </w:rPr>
        <w:t>Contributing Factors</w:t>
      </w:r>
    </w:p>
    <w:p w14:paraId="3C791D03" w14:textId="69E386C7" w:rsidR="00A736C6" w:rsidRDefault="00181117" w:rsidP="00D0495F">
      <w:pPr>
        <w:spacing w:before="120" w:after="120" w:line="264" w:lineRule="auto"/>
        <w:rPr>
          <w:lang w:eastAsia="en-US" w:bidi="ar-SA"/>
        </w:rPr>
      </w:pPr>
      <w:r>
        <w:rPr>
          <w:lang w:eastAsia="en-US" w:bidi="ar-SA"/>
        </w:rPr>
        <w:t xml:space="preserve">While </w:t>
      </w:r>
      <w:r w:rsidR="007E4BAC">
        <w:rPr>
          <w:lang w:eastAsia="en-US" w:bidi="ar-SA"/>
        </w:rPr>
        <w:t>g</w:t>
      </w:r>
      <w:r w:rsidR="00D0495F" w:rsidRPr="002C72C2">
        <w:rPr>
          <w:lang w:eastAsia="en-US" w:bidi="ar-SA"/>
        </w:rPr>
        <w:t xml:space="preserve">reat emphasis </w:t>
      </w:r>
      <w:r w:rsidR="007E4BAC">
        <w:rPr>
          <w:lang w:eastAsia="en-US" w:bidi="ar-SA"/>
        </w:rPr>
        <w:t xml:space="preserve">has been </w:t>
      </w:r>
      <w:r w:rsidR="00D0495F" w:rsidRPr="002C72C2">
        <w:rPr>
          <w:lang w:eastAsia="en-US" w:bidi="ar-SA"/>
        </w:rPr>
        <w:t xml:space="preserve">placed on reliability </w:t>
      </w:r>
      <w:r w:rsidR="007E4BAC">
        <w:rPr>
          <w:lang w:eastAsia="en-US" w:bidi="ar-SA"/>
        </w:rPr>
        <w:t xml:space="preserve">in the development of today’s grid, </w:t>
      </w:r>
      <w:r w:rsidR="00A401ED">
        <w:rPr>
          <w:lang w:eastAsia="en-US" w:bidi="ar-SA"/>
        </w:rPr>
        <w:t xml:space="preserve">it was </w:t>
      </w:r>
      <w:r w:rsidR="007628F5">
        <w:rPr>
          <w:lang w:eastAsia="en-US" w:bidi="ar-SA"/>
        </w:rPr>
        <w:t xml:space="preserve">ultimately </w:t>
      </w:r>
      <w:r w:rsidR="00A401ED">
        <w:rPr>
          <w:lang w:eastAsia="en-US" w:bidi="ar-SA"/>
        </w:rPr>
        <w:t>structured as a highly centralised</w:t>
      </w:r>
      <w:r w:rsidR="009572B5">
        <w:rPr>
          <w:lang w:eastAsia="en-US" w:bidi="ar-SA"/>
        </w:rPr>
        <w:t>, bulk delivery system</w:t>
      </w:r>
      <w:r w:rsidR="00374950">
        <w:rPr>
          <w:lang w:eastAsia="en-US" w:bidi="ar-SA"/>
        </w:rPr>
        <w:t xml:space="preserve">. </w:t>
      </w:r>
      <w:r w:rsidR="00A736C6">
        <w:rPr>
          <w:lang w:eastAsia="en-US" w:bidi="ar-SA"/>
        </w:rPr>
        <w:t>Its</w:t>
      </w:r>
      <w:r w:rsidR="009572B5">
        <w:rPr>
          <w:lang w:eastAsia="en-US" w:bidi="ar-SA"/>
        </w:rPr>
        <w:t xml:space="preserve"> </w:t>
      </w:r>
      <w:r w:rsidR="00A736C6">
        <w:rPr>
          <w:lang w:eastAsia="en-US" w:bidi="ar-SA"/>
        </w:rPr>
        <w:t xml:space="preserve">design and </w:t>
      </w:r>
      <w:r w:rsidR="009572B5">
        <w:rPr>
          <w:lang w:eastAsia="en-US" w:bidi="ar-SA"/>
        </w:rPr>
        <w:t xml:space="preserve">structural arrangements were not developed with </w:t>
      </w:r>
      <w:r w:rsidR="00A736C6">
        <w:rPr>
          <w:lang w:eastAsia="en-US" w:bidi="ar-SA"/>
        </w:rPr>
        <w:t>full</w:t>
      </w:r>
      <w:r w:rsidR="00D0495F" w:rsidRPr="002C72C2">
        <w:rPr>
          <w:lang w:eastAsia="en-US" w:bidi="ar-SA"/>
        </w:rPr>
        <w:t xml:space="preserve"> societal electrification in </w:t>
      </w:r>
      <w:r w:rsidR="00A736C6">
        <w:rPr>
          <w:lang w:eastAsia="en-US" w:bidi="ar-SA"/>
        </w:rPr>
        <w:t>mind</w:t>
      </w:r>
      <w:r w:rsidR="00E118A7">
        <w:rPr>
          <w:lang w:eastAsia="en-US" w:bidi="ar-SA"/>
        </w:rPr>
        <w:t xml:space="preserve">, nor </w:t>
      </w:r>
      <w:r w:rsidR="00B73E89">
        <w:rPr>
          <w:lang w:eastAsia="en-US" w:bidi="ar-SA"/>
        </w:rPr>
        <w:t xml:space="preserve">with the </w:t>
      </w:r>
      <w:r w:rsidR="00E118A7">
        <w:rPr>
          <w:lang w:eastAsia="en-US" w:bidi="ar-SA"/>
        </w:rPr>
        <w:t>level of holistic resi</w:t>
      </w:r>
      <w:r w:rsidR="00B73E89">
        <w:rPr>
          <w:lang w:eastAsia="en-US" w:bidi="ar-SA"/>
        </w:rPr>
        <w:t xml:space="preserve">lience </w:t>
      </w:r>
      <w:r w:rsidR="007628F5">
        <w:rPr>
          <w:lang w:eastAsia="en-US" w:bidi="ar-SA"/>
        </w:rPr>
        <w:t>and redund</w:t>
      </w:r>
      <w:r w:rsidR="00FC2CEF">
        <w:rPr>
          <w:lang w:eastAsia="en-US" w:bidi="ar-SA"/>
        </w:rPr>
        <w:t>a</w:t>
      </w:r>
      <w:r w:rsidR="007628F5">
        <w:rPr>
          <w:lang w:eastAsia="en-US" w:bidi="ar-SA"/>
        </w:rPr>
        <w:t xml:space="preserve">ncy </w:t>
      </w:r>
      <w:r w:rsidR="006E1796">
        <w:rPr>
          <w:lang w:eastAsia="en-US" w:bidi="ar-SA"/>
        </w:rPr>
        <w:t>planning</w:t>
      </w:r>
      <w:r w:rsidR="00B73E89">
        <w:rPr>
          <w:lang w:eastAsia="en-US" w:bidi="ar-SA"/>
        </w:rPr>
        <w:t xml:space="preserve"> </w:t>
      </w:r>
      <w:r w:rsidR="005A3E62">
        <w:rPr>
          <w:lang w:eastAsia="en-US" w:bidi="ar-SA"/>
        </w:rPr>
        <w:t>commensurate to such a</w:t>
      </w:r>
      <w:r w:rsidR="00FC2CEF">
        <w:rPr>
          <w:lang w:eastAsia="en-US" w:bidi="ar-SA"/>
        </w:rPr>
        <w:t xml:space="preserve"> potentially </w:t>
      </w:r>
      <w:r w:rsidR="00CE53BB">
        <w:rPr>
          <w:lang w:eastAsia="en-US" w:bidi="ar-SA"/>
        </w:rPr>
        <w:t>high-risk</w:t>
      </w:r>
      <w:r w:rsidR="00FC2CEF">
        <w:rPr>
          <w:lang w:eastAsia="en-US" w:bidi="ar-SA"/>
        </w:rPr>
        <w:t xml:space="preserve"> </w:t>
      </w:r>
      <w:r w:rsidR="005A3E62">
        <w:rPr>
          <w:lang w:eastAsia="en-US" w:bidi="ar-SA"/>
        </w:rPr>
        <w:t>undertakin</w:t>
      </w:r>
      <w:r w:rsidR="000D7E5C">
        <w:rPr>
          <w:lang w:eastAsia="en-US" w:bidi="ar-SA"/>
        </w:rPr>
        <w:t>g for society</w:t>
      </w:r>
      <w:r w:rsidR="00374950">
        <w:rPr>
          <w:lang w:eastAsia="en-US" w:bidi="ar-SA"/>
        </w:rPr>
        <w:t xml:space="preserve">. </w:t>
      </w:r>
      <w:r w:rsidR="003B6387">
        <w:rPr>
          <w:lang w:eastAsia="en-US" w:bidi="ar-SA"/>
        </w:rPr>
        <w:t xml:space="preserve">Some contributing factors include: </w:t>
      </w:r>
    </w:p>
    <w:p w14:paraId="4AD2E14E" w14:textId="1D5929FA" w:rsidR="00345E63" w:rsidRPr="002C72C2" w:rsidRDefault="0091012B" w:rsidP="00954BAC">
      <w:pPr>
        <w:pStyle w:val="ListParagraph"/>
        <w:numPr>
          <w:ilvl w:val="0"/>
          <w:numId w:val="48"/>
        </w:numPr>
        <w:spacing w:line="264" w:lineRule="auto"/>
        <w:rPr>
          <w:lang w:eastAsia="en-US" w:bidi="ar-SA"/>
        </w:rPr>
      </w:pPr>
      <w:r>
        <w:rPr>
          <w:lang w:eastAsia="en-US" w:bidi="ar-SA"/>
        </w:rPr>
        <w:t xml:space="preserve">The topic of </w:t>
      </w:r>
      <w:r w:rsidR="00345E63" w:rsidRPr="002C72C2">
        <w:rPr>
          <w:lang w:eastAsia="en-US" w:bidi="ar-SA"/>
        </w:rPr>
        <w:t>power system resilience i</w:t>
      </w:r>
      <w:r>
        <w:rPr>
          <w:lang w:eastAsia="en-US" w:bidi="ar-SA"/>
        </w:rPr>
        <w:t xml:space="preserve">s </w:t>
      </w:r>
      <w:r w:rsidR="00EB4FAD">
        <w:rPr>
          <w:lang w:eastAsia="en-US" w:bidi="ar-SA"/>
        </w:rPr>
        <w:t xml:space="preserve">multi-faceted, but </w:t>
      </w:r>
      <w:r w:rsidR="005A1D97">
        <w:rPr>
          <w:lang w:eastAsia="en-US" w:bidi="ar-SA"/>
        </w:rPr>
        <w:t xml:space="preserve">still </w:t>
      </w:r>
      <w:r w:rsidR="00EB4FAD">
        <w:rPr>
          <w:lang w:eastAsia="en-US" w:bidi="ar-SA"/>
        </w:rPr>
        <w:t>e</w:t>
      </w:r>
      <w:r w:rsidR="0015439E">
        <w:rPr>
          <w:lang w:eastAsia="en-US" w:bidi="ar-SA"/>
        </w:rPr>
        <w:t xml:space="preserve">volving and </w:t>
      </w:r>
      <w:r w:rsidR="005A1D97">
        <w:rPr>
          <w:lang w:eastAsia="en-US" w:bidi="ar-SA"/>
        </w:rPr>
        <w:t xml:space="preserve">maturing; </w:t>
      </w:r>
      <w:r w:rsidR="0015439E">
        <w:rPr>
          <w:lang w:eastAsia="en-US" w:bidi="ar-SA"/>
        </w:rPr>
        <w:t xml:space="preserve">it has </w:t>
      </w:r>
      <w:r w:rsidR="005A1D97" w:rsidRPr="002C72C2">
        <w:rPr>
          <w:lang w:eastAsia="en-US" w:bidi="ar-SA"/>
        </w:rPr>
        <w:t xml:space="preserve">not </w:t>
      </w:r>
      <w:r w:rsidR="00345E63" w:rsidRPr="002C72C2">
        <w:rPr>
          <w:lang w:eastAsia="en-US" w:bidi="ar-SA"/>
        </w:rPr>
        <w:t xml:space="preserve">generally </w:t>
      </w:r>
      <w:r w:rsidR="0015439E">
        <w:rPr>
          <w:lang w:eastAsia="en-US" w:bidi="ar-SA"/>
        </w:rPr>
        <w:t xml:space="preserve">been </w:t>
      </w:r>
      <w:r w:rsidR="00345E63" w:rsidRPr="002C72C2">
        <w:rPr>
          <w:lang w:eastAsia="en-US" w:bidi="ar-SA"/>
        </w:rPr>
        <w:t xml:space="preserve">defined in a way that </w:t>
      </w:r>
      <w:r w:rsidR="00AF7C4C">
        <w:rPr>
          <w:lang w:eastAsia="en-US" w:bidi="ar-SA"/>
        </w:rPr>
        <w:t>holistically</w:t>
      </w:r>
      <w:r w:rsidR="0015439E">
        <w:rPr>
          <w:lang w:eastAsia="en-US" w:bidi="ar-SA"/>
        </w:rPr>
        <w:t xml:space="preserve"> responds to the opportunity and challenge of</w:t>
      </w:r>
      <w:r w:rsidR="005A1D97">
        <w:rPr>
          <w:lang w:eastAsia="en-US" w:bidi="ar-SA"/>
        </w:rPr>
        <w:t xml:space="preserve"> full</w:t>
      </w:r>
      <w:r w:rsidR="0015439E">
        <w:rPr>
          <w:lang w:eastAsia="en-US" w:bidi="ar-SA"/>
        </w:rPr>
        <w:t xml:space="preserve"> societal </w:t>
      </w:r>
      <w:r w:rsidR="00BD02B6">
        <w:rPr>
          <w:lang w:eastAsia="en-US" w:bidi="ar-SA"/>
        </w:rPr>
        <w:t>electrification.</w:t>
      </w:r>
      <w:r w:rsidR="00AF7C4C">
        <w:rPr>
          <w:lang w:eastAsia="en-US" w:bidi="ar-SA"/>
        </w:rPr>
        <w:t xml:space="preserve"> </w:t>
      </w:r>
    </w:p>
    <w:p w14:paraId="171A38B7" w14:textId="09B77A19" w:rsidR="00345E63" w:rsidRPr="002C72C2" w:rsidRDefault="00345E63" w:rsidP="00954BAC">
      <w:pPr>
        <w:pStyle w:val="ListParagraph"/>
        <w:numPr>
          <w:ilvl w:val="0"/>
          <w:numId w:val="48"/>
        </w:numPr>
        <w:spacing w:line="264" w:lineRule="auto"/>
        <w:rPr>
          <w:lang w:eastAsia="en-US" w:bidi="ar-SA"/>
        </w:rPr>
      </w:pPr>
      <w:r w:rsidRPr="002C72C2">
        <w:rPr>
          <w:lang w:eastAsia="en-US" w:bidi="ar-SA"/>
        </w:rPr>
        <w:t xml:space="preserve">The usual methods of quantifying resilience for </w:t>
      </w:r>
      <w:r w:rsidR="00AF7C4C">
        <w:rPr>
          <w:lang w:eastAsia="en-US" w:bidi="ar-SA"/>
        </w:rPr>
        <w:t>power systems are not particularly h</w:t>
      </w:r>
      <w:r w:rsidRPr="002C72C2">
        <w:rPr>
          <w:lang w:eastAsia="en-US" w:bidi="ar-SA"/>
        </w:rPr>
        <w:t>elpful in comparing design alternatives</w:t>
      </w:r>
      <w:r w:rsidR="0044656F">
        <w:rPr>
          <w:lang w:eastAsia="en-US" w:bidi="ar-SA"/>
        </w:rPr>
        <w:t xml:space="preserve">; </w:t>
      </w:r>
      <w:r w:rsidRPr="002C72C2">
        <w:rPr>
          <w:lang w:eastAsia="en-US" w:bidi="ar-SA"/>
        </w:rPr>
        <w:t xml:space="preserve">partly </w:t>
      </w:r>
      <w:r w:rsidR="007D3BFF">
        <w:rPr>
          <w:lang w:eastAsia="en-US" w:bidi="ar-SA"/>
        </w:rPr>
        <w:t xml:space="preserve">due to inadequate </w:t>
      </w:r>
      <w:r w:rsidR="00212A3D">
        <w:rPr>
          <w:lang w:eastAsia="en-US" w:bidi="ar-SA"/>
        </w:rPr>
        <w:t xml:space="preserve">problem </w:t>
      </w:r>
      <w:r w:rsidRPr="002C72C2">
        <w:rPr>
          <w:lang w:eastAsia="en-US" w:bidi="ar-SA"/>
        </w:rPr>
        <w:t xml:space="preserve">definition and partly </w:t>
      </w:r>
      <w:r w:rsidR="00212A3D">
        <w:rPr>
          <w:lang w:eastAsia="en-US" w:bidi="ar-SA"/>
        </w:rPr>
        <w:t xml:space="preserve">the </w:t>
      </w:r>
      <w:r w:rsidR="007D3BFF">
        <w:rPr>
          <w:lang w:eastAsia="en-US" w:bidi="ar-SA"/>
        </w:rPr>
        <w:t xml:space="preserve">relatively immature </w:t>
      </w:r>
      <w:r w:rsidRPr="002C72C2">
        <w:rPr>
          <w:lang w:eastAsia="en-US" w:bidi="ar-SA"/>
        </w:rPr>
        <w:t xml:space="preserve">evaluation methods </w:t>
      </w:r>
      <w:r w:rsidR="00212A3D">
        <w:rPr>
          <w:lang w:eastAsia="en-US" w:bidi="ar-SA"/>
        </w:rPr>
        <w:t>employed</w:t>
      </w:r>
      <w:r w:rsidR="00BD02B6">
        <w:rPr>
          <w:lang w:eastAsia="en-US" w:bidi="ar-SA"/>
        </w:rPr>
        <w:t>.</w:t>
      </w:r>
    </w:p>
    <w:p w14:paraId="387FD34F" w14:textId="1D10C9E5" w:rsidR="00345E63" w:rsidRPr="002C72C2" w:rsidRDefault="00212A3D" w:rsidP="00954BAC">
      <w:pPr>
        <w:pStyle w:val="ListParagraph"/>
        <w:numPr>
          <w:ilvl w:val="0"/>
          <w:numId w:val="48"/>
        </w:numPr>
        <w:spacing w:line="264" w:lineRule="auto"/>
        <w:rPr>
          <w:lang w:eastAsia="en-US" w:bidi="ar-SA"/>
        </w:rPr>
      </w:pPr>
      <w:r>
        <w:rPr>
          <w:lang w:eastAsia="en-US" w:bidi="ar-SA"/>
        </w:rPr>
        <w:t>A la</w:t>
      </w:r>
      <w:r w:rsidR="00345E63" w:rsidRPr="002C72C2">
        <w:rPr>
          <w:lang w:eastAsia="en-US" w:bidi="ar-SA"/>
        </w:rPr>
        <w:t xml:space="preserve">ck of methods to understand structural grid resilience and to determine how to make </w:t>
      </w:r>
      <w:r w:rsidR="007D3BFF">
        <w:rPr>
          <w:lang w:eastAsia="en-US" w:bidi="ar-SA"/>
        </w:rPr>
        <w:t xml:space="preserve">the targeted </w:t>
      </w:r>
      <w:r w:rsidR="00345E63" w:rsidRPr="002C72C2">
        <w:rPr>
          <w:lang w:eastAsia="en-US" w:bidi="ar-SA"/>
        </w:rPr>
        <w:t xml:space="preserve">changes </w:t>
      </w:r>
      <w:r w:rsidR="007D3BFF">
        <w:rPr>
          <w:lang w:eastAsia="en-US" w:bidi="ar-SA"/>
        </w:rPr>
        <w:t xml:space="preserve">required to significantly enhance </w:t>
      </w:r>
      <w:r w:rsidR="00345E63" w:rsidRPr="002C72C2">
        <w:rPr>
          <w:lang w:eastAsia="en-US" w:bidi="ar-SA"/>
        </w:rPr>
        <w:t>resilience</w:t>
      </w:r>
      <w:r>
        <w:rPr>
          <w:lang w:eastAsia="en-US" w:bidi="ar-SA"/>
        </w:rPr>
        <w:t xml:space="preserve">. </w:t>
      </w:r>
    </w:p>
    <w:p w14:paraId="40C593C5" w14:textId="232240D6" w:rsidR="000322B9" w:rsidRPr="000322B9" w:rsidRDefault="005A1D97" w:rsidP="000322B9">
      <w:pPr>
        <w:spacing w:before="120" w:after="120" w:line="264" w:lineRule="auto"/>
        <w:rPr>
          <w:lang w:eastAsia="en-US" w:bidi="ar-SA"/>
        </w:rPr>
      </w:pPr>
      <w:r>
        <w:rPr>
          <w:lang w:eastAsia="en-US" w:bidi="ar-SA"/>
        </w:rPr>
        <w:t>As noted above,</w:t>
      </w:r>
      <w:r w:rsidR="0052537E">
        <w:rPr>
          <w:lang w:eastAsia="en-US" w:bidi="ar-SA"/>
        </w:rPr>
        <w:t xml:space="preserve"> however, e</w:t>
      </w:r>
      <w:r w:rsidR="003B6387" w:rsidRPr="00B77389">
        <w:rPr>
          <w:lang w:eastAsia="en-US" w:bidi="ar-SA"/>
        </w:rPr>
        <w:t>lectricity underpins every layer of the modern digitalised economy</w:t>
      </w:r>
      <w:r w:rsidR="00374950">
        <w:rPr>
          <w:lang w:eastAsia="en-US" w:bidi="ar-SA"/>
        </w:rPr>
        <w:t xml:space="preserve">. </w:t>
      </w:r>
      <w:r w:rsidR="0052537E">
        <w:rPr>
          <w:lang w:eastAsia="en-US" w:bidi="ar-SA"/>
        </w:rPr>
        <w:t>N</w:t>
      </w:r>
      <w:r w:rsidR="00674AD3">
        <w:rPr>
          <w:lang w:eastAsia="en-US" w:bidi="ar-SA"/>
        </w:rPr>
        <w:t>umerous e</w:t>
      </w:r>
      <w:r w:rsidR="000D7E5C">
        <w:rPr>
          <w:lang w:eastAsia="en-US" w:bidi="ar-SA"/>
        </w:rPr>
        <w:t xml:space="preserve">xamples of the critical </w:t>
      </w:r>
      <w:r w:rsidR="000322B9" w:rsidRPr="000322B9">
        <w:rPr>
          <w:lang w:eastAsia="en-US" w:bidi="ar-SA"/>
        </w:rPr>
        <w:t xml:space="preserve">interdependence </w:t>
      </w:r>
      <w:r w:rsidR="00237E90">
        <w:rPr>
          <w:lang w:eastAsia="en-US" w:bidi="ar-SA"/>
        </w:rPr>
        <w:t xml:space="preserve">and </w:t>
      </w:r>
      <w:r w:rsidR="000322B9" w:rsidRPr="000322B9">
        <w:rPr>
          <w:lang w:eastAsia="en-US" w:bidi="ar-SA"/>
        </w:rPr>
        <w:t xml:space="preserve">consequences of a prolonged </w:t>
      </w:r>
      <w:r w:rsidR="00237E90">
        <w:rPr>
          <w:lang w:eastAsia="en-US" w:bidi="ar-SA"/>
        </w:rPr>
        <w:t>power system fa</w:t>
      </w:r>
      <w:r w:rsidR="000322B9" w:rsidRPr="000322B9">
        <w:rPr>
          <w:lang w:eastAsia="en-US" w:bidi="ar-SA"/>
        </w:rPr>
        <w:t>ilure</w:t>
      </w:r>
      <w:r w:rsidR="00674AD3">
        <w:rPr>
          <w:lang w:eastAsia="en-US" w:bidi="ar-SA"/>
        </w:rPr>
        <w:t>s</w:t>
      </w:r>
      <w:r w:rsidR="00237E90">
        <w:rPr>
          <w:lang w:eastAsia="en-US" w:bidi="ar-SA"/>
        </w:rPr>
        <w:t xml:space="preserve"> are provided below. </w:t>
      </w:r>
    </w:p>
    <w:p w14:paraId="123FEE82" w14:textId="639E78E9" w:rsidR="00276A8D" w:rsidRPr="000322B9" w:rsidRDefault="00276A8D" w:rsidP="00954BAC">
      <w:pPr>
        <w:numPr>
          <w:ilvl w:val="0"/>
          <w:numId w:val="67"/>
        </w:numPr>
        <w:tabs>
          <w:tab w:val="clear" w:pos="720"/>
        </w:tabs>
        <w:spacing w:before="120" w:after="120" w:line="240" w:lineRule="auto"/>
        <w:outlineLvl w:val="3"/>
        <w:rPr>
          <w:rFonts w:eastAsia="Times New Roman" w:cs="Times New Roman"/>
          <w:kern w:val="0"/>
          <w:szCs w:val="18"/>
          <w14:ligatures w14:val="none"/>
        </w:rPr>
      </w:pPr>
      <w:r w:rsidRPr="000322B9">
        <w:rPr>
          <w:rFonts w:eastAsia="Times New Roman" w:cs="Times New Roman"/>
          <w:b/>
          <w:bCs/>
          <w:kern w:val="0"/>
          <w:szCs w:val="18"/>
          <w14:ligatures w14:val="none"/>
        </w:rPr>
        <w:t>Telecommunications and Internet</w:t>
      </w:r>
      <w:r w:rsidRPr="00783AC3">
        <w:rPr>
          <w:rFonts w:eastAsia="Times New Roman" w:cs="Times New Roman"/>
          <w:b/>
          <w:bCs/>
          <w:kern w:val="0"/>
          <w:szCs w:val="18"/>
          <w14:ligatures w14:val="none"/>
        </w:rPr>
        <w:t xml:space="preserve">: </w:t>
      </w:r>
      <w:r w:rsidRPr="00276A8D">
        <w:rPr>
          <w:rFonts w:eastAsia="Times New Roman" w:cs="Times New Roman"/>
          <w:kern w:val="0"/>
          <w:szCs w:val="18"/>
          <w14:ligatures w14:val="none"/>
        </w:rPr>
        <w:t>M</w:t>
      </w:r>
      <w:r w:rsidRPr="000322B9">
        <w:rPr>
          <w:rFonts w:eastAsia="Times New Roman" w:cs="Times New Roman"/>
          <w:kern w:val="0"/>
          <w:szCs w:val="18"/>
          <w14:ligatures w14:val="none"/>
        </w:rPr>
        <w:t xml:space="preserve">obile towers, </w:t>
      </w:r>
      <w:r w:rsidR="00A65F34" w:rsidRPr="000322B9">
        <w:rPr>
          <w:rFonts w:eastAsia="Times New Roman" w:cs="Times New Roman"/>
          <w:kern w:val="0"/>
          <w:szCs w:val="18"/>
          <w14:ligatures w14:val="none"/>
        </w:rPr>
        <w:t>fib</w:t>
      </w:r>
      <w:r w:rsidR="00A65F34">
        <w:rPr>
          <w:rFonts w:eastAsia="Times New Roman" w:cs="Times New Roman"/>
          <w:kern w:val="0"/>
          <w:szCs w:val="18"/>
          <w14:ligatures w14:val="none"/>
        </w:rPr>
        <w:t>re</w:t>
      </w:r>
      <w:r w:rsidR="00A65F34" w:rsidRPr="000322B9">
        <w:rPr>
          <w:rFonts w:eastAsia="Times New Roman" w:cs="Times New Roman"/>
          <w:kern w:val="0"/>
          <w:szCs w:val="18"/>
          <w14:ligatures w14:val="none"/>
        </w:rPr>
        <w:t>optic</w:t>
      </w:r>
      <w:r w:rsidRPr="000322B9">
        <w:rPr>
          <w:rFonts w:eastAsia="Times New Roman" w:cs="Times New Roman"/>
          <w:kern w:val="0"/>
          <w:szCs w:val="18"/>
          <w14:ligatures w14:val="none"/>
        </w:rPr>
        <w:t xml:space="preserve"> node points, and broadband infrastructure lose power. While some systems have battery or generator backups, these are limited (often only a few hours to days).</w:t>
      </w:r>
    </w:p>
    <w:p w14:paraId="2CE5C2C9" w14:textId="55AED801" w:rsidR="000322B9" w:rsidRPr="000322B9" w:rsidRDefault="000322B9" w:rsidP="00954BAC">
      <w:pPr>
        <w:numPr>
          <w:ilvl w:val="0"/>
          <w:numId w:val="67"/>
        </w:numPr>
        <w:spacing w:before="120" w:after="120" w:line="240" w:lineRule="auto"/>
        <w:rPr>
          <w:rFonts w:eastAsia="Times New Roman" w:cs="Times New Roman"/>
          <w:kern w:val="0"/>
          <w:szCs w:val="18"/>
          <w14:ligatures w14:val="none"/>
        </w:rPr>
      </w:pPr>
      <w:r w:rsidRPr="000322B9">
        <w:rPr>
          <w:rFonts w:eastAsia="Times New Roman" w:cs="Times New Roman"/>
          <w:b/>
          <w:bCs/>
          <w:kern w:val="0"/>
          <w:szCs w:val="18"/>
          <w14:ligatures w14:val="none"/>
        </w:rPr>
        <w:t>Digital Infrastructure</w:t>
      </w:r>
      <w:r w:rsidRPr="000322B9">
        <w:rPr>
          <w:rFonts w:eastAsia="Times New Roman" w:cs="Times New Roman"/>
          <w:kern w:val="0"/>
          <w:szCs w:val="18"/>
          <w14:ligatures w14:val="none"/>
        </w:rPr>
        <w:t xml:space="preserve">: Data </w:t>
      </w:r>
      <w:r w:rsidR="00A65F34" w:rsidRPr="000322B9">
        <w:rPr>
          <w:rFonts w:eastAsia="Times New Roman" w:cs="Times New Roman"/>
          <w:kern w:val="0"/>
          <w:szCs w:val="18"/>
          <w14:ligatures w14:val="none"/>
        </w:rPr>
        <w:t>centres</w:t>
      </w:r>
      <w:r w:rsidRPr="000322B9">
        <w:rPr>
          <w:rFonts w:eastAsia="Times New Roman" w:cs="Times New Roman"/>
          <w:kern w:val="0"/>
          <w:szCs w:val="18"/>
          <w14:ligatures w14:val="none"/>
        </w:rPr>
        <w:t>, cloud computing platforms, and AI systems require uninterrupted power. Even momentary outages can lead to data loss, service downtime, and financial losses.</w:t>
      </w:r>
    </w:p>
    <w:p w14:paraId="18056CE5" w14:textId="77777777" w:rsidR="00A23AAE" w:rsidRPr="000322B9" w:rsidRDefault="00A23AAE" w:rsidP="00954BAC">
      <w:pPr>
        <w:numPr>
          <w:ilvl w:val="0"/>
          <w:numId w:val="67"/>
        </w:numPr>
        <w:spacing w:before="120" w:after="120" w:line="240" w:lineRule="auto"/>
        <w:rPr>
          <w:rFonts w:eastAsia="Times New Roman" w:cs="Times New Roman"/>
          <w:kern w:val="0"/>
          <w:szCs w:val="18"/>
          <w14:ligatures w14:val="none"/>
        </w:rPr>
      </w:pPr>
      <w:r w:rsidRPr="000322B9">
        <w:rPr>
          <w:rFonts w:eastAsia="Times New Roman" w:cs="Times New Roman"/>
          <w:b/>
          <w:bCs/>
          <w:kern w:val="0"/>
          <w:szCs w:val="18"/>
          <w14:ligatures w14:val="none"/>
        </w:rPr>
        <w:t>Finance and Banking</w:t>
      </w:r>
      <w:r w:rsidRPr="000322B9">
        <w:rPr>
          <w:rFonts w:eastAsia="Times New Roman" w:cs="Times New Roman"/>
          <w:kern w:val="0"/>
          <w:szCs w:val="18"/>
          <w14:ligatures w14:val="none"/>
        </w:rPr>
        <w:t>: Online banking, ATMs, digital transactions, and trading platforms cease to function without power to servers and networks.</w:t>
      </w:r>
    </w:p>
    <w:p w14:paraId="056E5EC8" w14:textId="725AF609" w:rsidR="000322B9" w:rsidRPr="000322B9" w:rsidRDefault="00A23AAE" w:rsidP="00954BAC">
      <w:pPr>
        <w:numPr>
          <w:ilvl w:val="0"/>
          <w:numId w:val="67"/>
        </w:numPr>
        <w:spacing w:before="120" w:after="120" w:line="240" w:lineRule="auto"/>
        <w:rPr>
          <w:rFonts w:eastAsia="Times New Roman" w:cs="Times New Roman"/>
          <w:kern w:val="0"/>
          <w:szCs w:val="18"/>
          <w14:ligatures w14:val="none"/>
        </w:rPr>
      </w:pPr>
      <w:r>
        <w:rPr>
          <w:rFonts w:eastAsia="Times New Roman" w:cs="Times New Roman"/>
          <w:b/>
          <w:bCs/>
          <w:kern w:val="0"/>
          <w:szCs w:val="18"/>
          <w14:ligatures w14:val="none"/>
        </w:rPr>
        <w:t xml:space="preserve">Industry </w:t>
      </w:r>
      <w:r w:rsidR="000322B9" w:rsidRPr="000322B9">
        <w:rPr>
          <w:rFonts w:eastAsia="Times New Roman" w:cs="Times New Roman"/>
          <w:b/>
          <w:bCs/>
          <w:kern w:val="0"/>
          <w:szCs w:val="18"/>
          <w14:ligatures w14:val="none"/>
        </w:rPr>
        <w:t>Automation</w:t>
      </w:r>
      <w:r w:rsidR="000322B9" w:rsidRPr="000322B9">
        <w:rPr>
          <w:rFonts w:eastAsia="Times New Roman" w:cs="Times New Roman"/>
          <w:kern w:val="0"/>
          <w:szCs w:val="18"/>
          <w14:ligatures w14:val="none"/>
        </w:rPr>
        <w:t>: Smart manufacturing, logistics, and supply chain systems operate on real-time data and automated machinery — all of which are power-dependent.</w:t>
      </w:r>
    </w:p>
    <w:p w14:paraId="2C897197" w14:textId="77777777" w:rsidR="000322B9" w:rsidRPr="000322B9" w:rsidRDefault="000322B9" w:rsidP="00954BAC">
      <w:pPr>
        <w:numPr>
          <w:ilvl w:val="0"/>
          <w:numId w:val="68"/>
        </w:numPr>
        <w:spacing w:before="120" w:after="120" w:line="240" w:lineRule="auto"/>
        <w:rPr>
          <w:rFonts w:eastAsia="Times New Roman" w:cs="Times New Roman"/>
          <w:kern w:val="0"/>
          <w:szCs w:val="18"/>
          <w14:ligatures w14:val="none"/>
        </w:rPr>
      </w:pPr>
      <w:r w:rsidRPr="000322B9">
        <w:rPr>
          <w:rFonts w:eastAsia="Times New Roman" w:cs="Times New Roman"/>
          <w:b/>
          <w:bCs/>
          <w:kern w:val="0"/>
          <w:szCs w:val="18"/>
          <w14:ligatures w14:val="none"/>
        </w:rPr>
        <w:t>Water Supply Systems</w:t>
      </w:r>
      <w:r w:rsidRPr="000322B9">
        <w:rPr>
          <w:rFonts w:eastAsia="Times New Roman" w:cs="Times New Roman"/>
          <w:kern w:val="0"/>
          <w:szCs w:val="18"/>
          <w14:ligatures w14:val="none"/>
        </w:rPr>
        <w:t>: Pumps, purification plants, and distribution systems rely on electricity. Extended outages halt water treatment, leading to unsafe or unavailable drinking water.</w:t>
      </w:r>
    </w:p>
    <w:p w14:paraId="2FD772B7" w14:textId="77777777" w:rsidR="000322B9" w:rsidRPr="000322B9" w:rsidRDefault="000322B9" w:rsidP="00954BAC">
      <w:pPr>
        <w:numPr>
          <w:ilvl w:val="0"/>
          <w:numId w:val="68"/>
        </w:numPr>
        <w:spacing w:before="120" w:after="120" w:line="240" w:lineRule="auto"/>
        <w:rPr>
          <w:rFonts w:eastAsia="Times New Roman" w:cs="Times New Roman"/>
          <w:kern w:val="0"/>
          <w:szCs w:val="18"/>
          <w14:ligatures w14:val="none"/>
        </w:rPr>
      </w:pPr>
      <w:r w:rsidRPr="000322B9">
        <w:rPr>
          <w:rFonts w:eastAsia="Times New Roman" w:cs="Times New Roman"/>
          <w:b/>
          <w:bCs/>
          <w:kern w:val="0"/>
          <w:szCs w:val="18"/>
          <w14:ligatures w14:val="none"/>
        </w:rPr>
        <w:t>Wastewater Management</w:t>
      </w:r>
      <w:r w:rsidRPr="000322B9">
        <w:rPr>
          <w:rFonts w:eastAsia="Times New Roman" w:cs="Times New Roman"/>
          <w:kern w:val="0"/>
          <w:szCs w:val="18"/>
          <w14:ligatures w14:val="none"/>
        </w:rPr>
        <w:t>: Sewerage systems often include powered lift stations and treatment plants. Failures can result in raw sewage overflow, causing public health emergencies.</w:t>
      </w:r>
    </w:p>
    <w:p w14:paraId="2006B040" w14:textId="0772E31C" w:rsidR="000322B9" w:rsidRPr="000322B9" w:rsidRDefault="000322B9" w:rsidP="00954BAC">
      <w:pPr>
        <w:numPr>
          <w:ilvl w:val="0"/>
          <w:numId w:val="69"/>
        </w:numPr>
        <w:spacing w:before="120" w:after="120" w:line="240" w:lineRule="auto"/>
        <w:rPr>
          <w:rFonts w:eastAsia="Times New Roman" w:cs="Times New Roman"/>
          <w:kern w:val="0"/>
          <w:szCs w:val="18"/>
          <w14:ligatures w14:val="none"/>
        </w:rPr>
      </w:pPr>
      <w:r w:rsidRPr="000322B9">
        <w:rPr>
          <w:rFonts w:eastAsia="Times New Roman" w:cs="Times New Roman"/>
          <w:b/>
          <w:bCs/>
          <w:kern w:val="0"/>
          <w:szCs w:val="18"/>
          <w14:ligatures w14:val="none"/>
        </w:rPr>
        <w:t>Urban Transit</w:t>
      </w:r>
      <w:r w:rsidRPr="000322B9">
        <w:rPr>
          <w:rFonts w:eastAsia="Times New Roman" w:cs="Times New Roman"/>
          <w:kern w:val="0"/>
          <w:szCs w:val="18"/>
          <w14:ligatures w14:val="none"/>
        </w:rPr>
        <w:t xml:space="preserve">: Electric trains, subways, and trams are immobilised. Traffic lights and </w:t>
      </w:r>
      <w:r w:rsidR="00A23AAE" w:rsidRPr="000322B9">
        <w:rPr>
          <w:rFonts w:eastAsia="Times New Roman" w:cs="Times New Roman"/>
          <w:kern w:val="0"/>
          <w:szCs w:val="18"/>
          <w14:ligatures w14:val="none"/>
        </w:rPr>
        <w:t>signalling</w:t>
      </w:r>
      <w:r w:rsidRPr="000322B9">
        <w:rPr>
          <w:rFonts w:eastAsia="Times New Roman" w:cs="Times New Roman"/>
          <w:kern w:val="0"/>
          <w:szCs w:val="18"/>
          <w14:ligatures w14:val="none"/>
        </w:rPr>
        <w:t xml:space="preserve"> systems fail, leading to gridlock and increased accident risk.</w:t>
      </w:r>
    </w:p>
    <w:p w14:paraId="3BA43961" w14:textId="77777777" w:rsidR="000322B9" w:rsidRPr="000322B9" w:rsidRDefault="000322B9" w:rsidP="00954BAC">
      <w:pPr>
        <w:numPr>
          <w:ilvl w:val="0"/>
          <w:numId w:val="69"/>
        </w:numPr>
        <w:spacing w:before="120" w:after="120" w:line="240" w:lineRule="auto"/>
        <w:rPr>
          <w:rFonts w:eastAsia="Times New Roman" w:cs="Times New Roman"/>
          <w:kern w:val="0"/>
          <w:szCs w:val="18"/>
          <w14:ligatures w14:val="none"/>
        </w:rPr>
      </w:pPr>
      <w:r w:rsidRPr="000322B9">
        <w:rPr>
          <w:rFonts w:eastAsia="Times New Roman" w:cs="Times New Roman"/>
          <w:b/>
          <w:bCs/>
          <w:kern w:val="0"/>
          <w:szCs w:val="18"/>
          <w14:ligatures w14:val="none"/>
        </w:rPr>
        <w:t>Fuel Supply Chains</w:t>
      </w:r>
      <w:r w:rsidRPr="000322B9">
        <w:rPr>
          <w:rFonts w:eastAsia="Times New Roman" w:cs="Times New Roman"/>
          <w:kern w:val="0"/>
          <w:szCs w:val="18"/>
          <w14:ligatures w14:val="none"/>
        </w:rPr>
        <w:t>: Petrol stations rely on electric pumps and point-of-sale systems. If these go offline, fuel distribution stops, which in turn hampers logistics and emergency response vehicles.</w:t>
      </w:r>
    </w:p>
    <w:p w14:paraId="263A0592" w14:textId="77777777" w:rsidR="000322B9" w:rsidRPr="000322B9" w:rsidRDefault="000322B9" w:rsidP="00954BAC">
      <w:pPr>
        <w:numPr>
          <w:ilvl w:val="0"/>
          <w:numId w:val="69"/>
        </w:numPr>
        <w:spacing w:before="120" w:after="120" w:line="240" w:lineRule="auto"/>
        <w:rPr>
          <w:rFonts w:eastAsia="Times New Roman" w:cs="Times New Roman"/>
          <w:kern w:val="0"/>
          <w:szCs w:val="18"/>
          <w14:ligatures w14:val="none"/>
        </w:rPr>
      </w:pPr>
      <w:r w:rsidRPr="000322B9">
        <w:rPr>
          <w:rFonts w:eastAsia="Times New Roman" w:cs="Times New Roman"/>
          <w:b/>
          <w:bCs/>
          <w:kern w:val="0"/>
          <w:szCs w:val="18"/>
          <w14:ligatures w14:val="none"/>
        </w:rPr>
        <w:t>Air Traffic</w:t>
      </w:r>
      <w:r w:rsidRPr="000322B9">
        <w:rPr>
          <w:rFonts w:eastAsia="Times New Roman" w:cs="Times New Roman"/>
          <w:kern w:val="0"/>
          <w:szCs w:val="18"/>
          <w14:ligatures w14:val="none"/>
        </w:rPr>
        <w:t>: Airports rely on power for navigation systems, communication, and air traffic control. Loss of electricity can ground flights and close terminals.</w:t>
      </w:r>
    </w:p>
    <w:p w14:paraId="32340D96" w14:textId="77777777" w:rsidR="000322B9" w:rsidRPr="000322B9" w:rsidRDefault="000322B9" w:rsidP="00954BAC">
      <w:pPr>
        <w:numPr>
          <w:ilvl w:val="0"/>
          <w:numId w:val="70"/>
        </w:numPr>
        <w:spacing w:before="120" w:after="120" w:line="240" w:lineRule="auto"/>
        <w:rPr>
          <w:rFonts w:eastAsia="Times New Roman" w:cs="Times New Roman"/>
          <w:kern w:val="0"/>
          <w:szCs w:val="18"/>
          <w14:ligatures w14:val="none"/>
        </w:rPr>
      </w:pPr>
      <w:r w:rsidRPr="000322B9">
        <w:rPr>
          <w:rFonts w:eastAsia="Times New Roman" w:cs="Times New Roman"/>
          <w:b/>
          <w:bCs/>
          <w:kern w:val="0"/>
          <w:szCs w:val="18"/>
          <w14:ligatures w14:val="none"/>
        </w:rPr>
        <w:t>Hospitals and Clinics</w:t>
      </w:r>
      <w:r w:rsidRPr="000322B9">
        <w:rPr>
          <w:rFonts w:eastAsia="Times New Roman" w:cs="Times New Roman"/>
          <w:kern w:val="0"/>
          <w:szCs w:val="18"/>
          <w14:ligatures w14:val="none"/>
        </w:rPr>
        <w:t>: Emergency generators may support critical care, but surgical, diagnostic, and administrative systems often degrade rapidly without full grid support.</w:t>
      </w:r>
    </w:p>
    <w:p w14:paraId="01C061A2" w14:textId="77777777" w:rsidR="000322B9" w:rsidRPr="000322B9" w:rsidRDefault="000322B9" w:rsidP="00954BAC">
      <w:pPr>
        <w:numPr>
          <w:ilvl w:val="0"/>
          <w:numId w:val="71"/>
        </w:numPr>
        <w:spacing w:before="120" w:after="120" w:line="240" w:lineRule="auto"/>
        <w:rPr>
          <w:rFonts w:eastAsia="Times New Roman" w:cs="Times New Roman"/>
          <w:kern w:val="0"/>
          <w:szCs w:val="18"/>
          <w14:ligatures w14:val="none"/>
        </w:rPr>
      </w:pPr>
      <w:r w:rsidRPr="000322B9">
        <w:rPr>
          <w:rFonts w:eastAsia="Times New Roman" w:cs="Times New Roman"/>
          <w:b/>
          <w:bCs/>
          <w:kern w:val="0"/>
          <w:szCs w:val="18"/>
          <w14:ligatures w14:val="none"/>
        </w:rPr>
        <w:t>Cold Storage</w:t>
      </w:r>
      <w:r w:rsidRPr="000322B9">
        <w:rPr>
          <w:rFonts w:eastAsia="Times New Roman" w:cs="Times New Roman"/>
          <w:kern w:val="0"/>
          <w:szCs w:val="18"/>
          <w14:ligatures w14:val="none"/>
        </w:rPr>
        <w:t>: Perishable goods spoil without refrigeration.</w:t>
      </w:r>
    </w:p>
    <w:p w14:paraId="4C6E3C0C" w14:textId="77777777" w:rsidR="000322B9" w:rsidRDefault="000322B9" w:rsidP="00954BAC">
      <w:pPr>
        <w:numPr>
          <w:ilvl w:val="0"/>
          <w:numId w:val="71"/>
        </w:numPr>
        <w:spacing w:before="120" w:after="120" w:line="240" w:lineRule="auto"/>
        <w:rPr>
          <w:rFonts w:eastAsia="Times New Roman" w:cs="Times New Roman"/>
          <w:kern w:val="0"/>
          <w:szCs w:val="18"/>
          <w14:ligatures w14:val="none"/>
        </w:rPr>
      </w:pPr>
      <w:r w:rsidRPr="000322B9">
        <w:rPr>
          <w:rFonts w:eastAsia="Times New Roman" w:cs="Times New Roman"/>
          <w:b/>
          <w:bCs/>
          <w:kern w:val="0"/>
          <w:szCs w:val="18"/>
          <w14:ligatures w14:val="none"/>
        </w:rPr>
        <w:t>Retail Systems</w:t>
      </w:r>
      <w:r w:rsidRPr="000322B9">
        <w:rPr>
          <w:rFonts w:eastAsia="Times New Roman" w:cs="Times New Roman"/>
          <w:kern w:val="0"/>
          <w:szCs w:val="18"/>
          <w14:ligatures w14:val="none"/>
        </w:rPr>
        <w:t>: Digital point-of-sale systems and inventory tracking fail. Cashless transactions become impossible.</w:t>
      </w:r>
    </w:p>
    <w:p w14:paraId="576F466F" w14:textId="6C956EB1" w:rsidR="007425C4" w:rsidRPr="007425C4" w:rsidRDefault="003B6387" w:rsidP="00954BAC">
      <w:pPr>
        <w:pStyle w:val="Heading4"/>
        <w:numPr>
          <w:ilvl w:val="0"/>
          <w:numId w:val="58"/>
        </w:numPr>
        <w:spacing w:before="240" w:after="120" w:line="264" w:lineRule="auto"/>
        <w:rPr>
          <w:i w:val="0"/>
          <w:iCs w:val="0"/>
        </w:rPr>
      </w:pPr>
      <w:r>
        <w:rPr>
          <w:i w:val="0"/>
          <w:iCs w:val="0"/>
        </w:rPr>
        <w:t>S</w:t>
      </w:r>
      <w:r w:rsidR="006953F7" w:rsidRPr="00EB2823">
        <w:rPr>
          <w:i w:val="0"/>
          <w:iCs w:val="0"/>
        </w:rPr>
        <w:t>olution Requirements</w:t>
      </w:r>
    </w:p>
    <w:p w14:paraId="7AF00D2E" w14:textId="3FAC7C27" w:rsidR="0052537E" w:rsidRDefault="00C25B26" w:rsidP="00C25B26">
      <w:pPr>
        <w:spacing w:before="120" w:after="120" w:line="264" w:lineRule="auto"/>
        <w:rPr>
          <w:lang w:eastAsia="en-US" w:bidi="ar-SA"/>
        </w:rPr>
      </w:pPr>
      <w:r>
        <w:rPr>
          <w:lang w:eastAsia="en-US" w:bidi="ar-SA"/>
        </w:rPr>
        <w:t xml:space="preserve">Full electrification leads to </w:t>
      </w:r>
      <w:r w:rsidRPr="002C72C2">
        <w:rPr>
          <w:lang w:eastAsia="en-US" w:bidi="ar-SA"/>
        </w:rPr>
        <w:t xml:space="preserve">ever greater reliance on not just </w:t>
      </w:r>
      <w:r>
        <w:rPr>
          <w:lang w:eastAsia="en-US" w:bidi="ar-SA"/>
        </w:rPr>
        <w:t xml:space="preserve">the </w:t>
      </w:r>
      <w:r w:rsidRPr="002C72C2">
        <w:rPr>
          <w:lang w:eastAsia="en-US" w:bidi="ar-SA"/>
        </w:rPr>
        <w:t>generation</w:t>
      </w:r>
      <w:r>
        <w:rPr>
          <w:lang w:eastAsia="en-US" w:bidi="ar-SA"/>
        </w:rPr>
        <w:t xml:space="preserve"> sources </w:t>
      </w:r>
      <w:r w:rsidRPr="002C72C2">
        <w:rPr>
          <w:lang w:eastAsia="en-US" w:bidi="ar-SA"/>
        </w:rPr>
        <w:t xml:space="preserve">but also </w:t>
      </w:r>
      <w:r>
        <w:rPr>
          <w:lang w:eastAsia="en-US" w:bidi="ar-SA"/>
        </w:rPr>
        <w:t xml:space="preserve">the </w:t>
      </w:r>
      <w:r w:rsidRPr="002C72C2">
        <w:rPr>
          <w:lang w:eastAsia="en-US" w:bidi="ar-SA"/>
        </w:rPr>
        <w:t>electricity delivery</w:t>
      </w:r>
      <w:r>
        <w:rPr>
          <w:lang w:eastAsia="en-US" w:bidi="ar-SA"/>
        </w:rPr>
        <w:t xml:space="preserve"> and sharing systems</w:t>
      </w:r>
      <w:r w:rsidR="00374950">
        <w:rPr>
          <w:lang w:eastAsia="en-US" w:bidi="ar-SA"/>
        </w:rPr>
        <w:t xml:space="preserve">. </w:t>
      </w:r>
    </w:p>
    <w:p w14:paraId="55B75965" w14:textId="6BF39F3D" w:rsidR="007E25CC" w:rsidRDefault="00C25B26" w:rsidP="00C25B26">
      <w:pPr>
        <w:spacing w:before="120" w:after="120" w:line="264" w:lineRule="auto"/>
        <w:rPr>
          <w:lang w:eastAsia="en-US" w:bidi="ar-SA"/>
        </w:rPr>
      </w:pPr>
      <w:r>
        <w:rPr>
          <w:lang w:eastAsia="en-US" w:bidi="ar-SA"/>
        </w:rPr>
        <w:t>Given their highly centralised origins</w:t>
      </w:r>
      <w:r w:rsidRPr="002C72C2">
        <w:rPr>
          <w:lang w:eastAsia="en-US" w:bidi="ar-SA"/>
        </w:rPr>
        <w:t xml:space="preserve">, existing electricity delivery structures </w:t>
      </w:r>
      <w:r>
        <w:rPr>
          <w:lang w:eastAsia="en-US" w:bidi="ar-SA"/>
        </w:rPr>
        <w:t>present major single-point-of-</w:t>
      </w:r>
      <w:r w:rsidRPr="002C72C2">
        <w:rPr>
          <w:lang w:eastAsia="en-US" w:bidi="ar-SA"/>
        </w:rPr>
        <w:t>failure</w:t>
      </w:r>
      <w:r>
        <w:rPr>
          <w:lang w:eastAsia="en-US" w:bidi="ar-SA"/>
        </w:rPr>
        <w:t xml:space="preserve"> risks where full electrification advances</w:t>
      </w:r>
      <w:r w:rsidR="00804B0D">
        <w:rPr>
          <w:lang w:eastAsia="en-US" w:bidi="ar-SA"/>
        </w:rPr>
        <w:t xml:space="preserve"> </w:t>
      </w:r>
      <w:r>
        <w:rPr>
          <w:lang w:eastAsia="en-US" w:bidi="ar-SA"/>
        </w:rPr>
        <w:t xml:space="preserve">without a comprehensive effort to enhance </w:t>
      </w:r>
      <w:r w:rsidR="00804B0D">
        <w:rPr>
          <w:lang w:eastAsia="en-US" w:bidi="ar-SA"/>
        </w:rPr>
        <w:t>system resilience and redundancy</w:t>
      </w:r>
      <w:r w:rsidR="00374950">
        <w:rPr>
          <w:lang w:eastAsia="en-US" w:bidi="ar-SA"/>
        </w:rPr>
        <w:t xml:space="preserve">. </w:t>
      </w:r>
      <w:r w:rsidR="00782270">
        <w:rPr>
          <w:lang w:eastAsia="en-US" w:bidi="ar-SA"/>
        </w:rPr>
        <w:t xml:space="preserve">Solution requirements would include: </w:t>
      </w:r>
    </w:p>
    <w:p w14:paraId="6278B19F" w14:textId="2B8C51C8" w:rsidR="004E7CB9" w:rsidRDefault="004E7CB9" w:rsidP="00954BAC">
      <w:pPr>
        <w:pStyle w:val="ListParagraph"/>
        <w:numPr>
          <w:ilvl w:val="0"/>
          <w:numId w:val="49"/>
        </w:numPr>
        <w:spacing w:line="264" w:lineRule="auto"/>
        <w:rPr>
          <w:lang w:eastAsia="en-US" w:bidi="ar-SA"/>
        </w:rPr>
      </w:pPr>
      <w:r w:rsidRPr="002C72C2">
        <w:rPr>
          <w:lang w:eastAsia="en-US" w:bidi="ar-SA"/>
        </w:rPr>
        <w:t xml:space="preserve">Adoption of a </w:t>
      </w:r>
      <w:r w:rsidR="008D1C68" w:rsidRPr="002C72C2">
        <w:rPr>
          <w:lang w:eastAsia="en-US" w:bidi="ar-SA"/>
        </w:rPr>
        <w:t>structural</w:t>
      </w:r>
      <w:r w:rsidR="008D1C68">
        <w:rPr>
          <w:lang w:eastAsia="en-US" w:bidi="ar-SA"/>
        </w:rPr>
        <w:t>ly based</w:t>
      </w:r>
      <w:r>
        <w:rPr>
          <w:lang w:eastAsia="en-US" w:bidi="ar-SA"/>
        </w:rPr>
        <w:t xml:space="preserve"> </w:t>
      </w:r>
      <w:r w:rsidRPr="002C72C2">
        <w:rPr>
          <w:lang w:eastAsia="en-US" w:bidi="ar-SA"/>
        </w:rPr>
        <w:t>approach to defining resilience for power systems</w:t>
      </w:r>
      <w:hyperlink w:anchor="Ref_24" w:history="1">
        <w:r w:rsidR="0008238B" w:rsidRPr="00AF541A">
          <w:rPr>
            <w:rStyle w:val="Hyperlink"/>
            <w:lang w:eastAsia="en-US" w:bidi="ar-SA"/>
          </w:rPr>
          <w:fldChar w:fldCharType="begin"/>
        </w:r>
        <w:r w:rsidR="00732E28" w:rsidRPr="00AF541A">
          <w:rPr>
            <w:rStyle w:val="Hyperlink"/>
            <w:lang w:eastAsia="en-US" w:bidi="ar-SA"/>
          </w:rPr>
          <w:instrText xml:space="preserve"> ADDIN ZOTERO_ITEM CSL_CITATION {"citationID":"w5D915hM","properties":{"formattedCitation":"[24]","plainCitation":"[24]","noteIndex":0},"citationItems":[{"id":13,"uris":["http://zotero.org/users/local/BgaHAIQb/items/MTDLSTRZ","http://zotero.org/users/17348326/items/MTDLSTRZ"],"itemData":{"id":13,"type":"report","call-number":"(800) 553-NTIS (6847)","collection-title":"PNNL - 27458","publisher":"Pacific Northwest National Laboratory (PNNL)","title":"Toward a Practical Theory of Grid Resilience - A Grid Architectural Approach","URL":"https://gridarchitecture.pnnl.gov/media/advanced/Theory_of_Grid_Resilience_final_GMLC.pdf","author":[{"family":"Widergen","given":"S."},{"family":"Melton","given":"R."},{"family":"Kelley","given":"B."},{"family":"Shankar","given":"A."},{"family":"Taft","given":"J."}],"issued":{"date-parts":[["2018",4]]}}}],"schema":"https://github.com/citation-style-language/schema/raw/master/csl-citation.json"} </w:instrText>
        </w:r>
        <w:r w:rsidR="0008238B" w:rsidRPr="00AF541A">
          <w:rPr>
            <w:rStyle w:val="Hyperlink"/>
            <w:lang w:eastAsia="en-US" w:bidi="ar-SA"/>
          </w:rPr>
          <w:fldChar w:fldCharType="separate"/>
        </w:r>
        <w:r w:rsidR="00732E28" w:rsidRPr="00AF541A">
          <w:rPr>
            <w:rStyle w:val="Hyperlink"/>
          </w:rPr>
          <w:t>[24]</w:t>
        </w:r>
        <w:r w:rsidR="0008238B" w:rsidRPr="00AF541A">
          <w:rPr>
            <w:rStyle w:val="Hyperlink"/>
            <w:lang w:eastAsia="en-US" w:bidi="ar-SA"/>
          </w:rPr>
          <w:fldChar w:fldCharType="end"/>
        </w:r>
      </w:hyperlink>
      <w:r>
        <w:rPr>
          <w:lang w:eastAsia="en-US" w:bidi="ar-SA"/>
        </w:rPr>
        <w:t xml:space="preserve"> </w:t>
      </w:r>
    </w:p>
    <w:p w14:paraId="4357DF7B" w14:textId="0B4BCE67" w:rsidR="00EC1663" w:rsidRDefault="00782270" w:rsidP="00954BAC">
      <w:pPr>
        <w:pStyle w:val="ListParagraph"/>
        <w:numPr>
          <w:ilvl w:val="0"/>
          <w:numId w:val="49"/>
        </w:numPr>
        <w:spacing w:line="264" w:lineRule="auto"/>
        <w:rPr>
          <w:lang w:eastAsia="en-US" w:bidi="ar-SA"/>
        </w:rPr>
      </w:pPr>
      <w:r>
        <w:rPr>
          <w:lang w:eastAsia="en-US" w:bidi="ar-SA"/>
        </w:rPr>
        <w:t>Identification of r</w:t>
      </w:r>
      <w:r w:rsidR="00C25B26" w:rsidRPr="002C72C2">
        <w:rPr>
          <w:lang w:eastAsia="en-US" w:bidi="ar-SA"/>
        </w:rPr>
        <w:t xml:space="preserve">esilience </w:t>
      </w:r>
      <w:r>
        <w:rPr>
          <w:lang w:eastAsia="en-US" w:bidi="ar-SA"/>
        </w:rPr>
        <w:t xml:space="preserve">and redundancy </w:t>
      </w:r>
      <w:r w:rsidR="00C25B26" w:rsidRPr="002C72C2">
        <w:rPr>
          <w:lang w:eastAsia="en-US" w:bidi="ar-SA"/>
        </w:rPr>
        <w:t>vulnerabilities</w:t>
      </w:r>
      <w:r w:rsidR="004C6FED">
        <w:rPr>
          <w:lang w:eastAsia="en-US" w:bidi="ar-SA"/>
        </w:rPr>
        <w:t xml:space="preserve"> that </w:t>
      </w:r>
      <w:r w:rsidR="00F85C24">
        <w:rPr>
          <w:lang w:eastAsia="en-US" w:bidi="ar-SA"/>
        </w:rPr>
        <w:t xml:space="preserve">would need to be addressed to enable a </w:t>
      </w:r>
      <w:r w:rsidR="00C25B26">
        <w:rPr>
          <w:lang w:eastAsia="en-US" w:bidi="ar-SA"/>
        </w:rPr>
        <w:t xml:space="preserve">significant proportion of electricity service to continue </w:t>
      </w:r>
      <w:r w:rsidR="00F85C24">
        <w:rPr>
          <w:lang w:eastAsia="en-US" w:bidi="ar-SA"/>
        </w:rPr>
        <w:t>where major n</w:t>
      </w:r>
      <w:r w:rsidR="00C25B26">
        <w:rPr>
          <w:lang w:eastAsia="en-US" w:bidi="ar-SA"/>
        </w:rPr>
        <w:t>atural disaster</w:t>
      </w:r>
      <w:r w:rsidR="00F85C24">
        <w:rPr>
          <w:lang w:eastAsia="en-US" w:bidi="ar-SA"/>
        </w:rPr>
        <w:t>s, domestic</w:t>
      </w:r>
      <w:r w:rsidR="00C25B26">
        <w:rPr>
          <w:lang w:eastAsia="en-US" w:bidi="ar-SA"/>
        </w:rPr>
        <w:t xml:space="preserve"> terrorist o</w:t>
      </w:r>
      <w:r w:rsidR="00F85C24">
        <w:rPr>
          <w:lang w:eastAsia="en-US" w:bidi="ar-SA"/>
        </w:rPr>
        <w:t>r</w:t>
      </w:r>
      <w:r w:rsidR="00C25B26">
        <w:rPr>
          <w:lang w:eastAsia="en-US" w:bidi="ar-SA"/>
        </w:rPr>
        <w:t xml:space="preserve"> foreign actor attack</w:t>
      </w:r>
      <w:r w:rsidR="00EC1663">
        <w:rPr>
          <w:lang w:eastAsia="en-US" w:bidi="ar-SA"/>
        </w:rPr>
        <w:t xml:space="preserve">s </w:t>
      </w:r>
      <w:r w:rsidR="00C25B26">
        <w:rPr>
          <w:lang w:eastAsia="en-US" w:bidi="ar-SA"/>
        </w:rPr>
        <w:t>occur</w:t>
      </w:r>
    </w:p>
    <w:p w14:paraId="323ED34F" w14:textId="128DF64C" w:rsidR="00EC1663" w:rsidRDefault="006953F7" w:rsidP="00954BAC">
      <w:pPr>
        <w:pStyle w:val="ListParagraph"/>
        <w:numPr>
          <w:ilvl w:val="0"/>
          <w:numId w:val="49"/>
        </w:numPr>
        <w:spacing w:line="264" w:lineRule="auto"/>
        <w:rPr>
          <w:lang w:eastAsia="en-US" w:bidi="ar-SA"/>
        </w:rPr>
      </w:pPr>
      <w:r w:rsidRPr="002C72C2">
        <w:rPr>
          <w:lang w:eastAsia="en-US" w:bidi="ar-SA"/>
        </w:rPr>
        <w:t xml:space="preserve">Consideration of evolving distribution systems to </w:t>
      </w:r>
      <w:r w:rsidR="00EC1663">
        <w:rPr>
          <w:lang w:eastAsia="en-US" w:bidi="ar-SA"/>
        </w:rPr>
        <w:t xml:space="preserve">structures that are significantly more </w:t>
      </w:r>
      <w:r w:rsidRPr="002C72C2">
        <w:rPr>
          <w:lang w:eastAsia="en-US" w:bidi="ar-SA"/>
        </w:rPr>
        <w:t>variable</w:t>
      </w:r>
      <w:r w:rsidR="00EC1663">
        <w:rPr>
          <w:lang w:eastAsia="en-US" w:bidi="ar-SA"/>
        </w:rPr>
        <w:t xml:space="preserve"> and modular</w:t>
      </w:r>
      <w:r w:rsidR="004E7CB9">
        <w:rPr>
          <w:lang w:eastAsia="en-US" w:bidi="ar-SA"/>
        </w:rPr>
        <w:t>, including the use o</w:t>
      </w:r>
      <w:r w:rsidR="004E7CB9" w:rsidRPr="002C72C2">
        <w:rPr>
          <w:lang w:eastAsia="en-US" w:bidi="ar-SA"/>
        </w:rPr>
        <w:t xml:space="preserve">f modularity and coupling principles for </w:t>
      </w:r>
      <w:r w:rsidR="008D1C68">
        <w:rPr>
          <w:lang w:eastAsia="en-US" w:bidi="ar-SA"/>
        </w:rPr>
        <w:t>system</w:t>
      </w:r>
      <w:r w:rsidR="004E7CB9" w:rsidRPr="002C72C2">
        <w:rPr>
          <w:lang w:eastAsia="en-US" w:bidi="ar-SA"/>
        </w:rPr>
        <w:t xml:space="preserve"> re-design</w:t>
      </w:r>
      <w:hyperlink w:anchor="Ref_25" w:history="1">
        <w:r w:rsidR="00721339" w:rsidRPr="00AF541A">
          <w:rPr>
            <w:rStyle w:val="Hyperlink"/>
            <w:lang w:eastAsia="en-US" w:bidi="ar-SA"/>
          </w:rPr>
          <w:fldChar w:fldCharType="begin"/>
        </w:r>
        <w:r w:rsidR="00732E28" w:rsidRPr="00AF541A">
          <w:rPr>
            <w:rStyle w:val="Hyperlink"/>
            <w:lang w:eastAsia="en-US" w:bidi="ar-SA"/>
          </w:rPr>
          <w:instrText xml:space="preserve"> ADDIN ZOTERO_ITEM CSL_CITATION {"citationID":"N7FVnyZa","properties":{"formattedCitation":"[25]","plainCitation":"[25]","noteIndex":0},"citationItems":[{"id":14,"uris":["http://zotero.org/users/local/BgaHAIQb/items/JZNJ4KNV","http://zotero.org/users/17348326/items/JZNJ4KNV"],"itemData":{"id":14,"type":"report","number":"PNNL - 32515","publisher":"Pacific Northwest National Laboratory (PNNL)","title":"Architectural Framework for Variable Structure Grids","URL":"https://gridarchitecture.pnnl.gov/media/advanced/Architectural_Framework_for_Variable_Structure_Grids.pdf","author":[{"family":"Taft","given":"Jeffrey D."}],"issued":{"date-parts":[["2021",12]]}}}],"schema":"https://github.com/citation-style-language/schema/raw/master/csl-citation.json"} </w:instrText>
        </w:r>
        <w:r w:rsidR="00721339" w:rsidRPr="00AF541A">
          <w:rPr>
            <w:rStyle w:val="Hyperlink"/>
            <w:lang w:eastAsia="en-US" w:bidi="ar-SA"/>
          </w:rPr>
          <w:fldChar w:fldCharType="separate"/>
        </w:r>
        <w:r w:rsidR="00732E28" w:rsidRPr="00AF541A">
          <w:rPr>
            <w:rStyle w:val="Hyperlink"/>
          </w:rPr>
          <w:t>[25]</w:t>
        </w:r>
        <w:r w:rsidR="00721339" w:rsidRPr="00AF541A">
          <w:rPr>
            <w:rStyle w:val="Hyperlink"/>
            <w:lang w:eastAsia="en-US" w:bidi="ar-SA"/>
          </w:rPr>
          <w:fldChar w:fldCharType="end"/>
        </w:r>
      </w:hyperlink>
      <w:r w:rsidR="00AF541A">
        <w:rPr>
          <w:lang w:eastAsia="en-US" w:bidi="ar-SA"/>
        </w:rPr>
        <w:t>,</w:t>
      </w:r>
      <w:r w:rsidR="008D1C68">
        <w:rPr>
          <w:lang w:eastAsia="en-US" w:bidi="ar-SA"/>
        </w:rPr>
        <w:t xml:space="preserve"> a</w:t>
      </w:r>
      <w:r w:rsidR="00AF541A">
        <w:rPr>
          <w:lang w:eastAsia="en-US" w:bidi="ar-SA"/>
        </w:rPr>
        <w:t>nd</w:t>
      </w:r>
    </w:p>
    <w:p w14:paraId="008D756D" w14:textId="49B34E97" w:rsidR="00BA373A" w:rsidRPr="002C72C2" w:rsidRDefault="008D1C68" w:rsidP="00954BAC">
      <w:pPr>
        <w:pStyle w:val="ListParagraph"/>
        <w:numPr>
          <w:ilvl w:val="0"/>
          <w:numId w:val="49"/>
        </w:numPr>
        <w:spacing w:line="264" w:lineRule="auto"/>
        <w:rPr>
          <w:lang w:eastAsia="en-US" w:bidi="ar-SA"/>
        </w:rPr>
      </w:pPr>
      <w:r w:rsidRPr="002C72C2">
        <w:rPr>
          <w:lang w:eastAsia="en-US" w:bidi="ar-SA"/>
        </w:rPr>
        <w:t xml:space="preserve">Use of </w:t>
      </w:r>
      <w:r>
        <w:rPr>
          <w:lang w:eastAsia="en-US" w:bidi="ar-SA"/>
        </w:rPr>
        <w:t xml:space="preserve">advanced </w:t>
      </w:r>
      <w:r w:rsidRPr="002C72C2">
        <w:rPr>
          <w:lang w:eastAsia="en-US" w:bidi="ar-SA"/>
        </w:rPr>
        <w:t>analytical techniques for evaluating resilience, modularity, and coupling in grid physical structures</w:t>
      </w:r>
      <w:hyperlink w:anchor="Ref_26" w:history="1">
        <w:r w:rsidR="00EF572B" w:rsidRPr="00AF541A">
          <w:rPr>
            <w:rStyle w:val="Hyperlink"/>
            <w:lang w:eastAsia="en-US" w:bidi="ar-SA"/>
          </w:rPr>
          <w:fldChar w:fldCharType="begin"/>
        </w:r>
        <w:r w:rsidR="00732E28" w:rsidRPr="00AF541A">
          <w:rPr>
            <w:rStyle w:val="Hyperlink"/>
            <w:lang w:eastAsia="en-US" w:bidi="ar-SA"/>
          </w:rPr>
          <w:instrText xml:space="preserve"> ADDIN ZOTERO_ITEM CSL_CITATION {"citationID":"PB0iIzXl","properties":{"formattedCitation":"[26]","plainCitation":"[26]","noteIndex":0},"citationItems":[{"id":15,"uris":["http://zotero.org/users/local/BgaHAIQb/items/2EXGTEG2","http://zotero.org/users/17348326/items/2EXGTEG2"],"itemData":{"id":15,"type":"report","event-place":"Richland, Washington 99354","number":"PNNL - 30423","publisher":"Pacific Northwest National Laboratory (PNNL)","publisher-place":"Richland, Washington 99354","title":"Fundamentals of Structural Analytic Resilience Quantification","URL":"https://gridarchitecture.pnnl.gov/media/advanced/Resilence_Algebra_Foundation_final.pdf","author":[{"family":"Taft","given":"Jeffrey D."}],"issued":{"date-parts":[["2020",9]]}}}],"schema":"https://github.com/citation-style-language/schema/raw/master/csl-citation.json"} </w:instrText>
        </w:r>
        <w:r w:rsidR="00EF572B" w:rsidRPr="00AF541A">
          <w:rPr>
            <w:rStyle w:val="Hyperlink"/>
            <w:lang w:eastAsia="en-US" w:bidi="ar-SA"/>
          </w:rPr>
          <w:fldChar w:fldCharType="separate"/>
        </w:r>
        <w:r w:rsidR="00732E28" w:rsidRPr="00AF541A">
          <w:rPr>
            <w:rStyle w:val="Hyperlink"/>
          </w:rPr>
          <w:t>[26]</w:t>
        </w:r>
        <w:r w:rsidR="00EF572B" w:rsidRPr="00AF541A">
          <w:rPr>
            <w:rStyle w:val="Hyperlink"/>
            <w:lang w:eastAsia="en-US" w:bidi="ar-SA"/>
          </w:rPr>
          <w:fldChar w:fldCharType="end"/>
        </w:r>
      </w:hyperlink>
      <w:r w:rsidR="00AF541A">
        <w:rPr>
          <w:lang w:eastAsia="en-US" w:bidi="ar-SA"/>
        </w:rPr>
        <w:t>.</w:t>
      </w:r>
    </w:p>
    <w:p w14:paraId="73254E88" w14:textId="77777777" w:rsidR="00A70B1D" w:rsidRPr="002C72C2" w:rsidRDefault="00A70B1D" w:rsidP="00EB2823">
      <w:pPr>
        <w:spacing w:before="0" w:after="160" w:line="264" w:lineRule="auto"/>
        <w:rPr>
          <w:rFonts w:ascii="PP Mori SemiBold" w:eastAsiaTheme="majorEastAsia" w:hAnsi="PP Mori SemiBold" w:cstheme="majorBidi"/>
          <w:color w:val="001D25" w:themeColor="accent1" w:themeShade="80"/>
          <w:sz w:val="24"/>
          <w:szCs w:val="30"/>
          <w:lang w:eastAsia="en-US" w:bidi="ar-SA"/>
        </w:rPr>
      </w:pPr>
      <w:r w:rsidRPr="002C72C2">
        <w:rPr>
          <w:lang w:eastAsia="en-US" w:bidi="ar-SA"/>
        </w:rPr>
        <w:br w:type="page"/>
      </w:r>
    </w:p>
    <w:p w14:paraId="78E377FF" w14:textId="31389C34" w:rsidR="00590FAF" w:rsidRPr="002C72C2" w:rsidRDefault="006853C1" w:rsidP="00EB2823">
      <w:pPr>
        <w:pStyle w:val="Heading3"/>
        <w:spacing w:line="264" w:lineRule="auto"/>
        <w:rPr>
          <w:lang w:eastAsia="en-US" w:bidi="ar-SA"/>
        </w:rPr>
      </w:pPr>
      <w:bookmarkStart w:id="86" w:name="_Toc205533970"/>
      <w:bookmarkStart w:id="87" w:name="S_427"/>
      <w:r>
        <w:rPr>
          <w:lang w:eastAsia="en-US" w:bidi="ar-SA"/>
        </w:rPr>
        <w:t xml:space="preserve">Modelling &amp; </w:t>
      </w:r>
      <w:r w:rsidR="001461AD" w:rsidRPr="002C72C2">
        <w:rPr>
          <w:lang w:eastAsia="en-US" w:bidi="ar-SA"/>
        </w:rPr>
        <w:t>Forecas</w:t>
      </w:r>
      <w:r w:rsidR="00D60F7C" w:rsidRPr="002C72C2">
        <w:rPr>
          <w:lang w:eastAsia="en-US" w:bidi="ar-SA"/>
        </w:rPr>
        <w:t>t</w:t>
      </w:r>
      <w:r w:rsidR="001461AD" w:rsidRPr="002C72C2">
        <w:rPr>
          <w:lang w:eastAsia="en-US" w:bidi="ar-SA"/>
        </w:rPr>
        <w:t>ing</w:t>
      </w:r>
      <w:r w:rsidR="003E6261" w:rsidRPr="002C72C2">
        <w:rPr>
          <w:lang w:eastAsia="en-US" w:bidi="ar-SA"/>
        </w:rPr>
        <w:t xml:space="preserve"> Risks</w:t>
      </w:r>
      <w:bookmarkEnd w:id="86"/>
    </w:p>
    <w:tbl>
      <w:tblPr>
        <w:tblStyle w:val="TableGrid"/>
        <w:tblW w:w="0" w:type="auto"/>
        <w:tblLook w:val="04A0" w:firstRow="1" w:lastRow="0" w:firstColumn="1" w:lastColumn="0" w:noHBand="0" w:noVBand="1"/>
      </w:tblPr>
      <w:tblGrid>
        <w:gridCol w:w="8210"/>
      </w:tblGrid>
      <w:tr w:rsidR="003B08B1" w14:paraId="597559B1" w14:textId="77777777" w:rsidTr="008F2E81">
        <w:tc>
          <w:tcPr>
            <w:tcW w:w="8210" w:type="dxa"/>
            <w:shd w:val="clear" w:color="auto" w:fill="013C4C" w:themeFill="text1"/>
          </w:tcPr>
          <w:bookmarkEnd w:id="87"/>
          <w:p w14:paraId="0F3E05E8" w14:textId="69F4266D" w:rsidR="003B08B1" w:rsidRPr="002C72C2" w:rsidRDefault="00B60621" w:rsidP="00EB2823">
            <w:pPr>
              <w:spacing w:before="180" w:after="180" w:line="264" w:lineRule="auto"/>
              <w:ind w:left="176" w:right="176"/>
              <w:rPr>
                <w:i/>
                <w:lang w:eastAsia="en-US" w:bidi="ar-SA"/>
              </w:rPr>
            </w:pPr>
            <w:r w:rsidRPr="00B60621">
              <w:rPr>
                <w:i/>
                <w:lang w:eastAsia="en-US" w:bidi="ar-SA"/>
              </w:rPr>
              <w:t>As power systems experience fundamental change in customer participation, technology mix, operational dynamics and enabling structures, the usefulness of existing modelling and forecasting tools is increasingly challenged</w:t>
            </w:r>
            <w:r w:rsidR="00374950">
              <w:rPr>
                <w:i/>
                <w:lang w:eastAsia="en-US" w:bidi="ar-SA"/>
              </w:rPr>
              <w:t xml:space="preserve">. </w:t>
            </w:r>
            <w:r w:rsidRPr="00B60621">
              <w:rPr>
                <w:i/>
                <w:lang w:eastAsia="en-US" w:bidi="ar-SA"/>
              </w:rPr>
              <w:t xml:space="preserve">Given their key role in governance, investment and operational decision making, they must be constantly evaluated to ensure their </w:t>
            </w:r>
            <w:r>
              <w:rPr>
                <w:i/>
                <w:lang w:eastAsia="en-US" w:bidi="ar-SA"/>
              </w:rPr>
              <w:t xml:space="preserve">continued adequacy </w:t>
            </w:r>
            <w:r w:rsidRPr="00B60621">
              <w:rPr>
                <w:i/>
                <w:lang w:eastAsia="en-US" w:bidi="ar-SA"/>
              </w:rPr>
              <w:t>as power system design and operation</w:t>
            </w:r>
            <w:r w:rsidR="00D01543">
              <w:rPr>
                <w:i/>
                <w:lang w:eastAsia="en-US" w:bidi="ar-SA"/>
              </w:rPr>
              <w:t>s</w:t>
            </w:r>
            <w:r w:rsidRPr="00B60621">
              <w:rPr>
                <w:i/>
                <w:lang w:eastAsia="en-US" w:bidi="ar-SA"/>
              </w:rPr>
              <w:t xml:space="preserve"> moves further away from the many legacy assumptions that informed the development of these tools</w:t>
            </w:r>
            <w:r w:rsidR="00374950">
              <w:rPr>
                <w:i/>
                <w:lang w:eastAsia="en-US" w:bidi="ar-SA"/>
              </w:rPr>
              <w:t xml:space="preserve">. </w:t>
            </w:r>
          </w:p>
        </w:tc>
      </w:tr>
    </w:tbl>
    <w:p w14:paraId="1389F3C8" w14:textId="77777777" w:rsidR="00606B86" w:rsidRPr="00EB2823" w:rsidRDefault="00606B86" w:rsidP="00954BAC">
      <w:pPr>
        <w:pStyle w:val="Heading4"/>
        <w:numPr>
          <w:ilvl w:val="0"/>
          <w:numId w:val="59"/>
        </w:numPr>
        <w:spacing w:before="240" w:after="120" w:line="264" w:lineRule="auto"/>
        <w:rPr>
          <w:i w:val="0"/>
          <w:iCs w:val="0"/>
        </w:rPr>
      </w:pPr>
      <w:r w:rsidRPr="00EB2823">
        <w:rPr>
          <w:i w:val="0"/>
          <w:iCs w:val="0"/>
        </w:rPr>
        <w:t>Cross Cutting Issue</w:t>
      </w:r>
    </w:p>
    <w:p w14:paraId="2E59F768" w14:textId="3C040FD3" w:rsidR="00606B86" w:rsidRPr="002C72C2" w:rsidRDefault="006853C1" w:rsidP="00EB2823">
      <w:pPr>
        <w:spacing w:before="120" w:after="120" w:line="264" w:lineRule="auto"/>
        <w:rPr>
          <w:lang w:eastAsia="en-US" w:bidi="ar-SA"/>
        </w:rPr>
      </w:pPr>
      <w:r>
        <w:rPr>
          <w:lang w:eastAsia="en-US" w:bidi="ar-SA"/>
        </w:rPr>
        <w:t>Advanced m</w:t>
      </w:r>
      <w:r w:rsidR="00606B86" w:rsidRPr="002C72C2">
        <w:rPr>
          <w:lang w:eastAsia="en-US" w:bidi="ar-SA"/>
        </w:rPr>
        <w:t xml:space="preserve">odels are essential for </w:t>
      </w:r>
      <w:r w:rsidR="00714DF1" w:rsidRPr="002C72C2">
        <w:rPr>
          <w:lang w:eastAsia="en-US" w:bidi="ar-SA"/>
        </w:rPr>
        <w:t>p</w:t>
      </w:r>
      <w:r w:rsidR="00606B86" w:rsidRPr="002C72C2">
        <w:rPr>
          <w:lang w:eastAsia="en-US" w:bidi="ar-SA"/>
        </w:rPr>
        <w:t xml:space="preserve">ower </w:t>
      </w:r>
      <w:r w:rsidR="00714DF1" w:rsidRPr="002C72C2">
        <w:rPr>
          <w:lang w:eastAsia="en-US" w:bidi="ar-SA"/>
        </w:rPr>
        <w:t>s</w:t>
      </w:r>
      <w:r w:rsidR="00606B86" w:rsidRPr="002C72C2">
        <w:rPr>
          <w:lang w:eastAsia="en-US" w:bidi="ar-SA"/>
        </w:rPr>
        <w:t xml:space="preserve">ystem planning and operations, </w:t>
      </w:r>
      <w:r>
        <w:rPr>
          <w:lang w:eastAsia="en-US" w:bidi="ar-SA"/>
        </w:rPr>
        <w:t xml:space="preserve">including </w:t>
      </w:r>
      <w:r w:rsidR="00606B86" w:rsidRPr="002C72C2">
        <w:rPr>
          <w:lang w:eastAsia="en-US" w:bidi="ar-SA"/>
        </w:rPr>
        <w:t xml:space="preserve">the ability to forecast upcoming </w:t>
      </w:r>
      <w:r w:rsidR="00555A24" w:rsidRPr="002C72C2">
        <w:rPr>
          <w:lang w:eastAsia="en-US" w:bidi="ar-SA"/>
        </w:rPr>
        <w:t>p</w:t>
      </w:r>
      <w:r w:rsidR="00606B86" w:rsidRPr="002C72C2">
        <w:rPr>
          <w:lang w:eastAsia="en-US" w:bidi="ar-SA"/>
        </w:rPr>
        <w:t xml:space="preserve">ower </w:t>
      </w:r>
      <w:r w:rsidR="00555A24" w:rsidRPr="002C72C2">
        <w:rPr>
          <w:lang w:eastAsia="en-US" w:bidi="ar-SA"/>
        </w:rPr>
        <w:t>s</w:t>
      </w:r>
      <w:r w:rsidR="00606B86" w:rsidRPr="002C72C2">
        <w:rPr>
          <w:lang w:eastAsia="en-US" w:bidi="ar-SA"/>
        </w:rPr>
        <w:t>ystem conditions and have confidence in how the system will perform</w:t>
      </w:r>
      <w:r>
        <w:rPr>
          <w:lang w:eastAsia="en-US" w:bidi="ar-SA"/>
        </w:rPr>
        <w:t xml:space="preserve"> </w:t>
      </w:r>
      <w:r w:rsidR="000B43EA">
        <w:rPr>
          <w:lang w:eastAsia="en-US" w:bidi="ar-SA"/>
        </w:rPr>
        <w:t>in an increasingly varied and dynamic environment</w:t>
      </w:r>
      <w:r w:rsidR="00606B86" w:rsidRPr="002C72C2">
        <w:rPr>
          <w:lang w:eastAsia="en-US" w:bidi="ar-SA"/>
        </w:rPr>
        <w:t>.</w:t>
      </w:r>
    </w:p>
    <w:p w14:paraId="4C7509A7" w14:textId="39736399" w:rsidR="00606B86" w:rsidRPr="002C72C2" w:rsidRDefault="00606B86" w:rsidP="00EB2823">
      <w:pPr>
        <w:spacing w:before="120" w:after="120" w:line="264" w:lineRule="auto"/>
        <w:rPr>
          <w:lang w:eastAsia="en-US" w:bidi="ar-SA"/>
        </w:rPr>
      </w:pPr>
      <w:r w:rsidRPr="002C72C2">
        <w:rPr>
          <w:lang w:eastAsia="en-US" w:bidi="ar-SA"/>
        </w:rPr>
        <w:t xml:space="preserve">Numerous useful models have been developed over recent decades that are relevant to different functions and segments of the existing </w:t>
      </w:r>
      <w:r w:rsidR="00EE5E34">
        <w:rPr>
          <w:lang w:eastAsia="en-US" w:bidi="ar-SA"/>
        </w:rPr>
        <w:t>electricity s</w:t>
      </w:r>
      <w:r w:rsidRPr="002C72C2">
        <w:rPr>
          <w:lang w:eastAsia="en-US" w:bidi="ar-SA"/>
        </w:rPr>
        <w:t>upply chain</w:t>
      </w:r>
      <w:r w:rsidR="00374950">
        <w:rPr>
          <w:lang w:eastAsia="en-US" w:bidi="ar-SA"/>
        </w:rPr>
        <w:t xml:space="preserve">. </w:t>
      </w:r>
      <w:r w:rsidRPr="002C72C2">
        <w:rPr>
          <w:lang w:eastAsia="en-US" w:bidi="ar-SA"/>
        </w:rPr>
        <w:t xml:space="preserve">However, no single full-fidelity model of a GW-scale </w:t>
      </w:r>
      <w:r w:rsidR="00555A24" w:rsidRPr="002C72C2">
        <w:rPr>
          <w:lang w:eastAsia="en-US" w:bidi="ar-SA"/>
        </w:rPr>
        <w:t>p</w:t>
      </w:r>
      <w:r w:rsidRPr="002C72C2">
        <w:rPr>
          <w:lang w:eastAsia="en-US" w:bidi="ar-SA"/>
        </w:rPr>
        <w:t xml:space="preserve">ower </w:t>
      </w:r>
      <w:r w:rsidR="00555A24" w:rsidRPr="002C72C2">
        <w:rPr>
          <w:lang w:eastAsia="en-US" w:bidi="ar-SA"/>
        </w:rPr>
        <w:t>s</w:t>
      </w:r>
      <w:r w:rsidRPr="002C72C2">
        <w:rPr>
          <w:lang w:eastAsia="en-US" w:bidi="ar-SA"/>
        </w:rPr>
        <w:t xml:space="preserve">ystem such as the NEM </w:t>
      </w:r>
      <w:r w:rsidR="006853C1">
        <w:rPr>
          <w:lang w:eastAsia="en-US" w:bidi="ar-SA"/>
        </w:rPr>
        <w:t xml:space="preserve">or WEM </w:t>
      </w:r>
      <w:r w:rsidRPr="002C72C2">
        <w:rPr>
          <w:lang w:eastAsia="en-US" w:bidi="ar-SA"/>
        </w:rPr>
        <w:t>exists</w:t>
      </w:r>
      <w:r w:rsidR="00374950">
        <w:rPr>
          <w:lang w:eastAsia="en-US" w:bidi="ar-SA"/>
        </w:rPr>
        <w:t xml:space="preserve">. </w:t>
      </w:r>
      <w:r w:rsidRPr="002C72C2">
        <w:rPr>
          <w:lang w:eastAsia="en-US" w:bidi="ar-SA"/>
        </w:rPr>
        <w:t xml:space="preserve">This means that many different models are </w:t>
      </w:r>
      <w:r w:rsidR="00EE5E34">
        <w:rPr>
          <w:lang w:eastAsia="en-US" w:bidi="ar-SA"/>
        </w:rPr>
        <w:t xml:space="preserve">being </w:t>
      </w:r>
      <w:r w:rsidRPr="002C72C2">
        <w:rPr>
          <w:lang w:eastAsia="en-US" w:bidi="ar-SA"/>
        </w:rPr>
        <w:t>used for interrogating different functions, with various models often ‘nested’ such that the outputs of one can be used as inputs to another</w:t>
      </w:r>
      <w:r w:rsidR="00374950">
        <w:rPr>
          <w:lang w:eastAsia="en-US" w:bidi="ar-SA"/>
        </w:rPr>
        <w:t xml:space="preserve">. </w:t>
      </w:r>
      <w:r w:rsidRPr="002C72C2">
        <w:rPr>
          <w:lang w:eastAsia="en-US" w:bidi="ar-SA"/>
        </w:rPr>
        <w:t>Understandably</w:t>
      </w:r>
      <w:r w:rsidR="00934E84">
        <w:rPr>
          <w:lang w:eastAsia="en-US" w:bidi="ar-SA"/>
        </w:rPr>
        <w:t>,</w:t>
      </w:r>
      <w:r w:rsidRPr="002C72C2">
        <w:rPr>
          <w:lang w:eastAsia="en-US" w:bidi="ar-SA"/>
        </w:rPr>
        <w:t xml:space="preserve"> the development of </w:t>
      </w:r>
      <w:r w:rsidR="00934E84">
        <w:rPr>
          <w:lang w:eastAsia="en-US" w:bidi="ar-SA"/>
        </w:rPr>
        <w:t xml:space="preserve">many such </w:t>
      </w:r>
      <w:r w:rsidRPr="002C72C2">
        <w:rPr>
          <w:lang w:eastAsia="en-US" w:bidi="ar-SA"/>
        </w:rPr>
        <w:t>models has been based</w:t>
      </w:r>
      <w:r w:rsidR="00934E84">
        <w:rPr>
          <w:lang w:eastAsia="en-US" w:bidi="ar-SA"/>
        </w:rPr>
        <w:t xml:space="preserve">, </w:t>
      </w:r>
      <w:r w:rsidRPr="002C72C2">
        <w:rPr>
          <w:lang w:eastAsia="en-US" w:bidi="ar-SA"/>
        </w:rPr>
        <w:t>explicitly or implicitly</w:t>
      </w:r>
      <w:r w:rsidR="00934E84">
        <w:rPr>
          <w:lang w:eastAsia="en-US" w:bidi="ar-SA"/>
        </w:rPr>
        <w:t>,</w:t>
      </w:r>
      <w:r w:rsidRPr="002C72C2">
        <w:rPr>
          <w:lang w:eastAsia="en-US" w:bidi="ar-SA"/>
        </w:rPr>
        <w:t xml:space="preserve"> on the </w:t>
      </w:r>
      <w:r w:rsidR="00934E84">
        <w:rPr>
          <w:lang w:eastAsia="en-US" w:bidi="ar-SA"/>
        </w:rPr>
        <w:t>legacy</w:t>
      </w:r>
      <w:r w:rsidRPr="002C72C2">
        <w:rPr>
          <w:lang w:eastAsia="en-US" w:bidi="ar-SA"/>
        </w:rPr>
        <w:t xml:space="preserve"> structural and operational paradigms that are now experiencing profound change</w:t>
      </w:r>
      <w:r w:rsidR="00374950">
        <w:rPr>
          <w:lang w:eastAsia="en-US" w:bidi="ar-SA"/>
        </w:rPr>
        <w:t xml:space="preserve">. </w:t>
      </w:r>
    </w:p>
    <w:p w14:paraId="3CE566D3" w14:textId="77777777" w:rsidR="00606B86" w:rsidRPr="00EB2823" w:rsidRDefault="00606B86" w:rsidP="00954BAC">
      <w:pPr>
        <w:pStyle w:val="Heading4"/>
        <w:numPr>
          <w:ilvl w:val="0"/>
          <w:numId w:val="59"/>
        </w:numPr>
        <w:spacing w:before="180" w:after="120" w:line="264" w:lineRule="auto"/>
        <w:ind w:left="357" w:hanging="357"/>
        <w:rPr>
          <w:i w:val="0"/>
          <w:iCs w:val="0"/>
        </w:rPr>
      </w:pPr>
      <w:r w:rsidRPr="00EB2823">
        <w:rPr>
          <w:i w:val="0"/>
          <w:iCs w:val="0"/>
        </w:rPr>
        <w:t>Contributing Factors</w:t>
      </w:r>
    </w:p>
    <w:p w14:paraId="2B6DC4B6" w14:textId="25BD5E59" w:rsidR="00B319DA" w:rsidRDefault="00FF2EC9" w:rsidP="00FF2EC9">
      <w:pPr>
        <w:spacing w:before="120" w:after="120" w:line="264" w:lineRule="auto"/>
        <w:rPr>
          <w:lang w:eastAsia="en-US" w:bidi="ar-SA"/>
        </w:rPr>
      </w:pPr>
      <w:r w:rsidRPr="002C72C2">
        <w:rPr>
          <w:lang w:eastAsia="en-US" w:bidi="ar-SA"/>
        </w:rPr>
        <w:t>Power system governance, investment and operational decision processes continue to place significant confidence in the outputs of modelling</w:t>
      </w:r>
      <w:r w:rsidR="00374950">
        <w:rPr>
          <w:lang w:eastAsia="en-US" w:bidi="ar-SA"/>
        </w:rPr>
        <w:t xml:space="preserve">. </w:t>
      </w:r>
      <w:r w:rsidRPr="002C72C2">
        <w:rPr>
          <w:lang w:eastAsia="en-US" w:bidi="ar-SA"/>
        </w:rPr>
        <w:t>However, as power systems experience transformational forces impacting technology mix, operational volatility and inevitably the underpinning architectural structures, the usefulness of existing individual and nested models must be constantly reassessed</w:t>
      </w:r>
      <w:r w:rsidR="00374950">
        <w:rPr>
          <w:lang w:eastAsia="en-US" w:bidi="ar-SA"/>
        </w:rPr>
        <w:t xml:space="preserve">. </w:t>
      </w:r>
    </w:p>
    <w:p w14:paraId="570FE926" w14:textId="46472980" w:rsidR="00606B86" w:rsidRPr="002C72C2" w:rsidRDefault="00606B86" w:rsidP="00FF2EC9">
      <w:pPr>
        <w:spacing w:before="120" w:after="120" w:line="264" w:lineRule="auto"/>
        <w:rPr>
          <w:lang w:eastAsia="en-US" w:bidi="ar-SA"/>
        </w:rPr>
      </w:pPr>
      <w:r w:rsidRPr="002C72C2">
        <w:rPr>
          <w:lang w:eastAsia="en-US" w:bidi="ar-SA"/>
        </w:rPr>
        <w:t>The development of existing models has typically been based on the extant historical structural and operational paradigms</w:t>
      </w:r>
      <w:r w:rsidR="00374950">
        <w:rPr>
          <w:lang w:eastAsia="en-US" w:bidi="ar-SA"/>
        </w:rPr>
        <w:t xml:space="preserve">. </w:t>
      </w:r>
      <w:r w:rsidRPr="002C72C2">
        <w:rPr>
          <w:lang w:eastAsia="en-US" w:bidi="ar-SA"/>
        </w:rPr>
        <w:t>For example,</w:t>
      </w:r>
      <w:r w:rsidR="00F11D9C">
        <w:rPr>
          <w:lang w:eastAsia="en-US" w:bidi="ar-SA"/>
        </w:rPr>
        <w:t xml:space="preserve"> </w:t>
      </w:r>
      <w:r w:rsidRPr="002C72C2">
        <w:rPr>
          <w:lang w:eastAsia="en-US" w:bidi="ar-SA"/>
        </w:rPr>
        <w:t xml:space="preserve">models based on steady-state power flow conditions are </w:t>
      </w:r>
      <w:r w:rsidR="00F11D9C">
        <w:rPr>
          <w:lang w:eastAsia="en-US" w:bidi="ar-SA"/>
        </w:rPr>
        <w:t>commonly</w:t>
      </w:r>
      <w:r w:rsidRPr="002C72C2">
        <w:rPr>
          <w:lang w:eastAsia="en-US" w:bidi="ar-SA"/>
        </w:rPr>
        <w:t xml:space="preserve"> employed for optimisation-based dispatch and capacity expansion planning tasks. The </w:t>
      </w:r>
      <w:r w:rsidR="00471523">
        <w:rPr>
          <w:lang w:eastAsia="en-US" w:bidi="ar-SA"/>
        </w:rPr>
        <w:t>O</w:t>
      </w:r>
      <w:r w:rsidRPr="002C72C2">
        <w:rPr>
          <w:lang w:eastAsia="en-US" w:bidi="ar-SA"/>
        </w:rPr>
        <w:t xml:space="preserve">ptimal </w:t>
      </w:r>
      <w:r w:rsidR="00471523">
        <w:rPr>
          <w:lang w:eastAsia="en-US" w:bidi="ar-SA"/>
        </w:rPr>
        <w:t>P</w:t>
      </w:r>
      <w:r w:rsidRPr="002C72C2">
        <w:rPr>
          <w:lang w:eastAsia="en-US" w:bidi="ar-SA"/>
        </w:rPr>
        <w:t xml:space="preserve">ower </w:t>
      </w:r>
      <w:r w:rsidR="00471523">
        <w:rPr>
          <w:lang w:eastAsia="en-US" w:bidi="ar-SA"/>
        </w:rPr>
        <w:t>F</w:t>
      </w:r>
      <w:r w:rsidRPr="002C72C2">
        <w:rPr>
          <w:lang w:eastAsia="en-US" w:bidi="ar-SA"/>
        </w:rPr>
        <w:t xml:space="preserve">low (OPF) problem is the canonical example of this type of task, yet even this </w:t>
      </w:r>
      <w:r w:rsidR="00355366">
        <w:rPr>
          <w:lang w:eastAsia="en-US" w:bidi="ar-SA"/>
        </w:rPr>
        <w:t xml:space="preserve">activity </w:t>
      </w:r>
      <w:r w:rsidRPr="002C72C2">
        <w:rPr>
          <w:lang w:eastAsia="en-US" w:bidi="ar-SA"/>
        </w:rPr>
        <w:t xml:space="preserve">may be formulated in </w:t>
      </w:r>
      <w:r w:rsidR="008E1481" w:rsidRPr="002C72C2">
        <w:rPr>
          <w:lang w:eastAsia="en-US" w:bidi="ar-SA"/>
        </w:rPr>
        <w:t>many ways</w:t>
      </w:r>
      <w:r w:rsidRPr="002C72C2">
        <w:rPr>
          <w:lang w:eastAsia="en-US" w:bidi="ar-SA"/>
        </w:rPr>
        <w:t>, each of which addresses or abstracts away specific elements of the system</w:t>
      </w:r>
      <w:r w:rsidR="00374950">
        <w:rPr>
          <w:lang w:eastAsia="en-US" w:bidi="ar-SA"/>
        </w:rPr>
        <w:t xml:space="preserve">. </w:t>
      </w:r>
      <w:r w:rsidRPr="002C72C2">
        <w:rPr>
          <w:lang w:eastAsia="en-US" w:bidi="ar-SA"/>
        </w:rPr>
        <w:t xml:space="preserve">Single-line power flow models, for example, which are typically sufficient for transmission network dispatch and planning studies, are quite different from three- or four-line models used for distribution networks where unbalances and neutral currents regularly arise and have engineering consequences. </w:t>
      </w:r>
    </w:p>
    <w:p w14:paraId="4F9AA801" w14:textId="226D730E" w:rsidR="00674B9A" w:rsidRDefault="00606B86" w:rsidP="00EB2823">
      <w:pPr>
        <w:spacing w:before="120" w:after="120" w:line="264" w:lineRule="auto"/>
        <w:rPr>
          <w:lang w:eastAsia="en-US" w:bidi="ar-SA"/>
        </w:rPr>
      </w:pPr>
      <w:r w:rsidRPr="002C72C2">
        <w:rPr>
          <w:lang w:eastAsia="en-US" w:bidi="ar-SA"/>
        </w:rPr>
        <w:t xml:space="preserve">Similarly, time domain simulations, which are used for operational decision-making, fall into two main categories: </w:t>
      </w:r>
      <w:r w:rsidR="00F26EEC">
        <w:rPr>
          <w:lang w:eastAsia="en-US" w:bidi="ar-SA"/>
        </w:rPr>
        <w:t>R</w:t>
      </w:r>
      <w:r w:rsidRPr="002C72C2">
        <w:rPr>
          <w:lang w:eastAsia="en-US" w:bidi="ar-SA"/>
        </w:rPr>
        <w:t xml:space="preserve">oot-mean </w:t>
      </w:r>
      <w:r w:rsidR="00F26EEC">
        <w:rPr>
          <w:lang w:eastAsia="en-US" w:bidi="ar-SA"/>
        </w:rPr>
        <w:t>S</w:t>
      </w:r>
      <w:r w:rsidRPr="002C72C2">
        <w:rPr>
          <w:lang w:eastAsia="en-US" w:bidi="ar-SA"/>
        </w:rPr>
        <w:t xml:space="preserve">quare known as RMS-based models or full </w:t>
      </w:r>
      <w:r w:rsidR="00D868B6">
        <w:rPr>
          <w:lang w:eastAsia="en-US" w:bidi="ar-SA"/>
        </w:rPr>
        <w:t>E</w:t>
      </w:r>
      <w:r w:rsidRPr="002C72C2">
        <w:rPr>
          <w:lang w:eastAsia="en-US" w:bidi="ar-SA"/>
        </w:rPr>
        <w:t xml:space="preserve">lectro-magnetic </w:t>
      </w:r>
      <w:r w:rsidR="00D868B6">
        <w:rPr>
          <w:lang w:eastAsia="en-US" w:bidi="ar-SA"/>
        </w:rPr>
        <w:t>T</w:t>
      </w:r>
      <w:r w:rsidRPr="002C72C2">
        <w:rPr>
          <w:lang w:eastAsia="en-US" w:bidi="ar-SA"/>
        </w:rPr>
        <w:t>ransient (EMT) models. RMS-based models are computationally faster, but their accuracy decreases as the proportion of inverter-connected generation in a system increases</w:t>
      </w:r>
      <w:r w:rsidR="00374950">
        <w:rPr>
          <w:lang w:eastAsia="en-US" w:bidi="ar-SA"/>
        </w:rPr>
        <w:t xml:space="preserve">. </w:t>
      </w:r>
      <w:r w:rsidRPr="002C72C2">
        <w:rPr>
          <w:lang w:eastAsia="en-US" w:bidi="ar-SA"/>
        </w:rPr>
        <w:t xml:space="preserve">This is mainly because the control systems employed by inverter-based resources have dynamics in the range of several kHz that cannot be accurately represented by RMS simulation tools. </w:t>
      </w:r>
    </w:p>
    <w:p w14:paraId="18702F5F" w14:textId="05E22463" w:rsidR="00606B86" w:rsidRPr="002C72C2" w:rsidRDefault="00606B86" w:rsidP="00EB2823">
      <w:pPr>
        <w:spacing w:before="120" w:after="120" w:line="264" w:lineRule="auto"/>
        <w:rPr>
          <w:lang w:eastAsia="en-US" w:bidi="ar-SA"/>
        </w:rPr>
      </w:pPr>
      <w:r w:rsidRPr="002C72C2">
        <w:rPr>
          <w:lang w:eastAsia="en-US" w:bidi="ar-SA"/>
        </w:rPr>
        <w:t xml:space="preserve">By contrast, EMT models </w:t>
      </w:r>
      <w:r w:rsidR="008E1481" w:rsidRPr="002C72C2">
        <w:rPr>
          <w:lang w:eastAsia="en-US" w:bidi="ar-SA"/>
        </w:rPr>
        <w:t>can</w:t>
      </w:r>
      <w:r w:rsidRPr="002C72C2">
        <w:rPr>
          <w:lang w:eastAsia="en-US" w:bidi="ar-SA"/>
        </w:rPr>
        <w:t xml:space="preserve"> represent these dynamics, but come with dramatically increased computational requirements and modelling detail. </w:t>
      </w:r>
    </w:p>
    <w:p w14:paraId="22D61DD0" w14:textId="70CE2C6D" w:rsidR="00606B86" w:rsidRPr="002F2243" w:rsidRDefault="00606B86" w:rsidP="00EB2823">
      <w:pPr>
        <w:spacing w:before="120" w:after="120" w:line="264" w:lineRule="auto"/>
        <w:rPr>
          <w:rStyle w:val="Heading4Char"/>
        </w:rPr>
      </w:pPr>
      <w:r w:rsidRPr="002C72C2">
        <w:rPr>
          <w:lang w:eastAsia="en-US" w:bidi="ar-SA"/>
        </w:rPr>
        <w:t>The two examples above – optimal power flow and time-domain simulation – illustrate the diversity and interdependencies of various models</w:t>
      </w:r>
      <w:r w:rsidR="00374950">
        <w:rPr>
          <w:lang w:eastAsia="en-US" w:bidi="ar-SA"/>
        </w:rPr>
        <w:t xml:space="preserve">. </w:t>
      </w:r>
      <w:r w:rsidRPr="002C72C2">
        <w:rPr>
          <w:lang w:eastAsia="en-US" w:bidi="ar-SA"/>
        </w:rPr>
        <w:t xml:space="preserve">The power flows computed from the solutions to an OPF problem, for example, may be used as the steady state initial conditions for a time-domain simulation to assess system dynamic stability. By contrast, while the OPF solves a least-cost problem and can handle power flow </w:t>
      </w:r>
      <w:r w:rsidR="009E6E01" w:rsidRPr="002C72C2">
        <w:rPr>
          <w:lang w:eastAsia="en-US" w:bidi="ar-SA"/>
        </w:rPr>
        <w:t>constraints</w:t>
      </w:r>
      <w:r w:rsidR="009E6E01">
        <w:rPr>
          <w:lang w:eastAsia="en-US" w:bidi="ar-SA"/>
        </w:rPr>
        <w:t xml:space="preserve"> and voltage/current/power envelopes</w:t>
      </w:r>
      <w:r w:rsidRPr="002C72C2">
        <w:rPr>
          <w:lang w:eastAsia="en-US" w:bidi="ar-SA"/>
        </w:rPr>
        <w:t xml:space="preserve">, it does not and cannot consider stability </w:t>
      </w:r>
      <w:r w:rsidRPr="002F2243">
        <w:t>constraints; this is the task of time domain simulations.</w:t>
      </w:r>
      <w:r w:rsidRPr="002F2243">
        <w:rPr>
          <w:rStyle w:val="Heading4Char"/>
        </w:rPr>
        <w:t xml:space="preserve"> </w:t>
      </w:r>
    </w:p>
    <w:p w14:paraId="0B428749" w14:textId="77777777" w:rsidR="00606B86" w:rsidRPr="00EB2823" w:rsidRDefault="00606B86" w:rsidP="00954BAC">
      <w:pPr>
        <w:pStyle w:val="Heading4"/>
        <w:numPr>
          <w:ilvl w:val="0"/>
          <w:numId w:val="59"/>
        </w:numPr>
        <w:spacing w:before="240" w:after="120" w:line="264" w:lineRule="auto"/>
        <w:rPr>
          <w:i w:val="0"/>
          <w:iCs w:val="0"/>
        </w:rPr>
      </w:pPr>
      <w:r w:rsidRPr="00EB2823">
        <w:rPr>
          <w:i w:val="0"/>
          <w:iCs w:val="0"/>
        </w:rPr>
        <w:t xml:space="preserve">Solution Requirements </w:t>
      </w:r>
    </w:p>
    <w:p w14:paraId="6FFA2D5B" w14:textId="78A1E4B0" w:rsidR="00B319DA" w:rsidRPr="002C72C2" w:rsidRDefault="004534F4" w:rsidP="004534F4">
      <w:pPr>
        <w:spacing w:before="120" w:after="120" w:line="264" w:lineRule="auto"/>
        <w:rPr>
          <w:lang w:eastAsia="en-US" w:bidi="ar-SA"/>
        </w:rPr>
      </w:pPr>
      <w:r>
        <w:rPr>
          <w:lang w:eastAsia="en-US" w:bidi="ar-SA"/>
        </w:rPr>
        <w:t>T</w:t>
      </w:r>
      <w:r w:rsidR="00B319DA" w:rsidRPr="002C72C2">
        <w:rPr>
          <w:lang w:eastAsia="en-US" w:bidi="ar-SA"/>
        </w:rPr>
        <w:t xml:space="preserve">o ensure the accuracy, trustworthiness and </w:t>
      </w:r>
      <w:r>
        <w:rPr>
          <w:lang w:eastAsia="en-US" w:bidi="ar-SA"/>
        </w:rPr>
        <w:t>future</w:t>
      </w:r>
      <w:r w:rsidR="00B319DA" w:rsidRPr="002C72C2">
        <w:rPr>
          <w:lang w:eastAsia="en-US" w:bidi="ar-SA"/>
        </w:rPr>
        <w:t xml:space="preserve"> fitness of power system models, it is essential that data and other inputs, and </w:t>
      </w:r>
      <w:r w:rsidR="00836D39">
        <w:rPr>
          <w:lang w:eastAsia="en-US" w:bidi="ar-SA"/>
        </w:rPr>
        <w:t xml:space="preserve">their </w:t>
      </w:r>
      <w:r w:rsidR="00B319DA" w:rsidRPr="002C72C2">
        <w:rPr>
          <w:lang w:eastAsia="en-US" w:bidi="ar-SA"/>
        </w:rPr>
        <w:t>underpinning assumptions</w:t>
      </w:r>
      <w:r w:rsidR="00836D39">
        <w:rPr>
          <w:lang w:eastAsia="en-US" w:bidi="ar-SA"/>
        </w:rPr>
        <w:t xml:space="preserve"> about system structures and dynamics</w:t>
      </w:r>
      <w:r w:rsidR="00B319DA" w:rsidRPr="002C72C2">
        <w:rPr>
          <w:lang w:eastAsia="en-US" w:bidi="ar-SA"/>
        </w:rPr>
        <w:t>, are transparent so they can be verified and validated by all stakeholders.</w:t>
      </w:r>
    </w:p>
    <w:p w14:paraId="25F01B22" w14:textId="2B17E9B3" w:rsidR="00606B86" w:rsidRDefault="00606B86" w:rsidP="00EB2823">
      <w:pPr>
        <w:spacing w:before="120" w:after="120" w:line="264" w:lineRule="auto"/>
        <w:rPr>
          <w:lang w:eastAsia="en-US" w:bidi="ar-SA"/>
        </w:rPr>
      </w:pPr>
      <w:r w:rsidRPr="002C72C2">
        <w:rPr>
          <w:lang w:eastAsia="en-US" w:bidi="ar-SA"/>
        </w:rPr>
        <w:t xml:space="preserve">As </w:t>
      </w:r>
      <w:r w:rsidR="005A4F31" w:rsidRPr="002C72C2">
        <w:rPr>
          <w:lang w:eastAsia="en-US" w:bidi="ar-SA"/>
        </w:rPr>
        <w:t>p</w:t>
      </w:r>
      <w:r w:rsidRPr="002C72C2">
        <w:rPr>
          <w:lang w:eastAsia="en-US" w:bidi="ar-SA"/>
        </w:rPr>
        <w:t xml:space="preserve">ower </w:t>
      </w:r>
      <w:r w:rsidR="005A4F31" w:rsidRPr="002C72C2">
        <w:rPr>
          <w:lang w:eastAsia="en-US" w:bidi="ar-SA"/>
        </w:rPr>
        <w:t>s</w:t>
      </w:r>
      <w:r w:rsidRPr="002C72C2">
        <w:rPr>
          <w:lang w:eastAsia="en-US" w:bidi="ar-SA"/>
        </w:rPr>
        <w:t xml:space="preserve">ystems such as the NEM </w:t>
      </w:r>
      <w:r w:rsidR="00752155">
        <w:rPr>
          <w:lang w:eastAsia="en-US" w:bidi="ar-SA"/>
        </w:rPr>
        <w:t xml:space="preserve">and WEM </w:t>
      </w:r>
      <w:r w:rsidRPr="002C72C2">
        <w:rPr>
          <w:lang w:eastAsia="en-US" w:bidi="ar-SA"/>
        </w:rPr>
        <w:t>experience transformational forces impacting technology mix, operational volatility and inevitably the underpinning architectural structures, the usefulness of existing individual and nested models must be constantly reassessed</w:t>
      </w:r>
      <w:r w:rsidR="00374950">
        <w:rPr>
          <w:lang w:eastAsia="en-US" w:bidi="ar-SA"/>
        </w:rPr>
        <w:t xml:space="preserve">. </w:t>
      </w:r>
      <w:r w:rsidR="005660A0">
        <w:rPr>
          <w:lang w:eastAsia="en-US" w:bidi="ar-SA"/>
        </w:rPr>
        <w:t xml:space="preserve">Examples </w:t>
      </w:r>
      <w:r w:rsidR="00D315EF">
        <w:rPr>
          <w:lang w:eastAsia="en-US" w:bidi="ar-SA"/>
        </w:rPr>
        <w:t xml:space="preserve">of topics where </w:t>
      </w:r>
      <w:r w:rsidR="005660A0">
        <w:rPr>
          <w:lang w:eastAsia="en-US" w:bidi="ar-SA"/>
        </w:rPr>
        <w:t xml:space="preserve">key assumptions may need to be </w:t>
      </w:r>
      <w:r w:rsidR="001E0AE9">
        <w:rPr>
          <w:lang w:eastAsia="en-US" w:bidi="ar-SA"/>
        </w:rPr>
        <w:t>reevaluated are illustrated by several of the Systemic Issues discussed</w:t>
      </w:r>
      <w:r w:rsidR="00D315EF">
        <w:rPr>
          <w:lang w:eastAsia="en-US" w:bidi="ar-SA"/>
        </w:rPr>
        <w:t xml:space="preserve"> above</w:t>
      </w:r>
      <w:r w:rsidR="001E0AE9">
        <w:rPr>
          <w:lang w:eastAsia="en-US" w:bidi="ar-SA"/>
        </w:rPr>
        <w:t xml:space="preserve">, including: </w:t>
      </w:r>
    </w:p>
    <w:p w14:paraId="22195C43" w14:textId="325F9B1E" w:rsidR="001E0AE9" w:rsidRDefault="001E0AE9" w:rsidP="00954BAC">
      <w:pPr>
        <w:pStyle w:val="ListParagraph"/>
        <w:numPr>
          <w:ilvl w:val="0"/>
          <w:numId w:val="49"/>
        </w:numPr>
        <w:spacing w:line="264" w:lineRule="auto"/>
        <w:rPr>
          <w:lang w:eastAsia="en-US" w:bidi="ar-SA"/>
        </w:rPr>
      </w:pPr>
      <w:r w:rsidRPr="001E0AE9">
        <w:rPr>
          <w:lang w:eastAsia="en-US" w:bidi="ar-SA"/>
        </w:rPr>
        <w:t xml:space="preserve">Foundational </w:t>
      </w:r>
      <w:r>
        <w:rPr>
          <w:lang w:eastAsia="en-US" w:bidi="ar-SA"/>
        </w:rPr>
        <w:t>s</w:t>
      </w:r>
      <w:r w:rsidRPr="001E0AE9">
        <w:rPr>
          <w:lang w:eastAsia="en-US" w:bidi="ar-SA"/>
        </w:rPr>
        <w:t xml:space="preserve">tructural </w:t>
      </w:r>
      <w:r>
        <w:rPr>
          <w:lang w:eastAsia="en-US" w:bidi="ar-SA"/>
        </w:rPr>
        <w:t>s</w:t>
      </w:r>
      <w:r w:rsidRPr="001E0AE9">
        <w:rPr>
          <w:lang w:eastAsia="en-US" w:bidi="ar-SA"/>
        </w:rPr>
        <w:t>hifts</w:t>
      </w:r>
      <w:r>
        <w:rPr>
          <w:lang w:eastAsia="en-US" w:bidi="ar-SA"/>
        </w:rPr>
        <w:t xml:space="preserve"> (</w:t>
      </w:r>
      <w:hyperlink w:anchor="_Foundational_Structural_Shifts" w:history="1">
        <w:r w:rsidRPr="00D11564">
          <w:rPr>
            <w:rStyle w:val="Hyperlink"/>
            <w:lang w:eastAsia="en-US" w:bidi="ar-SA"/>
          </w:rPr>
          <w:t>Section 4.2</w:t>
        </w:r>
        <w:r w:rsidR="00AC10E7" w:rsidRPr="00D11564">
          <w:rPr>
            <w:rStyle w:val="Hyperlink"/>
            <w:lang w:eastAsia="en-US" w:bidi="ar-SA"/>
          </w:rPr>
          <w:t>.1</w:t>
        </w:r>
      </w:hyperlink>
      <w:r w:rsidR="00AC10E7">
        <w:rPr>
          <w:lang w:eastAsia="en-US" w:bidi="ar-SA"/>
        </w:rPr>
        <w:t>)</w:t>
      </w:r>
    </w:p>
    <w:p w14:paraId="41F546AA" w14:textId="18CE9F80" w:rsidR="001E0AE9" w:rsidRDefault="00D315EF" w:rsidP="00954BAC">
      <w:pPr>
        <w:pStyle w:val="ListParagraph"/>
        <w:numPr>
          <w:ilvl w:val="0"/>
          <w:numId w:val="49"/>
        </w:numPr>
        <w:spacing w:line="264" w:lineRule="auto"/>
        <w:rPr>
          <w:lang w:eastAsia="en-US" w:bidi="ar-SA"/>
        </w:rPr>
      </w:pPr>
      <w:r>
        <w:rPr>
          <w:lang w:eastAsia="en-US" w:bidi="ar-SA"/>
        </w:rPr>
        <w:t>Alternative s</w:t>
      </w:r>
      <w:r w:rsidR="001E0AE9" w:rsidRPr="001E0AE9">
        <w:rPr>
          <w:lang w:eastAsia="en-US" w:bidi="ar-SA"/>
        </w:rPr>
        <w:t xml:space="preserve">ystem </w:t>
      </w:r>
      <w:r w:rsidR="00AC10E7">
        <w:rPr>
          <w:lang w:eastAsia="en-US" w:bidi="ar-SA"/>
        </w:rPr>
        <w:t>c</w:t>
      </w:r>
      <w:r w:rsidR="001E0AE9" w:rsidRPr="001E0AE9">
        <w:rPr>
          <w:lang w:eastAsia="en-US" w:bidi="ar-SA"/>
        </w:rPr>
        <w:t xml:space="preserve">oordination </w:t>
      </w:r>
      <w:r w:rsidR="00AC10E7">
        <w:rPr>
          <w:lang w:eastAsia="en-US" w:bidi="ar-SA"/>
        </w:rPr>
        <w:t>and b</w:t>
      </w:r>
      <w:r w:rsidR="001E0AE9" w:rsidRPr="001E0AE9">
        <w:rPr>
          <w:lang w:eastAsia="en-US" w:bidi="ar-SA"/>
        </w:rPr>
        <w:t xml:space="preserve">alancing </w:t>
      </w:r>
      <w:r w:rsidR="00AC10E7">
        <w:rPr>
          <w:lang w:eastAsia="en-US" w:bidi="ar-SA"/>
        </w:rPr>
        <w:t>models (</w:t>
      </w:r>
      <w:hyperlink w:anchor="_System_Coordination_&amp;" w:history="1">
        <w:r w:rsidR="00AC10E7" w:rsidRPr="00D11564">
          <w:rPr>
            <w:rStyle w:val="Hyperlink"/>
            <w:lang w:eastAsia="en-US" w:bidi="ar-SA"/>
          </w:rPr>
          <w:t>Section 4.2.3</w:t>
        </w:r>
      </w:hyperlink>
      <w:r w:rsidR="00AC10E7">
        <w:rPr>
          <w:lang w:eastAsia="en-US" w:bidi="ar-SA"/>
        </w:rPr>
        <w:t>)</w:t>
      </w:r>
    </w:p>
    <w:p w14:paraId="79A4B6CE" w14:textId="49C99D8F" w:rsidR="001E0AE9" w:rsidRDefault="001E0AE9" w:rsidP="00954BAC">
      <w:pPr>
        <w:pStyle w:val="ListParagraph"/>
        <w:numPr>
          <w:ilvl w:val="0"/>
          <w:numId w:val="49"/>
        </w:numPr>
        <w:spacing w:line="264" w:lineRule="auto"/>
        <w:rPr>
          <w:lang w:eastAsia="en-US" w:bidi="ar-SA"/>
        </w:rPr>
      </w:pPr>
      <w:r w:rsidRPr="001E0AE9">
        <w:rPr>
          <w:lang w:eastAsia="en-US" w:bidi="ar-SA"/>
        </w:rPr>
        <w:t xml:space="preserve">Whole-system </w:t>
      </w:r>
      <w:r w:rsidR="00AC10E7">
        <w:rPr>
          <w:lang w:eastAsia="en-US" w:bidi="ar-SA"/>
        </w:rPr>
        <w:t>b</w:t>
      </w:r>
      <w:r w:rsidRPr="001E0AE9">
        <w:rPr>
          <w:lang w:eastAsia="en-US" w:bidi="ar-SA"/>
        </w:rPr>
        <w:t xml:space="preserve">uffering </w:t>
      </w:r>
      <w:r w:rsidR="00AC10E7">
        <w:rPr>
          <w:lang w:eastAsia="en-US" w:bidi="ar-SA"/>
        </w:rPr>
        <w:t>n</w:t>
      </w:r>
      <w:r w:rsidRPr="001E0AE9">
        <w:rPr>
          <w:lang w:eastAsia="en-US" w:bidi="ar-SA"/>
        </w:rPr>
        <w:t>eeds</w:t>
      </w:r>
      <w:r w:rsidR="00AC10E7">
        <w:rPr>
          <w:lang w:eastAsia="en-US" w:bidi="ar-SA"/>
        </w:rPr>
        <w:t xml:space="preserve"> (</w:t>
      </w:r>
      <w:hyperlink w:anchor="_Whole-system_Buffering_Needs" w:history="1">
        <w:r w:rsidR="00AC10E7" w:rsidRPr="00F92434">
          <w:rPr>
            <w:rStyle w:val="Hyperlink"/>
            <w:lang w:eastAsia="en-US" w:bidi="ar-SA"/>
          </w:rPr>
          <w:t>Section 4.2.4</w:t>
        </w:r>
      </w:hyperlink>
      <w:r w:rsidR="00AC10E7">
        <w:rPr>
          <w:lang w:eastAsia="en-US" w:bidi="ar-SA"/>
        </w:rPr>
        <w:t>)</w:t>
      </w:r>
    </w:p>
    <w:p w14:paraId="3F05EEE1" w14:textId="00D63FFA" w:rsidR="001E0AE9" w:rsidRDefault="00AC10E7" w:rsidP="00954BAC">
      <w:pPr>
        <w:pStyle w:val="ListParagraph"/>
        <w:numPr>
          <w:ilvl w:val="0"/>
          <w:numId w:val="49"/>
        </w:numPr>
        <w:spacing w:line="264" w:lineRule="auto"/>
        <w:rPr>
          <w:lang w:eastAsia="en-US" w:bidi="ar-SA"/>
        </w:rPr>
      </w:pPr>
      <w:r>
        <w:rPr>
          <w:lang w:eastAsia="en-US" w:bidi="ar-SA"/>
        </w:rPr>
        <w:t>CER/DER a</w:t>
      </w:r>
      <w:r w:rsidR="001E0AE9" w:rsidRPr="001E0AE9">
        <w:rPr>
          <w:lang w:eastAsia="en-US" w:bidi="ar-SA"/>
        </w:rPr>
        <w:t>ggregator</w:t>
      </w:r>
      <w:r w:rsidR="00582487">
        <w:rPr>
          <w:lang w:eastAsia="en-US" w:bidi="ar-SA"/>
        </w:rPr>
        <w:t>/</w:t>
      </w:r>
      <w:r w:rsidR="001E0AE9" w:rsidRPr="001E0AE9">
        <w:rPr>
          <w:lang w:eastAsia="en-US" w:bidi="ar-SA"/>
        </w:rPr>
        <w:t xml:space="preserve">VPP </w:t>
      </w:r>
      <w:r>
        <w:rPr>
          <w:lang w:eastAsia="en-US" w:bidi="ar-SA"/>
        </w:rPr>
        <w:t>participation</w:t>
      </w:r>
      <w:r w:rsidR="00582487">
        <w:rPr>
          <w:lang w:eastAsia="en-US" w:bidi="ar-SA"/>
        </w:rPr>
        <w:t xml:space="preserve"> assumptions</w:t>
      </w:r>
      <w:r>
        <w:rPr>
          <w:lang w:eastAsia="en-US" w:bidi="ar-SA"/>
        </w:rPr>
        <w:t xml:space="preserve"> (</w:t>
      </w:r>
      <w:hyperlink w:anchor="_Multiple_Aggregator/VPP_Risks" w:history="1">
        <w:r w:rsidR="00D315EF" w:rsidRPr="00F92434">
          <w:rPr>
            <w:rStyle w:val="Hyperlink"/>
            <w:lang w:eastAsia="en-US" w:bidi="ar-SA"/>
          </w:rPr>
          <w:t>Section 4.2.5</w:t>
        </w:r>
      </w:hyperlink>
      <w:r w:rsidR="003A3254">
        <w:t>)</w:t>
      </w:r>
      <w:r w:rsidR="00F92434">
        <w:rPr>
          <w:lang w:eastAsia="en-US" w:bidi="ar-SA"/>
        </w:rPr>
        <w:t>,</w:t>
      </w:r>
      <w:r w:rsidR="00582487">
        <w:rPr>
          <w:lang w:eastAsia="en-US" w:bidi="ar-SA"/>
        </w:rPr>
        <w:t xml:space="preserve"> and</w:t>
      </w:r>
    </w:p>
    <w:p w14:paraId="61A9F2E5" w14:textId="79B15F41" w:rsidR="001E0AE9" w:rsidRDefault="00AC10E7" w:rsidP="00954BAC">
      <w:pPr>
        <w:pStyle w:val="ListParagraph"/>
        <w:numPr>
          <w:ilvl w:val="0"/>
          <w:numId w:val="49"/>
        </w:numPr>
        <w:spacing w:line="264" w:lineRule="auto"/>
        <w:rPr>
          <w:lang w:eastAsia="en-US" w:bidi="ar-SA"/>
        </w:rPr>
      </w:pPr>
      <w:r>
        <w:rPr>
          <w:lang w:eastAsia="en-US" w:bidi="ar-SA"/>
        </w:rPr>
        <w:t xml:space="preserve">Structural </w:t>
      </w:r>
      <w:r w:rsidR="004D2AA3">
        <w:rPr>
          <w:lang w:eastAsia="en-US" w:bidi="ar-SA"/>
        </w:rPr>
        <w:t xml:space="preserve">changes </w:t>
      </w:r>
      <w:r w:rsidR="00582487">
        <w:rPr>
          <w:lang w:eastAsia="en-US" w:bidi="ar-SA"/>
        </w:rPr>
        <w:t xml:space="preserve">required to mitigate </w:t>
      </w:r>
      <w:r w:rsidR="004D2AA3">
        <w:rPr>
          <w:lang w:eastAsia="en-US" w:bidi="ar-SA"/>
        </w:rPr>
        <w:t>single-point-of-failure r</w:t>
      </w:r>
      <w:r w:rsidR="001E0AE9" w:rsidRPr="001E0AE9">
        <w:rPr>
          <w:lang w:eastAsia="en-US" w:bidi="ar-SA"/>
        </w:rPr>
        <w:t>isks</w:t>
      </w:r>
      <w:r w:rsidR="004D2AA3">
        <w:rPr>
          <w:lang w:eastAsia="en-US" w:bidi="ar-SA"/>
        </w:rPr>
        <w:t xml:space="preserve"> (</w:t>
      </w:r>
      <w:hyperlink w:anchor="_Single_Point_of" w:history="1">
        <w:r w:rsidR="004D2AA3" w:rsidRPr="00F92434">
          <w:rPr>
            <w:rStyle w:val="Hyperlink"/>
            <w:lang w:eastAsia="en-US" w:bidi="ar-SA"/>
          </w:rPr>
          <w:t xml:space="preserve">Section </w:t>
        </w:r>
        <w:r w:rsidR="00D315EF" w:rsidRPr="00F92434">
          <w:rPr>
            <w:rStyle w:val="Hyperlink"/>
            <w:lang w:eastAsia="en-US" w:bidi="ar-SA"/>
          </w:rPr>
          <w:t>4.2.6</w:t>
        </w:r>
      </w:hyperlink>
      <w:r w:rsidR="00D315EF">
        <w:rPr>
          <w:lang w:eastAsia="en-US" w:bidi="ar-SA"/>
        </w:rPr>
        <w:t>)</w:t>
      </w:r>
      <w:r w:rsidR="00582487">
        <w:rPr>
          <w:lang w:eastAsia="en-US" w:bidi="ar-SA"/>
        </w:rPr>
        <w:t xml:space="preserve"> </w:t>
      </w:r>
    </w:p>
    <w:p w14:paraId="074DB85A" w14:textId="037BDD84" w:rsidR="00606B86" w:rsidRPr="002C72C2" w:rsidRDefault="00752155" w:rsidP="00EB2823">
      <w:pPr>
        <w:spacing w:before="120" w:after="120" w:line="264" w:lineRule="auto"/>
        <w:rPr>
          <w:lang w:eastAsia="en-US" w:bidi="ar-SA"/>
        </w:rPr>
      </w:pPr>
      <w:r>
        <w:rPr>
          <w:lang w:eastAsia="en-US" w:bidi="ar-SA"/>
        </w:rPr>
        <w:t xml:space="preserve">A </w:t>
      </w:r>
      <w:r w:rsidR="00606B86" w:rsidRPr="002C72C2">
        <w:rPr>
          <w:lang w:eastAsia="en-US" w:bidi="ar-SA"/>
        </w:rPr>
        <w:t>high level of transparency is also critical for eliminating anti-competitive practices that may arise due to modelling tool vendor lock-in.</w:t>
      </w:r>
    </w:p>
    <w:p w14:paraId="0F2EB18F" w14:textId="77777777" w:rsidR="00A70B1D" w:rsidRPr="002C72C2" w:rsidRDefault="00A70B1D" w:rsidP="00EB2823">
      <w:pPr>
        <w:spacing w:before="0" w:after="160" w:line="264" w:lineRule="auto"/>
        <w:rPr>
          <w:rFonts w:ascii="PP Mori SemiBold" w:eastAsiaTheme="majorEastAsia" w:hAnsi="PP Mori SemiBold" w:cstheme="majorBidi"/>
          <w:color w:val="002C38" w:themeColor="accent1" w:themeShade="BF"/>
          <w:sz w:val="26"/>
          <w:szCs w:val="33"/>
          <w:lang w:eastAsia="en-US" w:bidi="ar-SA"/>
        </w:rPr>
      </w:pPr>
      <w:r w:rsidRPr="002C72C2">
        <w:rPr>
          <w:lang w:eastAsia="en-US" w:bidi="ar-SA"/>
        </w:rPr>
        <w:br w:type="page"/>
      </w:r>
    </w:p>
    <w:p w14:paraId="4F8AC719" w14:textId="78C67E03" w:rsidR="00741D1F" w:rsidRPr="00D93BA7" w:rsidRDefault="00F91A24" w:rsidP="00EB2823">
      <w:pPr>
        <w:pStyle w:val="Heading2"/>
        <w:spacing w:line="264" w:lineRule="auto"/>
        <w:rPr>
          <w:lang w:eastAsia="en-US" w:bidi="ar-SA"/>
        </w:rPr>
      </w:pPr>
      <w:bookmarkStart w:id="88" w:name="_Toc205533971"/>
      <w:r w:rsidRPr="00D93BA7">
        <w:rPr>
          <w:lang w:eastAsia="en-US" w:bidi="ar-SA"/>
        </w:rPr>
        <w:t>Digitalisation &amp; Scalability Issues</w:t>
      </w:r>
      <w:bookmarkEnd w:id="88"/>
    </w:p>
    <w:p w14:paraId="0820D90F" w14:textId="25913020" w:rsidR="00775541" w:rsidRPr="002C72C2" w:rsidRDefault="000174C2" w:rsidP="00EB2823">
      <w:pPr>
        <w:spacing w:line="264" w:lineRule="auto"/>
        <w:rPr>
          <w:lang w:eastAsia="en-US" w:bidi="ar-SA"/>
        </w:rPr>
      </w:pPr>
      <w:r w:rsidRPr="007739B5">
        <w:rPr>
          <w:lang w:eastAsia="en-US" w:bidi="ar-SA"/>
        </w:rPr>
        <w:t>The following section examines</w:t>
      </w:r>
      <w:r w:rsidR="00587B58">
        <w:rPr>
          <w:lang w:eastAsia="en-US" w:bidi="ar-SA"/>
        </w:rPr>
        <w:t xml:space="preserve"> </w:t>
      </w:r>
      <w:r w:rsidR="00D93BA7" w:rsidRPr="00D93BA7">
        <w:rPr>
          <w:lang w:eastAsia="en-US" w:bidi="ar-SA"/>
        </w:rPr>
        <w:t>three k</w:t>
      </w:r>
      <w:r w:rsidR="00587B58" w:rsidRPr="00D93BA7">
        <w:rPr>
          <w:lang w:eastAsia="en-US" w:bidi="ar-SA"/>
        </w:rPr>
        <w:t>ey challenges that arise from the increasing need for more dynamically interdependent and digitalised end-to-end power systems, including cyber-security, data sharing and the scalability of cyber-physical elements and solutions</w:t>
      </w:r>
      <w:r w:rsidR="00374950">
        <w:rPr>
          <w:lang w:eastAsia="en-US" w:bidi="ar-SA"/>
        </w:rPr>
        <w:t xml:space="preserve">. </w:t>
      </w:r>
    </w:p>
    <w:p w14:paraId="71EB623B" w14:textId="7D8C3E27" w:rsidR="00590FAF" w:rsidRPr="002C72C2" w:rsidRDefault="003E6261" w:rsidP="00EB2823">
      <w:pPr>
        <w:pStyle w:val="Heading3"/>
        <w:spacing w:line="264" w:lineRule="auto"/>
        <w:rPr>
          <w:lang w:eastAsia="en-US" w:bidi="ar-SA"/>
        </w:rPr>
      </w:pPr>
      <w:bookmarkStart w:id="89" w:name="_Toc205533972"/>
      <w:r w:rsidRPr="002C72C2">
        <w:rPr>
          <w:lang w:eastAsia="en-US" w:bidi="ar-SA"/>
        </w:rPr>
        <w:t>Cyber-security Vulnerabilities</w:t>
      </w:r>
      <w:bookmarkEnd w:id="89"/>
    </w:p>
    <w:tbl>
      <w:tblPr>
        <w:tblStyle w:val="TableGrid"/>
        <w:tblW w:w="0" w:type="auto"/>
        <w:tblLook w:val="04A0" w:firstRow="1" w:lastRow="0" w:firstColumn="1" w:lastColumn="0" w:noHBand="0" w:noVBand="1"/>
      </w:tblPr>
      <w:tblGrid>
        <w:gridCol w:w="8210"/>
      </w:tblGrid>
      <w:tr w:rsidR="003B08B1" w14:paraId="5C98E479" w14:textId="77777777" w:rsidTr="008F2E81">
        <w:tc>
          <w:tcPr>
            <w:tcW w:w="8210" w:type="dxa"/>
            <w:shd w:val="clear" w:color="auto" w:fill="013C4C" w:themeFill="text1"/>
          </w:tcPr>
          <w:p w14:paraId="2F940537" w14:textId="142EE78F" w:rsidR="003B08B1" w:rsidRPr="0085617E" w:rsidRDefault="00C66A01" w:rsidP="00EB2823">
            <w:pPr>
              <w:spacing w:before="180" w:after="180" w:line="264" w:lineRule="auto"/>
              <w:ind w:left="176" w:right="176"/>
              <w:rPr>
                <w:i/>
                <w:iCs/>
                <w:lang w:eastAsia="en-US" w:bidi="ar-SA"/>
              </w:rPr>
            </w:pPr>
            <w:r w:rsidRPr="00C66A01">
              <w:rPr>
                <w:i/>
                <w:iCs/>
                <w:lang w:eastAsia="en-US" w:bidi="ar-SA"/>
              </w:rPr>
              <w:t>Critical energy infrastructure faces a growing volume of cyber-security threats which can have catastrophic societal and economic impacts</w:t>
            </w:r>
            <w:r w:rsidR="00374950">
              <w:rPr>
                <w:i/>
                <w:iCs/>
                <w:lang w:eastAsia="en-US" w:bidi="ar-SA"/>
              </w:rPr>
              <w:t xml:space="preserve">. </w:t>
            </w:r>
            <w:r w:rsidRPr="00C66A01">
              <w:rPr>
                <w:i/>
                <w:iCs/>
                <w:lang w:eastAsia="en-US" w:bidi="ar-SA"/>
              </w:rPr>
              <w:t>Best practice approaches to cyber-security require a multi-layered approach that address different attack vectors</w:t>
            </w:r>
            <w:r w:rsidR="00374950">
              <w:rPr>
                <w:i/>
                <w:iCs/>
                <w:lang w:eastAsia="en-US" w:bidi="ar-SA"/>
              </w:rPr>
              <w:t xml:space="preserve">. </w:t>
            </w:r>
            <w:r w:rsidRPr="00C66A01">
              <w:rPr>
                <w:i/>
                <w:iCs/>
                <w:lang w:eastAsia="en-US" w:bidi="ar-SA"/>
              </w:rPr>
              <w:t>By contrast, a limiting factor across many risk mitigations in the power sector is a primary focus on cyber-based defences, with limited if any focus on ‘non-cyber’ structural vulnerabilities that are rapidly expanding.</w:t>
            </w:r>
          </w:p>
        </w:tc>
      </w:tr>
    </w:tbl>
    <w:p w14:paraId="34C5A4C7" w14:textId="77777777" w:rsidR="00F852CD" w:rsidRPr="00EB2823" w:rsidRDefault="00F852CD" w:rsidP="00954BAC">
      <w:pPr>
        <w:pStyle w:val="Heading4"/>
        <w:numPr>
          <w:ilvl w:val="0"/>
          <w:numId w:val="60"/>
        </w:numPr>
        <w:spacing w:before="240" w:after="120" w:line="264" w:lineRule="auto"/>
        <w:rPr>
          <w:i w:val="0"/>
          <w:iCs w:val="0"/>
        </w:rPr>
      </w:pPr>
      <w:r w:rsidRPr="00EB2823">
        <w:rPr>
          <w:i w:val="0"/>
          <w:iCs w:val="0"/>
        </w:rPr>
        <w:t>Cross Cutting Issue</w:t>
      </w:r>
    </w:p>
    <w:p w14:paraId="33976C75" w14:textId="5D7EF876" w:rsidR="008723B8" w:rsidRDefault="00D302E0" w:rsidP="005F7C17">
      <w:pPr>
        <w:spacing w:before="120" w:after="120" w:line="264" w:lineRule="auto"/>
        <w:rPr>
          <w:lang w:eastAsia="en-US" w:bidi="ar-SA"/>
        </w:rPr>
      </w:pPr>
      <w:r>
        <w:rPr>
          <w:lang w:eastAsia="en-US" w:bidi="ar-SA"/>
        </w:rPr>
        <w:t xml:space="preserve">Around the world, critical energy infrastructure is facing a growing set of </w:t>
      </w:r>
      <w:r w:rsidR="005F7C17">
        <w:rPr>
          <w:lang w:eastAsia="en-US" w:bidi="ar-SA"/>
        </w:rPr>
        <w:t xml:space="preserve">cyber-security threats from </w:t>
      </w:r>
      <w:r w:rsidR="00BC3C9B">
        <w:rPr>
          <w:lang w:eastAsia="en-US" w:bidi="ar-SA"/>
        </w:rPr>
        <w:t>state actors, terrorists, organised crime and amateur hackers</w:t>
      </w:r>
      <w:r w:rsidR="00374950">
        <w:rPr>
          <w:lang w:eastAsia="en-US" w:bidi="ar-SA"/>
        </w:rPr>
        <w:t xml:space="preserve">. </w:t>
      </w:r>
      <w:r w:rsidR="00007821">
        <w:rPr>
          <w:lang w:eastAsia="en-US" w:bidi="ar-SA"/>
        </w:rPr>
        <w:t>Two r</w:t>
      </w:r>
      <w:r w:rsidR="00622D8B">
        <w:rPr>
          <w:lang w:eastAsia="en-US" w:bidi="ar-SA"/>
        </w:rPr>
        <w:t>ecent examples include:</w:t>
      </w:r>
      <w:r w:rsidR="008723B8">
        <w:rPr>
          <w:lang w:eastAsia="en-US" w:bidi="ar-SA"/>
        </w:rPr>
        <w:t xml:space="preserve"> </w:t>
      </w:r>
    </w:p>
    <w:p w14:paraId="23D9407E" w14:textId="23C6B08E" w:rsidR="008723B8" w:rsidRDefault="00622D8B" w:rsidP="00954BAC">
      <w:pPr>
        <w:pStyle w:val="ListParagraph"/>
        <w:numPr>
          <w:ilvl w:val="0"/>
          <w:numId w:val="73"/>
        </w:numPr>
        <w:spacing w:line="264" w:lineRule="auto"/>
        <w:rPr>
          <w:lang w:eastAsia="en-US" w:bidi="ar-SA"/>
        </w:rPr>
      </w:pPr>
      <w:r>
        <w:rPr>
          <w:lang w:eastAsia="en-US" w:bidi="ar-SA"/>
        </w:rPr>
        <w:t>U</w:t>
      </w:r>
      <w:r w:rsidR="000E03C0">
        <w:rPr>
          <w:lang w:eastAsia="en-US" w:bidi="ar-SA"/>
        </w:rPr>
        <w:t xml:space="preserve">kraine’s power systems </w:t>
      </w:r>
      <w:r>
        <w:rPr>
          <w:lang w:eastAsia="en-US" w:bidi="ar-SA"/>
        </w:rPr>
        <w:t xml:space="preserve">were cyberattacked in 2015 and 2016 using </w:t>
      </w:r>
      <w:r w:rsidR="001C1B32" w:rsidRPr="005F7C17">
        <w:rPr>
          <w:lang w:eastAsia="en-US" w:bidi="ar-SA"/>
        </w:rPr>
        <w:t>malware to control and shut down substations</w:t>
      </w:r>
      <w:r w:rsidR="001C1B32">
        <w:rPr>
          <w:lang w:eastAsia="en-US" w:bidi="ar-SA"/>
        </w:rPr>
        <w:t xml:space="preserve">, disrupting </w:t>
      </w:r>
      <w:r w:rsidR="005F7C17" w:rsidRPr="005F7C17">
        <w:rPr>
          <w:lang w:eastAsia="en-US" w:bidi="ar-SA"/>
        </w:rPr>
        <w:t>power to hundreds of thousands</w:t>
      </w:r>
      <w:r w:rsidR="00C4212E">
        <w:rPr>
          <w:lang w:eastAsia="en-US" w:bidi="ar-SA"/>
        </w:rPr>
        <w:t>,</w:t>
      </w:r>
      <w:r w:rsidR="008723B8">
        <w:rPr>
          <w:lang w:eastAsia="en-US" w:bidi="ar-SA"/>
        </w:rPr>
        <w:t xml:space="preserve"> and </w:t>
      </w:r>
    </w:p>
    <w:p w14:paraId="3A4ECA71" w14:textId="41CB87B8" w:rsidR="005F7C17" w:rsidRPr="005F7C17" w:rsidRDefault="00622D8B" w:rsidP="00954BAC">
      <w:pPr>
        <w:pStyle w:val="ListParagraph"/>
        <w:numPr>
          <w:ilvl w:val="0"/>
          <w:numId w:val="73"/>
        </w:numPr>
        <w:spacing w:line="264" w:lineRule="auto"/>
        <w:rPr>
          <w:lang w:eastAsia="en-US" w:bidi="ar-SA"/>
        </w:rPr>
      </w:pPr>
      <w:r>
        <w:rPr>
          <w:lang w:eastAsia="en-US" w:bidi="ar-SA"/>
        </w:rPr>
        <w:t>T</w:t>
      </w:r>
      <w:r w:rsidR="00967478">
        <w:rPr>
          <w:lang w:eastAsia="en-US" w:bidi="ar-SA"/>
        </w:rPr>
        <w:t>he</w:t>
      </w:r>
      <w:r>
        <w:rPr>
          <w:lang w:eastAsia="en-US" w:bidi="ar-SA"/>
        </w:rPr>
        <w:t xml:space="preserve"> 2021 cyberattack on the </w:t>
      </w:r>
      <w:r w:rsidR="005F7C17" w:rsidRPr="005F7C17">
        <w:rPr>
          <w:lang w:eastAsia="en-US" w:bidi="ar-SA"/>
        </w:rPr>
        <w:t xml:space="preserve">Colonial Pipeline </w:t>
      </w:r>
      <w:r w:rsidR="008723B8">
        <w:rPr>
          <w:lang w:eastAsia="en-US" w:bidi="ar-SA"/>
        </w:rPr>
        <w:t>in the United States ex</w:t>
      </w:r>
      <w:r w:rsidR="005F7C17" w:rsidRPr="005F7C17">
        <w:rPr>
          <w:lang w:eastAsia="en-US" w:bidi="ar-SA"/>
        </w:rPr>
        <w:t xml:space="preserve">posed </w:t>
      </w:r>
      <w:r>
        <w:rPr>
          <w:lang w:eastAsia="en-US" w:bidi="ar-SA"/>
        </w:rPr>
        <w:t>how</w:t>
      </w:r>
      <w:r w:rsidR="005F7C17" w:rsidRPr="005F7C17">
        <w:rPr>
          <w:lang w:eastAsia="en-US" w:bidi="ar-SA"/>
        </w:rPr>
        <w:t xml:space="preserve"> interconnected</w:t>
      </w:r>
      <w:r>
        <w:rPr>
          <w:lang w:eastAsia="en-US" w:bidi="ar-SA"/>
        </w:rPr>
        <w:t xml:space="preserve"> </w:t>
      </w:r>
      <w:r w:rsidR="005F7C17" w:rsidRPr="005F7C17">
        <w:rPr>
          <w:lang w:eastAsia="en-US" w:bidi="ar-SA"/>
        </w:rPr>
        <w:t xml:space="preserve">energy systems </w:t>
      </w:r>
      <w:r w:rsidR="00007821">
        <w:rPr>
          <w:lang w:eastAsia="en-US" w:bidi="ar-SA"/>
        </w:rPr>
        <w:t xml:space="preserve">the cascading </w:t>
      </w:r>
      <w:r w:rsidR="005F7C17" w:rsidRPr="005F7C17">
        <w:rPr>
          <w:lang w:eastAsia="en-US" w:bidi="ar-SA"/>
        </w:rPr>
        <w:t>economic impacts</w:t>
      </w:r>
      <w:r w:rsidR="00007821">
        <w:rPr>
          <w:lang w:eastAsia="en-US" w:bidi="ar-SA"/>
        </w:rPr>
        <w:t xml:space="preserve"> of major disruptions. </w:t>
      </w:r>
    </w:p>
    <w:p w14:paraId="76D3130C" w14:textId="2516E3D2" w:rsidR="00C66A01" w:rsidRPr="00391D2B" w:rsidRDefault="00941C63" w:rsidP="00391D2B">
      <w:pPr>
        <w:spacing w:before="120" w:after="120" w:line="264" w:lineRule="auto"/>
        <w:rPr>
          <w:lang w:eastAsia="en-US" w:bidi="ar-SA"/>
        </w:rPr>
      </w:pPr>
      <w:r>
        <w:rPr>
          <w:lang w:eastAsia="en-US" w:bidi="ar-SA"/>
        </w:rPr>
        <w:t>In Australia, t</w:t>
      </w:r>
      <w:r w:rsidR="00F852CD" w:rsidRPr="24F2ACA7">
        <w:rPr>
          <w:lang w:eastAsia="en-US" w:bidi="ar-SA"/>
        </w:rPr>
        <w:t xml:space="preserve">he progressive digitalisation of </w:t>
      </w:r>
      <w:r w:rsidR="00AB039F">
        <w:rPr>
          <w:lang w:eastAsia="en-US" w:bidi="ar-SA"/>
        </w:rPr>
        <w:t>p</w:t>
      </w:r>
      <w:r w:rsidR="00F852CD" w:rsidRPr="24F2ACA7">
        <w:rPr>
          <w:lang w:eastAsia="en-US" w:bidi="ar-SA"/>
        </w:rPr>
        <w:t xml:space="preserve">ower </w:t>
      </w:r>
      <w:r w:rsidR="00AB039F">
        <w:rPr>
          <w:lang w:eastAsia="en-US" w:bidi="ar-SA"/>
        </w:rPr>
        <w:t>s</w:t>
      </w:r>
      <w:r w:rsidR="00F852CD" w:rsidRPr="24F2ACA7">
        <w:rPr>
          <w:lang w:eastAsia="en-US" w:bidi="ar-SA"/>
        </w:rPr>
        <w:t>ystems</w:t>
      </w:r>
      <w:r>
        <w:rPr>
          <w:lang w:eastAsia="en-US" w:bidi="ar-SA"/>
        </w:rPr>
        <w:t xml:space="preserve"> and </w:t>
      </w:r>
      <w:r w:rsidR="00F852CD" w:rsidRPr="24F2ACA7">
        <w:rPr>
          <w:lang w:eastAsia="en-US" w:bidi="ar-SA"/>
        </w:rPr>
        <w:t xml:space="preserve">the rapid emergence of millions of </w:t>
      </w:r>
      <w:r w:rsidR="004554F1">
        <w:rPr>
          <w:lang w:eastAsia="en-US" w:bidi="ar-SA"/>
        </w:rPr>
        <w:t>CER/DER</w:t>
      </w:r>
      <w:r w:rsidR="00F852CD" w:rsidRPr="24F2ACA7">
        <w:rPr>
          <w:lang w:eastAsia="en-US" w:bidi="ar-SA"/>
        </w:rPr>
        <w:t xml:space="preserve"> presents </w:t>
      </w:r>
      <w:r w:rsidR="00D41532">
        <w:rPr>
          <w:lang w:eastAsia="en-US" w:bidi="ar-SA"/>
        </w:rPr>
        <w:t>major</w:t>
      </w:r>
      <w:r w:rsidR="00F852CD" w:rsidRPr="24F2ACA7">
        <w:rPr>
          <w:lang w:eastAsia="en-US" w:bidi="ar-SA"/>
        </w:rPr>
        <w:t xml:space="preserve"> cyber-security challenges for the sector</w:t>
      </w:r>
      <w:r w:rsidR="00374950">
        <w:rPr>
          <w:lang w:eastAsia="en-US" w:bidi="ar-SA"/>
        </w:rPr>
        <w:t xml:space="preserve">. </w:t>
      </w:r>
      <w:r w:rsidR="00F852CD" w:rsidRPr="24F2ACA7">
        <w:rPr>
          <w:lang w:eastAsia="en-US" w:bidi="ar-SA"/>
        </w:rPr>
        <w:t xml:space="preserve">Increasingly inter-dependent </w:t>
      </w:r>
      <w:r w:rsidR="00AB039F">
        <w:rPr>
          <w:lang w:eastAsia="en-US" w:bidi="ar-SA"/>
        </w:rPr>
        <w:t>p</w:t>
      </w:r>
      <w:r w:rsidR="00F852CD" w:rsidRPr="24F2ACA7">
        <w:rPr>
          <w:lang w:eastAsia="en-US" w:bidi="ar-SA"/>
        </w:rPr>
        <w:t xml:space="preserve">ower </w:t>
      </w:r>
      <w:r w:rsidR="00AB039F">
        <w:rPr>
          <w:lang w:eastAsia="en-US" w:bidi="ar-SA"/>
        </w:rPr>
        <w:t>s</w:t>
      </w:r>
      <w:r w:rsidR="00F852CD" w:rsidRPr="24F2ACA7">
        <w:rPr>
          <w:lang w:eastAsia="en-US" w:bidi="ar-SA"/>
        </w:rPr>
        <w:t xml:space="preserve">ystems that involve an expanding </w:t>
      </w:r>
      <w:r w:rsidR="00B137D5">
        <w:rPr>
          <w:lang w:eastAsia="en-US" w:bidi="ar-SA"/>
        </w:rPr>
        <w:t>range</w:t>
      </w:r>
      <w:r w:rsidR="00F852CD" w:rsidRPr="24F2ACA7">
        <w:rPr>
          <w:lang w:eastAsia="en-US" w:bidi="ar-SA"/>
        </w:rPr>
        <w:t xml:space="preserve"> of participating entities, data volumes and communication systems is significantly more vulnerable to malicious cyber-attack</w:t>
      </w:r>
      <w:r w:rsidR="00374950">
        <w:rPr>
          <w:lang w:eastAsia="en-US" w:bidi="ar-SA"/>
        </w:rPr>
        <w:t xml:space="preserve">. </w:t>
      </w:r>
    </w:p>
    <w:p w14:paraId="4C323CDB" w14:textId="0BC099A5" w:rsidR="00F852CD" w:rsidRPr="00EB2823" w:rsidRDefault="00F852CD" w:rsidP="00954BAC">
      <w:pPr>
        <w:pStyle w:val="Heading4"/>
        <w:numPr>
          <w:ilvl w:val="0"/>
          <w:numId w:val="60"/>
        </w:numPr>
        <w:spacing w:before="240" w:after="120" w:line="264" w:lineRule="auto"/>
        <w:rPr>
          <w:i w:val="0"/>
          <w:iCs w:val="0"/>
        </w:rPr>
      </w:pPr>
      <w:r w:rsidRPr="00EB2823">
        <w:rPr>
          <w:i w:val="0"/>
          <w:iCs w:val="0"/>
        </w:rPr>
        <w:t>Contributing Factors</w:t>
      </w:r>
    </w:p>
    <w:p w14:paraId="3E55686A" w14:textId="77777777" w:rsidR="00F852CD" w:rsidRPr="00831957" w:rsidRDefault="00F852CD" w:rsidP="00EB2823">
      <w:pPr>
        <w:spacing w:before="180" w:after="120" w:line="264" w:lineRule="auto"/>
        <w:rPr>
          <w:rStyle w:val="IntenseEmphasis"/>
        </w:rPr>
      </w:pPr>
      <w:r w:rsidRPr="00831957">
        <w:rPr>
          <w:rStyle w:val="IntenseEmphasis"/>
        </w:rPr>
        <w:t>Expanding Range of Cyber-attack Vectors</w:t>
      </w:r>
    </w:p>
    <w:p w14:paraId="6D936F97" w14:textId="1229C23E" w:rsidR="00F852CD" w:rsidRPr="002C72C2" w:rsidRDefault="00F852CD" w:rsidP="00EB2823">
      <w:pPr>
        <w:spacing w:before="120" w:after="120" w:line="264" w:lineRule="auto"/>
        <w:rPr>
          <w:lang w:eastAsia="en-US" w:bidi="ar-SA"/>
        </w:rPr>
      </w:pPr>
      <w:r w:rsidRPr="002C72C2">
        <w:rPr>
          <w:lang w:eastAsia="en-US" w:bidi="ar-SA"/>
        </w:rPr>
        <w:t xml:space="preserve">Power </w:t>
      </w:r>
      <w:r w:rsidR="00830AD9">
        <w:rPr>
          <w:lang w:eastAsia="en-US" w:bidi="ar-SA"/>
        </w:rPr>
        <w:t>s</w:t>
      </w:r>
      <w:r w:rsidRPr="002C72C2">
        <w:rPr>
          <w:lang w:eastAsia="en-US" w:bidi="ar-SA"/>
        </w:rPr>
        <w:t>ystems fac</w:t>
      </w:r>
      <w:r w:rsidR="008717CE">
        <w:rPr>
          <w:lang w:eastAsia="en-US" w:bidi="ar-SA"/>
        </w:rPr>
        <w:t>e</w:t>
      </w:r>
      <w:r w:rsidRPr="002C72C2">
        <w:rPr>
          <w:lang w:eastAsia="en-US" w:bidi="ar-SA"/>
        </w:rPr>
        <w:t xml:space="preserve"> an entirely new scale of cyber-security challenges as they become increasingly inter-dependent and interconnected</w:t>
      </w:r>
      <w:r w:rsidR="00374950">
        <w:rPr>
          <w:lang w:eastAsia="en-US" w:bidi="ar-SA"/>
        </w:rPr>
        <w:t xml:space="preserve">. </w:t>
      </w:r>
      <w:r w:rsidRPr="002C72C2">
        <w:rPr>
          <w:lang w:eastAsia="en-US" w:bidi="ar-SA"/>
        </w:rPr>
        <w:t xml:space="preserve">Both progressive digitalisation and the rapid diffusion of </w:t>
      </w:r>
      <w:r w:rsidR="007A3C74" w:rsidRPr="002C72C2">
        <w:rPr>
          <w:lang w:eastAsia="en-US" w:bidi="ar-SA"/>
        </w:rPr>
        <w:t>CER/DER</w:t>
      </w:r>
      <w:r w:rsidRPr="002C72C2">
        <w:rPr>
          <w:lang w:eastAsia="en-US" w:bidi="ar-SA"/>
        </w:rPr>
        <w:t xml:space="preserve"> involves an expanding range of participating entities, exponential increases in data volumes, and a wide diversity of communication systems</w:t>
      </w:r>
      <w:r w:rsidR="00374950">
        <w:rPr>
          <w:lang w:eastAsia="en-US" w:bidi="ar-SA"/>
        </w:rPr>
        <w:t xml:space="preserve">. </w:t>
      </w:r>
      <w:r w:rsidRPr="002C72C2">
        <w:rPr>
          <w:lang w:eastAsia="en-US" w:bidi="ar-SA"/>
        </w:rPr>
        <w:t xml:space="preserve">Such a system is, by definition, significantly more vulnerable to malicious cyber-attack and non-malicious cyber-fragility. </w:t>
      </w:r>
      <w:r w:rsidR="00AD5137">
        <w:rPr>
          <w:lang w:eastAsia="en-US" w:bidi="ar-SA"/>
        </w:rPr>
        <w:t xml:space="preserve">In this context, </w:t>
      </w:r>
      <w:r w:rsidR="00145250">
        <w:rPr>
          <w:lang w:eastAsia="en-US" w:bidi="ar-SA"/>
        </w:rPr>
        <w:t xml:space="preserve">existing SCADA and DERM systems </w:t>
      </w:r>
      <w:r w:rsidR="005575A9">
        <w:rPr>
          <w:lang w:eastAsia="en-US" w:bidi="ar-SA"/>
        </w:rPr>
        <w:t>will</w:t>
      </w:r>
      <w:r w:rsidR="00FD00AF">
        <w:rPr>
          <w:lang w:eastAsia="en-US" w:bidi="ar-SA"/>
        </w:rPr>
        <w:t xml:space="preserve"> require integration with external systems, security, and interoperability standards to </w:t>
      </w:r>
      <w:r w:rsidR="00791258">
        <w:rPr>
          <w:lang w:eastAsia="en-US" w:bidi="ar-SA"/>
        </w:rPr>
        <w:t>ensure their functionality is not undermined by</w:t>
      </w:r>
      <w:r w:rsidR="00CB4184">
        <w:rPr>
          <w:lang w:eastAsia="en-US" w:bidi="ar-SA"/>
        </w:rPr>
        <w:t xml:space="preserve"> vulnerabilities to</w:t>
      </w:r>
      <w:r w:rsidR="00791258">
        <w:rPr>
          <w:lang w:eastAsia="en-US" w:bidi="ar-SA"/>
        </w:rPr>
        <w:t xml:space="preserve"> </w:t>
      </w:r>
      <w:r w:rsidR="00CB4184">
        <w:rPr>
          <w:lang w:eastAsia="en-US" w:bidi="ar-SA"/>
        </w:rPr>
        <w:t>cyber-attack.</w:t>
      </w:r>
      <w:r w:rsidRPr="002C72C2">
        <w:rPr>
          <w:lang w:eastAsia="en-US" w:bidi="ar-SA"/>
        </w:rPr>
        <w:t xml:space="preserve"> </w:t>
      </w:r>
    </w:p>
    <w:p w14:paraId="4C2CDFD4" w14:textId="2241211E" w:rsidR="00F852CD" w:rsidRPr="002C72C2" w:rsidRDefault="00F852CD" w:rsidP="00EB2823">
      <w:pPr>
        <w:spacing w:before="120" w:after="120" w:line="264" w:lineRule="auto"/>
        <w:rPr>
          <w:lang w:eastAsia="en-US" w:bidi="ar-SA"/>
        </w:rPr>
      </w:pPr>
      <w:r w:rsidRPr="002C72C2">
        <w:rPr>
          <w:lang w:eastAsia="en-US" w:bidi="ar-SA"/>
        </w:rPr>
        <w:t xml:space="preserve">All future scenarios of Australia’s </w:t>
      </w:r>
      <w:r w:rsidR="005A3101">
        <w:rPr>
          <w:lang w:eastAsia="en-US" w:bidi="ar-SA"/>
        </w:rPr>
        <w:t>p</w:t>
      </w:r>
      <w:r w:rsidRPr="002C72C2">
        <w:rPr>
          <w:lang w:eastAsia="en-US" w:bidi="ar-SA"/>
        </w:rPr>
        <w:t xml:space="preserve">ower </w:t>
      </w:r>
      <w:r w:rsidR="005A3101">
        <w:rPr>
          <w:lang w:eastAsia="en-US" w:bidi="ar-SA"/>
        </w:rPr>
        <w:t>s</w:t>
      </w:r>
      <w:r w:rsidRPr="002C72C2">
        <w:rPr>
          <w:lang w:eastAsia="en-US" w:bidi="ar-SA"/>
        </w:rPr>
        <w:t xml:space="preserve">ystem transition anticipate the continued deployment of </w:t>
      </w:r>
      <w:r w:rsidR="00830AD9">
        <w:rPr>
          <w:lang w:eastAsia="en-US" w:bidi="ar-SA"/>
        </w:rPr>
        <w:t xml:space="preserve">both digitalisation and </w:t>
      </w:r>
      <w:r w:rsidR="007A3C74" w:rsidRPr="002C72C2">
        <w:rPr>
          <w:lang w:eastAsia="en-US" w:bidi="ar-SA"/>
        </w:rPr>
        <w:t>CER/DER</w:t>
      </w:r>
      <w:r w:rsidRPr="002C72C2">
        <w:rPr>
          <w:lang w:eastAsia="en-US" w:bidi="ar-SA"/>
        </w:rPr>
        <w:t xml:space="preserve"> at scale. While this brings with it numerous opportunities for </w:t>
      </w:r>
      <w:r w:rsidR="007A3C74" w:rsidRPr="002C72C2">
        <w:rPr>
          <w:lang w:eastAsia="en-US" w:bidi="ar-SA"/>
        </w:rPr>
        <w:t>CER/DER</w:t>
      </w:r>
      <w:r w:rsidRPr="002C72C2">
        <w:rPr>
          <w:lang w:eastAsia="en-US" w:bidi="ar-SA"/>
        </w:rPr>
        <w:t xml:space="preserve"> to provide a range of valuable grid services, it also involves growing </w:t>
      </w:r>
      <w:r w:rsidR="00344165" w:rsidRPr="002C72C2">
        <w:rPr>
          <w:lang w:eastAsia="en-US" w:bidi="ar-SA"/>
        </w:rPr>
        <w:t>dependence</w:t>
      </w:r>
      <w:r w:rsidRPr="002C72C2">
        <w:rPr>
          <w:lang w:eastAsia="en-US" w:bidi="ar-SA"/>
        </w:rPr>
        <w:t xml:space="preserve"> on these devices and the communications networks that connect them, including the internet. </w:t>
      </w:r>
    </w:p>
    <w:p w14:paraId="7093981D" w14:textId="56174378" w:rsidR="00F852CD" w:rsidRPr="002C72C2" w:rsidRDefault="00F852CD" w:rsidP="00EB2823">
      <w:pPr>
        <w:spacing w:before="120" w:after="120" w:line="264" w:lineRule="auto"/>
        <w:rPr>
          <w:lang w:eastAsia="en-US" w:bidi="ar-SA"/>
        </w:rPr>
      </w:pPr>
      <w:r w:rsidRPr="002C72C2">
        <w:rPr>
          <w:lang w:eastAsia="en-US" w:bidi="ar-SA"/>
        </w:rPr>
        <w:t xml:space="preserve">Such configurations present a significant shift from the traditional </w:t>
      </w:r>
      <w:r w:rsidR="00344165" w:rsidRPr="002C72C2">
        <w:rPr>
          <w:lang w:eastAsia="en-US" w:bidi="ar-SA"/>
        </w:rPr>
        <w:t>dependence</w:t>
      </w:r>
      <w:r w:rsidRPr="002C72C2">
        <w:rPr>
          <w:lang w:eastAsia="en-US" w:bidi="ar-SA"/>
        </w:rPr>
        <w:t xml:space="preserve"> on dedicated industrial communications infrastructure such as SCADA control systems architectures</w:t>
      </w:r>
      <w:r w:rsidR="00374950">
        <w:rPr>
          <w:lang w:eastAsia="en-US" w:bidi="ar-SA"/>
        </w:rPr>
        <w:t xml:space="preserve">. </w:t>
      </w:r>
      <w:r w:rsidRPr="002C72C2">
        <w:rPr>
          <w:lang w:eastAsia="en-US" w:bidi="ar-SA"/>
        </w:rPr>
        <w:t xml:space="preserve">It transforms significant aspects of the </w:t>
      </w:r>
      <w:r w:rsidR="005A3101">
        <w:rPr>
          <w:lang w:eastAsia="en-US" w:bidi="ar-SA"/>
        </w:rPr>
        <w:t>p</w:t>
      </w:r>
      <w:r w:rsidRPr="002C72C2">
        <w:rPr>
          <w:lang w:eastAsia="en-US" w:bidi="ar-SA"/>
        </w:rPr>
        <w:t xml:space="preserve">ower </w:t>
      </w:r>
      <w:r w:rsidR="005A3101">
        <w:rPr>
          <w:lang w:eastAsia="en-US" w:bidi="ar-SA"/>
        </w:rPr>
        <w:t>s</w:t>
      </w:r>
      <w:r w:rsidRPr="002C72C2">
        <w:rPr>
          <w:lang w:eastAsia="en-US" w:bidi="ar-SA"/>
        </w:rPr>
        <w:t>ystem from a closed to an open system comprised of many diverse, autonomous and self-interested entities</w:t>
      </w:r>
      <w:r w:rsidR="00374950">
        <w:rPr>
          <w:lang w:eastAsia="en-US" w:bidi="ar-SA"/>
        </w:rPr>
        <w:t xml:space="preserve">. </w:t>
      </w:r>
      <w:r w:rsidRPr="002C72C2">
        <w:rPr>
          <w:lang w:eastAsia="en-US" w:bidi="ar-SA"/>
        </w:rPr>
        <w:t xml:space="preserve">For example, this will include the MSO, DNSPs, TNSPs, </w:t>
      </w:r>
      <w:r w:rsidR="005A3101">
        <w:rPr>
          <w:lang w:eastAsia="en-US" w:bidi="ar-SA"/>
        </w:rPr>
        <w:t>e</w:t>
      </w:r>
      <w:r w:rsidRPr="002C72C2">
        <w:rPr>
          <w:lang w:eastAsia="en-US" w:bidi="ar-SA"/>
        </w:rPr>
        <w:t xml:space="preserve">nergy </w:t>
      </w:r>
      <w:r w:rsidR="005A3101">
        <w:rPr>
          <w:lang w:eastAsia="en-US" w:bidi="ar-SA"/>
        </w:rPr>
        <w:t>r</w:t>
      </w:r>
      <w:r w:rsidRPr="002C72C2">
        <w:rPr>
          <w:lang w:eastAsia="en-US" w:bidi="ar-SA"/>
        </w:rPr>
        <w:t xml:space="preserve">etailers, </w:t>
      </w:r>
      <w:r w:rsidR="005A3101">
        <w:rPr>
          <w:lang w:eastAsia="en-US" w:bidi="ar-SA"/>
        </w:rPr>
        <w:t>a</w:t>
      </w:r>
      <w:r w:rsidRPr="002C72C2">
        <w:rPr>
          <w:lang w:eastAsia="en-US" w:bidi="ar-SA"/>
        </w:rPr>
        <w:t xml:space="preserve">ggregators, </w:t>
      </w:r>
      <w:r w:rsidR="005A3101">
        <w:rPr>
          <w:lang w:eastAsia="en-US" w:bidi="ar-SA"/>
        </w:rPr>
        <w:t>t</w:t>
      </w:r>
      <w:r w:rsidRPr="002C72C2">
        <w:rPr>
          <w:lang w:eastAsia="en-US" w:bidi="ar-SA"/>
        </w:rPr>
        <w:t xml:space="preserve">echnology OEMs, DER owners, etc.; all of which are dependent on a range of communication channels. </w:t>
      </w:r>
    </w:p>
    <w:p w14:paraId="693F710A" w14:textId="525CCC2F" w:rsidR="00F852CD" w:rsidRPr="002C72C2" w:rsidRDefault="00F852CD" w:rsidP="00EB2823">
      <w:pPr>
        <w:spacing w:before="120" w:after="120" w:line="264" w:lineRule="auto"/>
        <w:rPr>
          <w:lang w:eastAsia="en-US" w:bidi="ar-SA"/>
        </w:rPr>
      </w:pPr>
      <w:r w:rsidRPr="002C72C2">
        <w:rPr>
          <w:lang w:eastAsia="en-US" w:bidi="ar-SA"/>
        </w:rPr>
        <w:t xml:space="preserve">This transition introduces several vulnerabilities. First, the </w:t>
      </w:r>
      <w:r w:rsidR="004F24CB" w:rsidRPr="002C72C2">
        <w:rPr>
          <w:lang w:eastAsia="en-US" w:bidi="ar-SA"/>
        </w:rPr>
        <w:t>p</w:t>
      </w:r>
      <w:r w:rsidRPr="002C72C2">
        <w:rPr>
          <w:lang w:eastAsia="en-US" w:bidi="ar-SA"/>
        </w:rPr>
        <w:t xml:space="preserve">ower </w:t>
      </w:r>
      <w:r w:rsidR="004F24CB" w:rsidRPr="002C72C2">
        <w:rPr>
          <w:lang w:eastAsia="en-US" w:bidi="ar-SA"/>
        </w:rPr>
        <w:t>s</w:t>
      </w:r>
      <w:r w:rsidRPr="002C72C2">
        <w:rPr>
          <w:lang w:eastAsia="en-US" w:bidi="ar-SA"/>
        </w:rPr>
        <w:t xml:space="preserve">ystem will become much more vulnerable to disruptions to communications networks, whether they be malevolent or accidental. Second, it will be at risk to cyber-attacks conducted via </w:t>
      </w:r>
      <w:r w:rsidR="007A3C74" w:rsidRPr="002C72C2">
        <w:rPr>
          <w:lang w:eastAsia="en-US" w:bidi="ar-SA"/>
        </w:rPr>
        <w:t>CER/DER</w:t>
      </w:r>
      <w:r w:rsidRPr="002C72C2">
        <w:rPr>
          <w:lang w:eastAsia="en-US" w:bidi="ar-SA"/>
        </w:rPr>
        <w:t>-related communications networks. These might be denial of service attacks or attempts to modify software or setpoints for the attackers’ benefit</w:t>
      </w:r>
      <w:r w:rsidR="00374950">
        <w:rPr>
          <w:lang w:eastAsia="en-US" w:bidi="ar-SA"/>
        </w:rPr>
        <w:t xml:space="preserve">. </w:t>
      </w:r>
      <w:r w:rsidRPr="002C72C2">
        <w:rPr>
          <w:lang w:eastAsia="en-US" w:bidi="ar-SA"/>
        </w:rPr>
        <w:t xml:space="preserve">Alternatively, they may be attempts to extract valuable information about energy customers, system infrastructure, energy service providers or other </w:t>
      </w:r>
      <w:r w:rsidR="004F24CB" w:rsidRPr="002C72C2">
        <w:rPr>
          <w:lang w:eastAsia="en-US" w:bidi="ar-SA"/>
        </w:rPr>
        <w:t>p</w:t>
      </w:r>
      <w:r w:rsidRPr="002C72C2">
        <w:rPr>
          <w:lang w:eastAsia="en-US" w:bidi="ar-SA"/>
        </w:rPr>
        <w:t xml:space="preserve">ower </w:t>
      </w:r>
      <w:r w:rsidR="004F24CB" w:rsidRPr="002C72C2">
        <w:rPr>
          <w:lang w:eastAsia="en-US" w:bidi="ar-SA"/>
        </w:rPr>
        <w:t>s</w:t>
      </w:r>
      <w:r w:rsidRPr="002C72C2">
        <w:rPr>
          <w:lang w:eastAsia="en-US" w:bidi="ar-SA"/>
        </w:rPr>
        <w:t xml:space="preserve">ystem stakeholders. Third, the abundance of </w:t>
      </w:r>
      <w:r w:rsidR="007A3C74" w:rsidRPr="002C72C2">
        <w:rPr>
          <w:lang w:eastAsia="en-US" w:bidi="ar-SA"/>
        </w:rPr>
        <w:t>CER/DER</w:t>
      </w:r>
      <w:r w:rsidRPr="002C72C2">
        <w:rPr>
          <w:lang w:eastAsia="en-US" w:bidi="ar-SA"/>
        </w:rPr>
        <w:t xml:space="preserve"> will also be susceptible to software errors propagating through the system, such as bugs in firmware updates or systematic connection code violations, rendering large numbers unpredictable or unusable</w:t>
      </w:r>
      <w:r w:rsidR="00374950">
        <w:rPr>
          <w:lang w:eastAsia="en-US" w:bidi="ar-SA"/>
        </w:rPr>
        <w:t xml:space="preserve">. </w:t>
      </w:r>
    </w:p>
    <w:p w14:paraId="366AA570" w14:textId="73CA5388" w:rsidR="00F852CD" w:rsidRPr="00831957" w:rsidRDefault="00F852CD" w:rsidP="00EB2823">
      <w:pPr>
        <w:spacing w:before="180" w:after="120" w:line="264" w:lineRule="auto"/>
        <w:rPr>
          <w:rStyle w:val="IntenseEmphasis"/>
        </w:rPr>
      </w:pPr>
      <w:r w:rsidRPr="00831957">
        <w:rPr>
          <w:rStyle w:val="IntenseEmphasis"/>
        </w:rPr>
        <w:t xml:space="preserve">Non-cyber Structural Considerations Critical for Layered </w:t>
      </w:r>
      <w:r w:rsidR="00344165" w:rsidRPr="00831957">
        <w:rPr>
          <w:rStyle w:val="IntenseEmphasis"/>
        </w:rPr>
        <w:t>Defences</w:t>
      </w:r>
      <w:r w:rsidRPr="00831957">
        <w:rPr>
          <w:rStyle w:val="IntenseEmphasis"/>
        </w:rPr>
        <w:t xml:space="preserve"> </w:t>
      </w:r>
    </w:p>
    <w:p w14:paraId="34598ECF" w14:textId="0D8F5443" w:rsidR="00F852CD" w:rsidRPr="002C72C2" w:rsidRDefault="00F852CD" w:rsidP="00EB2823">
      <w:pPr>
        <w:spacing w:before="120" w:after="120" w:line="264" w:lineRule="auto"/>
        <w:rPr>
          <w:lang w:eastAsia="en-US" w:bidi="ar-SA"/>
        </w:rPr>
      </w:pPr>
      <w:r w:rsidRPr="002C72C2">
        <w:rPr>
          <w:lang w:eastAsia="en-US" w:bidi="ar-SA"/>
        </w:rPr>
        <w:t xml:space="preserve">The major commonality across </w:t>
      </w:r>
      <w:r w:rsidR="00502BA7">
        <w:rPr>
          <w:lang w:eastAsia="en-US" w:bidi="ar-SA"/>
        </w:rPr>
        <w:t>most current</w:t>
      </w:r>
      <w:r w:rsidRPr="002C72C2">
        <w:rPr>
          <w:lang w:eastAsia="en-US" w:bidi="ar-SA"/>
        </w:rPr>
        <w:t xml:space="preserve"> mitigation approaches is that they are all cyber-based</w:t>
      </w:r>
      <w:r w:rsidR="00374950">
        <w:rPr>
          <w:lang w:eastAsia="en-US" w:bidi="ar-SA"/>
        </w:rPr>
        <w:t xml:space="preserve">. </w:t>
      </w:r>
      <w:r w:rsidRPr="002C72C2">
        <w:rPr>
          <w:lang w:eastAsia="en-US" w:bidi="ar-SA"/>
        </w:rPr>
        <w:t>As recent history has demonstrated, however, while these steps are essential, they cannot entirely guarantee cyber-security</w:t>
      </w:r>
      <w:r w:rsidR="00374950">
        <w:rPr>
          <w:lang w:eastAsia="en-US" w:bidi="ar-SA"/>
        </w:rPr>
        <w:t xml:space="preserve">. </w:t>
      </w:r>
      <w:r w:rsidRPr="002C72C2">
        <w:rPr>
          <w:lang w:eastAsia="en-US" w:bidi="ar-SA"/>
        </w:rPr>
        <w:t xml:space="preserve">In all cases, best practice requires that a layered approach, including multiple classes of </w:t>
      </w:r>
      <w:r w:rsidR="00D93BA7" w:rsidRPr="002C72C2">
        <w:rPr>
          <w:lang w:eastAsia="en-US" w:bidi="ar-SA"/>
        </w:rPr>
        <w:t>defences</w:t>
      </w:r>
      <w:r w:rsidRPr="002C72C2">
        <w:rPr>
          <w:lang w:eastAsia="en-US" w:bidi="ar-SA"/>
        </w:rPr>
        <w:t>, should be applied</w:t>
      </w:r>
      <w:r w:rsidR="00374950">
        <w:rPr>
          <w:lang w:eastAsia="en-US" w:bidi="ar-SA"/>
        </w:rPr>
        <w:t xml:space="preserve">. </w:t>
      </w:r>
    </w:p>
    <w:p w14:paraId="22A1D069" w14:textId="1738EC84" w:rsidR="00F852CD" w:rsidRDefault="00F852CD" w:rsidP="00392D7F">
      <w:pPr>
        <w:spacing w:before="120" w:after="120" w:line="264" w:lineRule="auto"/>
        <w:rPr>
          <w:lang w:eastAsia="en-US" w:bidi="ar-SA"/>
        </w:rPr>
      </w:pPr>
      <w:r w:rsidRPr="002C72C2">
        <w:rPr>
          <w:lang w:eastAsia="en-US" w:bidi="ar-SA"/>
        </w:rPr>
        <w:t xml:space="preserve">One such layer of </w:t>
      </w:r>
      <w:r w:rsidR="00D93BA7" w:rsidRPr="002C72C2">
        <w:rPr>
          <w:lang w:eastAsia="en-US" w:bidi="ar-SA"/>
        </w:rPr>
        <w:t>defence</w:t>
      </w:r>
      <w:r w:rsidRPr="002C72C2">
        <w:rPr>
          <w:lang w:eastAsia="en-US" w:bidi="ar-SA"/>
        </w:rPr>
        <w:t xml:space="preserve"> which is often overlooked is the identification of critical weaknesses created by how data flows are routed, and through which entities and internal systems</w:t>
      </w:r>
      <w:r w:rsidR="00374950">
        <w:rPr>
          <w:lang w:eastAsia="en-US" w:bidi="ar-SA"/>
        </w:rPr>
        <w:t xml:space="preserve">. </w:t>
      </w:r>
      <w:r w:rsidRPr="002C72C2">
        <w:rPr>
          <w:lang w:eastAsia="en-US" w:bidi="ar-SA"/>
        </w:rPr>
        <w:t xml:space="preserve">These </w:t>
      </w:r>
      <w:r w:rsidR="00A33647">
        <w:rPr>
          <w:lang w:eastAsia="en-US" w:bidi="ar-SA"/>
        </w:rPr>
        <w:t>organisational</w:t>
      </w:r>
      <w:r w:rsidRPr="002C72C2">
        <w:rPr>
          <w:lang w:eastAsia="en-US" w:bidi="ar-SA"/>
        </w:rPr>
        <w:t xml:space="preserve"> considerations can result in serious </w:t>
      </w:r>
      <w:r w:rsidR="00A33647">
        <w:rPr>
          <w:lang w:eastAsia="en-US" w:bidi="ar-SA"/>
        </w:rPr>
        <w:t>vulnerabilities, and a</w:t>
      </w:r>
      <w:r w:rsidRPr="002C72C2">
        <w:rPr>
          <w:lang w:eastAsia="en-US" w:bidi="ar-SA"/>
        </w:rPr>
        <w:t>ddressing this critical gap in Australia’s security considerations will require the mapping of cyber-physical relationships and data flows that are</w:t>
      </w:r>
      <w:r w:rsidR="00B52018">
        <w:rPr>
          <w:lang w:eastAsia="en-US" w:bidi="ar-SA"/>
        </w:rPr>
        <w:t xml:space="preserve"> institutionally</w:t>
      </w:r>
      <w:r w:rsidRPr="002C72C2">
        <w:rPr>
          <w:lang w:eastAsia="en-US" w:bidi="ar-SA"/>
        </w:rPr>
        <w:t xml:space="preserve"> embedded in the legacy </w:t>
      </w:r>
      <w:r w:rsidR="00D2544B" w:rsidRPr="002C72C2">
        <w:rPr>
          <w:lang w:eastAsia="en-US" w:bidi="ar-SA"/>
        </w:rPr>
        <w:t>p</w:t>
      </w:r>
      <w:r w:rsidRPr="002C72C2">
        <w:rPr>
          <w:lang w:eastAsia="en-US" w:bidi="ar-SA"/>
        </w:rPr>
        <w:t xml:space="preserve">ower </w:t>
      </w:r>
      <w:r w:rsidR="00D2544B" w:rsidRPr="002C72C2">
        <w:rPr>
          <w:lang w:eastAsia="en-US" w:bidi="ar-SA"/>
        </w:rPr>
        <w:t>s</w:t>
      </w:r>
      <w:r w:rsidRPr="002C72C2">
        <w:rPr>
          <w:lang w:eastAsia="en-US" w:bidi="ar-SA"/>
        </w:rPr>
        <w:t xml:space="preserve">ystem. </w:t>
      </w:r>
    </w:p>
    <w:p w14:paraId="04106FDB" w14:textId="4BB95AB5" w:rsidR="006200E7" w:rsidRPr="002C72C2" w:rsidRDefault="006200E7" w:rsidP="00392D7F">
      <w:pPr>
        <w:spacing w:before="120" w:after="120" w:line="264" w:lineRule="auto"/>
        <w:rPr>
          <w:lang w:eastAsia="en-US" w:bidi="ar-SA"/>
        </w:rPr>
      </w:pPr>
      <w:r w:rsidRPr="006200E7">
        <w:rPr>
          <w:lang w:eastAsia="en-US" w:bidi="ar-SA"/>
        </w:rPr>
        <w:t xml:space="preserve">Cyber security </w:t>
      </w:r>
      <w:r>
        <w:rPr>
          <w:lang w:eastAsia="en-US" w:bidi="ar-SA"/>
        </w:rPr>
        <w:t xml:space="preserve">in this context </w:t>
      </w:r>
      <w:r w:rsidRPr="006200E7">
        <w:rPr>
          <w:lang w:eastAsia="en-US" w:bidi="ar-SA"/>
        </w:rPr>
        <w:t>extends to any third</w:t>
      </w:r>
      <w:r w:rsidRPr="006200E7">
        <w:rPr>
          <w:rFonts w:ascii="Calibri" w:hAnsi="Calibri" w:cs="Calibri"/>
          <w:lang w:eastAsia="en-US" w:bidi="ar-SA"/>
        </w:rPr>
        <w:t> </w:t>
      </w:r>
      <w:r w:rsidRPr="006200E7">
        <w:rPr>
          <w:lang w:eastAsia="en-US" w:bidi="ar-SA"/>
        </w:rPr>
        <w:t>parties that</w:t>
      </w:r>
      <w:r w:rsidRPr="006200E7">
        <w:rPr>
          <w:rFonts w:ascii="Calibri" w:hAnsi="Calibri" w:cs="Calibri"/>
          <w:lang w:eastAsia="en-US" w:bidi="ar-SA"/>
        </w:rPr>
        <w:t> </w:t>
      </w:r>
      <w:r w:rsidRPr="006200E7">
        <w:rPr>
          <w:lang w:eastAsia="en-US" w:bidi="ar-SA"/>
        </w:rPr>
        <w:t>will have access to sensitive</w:t>
      </w:r>
      <w:r w:rsidRPr="006200E7">
        <w:rPr>
          <w:rFonts w:ascii="Calibri" w:hAnsi="Calibri" w:cs="Calibri"/>
          <w:lang w:eastAsia="en-US" w:bidi="ar-SA"/>
        </w:rPr>
        <w:t> </w:t>
      </w:r>
      <w:r w:rsidRPr="006200E7">
        <w:rPr>
          <w:lang w:eastAsia="en-US" w:bidi="ar-SA"/>
        </w:rPr>
        <w:t>grid data or connectivity to any utility</w:t>
      </w:r>
      <w:r w:rsidRPr="006200E7">
        <w:rPr>
          <w:rFonts w:ascii="Calibri" w:hAnsi="Calibri" w:cs="Calibri"/>
          <w:lang w:eastAsia="en-US" w:bidi="ar-SA"/>
        </w:rPr>
        <w:t> </w:t>
      </w:r>
      <w:r w:rsidRPr="006200E7">
        <w:rPr>
          <w:lang w:eastAsia="en-US" w:bidi="ar-SA"/>
        </w:rPr>
        <w:t>systems. Since people are key factors in the various cyber security processes, it is necessary</w:t>
      </w:r>
      <w:r w:rsidRPr="006200E7">
        <w:rPr>
          <w:rFonts w:ascii="Calibri" w:hAnsi="Calibri" w:cs="Calibri"/>
          <w:lang w:eastAsia="en-US" w:bidi="ar-SA"/>
        </w:rPr>
        <w:t> </w:t>
      </w:r>
      <w:r w:rsidRPr="006200E7">
        <w:rPr>
          <w:lang w:eastAsia="en-US" w:bidi="ar-SA"/>
        </w:rPr>
        <w:t>to understand the staffing and training</w:t>
      </w:r>
      <w:r w:rsidRPr="006200E7">
        <w:rPr>
          <w:rFonts w:ascii="Calibri" w:hAnsi="Calibri" w:cs="Calibri"/>
          <w:lang w:eastAsia="en-US" w:bidi="ar-SA"/>
        </w:rPr>
        <w:t> </w:t>
      </w:r>
      <w:r w:rsidRPr="006200E7">
        <w:rPr>
          <w:lang w:eastAsia="en-US" w:bidi="ar-SA"/>
        </w:rPr>
        <w:t>of staff for any organi</w:t>
      </w:r>
      <w:r w:rsidR="00C85F50">
        <w:rPr>
          <w:lang w:eastAsia="en-US" w:bidi="ar-SA"/>
        </w:rPr>
        <w:t>s</w:t>
      </w:r>
      <w:r w:rsidRPr="006200E7">
        <w:rPr>
          <w:lang w:eastAsia="en-US" w:bidi="ar-SA"/>
        </w:rPr>
        <w:t xml:space="preserve">ation </w:t>
      </w:r>
      <w:r w:rsidR="009E4A28" w:rsidRPr="006200E7">
        <w:rPr>
          <w:lang w:eastAsia="en-US" w:bidi="ar-SA"/>
        </w:rPr>
        <w:t>that</w:t>
      </w:r>
      <w:r w:rsidR="009E4A28" w:rsidRPr="009E4A28">
        <w:rPr>
          <w:lang w:eastAsia="en-US" w:bidi="ar-SA"/>
        </w:rPr>
        <w:t xml:space="preserve"> has</w:t>
      </w:r>
      <w:r w:rsidRPr="006200E7">
        <w:rPr>
          <w:lang w:eastAsia="en-US" w:bidi="ar-SA"/>
        </w:rPr>
        <w:t xml:space="preserve"> direct or indirect access to sensitive utility systems and data, including locations of the people (important</w:t>
      </w:r>
      <w:r w:rsidRPr="006200E7">
        <w:rPr>
          <w:rFonts w:ascii="Calibri" w:hAnsi="Calibri" w:cs="Calibri"/>
          <w:lang w:eastAsia="en-US" w:bidi="ar-SA"/>
        </w:rPr>
        <w:t> </w:t>
      </w:r>
      <w:r w:rsidRPr="006200E7">
        <w:rPr>
          <w:lang w:eastAsia="en-US" w:bidi="ar-SA"/>
        </w:rPr>
        <w:t>to understand what physical, organi</w:t>
      </w:r>
      <w:r w:rsidR="00C85F50">
        <w:rPr>
          <w:lang w:eastAsia="en-US" w:bidi="ar-SA"/>
        </w:rPr>
        <w:t>s</w:t>
      </w:r>
      <w:r w:rsidRPr="006200E7">
        <w:rPr>
          <w:lang w:eastAsia="en-US" w:bidi="ar-SA"/>
        </w:rPr>
        <w:t>ational, or even geopolitical</w:t>
      </w:r>
      <w:r w:rsidRPr="006200E7">
        <w:rPr>
          <w:rFonts w:ascii="Calibri" w:hAnsi="Calibri" w:cs="Calibri"/>
          <w:lang w:eastAsia="en-US" w:bidi="ar-SA"/>
        </w:rPr>
        <w:t> </w:t>
      </w:r>
      <w:r w:rsidRPr="006200E7">
        <w:rPr>
          <w:lang w:eastAsia="en-US" w:bidi="ar-SA"/>
        </w:rPr>
        <w:t>boundaries may be crossed by connectivity and data flow).</w:t>
      </w:r>
    </w:p>
    <w:p w14:paraId="34C509D0" w14:textId="77777777" w:rsidR="00F852CD" w:rsidRPr="00EB2823" w:rsidRDefault="00F852CD" w:rsidP="00954BAC">
      <w:pPr>
        <w:pStyle w:val="Heading4"/>
        <w:numPr>
          <w:ilvl w:val="0"/>
          <w:numId w:val="60"/>
        </w:numPr>
        <w:spacing w:before="240" w:after="120" w:line="264" w:lineRule="auto"/>
        <w:rPr>
          <w:i w:val="0"/>
          <w:iCs w:val="0"/>
        </w:rPr>
      </w:pPr>
      <w:r w:rsidRPr="00EB2823">
        <w:rPr>
          <w:i w:val="0"/>
          <w:iCs w:val="0"/>
        </w:rPr>
        <w:t xml:space="preserve">Solution Requirements </w:t>
      </w:r>
    </w:p>
    <w:p w14:paraId="061636D9" w14:textId="1C24AAE8" w:rsidR="00F852CD" w:rsidRPr="002C72C2" w:rsidRDefault="00F852CD" w:rsidP="00EB2823">
      <w:pPr>
        <w:spacing w:before="120" w:after="120" w:line="264" w:lineRule="auto"/>
        <w:rPr>
          <w:lang w:eastAsia="en-US" w:bidi="ar-SA"/>
        </w:rPr>
      </w:pPr>
      <w:r w:rsidRPr="002C72C2">
        <w:rPr>
          <w:lang w:eastAsia="en-US" w:bidi="ar-SA"/>
        </w:rPr>
        <w:t xml:space="preserve">Both </w:t>
      </w:r>
      <w:r w:rsidR="00BC7190" w:rsidRPr="002C72C2">
        <w:rPr>
          <w:lang w:eastAsia="en-US" w:bidi="ar-SA"/>
        </w:rPr>
        <w:t>p</w:t>
      </w:r>
      <w:r w:rsidRPr="002C72C2">
        <w:rPr>
          <w:lang w:eastAsia="en-US" w:bidi="ar-SA"/>
        </w:rPr>
        <w:t xml:space="preserve">ower </w:t>
      </w:r>
      <w:r w:rsidR="00BC7190" w:rsidRPr="002C72C2">
        <w:rPr>
          <w:lang w:eastAsia="en-US" w:bidi="ar-SA"/>
        </w:rPr>
        <w:t>s</w:t>
      </w:r>
      <w:r w:rsidRPr="002C72C2">
        <w:rPr>
          <w:lang w:eastAsia="en-US" w:bidi="ar-SA"/>
        </w:rPr>
        <w:t xml:space="preserve">ystem digitalisation and the rapid emergence of millions of </w:t>
      </w:r>
      <w:r w:rsidR="007A3C74" w:rsidRPr="002C72C2">
        <w:rPr>
          <w:lang w:eastAsia="en-US" w:bidi="ar-SA"/>
        </w:rPr>
        <w:t>CER/DER</w:t>
      </w:r>
      <w:r w:rsidRPr="002C72C2">
        <w:rPr>
          <w:lang w:eastAsia="en-US" w:bidi="ar-SA"/>
        </w:rPr>
        <w:t>s are expected to continue unabated</w:t>
      </w:r>
      <w:r w:rsidR="00374950">
        <w:rPr>
          <w:lang w:eastAsia="en-US" w:bidi="ar-SA"/>
        </w:rPr>
        <w:t xml:space="preserve">. </w:t>
      </w:r>
      <w:r w:rsidRPr="002C72C2">
        <w:rPr>
          <w:lang w:eastAsia="en-US" w:bidi="ar-SA"/>
        </w:rPr>
        <w:t xml:space="preserve">In this context, cyber-security best practice requires that a layered approach with multiple classes of </w:t>
      </w:r>
      <w:r w:rsidR="00D93BA7" w:rsidRPr="002C72C2">
        <w:rPr>
          <w:lang w:eastAsia="en-US" w:bidi="ar-SA"/>
        </w:rPr>
        <w:t>defence</w:t>
      </w:r>
      <w:r w:rsidRPr="002C72C2">
        <w:rPr>
          <w:lang w:eastAsia="en-US" w:bidi="ar-SA"/>
        </w:rPr>
        <w:t xml:space="preserve"> be applied</w:t>
      </w:r>
      <w:r w:rsidR="00374950">
        <w:rPr>
          <w:lang w:eastAsia="en-US" w:bidi="ar-SA"/>
        </w:rPr>
        <w:t xml:space="preserve">. </w:t>
      </w:r>
      <w:r w:rsidRPr="002C72C2">
        <w:rPr>
          <w:lang w:eastAsia="en-US" w:bidi="ar-SA"/>
        </w:rPr>
        <w:t>Such an approach requires that critical non-cyber structural vulnerabilities be actively identified and treated</w:t>
      </w:r>
      <w:r w:rsidR="00374950">
        <w:rPr>
          <w:lang w:eastAsia="en-US" w:bidi="ar-SA"/>
        </w:rPr>
        <w:t xml:space="preserve">. </w:t>
      </w:r>
      <w:r w:rsidRPr="002C72C2">
        <w:rPr>
          <w:lang w:eastAsia="en-US" w:bidi="ar-SA"/>
        </w:rPr>
        <w:t xml:space="preserve">This will require the following: </w:t>
      </w:r>
    </w:p>
    <w:p w14:paraId="7205E164" w14:textId="77777777" w:rsidR="00C6536C" w:rsidRDefault="00F852CD" w:rsidP="00954BAC">
      <w:pPr>
        <w:pStyle w:val="ListParagraph"/>
        <w:numPr>
          <w:ilvl w:val="0"/>
          <w:numId w:val="24"/>
        </w:numPr>
        <w:spacing w:line="264" w:lineRule="auto"/>
        <w:rPr>
          <w:lang w:eastAsia="en-US" w:bidi="ar-SA"/>
        </w:rPr>
      </w:pPr>
      <w:r w:rsidRPr="002C72C2">
        <w:rPr>
          <w:lang w:eastAsia="en-US" w:bidi="ar-SA"/>
        </w:rPr>
        <w:t xml:space="preserve">Mapping of all cyber-physical relationships and data flows embedded in the legacy </w:t>
      </w:r>
      <w:r w:rsidR="00BC7190" w:rsidRPr="002C72C2">
        <w:rPr>
          <w:lang w:eastAsia="en-US" w:bidi="ar-SA"/>
        </w:rPr>
        <w:t>p</w:t>
      </w:r>
      <w:r w:rsidRPr="002C72C2">
        <w:rPr>
          <w:lang w:eastAsia="en-US" w:bidi="ar-SA"/>
        </w:rPr>
        <w:t xml:space="preserve">ower </w:t>
      </w:r>
      <w:r w:rsidR="0008339B" w:rsidRPr="002C72C2">
        <w:rPr>
          <w:lang w:eastAsia="en-US" w:bidi="ar-SA"/>
        </w:rPr>
        <w:t>system.</w:t>
      </w:r>
    </w:p>
    <w:p w14:paraId="1D42E4D9" w14:textId="1614EFF7" w:rsidR="00F852CD" w:rsidRPr="002C72C2" w:rsidRDefault="00E01190" w:rsidP="00954BAC">
      <w:pPr>
        <w:pStyle w:val="ListParagraph"/>
        <w:numPr>
          <w:ilvl w:val="0"/>
          <w:numId w:val="24"/>
        </w:numPr>
        <w:spacing w:line="264" w:lineRule="auto"/>
        <w:rPr>
          <w:lang w:eastAsia="en-US" w:bidi="ar-SA"/>
        </w:rPr>
      </w:pPr>
      <w:r>
        <w:rPr>
          <w:lang w:eastAsia="en-US" w:bidi="ar-SA"/>
        </w:rPr>
        <w:t xml:space="preserve">Study </w:t>
      </w:r>
      <w:r w:rsidR="004B6EF2">
        <w:rPr>
          <w:lang w:eastAsia="en-US" w:bidi="ar-SA"/>
        </w:rPr>
        <w:t xml:space="preserve">and risk analysis </w:t>
      </w:r>
      <w:r>
        <w:rPr>
          <w:lang w:eastAsia="en-US" w:bidi="ar-SA"/>
        </w:rPr>
        <w:t xml:space="preserve">of </w:t>
      </w:r>
      <w:r w:rsidR="004B6EF2">
        <w:rPr>
          <w:lang w:eastAsia="en-US" w:bidi="ar-SA"/>
        </w:rPr>
        <w:t xml:space="preserve">broader </w:t>
      </w:r>
      <w:r w:rsidR="00207DD6">
        <w:rPr>
          <w:lang w:eastAsia="en-US" w:bidi="ar-SA"/>
        </w:rPr>
        <w:t>cyber-physical</w:t>
      </w:r>
      <w:r>
        <w:rPr>
          <w:lang w:eastAsia="en-US" w:bidi="ar-SA"/>
        </w:rPr>
        <w:t xml:space="preserve"> attack </w:t>
      </w:r>
      <w:r w:rsidR="004B6EF2">
        <w:rPr>
          <w:lang w:eastAsia="en-US" w:bidi="ar-SA"/>
        </w:rPr>
        <w:t>strategies</w:t>
      </w:r>
      <w:r>
        <w:rPr>
          <w:lang w:eastAsia="en-US" w:bidi="ar-SA"/>
        </w:rPr>
        <w:t xml:space="preserve">, e.g. </w:t>
      </w:r>
      <w:r w:rsidR="00211707">
        <w:rPr>
          <w:lang w:eastAsia="en-US" w:bidi="ar-SA"/>
        </w:rPr>
        <w:t xml:space="preserve">measurements of current and voltage can be </w:t>
      </w:r>
      <w:r w:rsidR="007D59A5">
        <w:rPr>
          <w:lang w:eastAsia="en-US" w:bidi="ar-SA"/>
        </w:rPr>
        <w:t>interfered with</w:t>
      </w:r>
      <w:r w:rsidR="00211707">
        <w:rPr>
          <w:lang w:eastAsia="en-US" w:bidi="ar-SA"/>
        </w:rPr>
        <w:t xml:space="preserve"> in the physical domain</w:t>
      </w:r>
      <w:r w:rsidR="007D59A5">
        <w:rPr>
          <w:lang w:eastAsia="en-US" w:bidi="ar-SA"/>
        </w:rPr>
        <w:t xml:space="preserve">, to throw off the state estimator and potentially blind the operators to operational issues. </w:t>
      </w:r>
    </w:p>
    <w:p w14:paraId="2A520D49" w14:textId="6E51AFF1" w:rsidR="00F852CD" w:rsidRPr="002C72C2" w:rsidRDefault="00F852CD" w:rsidP="00954BAC">
      <w:pPr>
        <w:pStyle w:val="ListParagraph"/>
        <w:numPr>
          <w:ilvl w:val="0"/>
          <w:numId w:val="24"/>
        </w:numPr>
        <w:spacing w:line="264" w:lineRule="auto"/>
        <w:rPr>
          <w:lang w:eastAsia="en-US" w:bidi="ar-SA"/>
        </w:rPr>
      </w:pPr>
      <w:r w:rsidRPr="002C72C2">
        <w:rPr>
          <w:lang w:eastAsia="en-US" w:bidi="ar-SA"/>
        </w:rPr>
        <w:t>Analysis and documentation of non-cyber structural vulnerabilities that:</w:t>
      </w:r>
    </w:p>
    <w:p w14:paraId="28D462B1" w14:textId="524DA47A" w:rsidR="00F852CD" w:rsidRPr="002C72C2" w:rsidRDefault="00F852CD" w:rsidP="00954BAC">
      <w:pPr>
        <w:pStyle w:val="ListParagraph"/>
        <w:numPr>
          <w:ilvl w:val="1"/>
          <w:numId w:val="24"/>
        </w:numPr>
        <w:spacing w:line="264" w:lineRule="auto"/>
        <w:rPr>
          <w:lang w:eastAsia="en-US" w:bidi="ar-SA"/>
        </w:rPr>
      </w:pPr>
      <w:r w:rsidRPr="002C72C2">
        <w:rPr>
          <w:lang w:eastAsia="en-US" w:bidi="ar-SA"/>
        </w:rPr>
        <w:t>Are currently present in the existing legacy structures of the NEM</w:t>
      </w:r>
      <w:r w:rsidR="00BB0860">
        <w:rPr>
          <w:lang w:eastAsia="en-US" w:bidi="ar-SA"/>
        </w:rPr>
        <w:t xml:space="preserve"> and WEM</w:t>
      </w:r>
    </w:p>
    <w:p w14:paraId="76DAEA7A" w14:textId="33430A4F" w:rsidR="00F852CD" w:rsidRPr="002C72C2" w:rsidRDefault="00F852CD" w:rsidP="00954BAC">
      <w:pPr>
        <w:pStyle w:val="ListParagraph"/>
        <w:numPr>
          <w:ilvl w:val="1"/>
          <w:numId w:val="24"/>
        </w:numPr>
        <w:spacing w:line="264" w:lineRule="auto"/>
        <w:rPr>
          <w:lang w:eastAsia="en-US" w:bidi="ar-SA"/>
        </w:rPr>
      </w:pPr>
      <w:r w:rsidRPr="002C72C2">
        <w:rPr>
          <w:lang w:eastAsia="en-US" w:bidi="ar-SA"/>
        </w:rPr>
        <w:t xml:space="preserve">Will plausibly exist or emerge in alternative configurations of </w:t>
      </w:r>
      <w:r w:rsidRPr="00314B06">
        <w:rPr>
          <w:lang w:eastAsia="en-US" w:bidi="ar-SA"/>
        </w:rPr>
        <w:t>Roles &amp; Responsibilities</w:t>
      </w:r>
      <w:r w:rsidRPr="002C72C2">
        <w:rPr>
          <w:lang w:eastAsia="en-US" w:bidi="ar-SA"/>
        </w:rPr>
        <w:t xml:space="preserve"> and the enabling structures and data routings</w:t>
      </w:r>
      <w:r w:rsidR="00E26AE8">
        <w:rPr>
          <w:lang w:eastAsia="en-US" w:bidi="ar-SA"/>
        </w:rPr>
        <w:t>,</w:t>
      </w:r>
      <w:r w:rsidRPr="002C72C2">
        <w:rPr>
          <w:lang w:eastAsia="en-US" w:bidi="ar-SA"/>
        </w:rPr>
        <w:t xml:space="preserve"> and</w:t>
      </w:r>
    </w:p>
    <w:p w14:paraId="476243C7" w14:textId="2422EE67" w:rsidR="00F852CD" w:rsidRPr="002C72C2" w:rsidRDefault="00F852CD" w:rsidP="00954BAC">
      <w:pPr>
        <w:pStyle w:val="ListParagraph"/>
        <w:numPr>
          <w:ilvl w:val="1"/>
          <w:numId w:val="24"/>
        </w:numPr>
        <w:spacing w:line="264" w:lineRule="auto"/>
        <w:rPr>
          <w:lang w:eastAsia="en-US" w:bidi="ar-SA"/>
        </w:rPr>
      </w:pPr>
      <w:r w:rsidRPr="002C72C2">
        <w:rPr>
          <w:lang w:eastAsia="en-US" w:bidi="ar-SA"/>
        </w:rPr>
        <w:t xml:space="preserve">In both cases, includes assessment of structural vulnerabilities across the full Transmission-Distribution-Customer (TDC) value chain, including </w:t>
      </w:r>
      <w:r w:rsidR="0005169C" w:rsidRPr="002C72C2">
        <w:rPr>
          <w:lang w:eastAsia="en-US" w:bidi="ar-SA"/>
        </w:rPr>
        <w:t>a</w:t>
      </w:r>
      <w:r w:rsidRPr="002C72C2">
        <w:rPr>
          <w:lang w:eastAsia="en-US" w:bidi="ar-SA"/>
        </w:rPr>
        <w:t xml:space="preserve">ggregators and </w:t>
      </w:r>
      <w:r w:rsidR="007A3C74" w:rsidRPr="002C72C2">
        <w:rPr>
          <w:lang w:eastAsia="en-US" w:bidi="ar-SA"/>
        </w:rPr>
        <w:t>CER/DER</w:t>
      </w:r>
      <w:r w:rsidRPr="002C72C2">
        <w:rPr>
          <w:lang w:eastAsia="en-US" w:bidi="ar-SA"/>
        </w:rPr>
        <w:t xml:space="preserve"> devices</w:t>
      </w:r>
      <w:r w:rsidR="00E26AE8">
        <w:rPr>
          <w:lang w:eastAsia="en-US" w:bidi="ar-SA"/>
        </w:rPr>
        <w:t>.</w:t>
      </w:r>
    </w:p>
    <w:p w14:paraId="1FCF1411" w14:textId="326AD2E9" w:rsidR="00F852CD" w:rsidRPr="002C72C2" w:rsidRDefault="00F852CD" w:rsidP="00954BAC">
      <w:pPr>
        <w:pStyle w:val="ListParagraph"/>
        <w:numPr>
          <w:ilvl w:val="0"/>
          <w:numId w:val="24"/>
        </w:numPr>
        <w:spacing w:line="264" w:lineRule="auto"/>
        <w:rPr>
          <w:lang w:eastAsia="en-US" w:bidi="ar-SA"/>
        </w:rPr>
      </w:pPr>
      <w:r w:rsidRPr="002C72C2">
        <w:rPr>
          <w:lang w:eastAsia="en-US" w:bidi="ar-SA"/>
        </w:rPr>
        <w:t>Identification of structural treatment options that significantly mitigate or entirely avoid the non-cyber vulnerabilities identified</w:t>
      </w:r>
      <w:r w:rsidR="00E26AE8">
        <w:rPr>
          <w:lang w:eastAsia="en-US" w:bidi="ar-SA"/>
        </w:rPr>
        <w:t>.</w:t>
      </w:r>
    </w:p>
    <w:p w14:paraId="7F3597DB" w14:textId="4729F190" w:rsidR="00F852CD" w:rsidRDefault="00F852CD" w:rsidP="00954BAC">
      <w:pPr>
        <w:pStyle w:val="ListParagraph"/>
        <w:numPr>
          <w:ilvl w:val="0"/>
          <w:numId w:val="24"/>
        </w:numPr>
        <w:spacing w:line="264" w:lineRule="auto"/>
        <w:rPr>
          <w:lang w:eastAsia="en-US" w:bidi="ar-SA"/>
        </w:rPr>
      </w:pPr>
      <w:r w:rsidRPr="002C72C2">
        <w:rPr>
          <w:lang w:eastAsia="en-US" w:bidi="ar-SA"/>
        </w:rPr>
        <w:t xml:space="preserve">Application of </w:t>
      </w:r>
      <w:r w:rsidR="00BB0860">
        <w:rPr>
          <w:lang w:eastAsia="en-US" w:bidi="ar-SA"/>
        </w:rPr>
        <w:t>graph theory</w:t>
      </w:r>
      <w:r w:rsidRPr="002C72C2">
        <w:rPr>
          <w:lang w:eastAsia="en-US" w:bidi="ar-SA"/>
        </w:rPr>
        <w:t xml:space="preserve"> analysis </w:t>
      </w:r>
      <w:r w:rsidR="00BB0860">
        <w:rPr>
          <w:lang w:eastAsia="en-US" w:bidi="ar-SA"/>
        </w:rPr>
        <w:t>and r</w:t>
      </w:r>
      <w:r w:rsidRPr="002C72C2">
        <w:rPr>
          <w:lang w:eastAsia="en-US" w:bidi="ar-SA"/>
        </w:rPr>
        <w:t xml:space="preserve">esilience </w:t>
      </w:r>
      <w:r w:rsidR="009C5E13">
        <w:rPr>
          <w:lang w:eastAsia="en-US" w:bidi="ar-SA"/>
        </w:rPr>
        <w:t>modelling</w:t>
      </w:r>
      <w:r w:rsidRPr="002C72C2">
        <w:rPr>
          <w:lang w:eastAsia="en-US" w:bidi="ar-SA"/>
        </w:rPr>
        <w:t xml:space="preserve"> to evaluate alternate structures and treatments.</w:t>
      </w:r>
    </w:p>
    <w:p w14:paraId="020D569F" w14:textId="7EF358A8" w:rsidR="004C1A81" w:rsidRPr="002C72C2" w:rsidRDefault="004C1A81" w:rsidP="00954BAC">
      <w:pPr>
        <w:pStyle w:val="ListParagraph"/>
        <w:numPr>
          <w:ilvl w:val="0"/>
          <w:numId w:val="24"/>
        </w:numPr>
        <w:spacing w:before="100" w:after="100" w:line="252" w:lineRule="auto"/>
        <w:rPr>
          <w:lang w:eastAsia="en-US" w:bidi="ar-SA"/>
        </w:rPr>
      </w:pPr>
      <w:r>
        <w:rPr>
          <w:lang w:eastAsia="en-US" w:bidi="ar-SA"/>
        </w:rPr>
        <w:t xml:space="preserve">Finally, as noted earlier, </w:t>
      </w:r>
      <w:r w:rsidRPr="002C72C2">
        <w:rPr>
          <w:lang w:eastAsia="en-US" w:bidi="ar-SA"/>
        </w:rPr>
        <w:t>VPP data management must be handled as a national security issue</w:t>
      </w:r>
      <w:r>
        <w:rPr>
          <w:lang w:eastAsia="en-US" w:bidi="ar-SA"/>
        </w:rPr>
        <w:t>.</w:t>
      </w:r>
      <w:r w:rsidRPr="00334A58">
        <w:rPr>
          <w:lang w:eastAsia="en-US" w:bidi="ar-SA"/>
        </w:rPr>
        <w:t xml:space="preserve"> </w:t>
      </w:r>
      <w:r>
        <w:rPr>
          <w:lang w:eastAsia="en-US" w:bidi="ar-SA"/>
        </w:rPr>
        <w:t>This is because the data is being handled by third parties who are not subject to the same kind of oversight as regulated utilities.  The personnel, the locations where the data is stored and processed, the internal technical measures and procedures used to protect data, are all potential vulnerabilities. In cases where the VPPs may be able to affect grid operation directly, this raises additional security concerns.</w:t>
      </w:r>
    </w:p>
    <w:p w14:paraId="0DA91D8F" w14:textId="77777777" w:rsidR="002C785A" w:rsidRDefault="002C785A" w:rsidP="00EB2823">
      <w:pPr>
        <w:spacing w:before="120" w:after="120" w:line="264" w:lineRule="auto"/>
      </w:pPr>
      <w:r>
        <w:rPr>
          <w:b/>
          <w:bCs/>
        </w:rPr>
        <w:br w:type="page"/>
      </w:r>
    </w:p>
    <w:p w14:paraId="3AD481BF" w14:textId="123AE786" w:rsidR="000F3597" w:rsidRPr="002C72C2" w:rsidRDefault="003E6261" w:rsidP="00EB2823">
      <w:pPr>
        <w:pStyle w:val="Heading3"/>
        <w:spacing w:line="264" w:lineRule="auto"/>
        <w:rPr>
          <w:lang w:eastAsia="en-US" w:bidi="ar-SA"/>
        </w:rPr>
      </w:pPr>
      <w:bookmarkStart w:id="90" w:name="_Toc205533973"/>
      <w:r w:rsidRPr="002C72C2">
        <w:rPr>
          <w:lang w:eastAsia="en-US" w:bidi="ar-SA"/>
        </w:rPr>
        <w:t>Data Sharing Risks</w:t>
      </w:r>
      <w:bookmarkEnd w:id="90"/>
    </w:p>
    <w:tbl>
      <w:tblPr>
        <w:tblStyle w:val="TableGrid"/>
        <w:tblW w:w="0" w:type="auto"/>
        <w:tblLook w:val="04A0" w:firstRow="1" w:lastRow="0" w:firstColumn="1" w:lastColumn="0" w:noHBand="0" w:noVBand="1"/>
      </w:tblPr>
      <w:tblGrid>
        <w:gridCol w:w="8210"/>
      </w:tblGrid>
      <w:tr w:rsidR="003B08B1" w14:paraId="40806619" w14:textId="77777777" w:rsidTr="008F2E81">
        <w:tc>
          <w:tcPr>
            <w:tcW w:w="8210" w:type="dxa"/>
            <w:shd w:val="clear" w:color="auto" w:fill="013C4C" w:themeFill="text1"/>
          </w:tcPr>
          <w:p w14:paraId="7081D976" w14:textId="77A66518" w:rsidR="008E2C30" w:rsidRPr="002C72C2" w:rsidRDefault="008E2C30" w:rsidP="003679BD">
            <w:pPr>
              <w:spacing w:before="180" w:after="180" w:line="264" w:lineRule="auto"/>
              <w:ind w:left="176" w:right="176"/>
              <w:rPr>
                <w:i/>
                <w:lang w:eastAsia="en-US" w:bidi="ar-SA"/>
              </w:rPr>
            </w:pPr>
            <w:r w:rsidRPr="008E2C30">
              <w:rPr>
                <w:i/>
                <w:lang w:eastAsia="en-US" w:bidi="ar-SA"/>
              </w:rPr>
              <w:t xml:space="preserve">Data sharing in increasingly </w:t>
            </w:r>
            <w:r w:rsidR="003679BD">
              <w:rPr>
                <w:i/>
                <w:lang w:eastAsia="en-US" w:bidi="ar-SA"/>
              </w:rPr>
              <w:t>distributed</w:t>
            </w:r>
            <w:r w:rsidRPr="008E2C30">
              <w:rPr>
                <w:i/>
                <w:lang w:eastAsia="en-US" w:bidi="ar-SA"/>
              </w:rPr>
              <w:t xml:space="preserve"> power systems involves complex functional relationships and hidden constraints that are embedded in legacy system structures. </w:t>
            </w:r>
            <w:r w:rsidR="00877DED">
              <w:rPr>
                <w:i/>
                <w:lang w:eastAsia="en-US" w:bidi="ar-SA"/>
              </w:rPr>
              <w:t xml:space="preserve">While promising </w:t>
            </w:r>
            <w:r w:rsidR="003679BD">
              <w:rPr>
                <w:i/>
                <w:lang w:eastAsia="en-US" w:bidi="ar-SA"/>
              </w:rPr>
              <w:t xml:space="preserve">digital </w:t>
            </w:r>
            <w:r w:rsidR="00673216">
              <w:rPr>
                <w:i/>
                <w:lang w:eastAsia="en-US" w:bidi="ar-SA"/>
              </w:rPr>
              <w:t>technolog</w:t>
            </w:r>
            <w:r w:rsidR="003679BD">
              <w:rPr>
                <w:i/>
                <w:lang w:eastAsia="en-US" w:bidi="ar-SA"/>
              </w:rPr>
              <w:t xml:space="preserve">ies </w:t>
            </w:r>
            <w:r w:rsidR="00673216">
              <w:rPr>
                <w:i/>
                <w:lang w:eastAsia="en-US" w:bidi="ar-SA"/>
              </w:rPr>
              <w:t xml:space="preserve">are promoted by different </w:t>
            </w:r>
            <w:r w:rsidR="003679BD">
              <w:rPr>
                <w:i/>
                <w:lang w:eastAsia="en-US" w:bidi="ar-SA"/>
              </w:rPr>
              <w:t>entities</w:t>
            </w:r>
            <w:r w:rsidR="00673216">
              <w:rPr>
                <w:i/>
                <w:lang w:eastAsia="en-US" w:bidi="ar-SA"/>
              </w:rPr>
              <w:t xml:space="preserve"> </w:t>
            </w:r>
            <w:r w:rsidR="00C34BAF">
              <w:rPr>
                <w:i/>
                <w:lang w:eastAsia="en-US" w:bidi="ar-SA"/>
              </w:rPr>
              <w:t>no</w:t>
            </w:r>
            <w:r w:rsidRPr="008E2C30">
              <w:rPr>
                <w:i/>
                <w:lang w:eastAsia="en-US" w:bidi="ar-SA"/>
              </w:rPr>
              <w:t xml:space="preserve"> singl</w:t>
            </w:r>
            <w:r w:rsidR="003679BD">
              <w:rPr>
                <w:i/>
                <w:lang w:eastAsia="en-US" w:bidi="ar-SA"/>
              </w:rPr>
              <w:t>e,</w:t>
            </w:r>
            <w:r w:rsidRPr="008E2C30">
              <w:rPr>
                <w:i/>
                <w:lang w:eastAsia="en-US" w:bidi="ar-SA"/>
              </w:rPr>
              <w:t xml:space="preserve"> </w:t>
            </w:r>
            <w:r w:rsidR="00C34BAF">
              <w:rPr>
                <w:i/>
                <w:lang w:eastAsia="en-US" w:bidi="ar-SA"/>
              </w:rPr>
              <w:t>comprehensive</w:t>
            </w:r>
            <w:r w:rsidRPr="008E2C30">
              <w:rPr>
                <w:i/>
                <w:lang w:eastAsia="en-US" w:bidi="ar-SA"/>
              </w:rPr>
              <w:t xml:space="preserve"> solution to grid data sharing need</w:t>
            </w:r>
            <w:r w:rsidR="00C34BAF">
              <w:rPr>
                <w:i/>
                <w:lang w:eastAsia="en-US" w:bidi="ar-SA"/>
              </w:rPr>
              <w:t>s exist</w:t>
            </w:r>
            <w:r w:rsidRPr="008E2C30">
              <w:rPr>
                <w:i/>
                <w:lang w:eastAsia="en-US" w:bidi="ar-SA"/>
              </w:rPr>
              <w:t xml:space="preserve">s. All data exchange options require the application of </w:t>
            </w:r>
            <w:r w:rsidR="003679BD">
              <w:rPr>
                <w:i/>
                <w:lang w:eastAsia="en-US" w:bidi="ar-SA"/>
              </w:rPr>
              <w:t xml:space="preserve">formal </w:t>
            </w:r>
            <w:r w:rsidRPr="008E2C30">
              <w:rPr>
                <w:i/>
                <w:lang w:eastAsia="en-US" w:bidi="ar-SA"/>
              </w:rPr>
              <w:t>architectural analysis to make visible issues that directly impact the scalability, extensibility, resilience, cyber-security and interface design of proposed solutions.</w:t>
            </w:r>
          </w:p>
        </w:tc>
      </w:tr>
    </w:tbl>
    <w:p w14:paraId="66E872A1" w14:textId="77777777" w:rsidR="00411546" w:rsidRPr="00EB2823" w:rsidRDefault="00411546" w:rsidP="00954BAC">
      <w:pPr>
        <w:pStyle w:val="Heading4"/>
        <w:numPr>
          <w:ilvl w:val="0"/>
          <w:numId w:val="61"/>
        </w:numPr>
        <w:spacing w:before="240" w:after="120" w:line="264" w:lineRule="auto"/>
        <w:rPr>
          <w:i w:val="0"/>
          <w:iCs w:val="0"/>
        </w:rPr>
      </w:pPr>
      <w:r w:rsidRPr="00EB2823">
        <w:rPr>
          <w:i w:val="0"/>
          <w:iCs w:val="0"/>
        </w:rPr>
        <w:t>Cross Cutting Issue</w:t>
      </w:r>
    </w:p>
    <w:p w14:paraId="7E827302" w14:textId="2970B224" w:rsidR="00411546" w:rsidRPr="002F2243" w:rsidRDefault="00411546" w:rsidP="00EB2823">
      <w:pPr>
        <w:spacing w:before="120" w:after="120" w:line="264" w:lineRule="auto"/>
        <w:rPr>
          <w:lang w:eastAsia="en-US" w:bidi="ar-SA"/>
        </w:rPr>
      </w:pPr>
      <w:r w:rsidRPr="4F89B82E">
        <w:rPr>
          <w:lang w:eastAsia="en-US" w:bidi="ar-SA"/>
        </w:rPr>
        <w:t xml:space="preserve">Data exchange between multiple actors is becoming critical with the digitalisation of </w:t>
      </w:r>
      <w:r w:rsidR="00911563">
        <w:rPr>
          <w:lang w:eastAsia="en-US" w:bidi="ar-SA"/>
        </w:rPr>
        <w:t>p</w:t>
      </w:r>
      <w:r w:rsidRPr="4F89B82E">
        <w:rPr>
          <w:lang w:eastAsia="en-US" w:bidi="ar-SA"/>
        </w:rPr>
        <w:t xml:space="preserve">ower </w:t>
      </w:r>
      <w:r w:rsidR="00911563">
        <w:rPr>
          <w:lang w:eastAsia="en-US" w:bidi="ar-SA"/>
        </w:rPr>
        <w:t>s</w:t>
      </w:r>
      <w:r w:rsidRPr="4F89B82E">
        <w:rPr>
          <w:lang w:eastAsia="en-US" w:bidi="ar-SA"/>
        </w:rPr>
        <w:t xml:space="preserve">ystems and the emergence of millions of LV-connected </w:t>
      </w:r>
      <w:r w:rsidR="007A3C74" w:rsidRPr="002C72C2">
        <w:rPr>
          <w:lang w:eastAsia="en-US" w:bidi="ar-SA"/>
        </w:rPr>
        <w:t>CER/</w:t>
      </w:r>
      <w:r w:rsidR="007A3C74" w:rsidRPr="4F89B82E">
        <w:rPr>
          <w:lang w:eastAsia="en-US" w:bidi="ar-SA"/>
        </w:rPr>
        <w:t>DER</w:t>
      </w:r>
      <w:r w:rsidRPr="4F89B82E">
        <w:rPr>
          <w:lang w:eastAsia="en-US" w:bidi="ar-SA"/>
        </w:rPr>
        <w:t xml:space="preserve"> and </w:t>
      </w:r>
      <w:r w:rsidR="004554F1" w:rsidRPr="4F89B82E">
        <w:rPr>
          <w:lang w:eastAsia="en-US" w:bidi="ar-SA"/>
        </w:rPr>
        <w:t>EV</w:t>
      </w:r>
      <w:r w:rsidR="00374950">
        <w:rPr>
          <w:lang w:eastAsia="en-US" w:bidi="ar-SA"/>
        </w:rPr>
        <w:t xml:space="preserve">. </w:t>
      </w:r>
    </w:p>
    <w:p w14:paraId="5ADC698C" w14:textId="313ACD6C" w:rsidR="00411546" w:rsidRPr="002C72C2" w:rsidRDefault="00C46CAD" w:rsidP="00EB2823">
      <w:pPr>
        <w:spacing w:before="120" w:after="120" w:line="264" w:lineRule="auto"/>
        <w:rPr>
          <w:lang w:eastAsia="en-US" w:bidi="ar-SA"/>
        </w:rPr>
      </w:pPr>
      <w:r>
        <w:rPr>
          <w:lang w:eastAsia="en-US" w:bidi="ar-SA"/>
        </w:rPr>
        <w:t>S</w:t>
      </w:r>
      <w:r w:rsidR="00411546" w:rsidRPr="002C72C2">
        <w:rPr>
          <w:lang w:eastAsia="en-US" w:bidi="ar-SA"/>
        </w:rPr>
        <w:t>pecific technologies</w:t>
      </w:r>
      <w:r>
        <w:rPr>
          <w:lang w:eastAsia="en-US" w:bidi="ar-SA"/>
        </w:rPr>
        <w:t xml:space="preserve"> cannot </w:t>
      </w:r>
      <w:r w:rsidR="00411546" w:rsidRPr="002C72C2">
        <w:rPr>
          <w:lang w:eastAsia="en-US" w:bidi="ar-SA"/>
        </w:rPr>
        <w:t xml:space="preserve">be successfully implemented without a disciplined, comprehensive and multi-stakeholder approach to developing the </w:t>
      </w:r>
      <w:r w:rsidR="00013E14">
        <w:rPr>
          <w:lang w:eastAsia="en-US" w:bidi="ar-SA"/>
        </w:rPr>
        <w:t>s</w:t>
      </w:r>
      <w:r w:rsidR="00411546" w:rsidRPr="002C72C2">
        <w:rPr>
          <w:lang w:eastAsia="en-US" w:bidi="ar-SA"/>
        </w:rPr>
        <w:t xml:space="preserve">ystems </w:t>
      </w:r>
      <w:r w:rsidR="00013E14">
        <w:rPr>
          <w:lang w:eastAsia="en-US" w:bidi="ar-SA"/>
        </w:rPr>
        <w:t>a</w:t>
      </w:r>
      <w:r w:rsidR="00411546" w:rsidRPr="002C72C2">
        <w:rPr>
          <w:lang w:eastAsia="en-US" w:bidi="ar-SA"/>
        </w:rPr>
        <w:t>rchitecture</w:t>
      </w:r>
      <w:r>
        <w:rPr>
          <w:lang w:eastAsia="en-US" w:bidi="ar-SA"/>
        </w:rPr>
        <w:t>s</w:t>
      </w:r>
      <w:r w:rsidR="00411546" w:rsidRPr="002C72C2">
        <w:rPr>
          <w:lang w:eastAsia="en-US" w:bidi="ar-SA"/>
        </w:rPr>
        <w:t xml:space="preserve"> that must underpin them</w:t>
      </w:r>
      <w:r w:rsidR="00374950">
        <w:rPr>
          <w:lang w:eastAsia="en-US" w:bidi="ar-SA"/>
        </w:rPr>
        <w:t xml:space="preserve">. </w:t>
      </w:r>
      <w:r w:rsidR="00411546" w:rsidRPr="002C72C2">
        <w:rPr>
          <w:lang w:eastAsia="en-US" w:bidi="ar-SA"/>
        </w:rPr>
        <w:t>The failure to do so significantly increases the risk of structurally brittle</w:t>
      </w:r>
      <w:r w:rsidR="0014650B">
        <w:rPr>
          <w:lang w:eastAsia="en-US" w:bidi="ar-SA"/>
        </w:rPr>
        <w:t xml:space="preserve"> </w:t>
      </w:r>
      <w:r w:rsidR="00411546" w:rsidRPr="002C72C2">
        <w:rPr>
          <w:lang w:eastAsia="en-US" w:bidi="ar-SA"/>
        </w:rPr>
        <w:t xml:space="preserve">solutions that impact interoperability and exacerbate security vulnerabilities. </w:t>
      </w:r>
    </w:p>
    <w:p w14:paraId="54C9F8CC" w14:textId="475925DE" w:rsidR="00411546" w:rsidRPr="002C72C2" w:rsidRDefault="00704BA4" w:rsidP="00EB2823">
      <w:pPr>
        <w:spacing w:before="120" w:after="120" w:line="264" w:lineRule="auto"/>
        <w:rPr>
          <w:lang w:eastAsia="en-US" w:bidi="ar-SA"/>
        </w:rPr>
      </w:pPr>
      <w:r w:rsidRPr="00C211A7">
        <w:rPr>
          <w:lang w:eastAsia="en-US" w:bidi="ar-SA"/>
        </w:rPr>
        <w:t xml:space="preserve">Systems architecture provides a robust basis for informing data </w:t>
      </w:r>
      <w:r w:rsidR="003172F4" w:rsidRPr="00C211A7">
        <w:rPr>
          <w:lang w:eastAsia="en-US" w:bidi="ar-SA"/>
        </w:rPr>
        <w:t xml:space="preserve">exchange design options </w:t>
      </w:r>
      <w:r w:rsidR="00F90674" w:rsidRPr="00C211A7">
        <w:rPr>
          <w:lang w:eastAsia="en-US" w:bidi="ar-SA"/>
        </w:rPr>
        <w:t>by app</w:t>
      </w:r>
      <w:r w:rsidRPr="00C211A7">
        <w:rPr>
          <w:lang w:eastAsia="en-US" w:bidi="ar-SA"/>
        </w:rPr>
        <w:t>lying information theory, analytic transformations and layered decomposition to organise multi-tier bidirectional data flows to be scalable</w:t>
      </w:r>
      <w:r w:rsidR="00374950">
        <w:rPr>
          <w:lang w:eastAsia="en-US" w:bidi="ar-SA"/>
        </w:rPr>
        <w:t xml:space="preserve">. </w:t>
      </w:r>
    </w:p>
    <w:p w14:paraId="635A9B40" w14:textId="77777777" w:rsidR="00411546" w:rsidRPr="00EB2823" w:rsidRDefault="00411546" w:rsidP="00954BAC">
      <w:pPr>
        <w:pStyle w:val="Heading4"/>
        <w:numPr>
          <w:ilvl w:val="0"/>
          <w:numId w:val="61"/>
        </w:numPr>
        <w:spacing w:before="240" w:after="120" w:line="264" w:lineRule="auto"/>
        <w:rPr>
          <w:i w:val="0"/>
          <w:iCs w:val="0"/>
        </w:rPr>
      </w:pPr>
      <w:r w:rsidRPr="00EB2823">
        <w:rPr>
          <w:i w:val="0"/>
          <w:iCs w:val="0"/>
        </w:rPr>
        <w:t>Contributing Factors</w:t>
      </w:r>
    </w:p>
    <w:p w14:paraId="2602CABB" w14:textId="6B4D7404" w:rsidR="00411546" w:rsidRPr="002C72C2" w:rsidRDefault="00411546" w:rsidP="00EB2823">
      <w:pPr>
        <w:spacing w:before="120" w:after="120" w:line="264" w:lineRule="auto"/>
        <w:rPr>
          <w:lang w:eastAsia="en-US" w:bidi="ar-SA"/>
        </w:rPr>
      </w:pPr>
      <w:r w:rsidRPr="002C72C2">
        <w:rPr>
          <w:lang w:eastAsia="en-US" w:bidi="ar-SA"/>
        </w:rPr>
        <w:t xml:space="preserve">Efficient, secure and scalable data exchange between multiple industry actors and millions of </w:t>
      </w:r>
      <w:r w:rsidR="0003632D" w:rsidRPr="002C72C2">
        <w:rPr>
          <w:lang w:eastAsia="en-US" w:bidi="ar-SA"/>
        </w:rPr>
        <w:t>e</w:t>
      </w:r>
      <w:r w:rsidRPr="002C72C2">
        <w:rPr>
          <w:lang w:eastAsia="en-US" w:bidi="ar-SA"/>
        </w:rPr>
        <w:t xml:space="preserve">nergy </w:t>
      </w:r>
      <w:r w:rsidR="0003632D" w:rsidRPr="002C72C2">
        <w:rPr>
          <w:lang w:eastAsia="en-US" w:bidi="ar-SA"/>
        </w:rPr>
        <w:t>r</w:t>
      </w:r>
      <w:r w:rsidRPr="002C72C2">
        <w:rPr>
          <w:lang w:eastAsia="en-US" w:bidi="ar-SA"/>
        </w:rPr>
        <w:t xml:space="preserve">esources is becoming critical with the digitalisation of </w:t>
      </w:r>
      <w:r w:rsidR="0003632D" w:rsidRPr="002C72C2">
        <w:rPr>
          <w:lang w:eastAsia="en-US" w:bidi="ar-SA"/>
        </w:rPr>
        <w:t>p</w:t>
      </w:r>
      <w:r w:rsidRPr="002C72C2">
        <w:rPr>
          <w:lang w:eastAsia="en-US" w:bidi="ar-SA"/>
        </w:rPr>
        <w:t xml:space="preserve">ower </w:t>
      </w:r>
      <w:r w:rsidR="0003632D" w:rsidRPr="002C72C2">
        <w:rPr>
          <w:lang w:eastAsia="en-US" w:bidi="ar-SA"/>
        </w:rPr>
        <w:t>s</w:t>
      </w:r>
      <w:r w:rsidRPr="002C72C2">
        <w:rPr>
          <w:lang w:eastAsia="en-US" w:bidi="ar-SA"/>
        </w:rPr>
        <w:t xml:space="preserve">ystems and the emergence of huge volumes of LV-connected </w:t>
      </w:r>
      <w:r w:rsidR="007A3C74" w:rsidRPr="002C72C2">
        <w:rPr>
          <w:lang w:eastAsia="en-US" w:bidi="ar-SA"/>
        </w:rPr>
        <w:t>CER/DER</w:t>
      </w:r>
      <w:r w:rsidR="004554F1" w:rsidRPr="002C72C2">
        <w:rPr>
          <w:lang w:eastAsia="en-US" w:bidi="ar-SA"/>
        </w:rPr>
        <w:t xml:space="preserve"> and EVs</w:t>
      </w:r>
      <w:r w:rsidRPr="002C72C2">
        <w:rPr>
          <w:lang w:eastAsia="en-US" w:bidi="ar-SA"/>
        </w:rPr>
        <w:t xml:space="preserve">. </w:t>
      </w:r>
    </w:p>
    <w:p w14:paraId="542831AA" w14:textId="7848CDA3" w:rsidR="00411546" w:rsidRPr="002C72C2" w:rsidRDefault="00411546" w:rsidP="00EB2823">
      <w:pPr>
        <w:spacing w:before="120" w:after="120" w:line="264" w:lineRule="auto"/>
        <w:rPr>
          <w:lang w:eastAsia="en-US" w:bidi="ar-SA"/>
        </w:rPr>
      </w:pPr>
      <w:r w:rsidRPr="002C72C2">
        <w:rPr>
          <w:lang w:eastAsia="en-US" w:bidi="ar-SA"/>
        </w:rPr>
        <w:t>In what remains a comparatively nascent area in the power sector, three approaches are typically being implemented or proposed for consideration</w:t>
      </w:r>
      <w:r w:rsidR="00374950">
        <w:rPr>
          <w:lang w:eastAsia="en-US" w:bidi="ar-SA"/>
        </w:rPr>
        <w:t xml:space="preserve">. </w:t>
      </w:r>
      <w:r w:rsidRPr="002C72C2">
        <w:rPr>
          <w:lang w:eastAsia="en-US" w:bidi="ar-SA"/>
        </w:rPr>
        <w:t>These</w:t>
      </w:r>
      <w:r w:rsidR="00464181" w:rsidRPr="002C72C2">
        <w:rPr>
          <w:lang w:eastAsia="en-US" w:bidi="ar-SA"/>
        </w:rPr>
        <w:t xml:space="preserve"> options</w:t>
      </w:r>
      <w:r w:rsidRPr="002C72C2">
        <w:rPr>
          <w:lang w:eastAsia="en-US" w:bidi="ar-SA"/>
        </w:rPr>
        <w:t xml:space="preserve"> include: </w:t>
      </w:r>
    </w:p>
    <w:p w14:paraId="25061669" w14:textId="36E3CE70" w:rsidR="00411546" w:rsidRPr="002C72C2" w:rsidRDefault="00411546" w:rsidP="00954BAC">
      <w:pPr>
        <w:pStyle w:val="ListParagraph"/>
        <w:numPr>
          <w:ilvl w:val="0"/>
          <w:numId w:val="25"/>
        </w:numPr>
        <w:spacing w:line="264" w:lineRule="auto"/>
        <w:rPr>
          <w:lang w:eastAsia="en-US" w:bidi="ar-SA"/>
        </w:rPr>
      </w:pPr>
      <w:r w:rsidRPr="002C72C2">
        <w:rPr>
          <w:lang w:eastAsia="en-US" w:bidi="ar-SA"/>
        </w:rPr>
        <w:t xml:space="preserve">Point-to-point interfaces between any pair of industry actors or systems that need to exchange </w:t>
      </w:r>
      <w:r w:rsidR="00E26AE8" w:rsidRPr="002C72C2">
        <w:rPr>
          <w:lang w:eastAsia="en-US" w:bidi="ar-SA"/>
        </w:rPr>
        <w:t>data.</w:t>
      </w:r>
    </w:p>
    <w:p w14:paraId="759670D7" w14:textId="5266AE69" w:rsidR="00411546" w:rsidRPr="002C72C2" w:rsidRDefault="00411546" w:rsidP="00954BAC">
      <w:pPr>
        <w:pStyle w:val="ListParagraph"/>
        <w:numPr>
          <w:ilvl w:val="0"/>
          <w:numId w:val="25"/>
        </w:numPr>
        <w:spacing w:line="264" w:lineRule="auto"/>
        <w:rPr>
          <w:lang w:eastAsia="en-US" w:bidi="ar-SA"/>
        </w:rPr>
      </w:pPr>
      <w:r w:rsidRPr="002C72C2">
        <w:rPr>
          <w:lang w:eastAsia="en-US" w:bidi="ar-SA"/>
        </w:rPr>
        <w:t xml:space="preserve">Centralised data exchange or data sharing Platform that participating industry </w:t>
      </w:r>
      <w:r w:rsidR="009E4A28" w:rsidRPr="002C72C2">
        <w:rPr>
          <w:lang w:eastAsia="en-US" w:bidi="ar-SA"/>
        </w:rPr>
        <w:t>actors’</w:t>
      </w:r>
      <w:r w:rsidRPr="002C72C2">
        <w:rPr>
          <w:lang w:eastAsia="en-US" w:bidi="ar-SA"/>
        </w:rPr>
        <w:t xml:space="preserve"> stream or upload data into, with each entity accessing whatever data it requires</w:t>
      </w:r>
      <w:r w:rsidR="00E26AE8">
        <w:rPr>
          <w:lang w:eastAsia="en-US" w:bidi="ar-SA"/>
        </w:rPr>
        <w:t>.</w:t>
      </w:r>
    </w:p>
    <w:p w14:paraId="2773D8E0" w14:textId="16BF17A4" w:rsidR="00411546" w:rsidRPr="002C72C2" w:rsidRDefault="00411546" w:rsidP="00954BAC">
      <w:pPr>
        <w:pStyle w:val="ListParagraph"/>
        <w:numPr>
          <w:ilvl w:val="0"/>
          <w:numId w:val="25"/>
        </w:numPr>
        <w:spacing w:line="264" w:lineRule="auto"/>
        <w:rPr>
          <w:lang w:eastAsia="en-US" w:bidi="ar-SA"/>
        </w:rPr>
      </w:pPr>
      <w:r w:rsidRPr="002C72C2">
        <w:rPr>
          <w:lang w:eastAsia="en-US" w:bidi="ar-SA"/>
        </w:rPr>
        <w:t>Decentralised data exchange.</w:t>
      </w:r>
    </w:p>
    <w:p w14:paraId="2253CB17" w14:textId="0A20B789" w:rsidR="00411546" w:rsidRPr="002C72C2" w:rsidRDefault="00411546" w:rsidP="00EB2823">
      <w:pPr>
        <w:spacing w:before="120" w:after="120" w:line="264" w:lineRule="auto"/>
        <w:rPr>
          <w:lang w:eastAsia="en-US" w:bidi="ar-SA"/>
        </w:rPr>
      </w:pPr>
      <w:r w:rsidRPr="002C72C2">
        <w:rPr>
          <w:lang w:eastAsia="en-US" w:bidi="ar-SA"/>
        </w:rPr>
        <w:t>Each of these approaches have key challenges and are considered below together with a fourth potential area of consideration</w:t>
      </w:r>
      <w:r w:rsidR="00374950">
        <w:rPr>
          <w:lang w:eastAsia="en-US" w:bidi="ar-SA"/>
        </w:rPr>
        <w:t xml:space="preserve">. </w:t>
      </w:r>
    </w:p>
    <w:p w14:paraId="03A2F04D" w14:textId="5898556C" w:rsidR="00411546" w:rsidRPr="00270658" w:rsidRDefault="00411546" w:rsidP="00EB2823">
      <w:pPr>
        <w:spacing w:before="180" w:after="120" w:line="264" w:lineRule="auto"/>
        <w:rPr>
          <w:rStyle w:val="IntenseEmphasis"/>
        </w:rPr>
      </w:pPr>
      <w:r w:rsidRPr="00270658">
        <w:rPr>
          <w:rStyle w:val="IntenseEmphasis"/>
        </w:rPr>
        <w:t xml:space="preserve">Option 1: Point-to-point Interfaces </w:t>
      </w:r>
    </w:p>
    <w:p w14:paraId="1CE95D44" w14:textId="46BD1974" w:rsidR="00411546" w:rsidRPr="002C72C2" w:rsidRDefault="00411546" w:rsidP="00EB2823">
      <w:pPr>
        <w:spacing w:before="120" w:after="120" w:line="264" w:lineRule="auto"/>
        <w:rPr>
          <w:lang w:eastAsia="en-US" w:bidi="ar-SA"/>
        </w:rPr>
      </w:pPr>
      <w:r w:rsidRPr="002C72C2">
        <w:rPr>
          <w:lang w:eastAsia="en-US" w:bidi="ar-SA"/>
        </w:rPr>
        <w:t>The point-to-point interface approach is typically implemented in demonstration projects and individual use cases at a small scale</w:t>
      </w:r>
      <w:r w:rsidR="00374950">
        <w:rPr>
          <w:lang w:eastAsia="en-US" w:bidi="ar-SA"/>
        </w:rPr>
        <w:t xml:space="preserve">. </w:t>
      </w:r>
      <w:r w:rsidRPr="002C72C2">
        <w:rPr>
          <w:lang w:eastAsia="en-US" w:bidi="ar-SA"/>
        </w:rPr>
        <w:t xml:space="preserve">Examples may include a small number of </w:t>
      </w:r>
      <w:r w:rsidR="0003632D" w:rsidRPr="002C72C2">
        <w:rPr>
          <w:lang w:eastAsia="en-US" w:bidi="ar-SA"/>
        </w:rPr>
        <w:t>a</w:t>
      </w:r>
      <w:r w:rsidRPr="002C72C2">
        <w:rPr>
          <w:lang w:eastAsia="en-US" w:bidi="ar-SA"/>
        </w:rPr>
        <w:t xml:space="preserve">ggregators collaborating with a </w:t>
      </w:r>
      <w:r w:rsidR="00EF4FF2" w:rsidRPr="00EF4FF2">
        <w:rPr>
          <w:lang w:eastAsia="en-US" w:bidi="ar-SA"/>
        </w:rPr>
        <w:t>d</w:t>
      </w:r>
      <w:r w:rsidRPr="00EF4FF2">
        <w:rPr>
          <w:lang w:eastAsia="en-US" w:bidi="ar-SA"/>
        </w:rPr>
        <w:t xml:space="preserve">istribution </w:t>
      </w:r>
      <w:r w:rsidR="00EF4FF2" w:rsidRPr="00EF4FF2">
        <w:rPr>
          <w:lang w:eastAsia="en-US" w:bidi="ar-SA"/>
        </w:rPr>
        <w:t>n</w:t>
      </w:r>
      <w:r w:rsidRPr="00EF4FF2">
        <w:rPr>
          <w:lang w:eastAsia="en-US" w:bidi="ar-SA"/>
        </w:rPr>
        <w:t>etwork</w:t>
      </w:r>
      <w:r w:rsidRPr="002C72C2">
        <w:rPr>
          <w:lang w:eastAsia="en-US" w:bidi="ar-SA"/>
        </w:rPr>
        <w:t xml:space="preserve"> to obtain Dynamic Operating Envelope (DOE) information</w:t>
      </w:r>
      <w:r w:rsidR="00374950">
        <w:rPr>
          <w:lang w:eastAsia="en-US" w:bidi="ar-SA"/>
        </w:rPr>
        <w:t xml:space="preserve">. </w:t>
      </w:r>
      <w:r w:rsidRPr="002C72C2">
        <w:rPr>
          <w:lang w:eastAsia="en-US" w:bidi="ar-SA"/>
        </w:rPr>
        <w:t>However, as the Project EDGE Lessons Learnt Report #2 noted</w:t>
      </w:r>
      <w:hyperlink w:anchor="Ref_27" w:history="1">
        <w:r w:rsidR="006401C9" w:rsidRPr="00A71109">
          <w:rPr>
            <w:rStyle w:val="Hyperlink"/>
            <w:lang w:eastAsia="en-US" w:bidi="ar-SA"/>
          </w:rPr>
          <w:fldChar w:fldCharType="begin"/>
        </w:r>
        <w:r w:rsidR="00732E28" w:rsidRPr="00A71109">
          <w:rPr>
            <w:rStyle w:val="Hyperlink"/>
            <w:lang w:eastAsia="en-US" w:bidi="ar-SA"/>
          </w:rPr>
          <w:instrText xml:space="preserve"> ADDIN ZOTERO_ITEM CSL_CITATION {"citationID":"Avbx6NQS","properties":{"formattedCitation":"[27]","plainCitation":"[27]","noteIndex":0},"citationItems":[{"id":16,"uris":["http://zotero.org/users/local/BgaHAIQb/items/RZ9VZNDW","http://zotero.org/users/17348326/items/RZ9VZNDW"],"itemData":{"id":16,"type":"report","number":"Version 1.0","title":"Project EDGE - Lesson Learnt Report #2","URL":"https://aemo.com.au/-/media/files/initiatives/der/2022/project-edge-lessons-learnt-2--final.pdf","author":[{"family":"Australian Energy Market Operator (AEMO)","given":""}],"issued":{"date-parts":[["2022",12,15]]}}}],"schema":"https://github.com/citation-style-language/schema/raw/master/csl-citation.json"} </w:instrText>
        </w:r>
        <w:r w:rsidR="006401C9" w:rsidRPr="00A71109">
          <w:rPr>
            <w:rStyle w:val="Hyperlink"/>
            <w:lang w:eastAsia="en-US" w:bidi="ar-SA"/>
          </w:rPr>
          <w:fldChar w:fldCharType="separate"/>
        </w:r>
        <w:r w:rsidR="00732E28" w:rsidRPr="00A71109">
          <w:rPr>
            <w:rStyle w:val="Hyperlink"/>
          </w:rPr>
          <w:t>[27]</w:t>
        </w:r>
        <w:r w:rsidR="006401C9" w:rsidRPr="00A71109">
          <w:rPr>
            <w:rStyle w:val="Hyperlink"/>
            <w:lang w:eastAsia="en-US" w:bidi="ar-SA"/>
          </w:rPr>
          <w:fldChar w:fldCharType="end"/>
        </w:r>
      </w:hyperlink>
      <w:r w:rsidRPr="002C72C2">
        <w:rPr>
          <w:lang w:eastAsia="en-US" w:bidi="ar-SA"/>
        </w:rPr>
        <w:t>:</w:t>
      </w:r>
    </w:p>
    <w:p w14:paraId="3FABC262" w14:textId="0C141C26" w:rsidR="00411546" w:rsidRPr="002C72C2" w:rsidRDefault="00411546" w:rsidP="00001F04">
      <w:pPr>
        <w:spacing w:before="120" w:after="120" w:line="264" w:lineRule="auto"/>
        <w:ind w:left="360"/>
        <w:rPr>
          <w:i/>
          <w:lang w:eastAsia="en-US" w:bidi="ar-SA"/>
        </w:rPr>
      </w:pPr>
      <w:r w:rsidRPr="002C72C2">
        <w:rPr>
          <w:i/>
          <w:lang w:eastAsia="en-US" w:bidi="ar-SA"/>
        </w:rPr>
        <w:t>“…the following factors associated with a high DER future mean point-to-point approaches</w:t>
      </w:r>
      <w:r w:rsidR="00001F04">
        <w:rPr>
          <w:i/>
          <w:lang w:eastAsia="en-US" w:bidi="ar-SA"/>
        </w:rPr>
        <w:t xml:space="preserve"> </w:t>
      </w:r>
      <w:r w:rsidRPr="002C72C2">
        <w:rPr>
          <w:i/>
          <w:lang w:eastAsia="en-US" w:bidi="ar-SA"/>
        </w:rPr>
        <w:t>could lead to adverse outcomes for consumers:</w:t>
      </w:r>
    </w:p>
    <w:p w14:paraId="3B4D0AC9" w14:textId="26E3C9B1" w:rsidR="00411546" w:rsidRPr="002C72C2" w:rsidRDefault="00411546" w:rsidP="00954BAC">
      <w:pPr>
        <w:pStyle w:val="ListParagraph"/>
        <w:numPr>
          <w:ilvl w:val="0"/>
          <w:numId w:val="26"/>
        </w:numPr>
        <w:spacing w:line="264" w:lineRule="auto"/>
        <w:ind w:left="851" w:hanging="284"/>
        <w:rPr>
          <w:i/>
          <w:lang w:eastAsia="en-US" w:bidi="ar-SA"/>
        </w:rPr>
      </w:pPr>
      <w:r w:rsidRPr="002C72C2">
        <w:rPr>
          <w:i/>
          <w:lang w:eastAsia="en-US" w:bidi="ar-SA"/>
        </w:rPr>
        <w:t>Proliferation of aggregators needing to obtain DOEs from all DNSPs across the NEM.</w:t>
      </w:r>
    </w:p>
    <w:p w14:paraId="15A38B0D" w14:textId="77EA1545" w:rsidR="00411546" w:rsidRPr="002C72C2" w:rsidRDefault="00411546" w:rsidP="00954BAC">
      <w:pPr>
        <w:pStyle w:val="ListParagraph"/>
        <w:numPr>
          <w:ilvl w:val="0"/>
          <w:numId w:val="26"/>
        </w:numPr>
        <w:spacing w:line="264" w:lineRule="auto"/>
        <w:ind w:left="851" w:hanging="284"/>
        <w:rPr>
          <w:i/>
          <w:lang w:eastAsia="en-US" w:bidi="ar-SA"/>
        </w:rPr>
      </w:pPr>
      <w:r w:rsidRPr="002C72C2">
        <w:rPr>
          <w:i/>
          <w:lang w:eastAsia="en-US" w:bidi="ar-SA"/>
        </w:rPr>
        <w:t>Proliferation of new use cases, such as:</w:t>
      </w:r>
    </w:p>
    <w:p w14:paraId="3E1A36E2" w14:textId="1F7AE8BA" w:rsidR="00411546" w:rsidRDefault="00411546" w:rsidP="00954BAC">
      <w:pPr>
        <w:pStyle w:val="ListParagraph"/>
        <w:numPr>
          <w:ilvl w:val="1"/>
          <w:numId w:val="26"/>
        </w:numPr>
        <w:spacing w:line="264" w:lineRule="auto"/>
        <w:ind w:left="1134" w:hanging="283"/>
        <w:rPr>
          <w:i/>
          <w:lang w:eastAsia="en-US" w:bidi="ar-SA"/>
        </w:rPr>
      </w:pPr>
      <w:r w:rsidRPr="002C72C2">
        <w:rPr>
          <w:i/>
          <w:lang w:eastAsia="en-US" w:bidi="ar-SA"/>
        </w:rPr>
        <w:t>Retailers sending zero export limits to consumer agents/aggregators to manage negative price exposure</w:t>
      </w:r>
      <w:r w:rsidR="00AB082F">
        <w:rPr>
          <w:i/>
          <w:lang w:eastAsia="en-US" w:bidi="ar-SA"/>
        </w:rPr>
        <w:t>,</w:t>
      </w:r>
    </w:p>
    <w:p w14:paraId="3831B38D" w14:textId="77777777" w:rsidR="002256F6" w:rsidRPr="00AB082F" w:rsidRDefault="002256F6" w:rsidP="00954BAC">
      <w:pPr>
        <w:pStyle w:val="ListParagraph"/>
        <w:numPr>
          <w:ilvl w:val="1"/>
          <w:numId w:val="26"/>
        </w:numPr>
        <w:spacing w:line="264" w:lineRule="auto"/>
        <w:ind w:left="1134" w:hanging="283"/>
        <w:rPr>
          <w:i/>
          <w:lang w:eastAsia="en-US" w:bidi="ar-SA"/>
        </w:rPr>
      </w:pPr>
      <w:r w:rsidRPr="00AB082F">
        <w:rPr>
          <w:i/>
          <w:lang w:eastAsia="en-US" w:bidi="ar-SA"/>
        </w:rPr>
        <w:t>System operators managing minimum demand,</w:t>
      </w:r>
    </w:p>
    <w:p w14:paraId="0EB848AE" w14:textId="12708A98" w:rsidR="00411546" w:rsidRPr="002C72C2" w:rsidRDefault="00411546" w:rsidP="00954BAC">
      <w:pPr>
        <w:pStyle w:val="ListParagraph"/>
        <w:numPr>
          <w:ilvl w:val="1"/>
          <w:numId w:val="26"/>
        </w:numPr>
        <w:spacing w:line="264" w:lineRule="auto"/>
        <w:ind w:left="1134" w:hanging="283"/>
        <w:rPr>
          <w:i/>
          <w:lang w:eastAsia="en-US" w:bidi="ar-SA"/>
        </w:rPr>
      </w:pPr>
      <w:r w:rsidRPr="002C72C2">
        <w:rPr>
          <w:i/>
          <w:lang w:eastAsia="en-US" w:bidi="ar-SA"/>
        </w:rPr>
        <w:t>DNSPs sending dynamic network prices to EV charge point operators to manage peak charging risks</w:t>
      </w:r>
      <w:r w:rsidR="003F6F80">
        <w:rPr>
          <w:i/>
          <w:lang w:eastAsia="en-US" w:bidi="ar-SA"/>
        </w:rPr>
        <w:t>,</w:t>
      </w:r>
      <w:r w:rsidRPr="002C72C2">
        <w:rPr>
          <w:i/>
          <w:lang w:eastAsia="en-US" w:bidi="ar-SA"/>
        </w:rPr>
        <w:t xml:space="preserve"> and </w:t>
      </w:r>
    </w:p>
    <w:p w14:paraId="4EC9071D" w14:textId="7F5DA832" w:rsidR="00411546" w:rsidRPr="002C72C2" w:rsidRDefault="00411546" w:rsidP="00954BAC">
      <w:pPr>
        <w:pStyle w:val="ListParagraph"/>
        <w:numPr>
          <w:ilvl w:val="1"/>
          <w:numId w:val="26"/>
        </w:numPr>
        <w:spacing w:line="264" w:lineRule="auto"/>
        <w:ind w:left="1134" w:hanging="283"/>
        <w:rPr>
          <w:i/>
          <w:lang w:eastAsia="en-US" w:bidi="ar-SA"/>
        </w:rPr>
      </w:pPr>
      <w:r w:rsidRPr="002C72C2">
        <w:rPr>
          <w:i/>
          <w:lang w:eastAsia="en-US" w:bidi="ar-SA"/>
        </w:rPr>
        <w:t>DNSPs seeking to procure DER-based local network support services from aggregators.</w:t>
      </w:r>
      <w:r w:rsidR="00760464" w:rsidRPr="002C72C2">
        <w:rPr>
          <w:i/>
          <w:lang w:eastAsia="en-US" w:bidi="ar-SA"/>
        </w:rPr>
        <w:t>”</w:t>
      </w:r>
      <w:r w:rsidR="00073B20">
        <w:rPr>
          <w:i/>
          <w:lang w:eastAsia="en-US" w:bidi="ar-SA"/>
        </w:rPr>
        <w:t>.</w:t>
      </w:r>
    </w:p>
    <w:p w14:paraId="636EE8FD" w14:textId="77777777" w:rsidR="00F776E1" w:rsidRDefault="00411546" w:rsidP="00EB2823">
      <w:pPr>
        <w:spacing w:before="120" w:after="120" w:line="264" w:lineRule="auto"/>
        <w:rPr>
          <w:lang w:eastAsia="en-US" w:bidi="ar-SA"/>
        </w:rPr>
      </w:pPr>
      <w:r w:rsidRPr="002C72C2">
        <w:rPr>
          <w:lang w:eastAsia="en-US" w:bidi="ar-SA"/>
        </w:rPr>
        <w:t xml:space="preserve">Evaluated using </w:t>
      </w:r>
      <w:r w:rsidR="005F063F">
        <w:rPr>
          <w:lang w:eastAsia="en-US" w:bidi="ar-SA"/>
        </w:rPr>
        <w:t>systems a</w:t>
      </w:r>
      <w:r w:rsidRPr="002C72C2">
        <w:rPr>
          <w:lang w:eastAsia="en-US" w:bidi="ar-SA"/>
        </w:rPr>
        <w:t xml:space="preserve">rchitecture tools and methodologies, the point-to-point approach </w:t>
      </w:r>
      <w:r w:rsidR="00721A80">
        <w:rPr>
          <w:lang w:eastAsia="en-US" w:bidi="ar-SA"/>
        </w:rPr>
        <w:t xml:space="preserve">can perform well in clinical </w:t>
      </w:r>
      <w:r w:rsidR="00762702">
        <w:rPr>
          <w:lang w:eastAsia="en-US" w:bidi="ar-SA"/>
        </w:rPr>
        <w:t>scenarios but can face</w:t>
      </w:r>
      <w:r w:rsidRPr="002C72C2">
        <w:rPr>
          <w:lang w:eastAsia="en-US" w:bidi="ar-SA"/>
        </w:rPr>
        <w:t xml:space="preserve"> </w:t>
      </w:r>
      <w:r w:rsidR="003A7C7B" w:rsidRPr="002C72C2">
        <w:rPr>
          <w:lang w:eastAsia="en-US" w:bidi="ar-SA"/>
        </w:rPr>
        <w:t>s</w:t>
      </w:r>
      <w:r w:rsidRPr="002C72C2">
        <w:rPr>
          <w:lang w:eastAsia="en-US" w:bidi="ar-SA"/>
        </w:rPr>
        <w:t xml:space="preserve">calability and </w:t>
      </w:r>
      <w:r w:rsidR="003A7C7B" w:rsidRPr="002C72C2">
        <w:rPr>
          <w:lang w:eastAsia="en-US" w:bidi="ar-SA"/>
        </w:rPr>
        <w:t>e</w:t>
      </w:r>
      <w:r w:rsidRPr="002C72C2">
        <w:rPr>
          <w:lang w:eastAsia="en-US" w:bidi="ar-SA"/>
        </w:rPr>
        <w:t>xtensibility</w:t>
      </w:r>
      <w:r w:rsidR="00762702">
        <w:rPr>
          <w:lang w:eastAsia="en-US" w:bidi="ar-SA"/>
        </w:rPr>
        <w:t xml:space="preserve"> issues when </w:t>
      </w:r>
      <w:r w:rsidR="00515AF0">
        <w:rPr>
          <w:lang w:eastAsia="en-US" w:bidi="ar-SA"/>
        </w:rPr>
        <w:t>having to handle more problem variables than what was allowed for in trials</w:t>
      </w:r>
      <w:r w:rsidRPr="002C72C2">
        <w:rPr>
          <w:lang w:eastAsia="en-US" w:bidi="ar-SA"/>
        </w:rPr>
        <w:t>.</w:t>
      </w:r>
      <w:r w:rsidR="004430AD">
        <w:rPr>
          <w:lang w:eastAsia="en-US" w:bidi="ar-SA"/>
        </w:rPr>
        <w:t xml:space="preserve"> This</w:t>
      </w:r>
      <w:r w:rsidRPr="002C72C2">
        <w:rPr>
          <w:lang w:eastAsia="en-US" w:bidi="ar-SA"/>
        </w:rPr>
        <w:t xml:space="preserve"> is compounded by each </w:t>
      </w:r>
      <w:r w:rsidR="00F776E1">
        <w:rPr>
          <w:lang w:eastAsia="en-US" w:bidi="ar-SA"/>
        </w:rPr>
        <w:t xml:space="preserve">organisation’s </w:t>
      </w:r>
      <w:r w:rsidRPr="002C72C2">
        <w:rPr>
          <w:lang w:eastAsia="en-US" w:bidi="ar-SA"/>
        </w:rPr>
        <w:t xml:space="preserve">system typically having its own primary data sources, communication systems, data formats, and protocols. </w:t>
      </w:r>
    </w:p>
    <w:p w14:paraId="08D18725" w14:textId="01879AC7" w:rsidR="00411546" w:rsidRPr="002C72C2" w:rsidRDefault="00F776E1" w:rsidP="00EB2823">
      <w:pPr>
        <w:spacing w:before="120" w:after="120" w:line="264" w:lineRule="auto"/>
        <w:rPr>
          <w:lang w:eastAsia="en-US" w:bidi="ar-SA"/>
        </w:rPr>
      </w:pPr>
      <w:r>
        <w:rPr>
          <w:lang w:eastAsia="en-US" w:bidi="ar-SA"/>
        </w:rPr>
        <w:t xml:space="preserve">Further, </w:t>
      </w:r>
      <w:r w:rsidR="00411546" w:rsidRPr="002C72C2">
        <w:rPr>
          <w:lang w:eastAsia="en-US" w:bidi="ar-SA"/>
        </w:rPr>
        <w:t xml:space="preserve">where there are multiple organisations providing functionally equivalent data (e.g. meter data, </w:t>
      </w:r>
      <w:r w:rsidR="007A3C74" w:rsidRPr="002C72C2">
        <w:rPr>
          <w:lang w:eastAsia="en-US" w:bidi="ar-SA"/>
        </w:rPr>
        <w:t>CER/DER</w:t>
      </w:r>
      <w:r w:rsidR="00411546" w:rsidRPr="002C72C2">
        <w:rPr>
          <w:lang w:eastAsia="en-US" w:bidi="ar-SA"/>
        </w:rPr>
        <w:t xml:space="preserve"> and EV data from </w:t>
      </w:r>
      <w:r w:rsidR="009D696C">
        <w:rPr>
          <w:lang w:eastAsia="en-US" w:bidi="ar-SA"/>
        </w:rPr>
        <w:t>a</w:t>
      </w:r>
      <w:r w:rsidR="00411546" w:rsidRPr="002C72C2">
        <w:rPr>
          <w:lang w:eastAsia="en-US" w:bidi="ar-SA"/>
        </w:rPr>
        <w:t>ggregators, DOE data from DNSPs, etc.)</w:t>
      </w:r>
      <w:r w:rsidR="008C19EC">
        <w:rPr>
          <w:lang w:eastAsia="en-US" w:bidi="ar-SA"/>
        </w:rPr>
        <w:t xml:space="preserve">, any </w:t>
      </w:r>
      <w:r w:rsidR="00411546" w:rsidRPr="002C72C2">
        <w:rPr>
          <w:lang w:eastAsia="en-US" w:bidi="ar-SA"/>
        </w:rPr>
        <w:t>given system may have to contend with multiple interfaces and representation schema for essentially the same categories of information</w:t>
      </w:r>
      <w:r w:rsidR="008C19EC">
        <w:rPr>
          <w:lang w:eastAsia="en-US" w:bidi="ar-SA"/>
        </w:rPr>
        <w:t>. This makes</w:t>
      </w:r>
      <w:r w:rsidR="00411546" w:rsidRPr="002C72C2">
        <w:rPr>
          <w:lang w:eastAsia="en-US" w:bidi="ar-SA"/>
        </w:rPr>
        <w:t xml:space="preserve"> interoperability </w:t>
      </w:r>
      <w:r w:rsidR="00F24BF3">
        <w:rPr>
          <w:lang w:eastAsia="en-US" w:bidi="ar-SA"/>
        </w:rPr>
        <w:t xml:space="preserve">more </w:t>
      </w:r>
      <w:r w:rsidR="00411546" w:rsidRPr="002C72C2">
        <w:rPr>
          <w:lang w:eastAsia="en-US" w:bidi="ar-SA"/>
        </w:rPr>
        <w:t xml:space="preserve">costly </w:t>
      </w:r>
      <w:r w:rsidR="00F24BF3">
        <w:rPr>
          <w:lang w:eastAsia="en-US" w:bidi="ar-SA"/>
        </w:rPr>
        <w:t xml:space="preserve">given the effort required to reconcile </w:t>
      </w:r>
      <w:r w:rsidR="00E16983">
        <w:rPr>
          <w:lang w:eastAsia="en-US" w:bidi="ar-SA"/>
        </w:rPr>
        <w:t>duplication, bifurcation, and untraced modification of data</w:t>
      </w:r>
      <w:r w:rsidR="00411546" w:rsidRPr="002C72C2">
        <w:rPr>
          <w:lang w:eastAsia="en-US" w:bidi="ar-SA"/>
        </w:rPr>
        <w:t>.</w:t>
      </w:r>
      <w:r w:rsidR="00F012AF">
        <w:rPr>
          <w:lang w:eastAsia="en-US" w:bidi="ar-SA"/>
        </w:rPr>
        <w:t xml:space="preserve"> In this context, the</w:t>
      </w:r>
      <w:r w:rsidR="00411546" w:rsidRPr="002C72C2">
        <w:rPr>
          <w:lang w:eastAsia="en-US" w:bidi="ar-SA"/>
        </w:rPr>
        <w:t xml:space="preserve"> Project EDGE report also noted the following</w:t>
      </w:r>
      <w:hyperlink w:anchor="Ref_27" w:history="1">
        <w:r w:rsidR="0000594C" w:rsidRPr="003F6F80">
          <w:rPr>
            <w:rStyle w:val="Hyperlink"/>
            <w:lang w:eastAsia="en-US" w:bidi="ar-SA"/>
          </w:rPr>
          <w:fldChar w:fldCharType="begin"/>
        </w:r>
        <w:r w:rsidR="00732E28" w:rsidRPr="003F6F80">
          <w:rPr>
            <w:rStyle w:val="Hyperlink"/>
            <w:lang w:eastAsia="en-US" w:bidi="ar-SA"/>
          </w:rPr>
          <w:instrText xml:space="preserve"> ADDIN ZOTERO_ITEM CSL_CITATION {"citationID":"nZ3AiaiN","properties":{"formattedCitation":"[27]","plainCitation":"[27]","noteIndex":0},"citationItems":[{"id":16,"uris":["http://zotero.org/users/local/BgaHAIQb/items/RZ9VZNDW","http://zotero.org/users/17348326/items/RZ9VZNDW"],"itemData":{"id":16,"type":"report","number":"Version 1.0","title":"Project EDGE - Lesson Learnt Report #2","URL":"https://aemo.com.au/-/media/files/initiatives/der/2022/project-edge-lessons-learnt-2--final.pdf","author":[{"family":"Australian Energy Market Operator (AEMO)","given":""}],"issued":{"date-parts":[["2022",12,15]]}}}],"schema":"https://github.com/citation-style-language/schema/raw/master/csl-citation.json"} </w:instrText>
        </w:r>
        <w:r w:rsidR="0000594C" w:rsidRPr="003F6F80">
          <w:rPr>
            <w:rStyle w:val="Hyperlink"/>
            <w:lang w:eastAsia="en-US" w:bidi="ar-SA"/>
          </w:rPr>
          <w:fldChar w:fldCharType="separate"/>
        </w:r>
        <w:r w:rsidR="00732E28" w:rsidRPr="003F6F80">
          <w:rPr>
            <w:rStyle w:val="Hyperlink"/>
          </w:rPr>
          <w:t>[27]</w:t>
        </w:r>
        <w:r w:rsidR="0000594C" w:rsidRPr="003F6F80">
          <w:rPr>
            <w:rStyle w:val="Hyperlink"/>
            <w:lang w:eastAsia="en-US" w:bidi="ar-SA"/>
          </w:rPr>
          <w:fldChar w:fldCharType="end"/>
        </w:r>
      </w:hyperlink>
      <w:r w:rsidR="00411546" w:rsidRPr="002C72C2">
        <w:rPr>
          <w:lang w:eastAsia="en-US" w:bidi="ar-SA"/>
        </w:rPr>
        <w:t xml:space="preserve">: </w:t>
      </w:r>
    </w:p>
    <w:p w14:paraId="693A3ED3" w14:textId="67723016" w:rsidR="00411546" w:rsidRPr="002C72C2" w:rsidRDefault="00411546" w:rsidP="00D84111">
      <w:pPr>
        <w:pStyle w:val="ListParagraph"/>
        <w:numPr>
          <w:ilvl w:val="0"/>
          <w:numId w:val="0"/>
        </w:numPr>
        <w:spacing w:line="264" w:lineRule="auto"/>
        <w:ind w:left="720"/>
        <w:rPr>
          <w:i/>
          <w:lang w:eastAsia="en-US" w:bidi="ar-SA"/>
        </w:rPr>
      </w:pPr>
      <w:r w:rsidRPr="002C72C2">
        <w:rPr>
          <w:i/>
          <w:lang w:eastAsia="en-US" w:bidi="ar-SA"/>
        </w:rPr>
        <w:t xml:space="preserve">“Without mandated communication of DER data transactions through a data hub, the industry is currently on a path of point-to-point data exchange proliferation.” </w:t>
      </w:r>
    </w:p>
    <w:p w14:paraId="7A89212E" w14:textId="1F7F38B8" w:rsidR="00411546" w:rsidRPr="00760464" w:rsidRDefault="00411546" w:rsidP="00EB2823">
      <w:pPr>
        <w:spacing w:before="180" w:after="120" w:line="264" w:lineRule="auto"/>
        <w:rPr>
          <w:rStyle w:val="IntenseEmphasis"/>
        </w:rPr>
      </w:pPr>
      <w:r w:rsidRPr="00760464">
        <w:rPr>
          <w:rStyle w:val="IntenseEmphasis"/>
        </w:rPr>
        <w:t>Option 2: Centralised Data Exchange</w:t>
      </w:r>
    </w:p>
    <w:p w14:paraId="79CADD90" w14:textId="2D052BED" w:rsidR="00411546" w:rsidRPr="002C72C2" w:rsidRDefault="00411546" w:rsidP="00EB2823">
      <w:pPr>
        <w:spacing w:before="120" w:after="120" w:line="264" w:lineRule="auto"/>
        <w:rPr>
          <w:lang w:eastAsia="en-US" w:bidi="ar-SA"/>
        </w:rPr>
      </w:pPr>
      <w:r w:rsidRPr="002C72C2">
        <w:rPr>
          <w:lang w:eastAsia="en-US" w:bidi="ar-SA"/>
        </w:rPr>
        <w:t xml:space="preserve">The centralised data exchange or data sharing </w:t>
      </w:r>
      <w:r w:rsidR="00270D1B" w:rsidRPr="002C72C2">
        <w:rPr>
          <w:lang w:eastAsia="en-US" w:bidi="ar-SA"/>
        </w:rPr>
        <w:t>p</w:t>
      </w:r>
      <w:r w:rsidRPr="002C72C2">
        <w:rPr>
          <w:lang w:eastAsia="en-US" w:bidi="ar-SA"/>
        </w:rPr>
        <w:t>latform approach (also known as ‘data warehousing’ or a ‘data lake’, etc.) is also commonly proposed as a solution to data exchange between multiple industry actors and millions of devices</w:t>
      </w:r>
      <w:r w:rsidR="00374950">
        <w:rPr>
          <w:lang w:eastAsia="en-US" w:bidi="ar-SA"/>
        </w:rPr>
        <w:t xml:space="preserve">. </w:t>
      </w:r>
      <w:r w:rsidRPr="002C72C2">
        <w:rPr>
          <w:lang w:eastAsia="en-US" w:bidi="ar-SA"/>
        </w:rPr>
        <w:t xml:space="preserve">Although quite different to the point-to-point approach, several critical issues arise immediately with this architecture, including: </w:t>
      </w:r>
    </w:p>
    <w:p w14:paraId="76A2E741" w14:textId="507594C8" w:rsidR="00411546" w:rsidRPr="002C72C2" w:rsidRDefault="00411546" w:rsidP="00954BAC">
      <w:pPr>
        <w:pStyle w:val="ListParagraph"/>
        <w:numPr>
          <w:ilvl w:val="0"/>
          <w:numId w:val="26"/>
        </w:numPr>
        <w:spacing w:line="264" w:lineRule="auto"/>
        <w:rPr>
          <w:lang w:eastAsia="en-US" w:bidi="ar-SA"/>
        </w:rPr>
      </w:pPr>
      <w:r w:rsidRPr="002C72C2">
        <w:rPr>
          <w:lang w:eastAsia="en-US" w:bidi="ar-SA"/>
        </w:rPr>
        <w:t xml:space="preserve">Who owns and maintains the data </w:t>
      </w:r>
      <w:r w:rsidR="00270D1B" w:rsidRPr="002C72C2">
        <w:rPr>
          <w:lang w:eastAsia="en-US" w:bidi="ar-SA"/>
        </w:rPr>
        <w:t>p</w:t>
      </w:r>
      <w:r w:rsidRPr="002C72C2">
        <w:rPr>
          <w:lang w:eastAsia="en-US" w:bidi="ar-SA"/>
        </w:rPr>
        <w:t>latform hardware and software?</w:t>
      </w:r>
    </w:p>
    <w:p w14:paraId="628E91E3" w14:textId="665D5383" w:rsidR="00411546" w:rsidRPr="002C72C2" w:rsidRDefault="00411546" w:rsidP="00954BAC">
      <w:pPr>
        <w:pStyle w:val="ListParagraph"/>
        <w:numPr>
          <w:ilvl w:val="0"/>
          <w:numId w:val="26"/>
        </w:numPr>
        <w:spacing w:line="264" w:lineRule="auto"/>
        <w:rPr>
          <w:lang w:eastAsia="en-US" w:bidi="ar-SA"/>
        </w:rPr>
      </w:pPr>
      <w:r w:rsidRPr="002C72C2">
        <w:rPr>
          <w:lang w:eastAsia="en-US" w:bidi="ar-SA"/>
        </w:rPr>
        <w:t xml:space="preserve">Who curates and manages the data repository? </w:t>
      </w:r>
    </w:p>
    <w:p w14:paraId="127F9340" w14:textId="7E09217A" w:rsidR="00411546" w:rsidRPr="002C72C2" w:rsidRDefault="00411546" w:rsidP="00954BAC">
      <w:pPr>
        <w:pStyle w:val="ListParagraph"/>
        <w:numPr>
          <w:ilvl w:val="0"/>
          <w:numId w:val="26"/>
        </w:numPr>
        <w:spacing w:line="264" w:lineRule="auto"/>
        <w:rPr>
          <w:lang w:eastAsia="en-US" w:bidi="ar-SA"/>
        </w:rPr>
      </w:pPr>
      <w:r w:rsidRPr="002C72C2">
        <w:rPr>
          <w:lang w:eastAsia="en-US" w:bidi="ar-SA"/>
        </w:rPr>
        <w:t>What standards will be applied to data representation and documentation?  Who selects them?</w:t>
      </w:r>
    </w:p>
    <w:p w14:paraId="4340B34D" w14:textId="6068921D" w:rsidR="00411546" w:rsidRPr="002C72C2" w:rsidRDefault="00411546" w:rsidP="00954BAC">
      <w:pPr>
        <w:pStyle w:val="ListParagraph"/>
        <w:numPr>
          <w:ilvl w:val="0"/>
          <w:numId w:val="26"/>
        </w:numPr>
        <w:spacing w:line="264" w:lineRule="auto"/>
        <w:rPr>
          <w:lang w:eastAsia="en-US" w:bidi="ar-SA"/>
        </w:rPr>
      </w:pPr>
      <w:r w:rsidRPr="002C72C2">
        <w:rPr>
          <w:lang w:eastAsia="en-US" w:bidi="ar-SA"/>
        </w:rPr>
        <w:t>How are the multiple time scales and unsynchroni</w:t>
      </w:r>
      <w:r w:rsidR="00BE3F41">
        <w:rPr>
          <w:lang w:eastAsia="en-US" w:bidi="ar-SA"/>
        </w:rPr>
        <w:t>s</w:t>
      </w:r>
      <w:r w:rsidRPr="002C72C2">
        <w:rPr>
          <w:lang w:eastAsia="en-US" w:bidi="ar-SA"/>
        </w:rPr>
        <w:t>ed data sampling schedules managed?</w:t>
      </w:r>
    </w:p>
    <w:p w14:paraId="242B5B87" w14:textId="2A13FF04" w:rsidR="00411546" w:rsidRPr="002C72C2" w:rsidRDefault="00411546" w:rsidP="00954BAC">
      <w:pPr>
        <w:pStyle w:val="ListParagraph"/>
        <w:numPr>
          <w:ilvl w:val="0"/>
          <w:numId w:val="26"/>
        </w:numPr>
        <w:spacing w:line="264" w:lineRule="auto"/>
        <w:rPr>
          <w:lang w:eastAsia="en-US" w:bidi="ar-SA"/>
        </w:rPr>
      </w:pPr>
      <w:r w:rsidRPr="002C72C2">
        <w:rPr>
          <w:lang w:eastAsia="en-US" w:bidi="ar-SA"/>
        </w:rPr>
        <w:t>How often are data refreshed?</w:t>
      </w:r>
    </w:p>
    <w:p w14:paraId="2E63199E" w14:textId="44078A87" w:rsidR="00411546" w:rsidRPr="002C72C2" w:rsidRDefault="00411546" w:rsidP="00954BAC">
      <w:pPr>
        <w:pStyle w:val="ListParagraph"/>
        <w:numPr>
          <w:ilvl w:val="0"/>
          <w:numId w:val="26"/>
        </w:numPr>
        <w:spacing w:line="264" w:lineRule="auto"/>
        <w:rPr>
          <w:lang w:eastAsia="en-US" w:bidi="ar-SA"/>
        </w:rPr>
      </w:pPr>
      <w:r w:rsidRPr="002C72C2">
        <w:rPr>
          <w:lang w:eastAsia="en-US" w:bidi="ar-SA"/>
        </w:rPr>
        <w:t>How much data should be kept online before being archived, and for how long?</w:t>
      </w:r>
    </w:p>
    <w:p w14:paraId="2ADA987E" w14:textId="4E18435F" w:rsidR="00411546" w:rsidRPr="002C72C2" w:rsidRDefault="00411546" w:rsidP="00954BAC">
      <w:pPr>
        <w:pStyle w:val="ListParagraph"/>
        <w:numPr>
          <w:ilvl w:val="0"/>
          <w:numId w:val="26"/>
        </w:numPr>
        <w:spacing w:line="264" w:lineRule="auto"/>
        <w:rPr>
          <w:lang w:eastAsia="en-US" w:bidi="ar-SA"/>
        </w:rPr>
      </w:pPr>
      <w:r w:rsidRPr="002C72C2">
        <w:rPr>
          <w:lang w:eastAsia="en-US" w:bidi="ar-SA"/>
        </w:rPr>
        <w:t xml:space="preserve">What contractual (legal and financial) agreements must be put in place to enable data sharing? </w:t>
      </w:r>
    </w:p>
    <w:p w14:paraId="1F18E84D" w14:textId="30516C06" w:rsidR="00411546" w:rsidRDefault="00411546" w:rsidP="00954BAC">
      <w:pPr>
        <w:pStyle w:val="ListParagraph"/>
        <w:numPr>
          <w:ilvl w:val="0"/>
          <w:numId w:val="26"/>
        </w:numPr>
        <w:spacing w:line="264" w:lineRule="auto"/>
        <w:rPr>
          <w:lang w:eastAsia="en-US" w:bidi="ar-SA"/>
        </w:rPr>
      </w:pPr>
      <w:r w:rsidRPr="002C72C2">
        <w:rPr>
          <w:lang w:eastAsia="en-US" w:bidi="ar-SA"/>
        </w:rPr>
        <w:t>Who owns the data once it is included in the repository?</w:t>
      </w:r>
    </w:p>
    <w:p w14:paraId="6303A9F9" w14:textId="27FE40F9" w:rsidR="00D67667" w:rsidRDefault="00D67667" w:rsidP="00954BAC">
      <w:pPr>
        <w:pStyle w:val="ListParagraph"/>
        <w:numPr>
          <w:ilvl w:val="0"/>
          <w:numId w:val="26"/>
        </w:numPr>
        <w:spacing w:line="264" w:lineRule="auto"/>
        <w:rPr>
          <w:lang w:eastAsia="en-US" w:bidi="ar-SA"/>
        </w:rPr>
      </w:pPr>
      <w:r>
        <w:rPr>
          <w:lang w:eastAsia="en-US" w:bidi="ar-SA"/>
        </w:rPr>
        <w:t>W</w:t>
      </w:r>
      <w:r w:rsidR="00EC4127">
        <w:rPr>
          <w:lang w:eastAsia="en-US" w:bidi="ar-SA"/>
        </w:rPr>
        <w:t>ho is responsible for the accuracy of the data?</w:t>
      </w:r>
    </w:p>
    <w:p w14:paraId="5AF021C3" w14:textId="7C73BF29" w:rsidR="006F6E2D" w:rsidRPr="002C72C2" w:rsidRDefault="006F6E2D" w:rsidP="00954BAC">
      <w:pPr>
        <w:pStyle w:val="ListParagraph"/>
        <w:numPr>
          <w:ilvl w:val="0"/>
          <w:numId w:val="26"/>
        </w:numPr>
        <w:spacing w:line="264" w:lineRule="auto"/>
        <w:rPr>
          <w:lang w:eastAsia="en-US" w:bidi="ar-SA"/>
        </w:rPr>
      </w:pPr>
      <w:r>
        <w:rPr>
          <w:lang w:eastAsia="en-US" w:bidi="ar-SA"/>
        </w:rPr>
        <w:t xml:space="preserve">Who owns the privacy rights of the data before </w:t>
      </w:r>
      <w:r w:rsidR="00F430DA">
        <w:rPr>
          <w:lang w:eastAsia="en-US" w:bidi="ar-SA"/>
        </w:rPr>
        <w:t>transmissions?</w:t>
      </w:r>
    </w:p>
    <w:p w14:paraId="1994933D" w14:textId="19616710" w:rsidR="00411546" w:rsidRPr="002C72C2" w:rsidRDefault="00411546" w:rsidP="00954BAC">
      <w:pPr>
        <w:pStyle w:val="ListParagraph"/>
        <w:numPr>
          <w:ilvl w:val="0"/>
          <w:numId w:val="26"/>
        </w:numPr>
        <w:spacing w:line="264" w:lineRule="auto"/>
        <w:rPr>
          <w:lang w:eastAsia="en-US" w:bidi="ar-SA"/>
        </w:rPr>
      </w:pPr>
      <w:r w:rsidRPr="002C72C2">
        <w:rPr>
          <w:lang w:eastAsia="en-US" w:bidi="ar-SA"/>
        </w:rPr>
        <w:t>Who pays for the repository, including its operation and ongoing maintenance?</w:t>
      </w:r>
    </w:p>
    <w:p w14:paraId="73E146A6" w14:textId="77777777" w:rsidR="00411546" w:rsidRPr="002C72C2" w:rsidRDefault="00411546" w:rsidP="00954BAC">
      <w:pPr>
        <w:pStyle w:val="ListParagraph"/>
        <w:numPr>
          <w:ilvl w:val="0"/>
          <w:numId w:val="26"/>
        </w:numPr>
        <w:spacing w:line="264" w:lineRule="auto"/>
        <w:rPr>
          <w:lang w:eastAsia="en-US" w:bidi="ar-SA"/>
        </w:rPr>
      </w:pPr>
      <w:r w:rsidRPr="002C72C2">
        <w:rPr>
          <w:lang w:eastAsia="en-US" w:bidi="ar-SA"/>
        </w:rPr>
        <w:t xml:space="preserve">This approach also suffers from a critical architectural deficiency, namely, in that is creates a single point of failure in terms of both: </w:t>
      </w:r>
    </w:p>
    <w:p w14:paraId="2460570D" w14:textId="5C72E0B1" w:rsidR="00411546" w:rsidRPr="002C72C2" w:rsidRDefault="00411546" w:rsidP="00954BAC">
      <w:pPr>
        <w:pStyle w:val="ListParagraph"/>
        <w:numPr>
          <w:ilvl w:val="1"/>
          <w:numId w:val="26"/>
        </w:numPr>
        <w:spacing w:line="264" w:lineRule="auto"/>
        <w:rPr>
          <w:lang w:eastAsia="en-US" w:bidi="ar-SA"/>
        </w:rPr>
      </w:pPr>
      <w:r w:rsidRPr="002C72C2">
        <w:rPr>
          <w:lang w:eastAsia="en-US" w:bidi="ar-SA"/>
        </w:rPr>
        <w:t xml:space="preserve">Reliability/resilience issues; and, </w:t>
      </w:r>
    </w:p>
    <w:p w14:paraId="1EF8543C" w14:textId="58A49A8E" w:rsidR="00411546" w:rsidRPr="002C72C2" w:rsidRDefault="00411546" w:rsidP="00954BAC">
      <w:pPr>
        <w:pStyle w:val="ListParagraph"/>
        <w:numPr>
          <w:ilvl w:val="1"/>
          <w:numId w:val="26"/>
        </w:numPr>
        <w:spacing w:line="264" w:lineRule="auto"/>
        <w:rPr>
          <w:lang w:eastAsia="en-US" w:bidi="ar-SA"/>
        </w:rPr>
      </w:pPr>
      <w:r w:rsidRPr="002C72C2">
        <w:rPr>
          <w:lang w:eastAsia="en-US" w:bidi="ar-SA"/>
        </w:rPr>
        <w:t>Cyber-security issues.</w:t>
      </w:r>
    </w:p>
    <w:p w14:paraId="2976211C" w14:textId="4377AA14" w:rsidR="00FA7570" w:rsidRDefault="00411546" w:rsidP="00FA7570">
      <w:pPr>
        <w:spacing w:before="120" w:after="120" w:line="264" w:lineRule="auto"/>
        <w:rPr>
          <w:lang w:eastAsia="en-US" w:bidi="ar-SA"/>
        </w:rPr>
      </w:pPr>
      <w:r w:rsidRPr="002C72C2">
        <w:rPr>
          <w:lang w:eastAsia="en-US" w:bidi="ar-SA"/>
        </w:rPr>
        <w:t>In other words, the central repository is anti-resilient due to its very centrality, which results in the participating organisations and their systems being coupled</w:t>
      </w:r>
      <w:r w:rsidR="00374950">
        <w:rPr>
          <w:lang w:eastAsia="en-US" w:bidi="ar-SA"/>
        </w:rPr>
        <w:t xml:space="preserve">. </w:t>
      </w:r>
      <w:r w:rsidRPr="002C72C2">
        <w:rPr>
          <w:lang w:eastAsia="en-US" w:bidi="ar-SA"/>
        </w:rPr>
        <w:t>It is also weak from a structural cyber-security standpoint as demonstrated by the many instances where interconnected systems have been attacked via the weakest element (organisation or system), which then becomes a portal into the others.</w:t>
      </w:r>
      <w:r w:rsidR="00FA7570" w:rsidRPr="00FA7570">
        <w:rPr>
          <w:lang w:eastAsia="en-US" w:bidi="ar-SA"/>
        </w:rPr>
        <w:t xml:space="preserve"> </w:t>
      </w:r>
      <w:r w:rsidR="00FA7570">
        <w:rPr>
          <w:lang w:eastAsia="en-US" w:bidi="ar-SA"/>
        </w:rPr>
        <w:t xml:space="preserve">It should </w:t>
      </w:r>
      <w:r w:rsidR="002E2C3C">
        <w:rPr>
          <w:lang w:eastAsia="en-US" w:bidi="ar-SA"/>
        </w:rPr>
        <w:t xml:space="preserve">also be noted </w:t>
      </w:r>
      <w:r w:rsidR="00FA7570">
        <w:rPr>
          <w:lang w:eastAsia="en-US" w:bidi="ar-SA"/>
        </w:rPr>
        <w:t>that while well-known techniques such as mirroring provide a degree of redundancy, they do not provide anything like the resilience of a distributed solution. Mirrored facilities can be cyber-compromised almost as easily as single ones.</w:t>
      </w:r>
    </w:p>
    <w:p w14:paraId="4AB6ED19" w14:textId="2AAFBBDE" w:rsidR="00411546" w:rsidRPr="002C72C2" w:rsidRDefault="002E2C3C" w:rsidP="00EB2823">
      <w:pPr>
        <w:spacing w:before="120" w:after="120" w:line="264" w:lineRule="auto"/>
        <w:rPr>
          <w:lang w:eastAsia="en-US" w:bidi="ar-SA"/>
        </w:rPr>
      </w:pPr>
      <w:r>
        <w:rPr>
          <w:lang w:eastAsia="en-US" w:bidi="ar-SA"/>
        </w:rPr>
        <w:t>Further,</w:t>
      </w:r>
      <w:r w:rsidR="00FA7570">
        <w:rPr>
          <w:lang w:eastAsia="en-US" w:bidi="ar-SA"/>
        </w:rPr>
        <w:t xml:space="preserve"> offshore data centres have a similar vulnerability; even though they have great redundancy. Loss of communications isolates the data centre or centres from the grid’s operational systems. The same is true of onshore facilities.</w:t>
      </w:r>
      <w:r w:rsidR="00F6467B">
        <w:rPr>
          <w:lang w:eastAsia="en-US" w:bidi="ar-SA"/>
        </w:rPr>
        <w:t xml:space="preserve">  D</w:t>
      </w:r>
      <w:r w:rsidR="00F6467B" w:rsidRPr="002C72C2">
        <w:rPr>
          <w:lang w:eastAsia="en-US" w:bidi="ar-SA"/>
        </w:rPr>
        <w:t>epending</w:t>
      </w:r>
      <w:r w:rsidR="00411546" w:rsidRPr="002C72C2">
        <w:rPr>
          <w:lang w:eastAsia="en-US" w:bidi="ar-SA"/>
        </w:rPr>
        <w:t xml:space="preserve"> on the number of organisations involved, the central data store approach can </w:t>
      </w:r>
      <w:r w:rsidR="00F6467B">
        <w:rPr>
          <w:lang w:eastAsia="en-US" w:bidi="ar-SA"/>
        </w:rPr>
        <w:t xml:space="preserve">also </w:t>
      </w:r>
      <w:r w:rsidR="00411546" w:rsidRPr="002C72C2">
        <w:rPr>
          <w:lang w:eastAsia="en-US" w:bidi="ar-SA"/>
        </w:rPr>
        <w:t xml:space="preserve">raise two types of </w:t>
      </w:r>
      <w:r w:rsidR="00385711" w:rsidRPr="00E15663">
        <w:rPr>
          <w:lang w:eastAsia="en-US" w:bidi="ar-SA"/>
        </w:rPr>
        <w:t>s</w:t>
      </w:r>
      <w:r w:rsidR="00411546" w:rsidRPr="00E15663">
        <w:rPr>
          <w:lang w:eastAsia="en-US" w:bidi="ar-SA"/>
        </w:rPr>
        <w:t>calability</w:t>
      </w:r>
      <w:r w:rsidR="00411546" w:rsidRPr="002C72C2">
        <w:rPr>
          <w:lang w:eastAsia="en-US" w:bidi="ar-SA"/>
        </w:rPr>
        <w:t xml:space="preserve"> challenges: data volume, and number of communication connections. While both can be managed, they are </w:t>
      </w:r>
      <w:r w:rsidR="00F6467B">
        <w:rPr>
          <w:lang w:eastAsia="en-US" w:bidi="ar-SA"/>
        </w:rPr>
        <w:t>non-</w:t>
      </w:r>
      <w:r w:rsidR="00411546" w:rsidRPr="002C72C2">
        <w:rPr>
          <w:lang w:eastAsia="en-US" w:bidi="ar-SA"/>
        </w:rPr>
        <w:t>trivial.</w:t>
      </w:r>
    </w:p>
    <w:p w14:paraId="66B2BE35" w14:textId="2DAA1F46" w:rsidR="00411546" w:rsidRPr="002C72C2" w:rsidRDefault="00411546" w:rsidP="00EB2823">
      <w:pPr>
        <w:spacing w:before="120" w:after="120" w:line="264" w:lineRule="auto"/>
        <w:rPr>
          <w:lang w:eastAsia="en-US" w:bidi="ar-SA"/>
        </w:rPr>
      </w:pPr>
      <w:r w:rsidRPr="002C72C2">
        <w:rPr>
          <w:lang w:eastAsia="en-US" w:bidi="ar-SA"/>
        </w:rPr>
        <w:t xml:space="preserve">Finally, power sector actors are often reluctant to share operational data before they </w:t>
      </w:r>
      <w:r w:rsidR="005F063F" w:rsidRPr="002C72C2">
        <w:rPr>
          <w:lang w:eastAsia="en-US" w:bidi="ar-SA"/>
        </w:rPr>
        <w:t>can</w:t>
      </w:r>
      <w:r w:rsidRPr="002C72C2">
        <w:rPr>
          <w:lang w:eastAsia="en-US" w:bidi="ar-SA"/>
        </w:rPr>
        <w:t xml:space="preserve"> ‘cleanse’ it (which can take very long periods of time) and/or may also view it as valuable intellectual property that they do not wish to share</w:t>
      </w:r>
      <w:r w:rsidR="00374950">
        <w:rPr>
          <w:lang w:eastAsia="en-US" w:bidi="ar-SA"/>
        </w:rPr>
        <w:t xml:space="preserve">. </w:t>
      </w:r>
      <w:r w:rsidRPr="002C72C2">
        <w:rPr>
          <w:lang w:eastAsia="en-US" w:bidi="ar-SA"/>
        </w:rPr>
        <w:t>In addition, the data representation issue can become complex since functionally equivalent entities and systems often have different schemes for the representation of the same underlying physical phenomena (meter data for example). The challenge of settling on commonly accepted data representations and exchange protocols is essentially the same as for the point-to-point approach.</w:t>
      </w:r>
    </w:p>
    <w:p w14:paraId="147DBE36" w14:textId="77777777" w:rsidR="00F6467B" w:rsidRDefault="00F6467B">
      <w:pPr>
        <w:spacing w:before="0" w:after="160" w:line="259" w:lineRule="auto"/>
        <w:rPr>
          <w:rStyle w:val="IntenseEmphasis"/>
        </w:rPr>
      </w:pPr>
      <w:r>
        <w:rPr>
          <w:rStyle w:val="IntenseEmphasis"/>
        </w:rPr>
        <w:br w:type="page"/>
      </w:r>
    </w:p>
    <w:p w14:paraId="7237E732" w14:textId="32C6ECF8" w:rsidR="00411546" w:rsidRPr="00760464" w:rsidRDefault="00411546" w:rsidP="00EB2823">
      <w:pPr>
        <w:spacing w:before="180" w:after="120" w:line="264" w:lineRule="auto"/>
        <w:rPr>
          <w:rStyle w:val="IntenseEmphasis"/>
        </w:rPr>
      </w:pPr>
      <w:r w:rsidRPr="00760464">
        <w:rPr>
          <w:rStyle w:val="IntenseEmphasis"/>
        </w:rPr>
        <w:t>Option 3: Decentralised Data Exchange</w:t>
      </w:r>
    </w:p>
    <w:p w14:paraId="65AD513D" w14:textId="7E0259F5" w:rsidR="00411546" w:rsidRPr="002C72C2" w:rsidRDefault="00411546" w:rsidP="00EB2823">
      <w:pPr>
        <w:spacing w:before="120" w:after="120" w:line="264" w:lineRule="auto"/>
        <w:rPr>
          <w:lang w:eastAsia="en-US" w:bidi="ar-SA"/>
        </w:rPr>
      </w:pPr>
      <w:r w:rsidRPr="002C72C2">
        <w:rPr>
          <w:lang w:eastAsia="en-US" w:bidi="ar-SA"/>
        </w:rPr>
        <w:t>When subjected to theoretical evaluation, decentralised data exchange approaches using Distributed Ledger Technology (DLT) such as Blockchain appear to have great promise and deliver greater benefits than the centralised approach</w:t>
      </w:r>
      <w:r w:rsidR="00374950">
        <w:rPr>
          <w:lang w:eastAsia="en-US" w:bidi="ar-SA"/>
        </w:rPr>
        <w:t xml:space="preserve">. </w:t>
      </w:r>
      <w:r w:rsidRPr="002C72C2">
        <w:rPr>
          <w:lang w:eastAsia="en-US" w:bidi="ar-SA"/>
        </w:rPr>
        <w:t xml:space="preserve">On the face of it, this is because decentralised architectures: </w:t>
      </w:r>
    </w:p>
    <w:p w14:paraId="4512768A" w14:textId="01837522" w:rsidR="00411546" w:rsidRPr="002C72C2" w:rsidRDefault="00411546" w:rsidP="00954BAC">
      <w:pPr>
        <w:pStyle w:val="ListParagraph"/>
        <w:numPr>
          <w:ilvl w:val="0"/>
          <w:numId w:val="27"/>
        </w:numPr>
        <w:spacing w:line="264" w:lineRule="auto"/>
        <w:rPr>
          <w:lang w:eastAsia="en-US" w:bidi="ar-SA"/>
        </w:rPr>
      </w:pPr>
      <w:r w:rsidRPr="002C72C2">
        <w:rPr>
          <w:lang w:eastAsia="en-US" w:bidi="ar-SA"/>
        </w:rPr>
        <w:t xml:space="preserve">Have enhanced </w:t>
      </w:r>
      <w:r w:rsidR="00D93BA7" w:rsidRPr="00E15663">
        <w:rPr>
          <w:lang w:eastAsia="en-US" w:bidi="ar-SA"/>
        </w:rPr>
        <w:t>scalability</w:t>
      </w:r>
      <w:r w:rsidRPr="002C72C2">
        <w:rPr>
          <w:lang w:eastAsia="en-US" w:bidi="ar-SA"/>
        </w:rPr>
        <w:t xml:space="preserve"> and minimise or avoid Single Point of Failure (SPOF) risks</w:t>
      </w:r>
      <w:r w:rsidR="00FB1435">
        <w:rPr>
          <w:lang w:eastAsia="en-US" w:bidi="ar-SA"/>
        </w:rPr>
        <w:t>.</w:t>
      </w:r>
    </w:p>
    <w:p w14:paraId="705A5CC1" w14:textId="3AD598B5" w:rsidR="00411546" w:rsidRPr="002C72C2" w:rsidRDefault="00411546" w:rsidP="00954BAC">
      <w:pPr>
        <w:pStyle w:val="ListParagraph"/>
        <w:numPr>
          <w:ilvl w:val="0"/>
          <w:numId w:val="27"/>
        </w:numPr>
        <w:spacing w:line="264" w:lineRule="auto"/>
        <w:rPr>
          <w:lang w:eastAsia="en-US" w:bidi="ar-SA"/>
        </w:rPr>
      </w:pPr>
      <w:r w:rsidRPr="002C72C2">
        <w:rPr>
          <w:lang w:eastAsia="en-US" w:bidi="ar-SA"/>
        </w:rPr>
        <w:t>Are modular, flexible and interoperable</w:t>
      </w:r>
      <w:r w:rsidR="00FB1435">
        <w:rPr>
          <w:lang w:eastAsia="en-US" w:bidi="ar-SA"/>
        </w:rPr>
        <w:t>.</w:t>
      </w:r>
    </w:p>
    <w:p w14:paraId="55A54309" w14:textId="20B560EE" w:rsidR="00411546" w:rsidRPr="002C72C2" w:rsidRDefault="00411546" w:rsidP="00954BAC">
      <w:pPr>
        <w:pStyle w:val="ListParagraph"/>
        <w:numPr>
          <w:ilvl w:val="0"/>
          <w:numId w:val="27"/>
        </w:numPr>
        <w:spacing w:line="264" w:lineRule="auto"/>
        <w:rPr>
          <w:lang w:eastAsia="en-US" w:bidi="ar-SA"/>
        </w:rPr>
      </w:pPr>
      <w:r w:rsidRPr="002C72C2">
        <w:rPr>
          <w:lang w:eastAsia="en-US" w:bidi="ar-SA"/>
        </w:rPr>
        <w:t>May be more secure, trustworthy and auditable</w:t>
      </w:r>
      <w:r w:rsidR="00FB1435">
        <w:rPr>
          <w:lang w:eastAsia="en-US" w:bidi="ar-SA"/>
        </w:rPr>
        <w:t>.</w:t>
      </w:r>
      <w:r w:rsidRPr="002C72C2">
        <w:rPr>
          <w:lang w:eastAsia="en-US" w:bidi="ar-SA"/>
        </w:rPr>
        <w:t xml:space="preserve"> </w:t>
      </w:r>
    </w:p>
    <w:p w14:paraId="400991E7" w14:textId="23861DBF" w:rsidR="00411546" w:rsidRPr="002C72C2" w:rsidRDefault="00411546" w:rsidP="00954BAC">
      <w:pPr>
        <w:pStyle w:val="ListParagraph"/>
        <w:numPr>
          <w:ilvl w:val="0"/>
          <w:numId w:val="27"/>
        </w:numPr>
        <w:spacing w:line="264" w:lineRule="auto"/>
        <w:rPr>
          <w:lang w:eastAsia="en-US" w:bidi="ar-SA"/>
        </w:rPr>
      </w:pPr>
      <w:r w:rsidRPr="002C72C2">
        <w:rPr>
          <w:lang w:eastAsia="en-US" w:bidi="ar-SA"/>
        </w:rPr>
        <w:t>Support greater standardisation and fairness though the application of ecosystem wide standards.</w:t>
      </w:r>
    </w:p>
    <w:p w14:paraId="56BBD4E6" w14:textId="71D5083D" w:rsidR="00644650" w:rsidRPr="002C72C2" w:rsidRDefault="00644650" w:rsidP="00EB2823">
      <w:pPr>
        <w:spacing w:before="120" w:after="120" w:line="264" w:lineRule="auto"/>
        <w:rPr>
          <w:lang w:eastAsia="en-US" w:bidi="ar-SA"/>
        </w:rPr>
      </w:pPr>
      <w:r w:rsidRPr="002C72C2">
        <w:rPr>
          <w:lang w:eastAsia="en-US" w:bidi="ar-SA"/>
        </w:rPr>
        <w:t>It should be noted that DLT does not resolve the issue of data flow management (meaning it does not provide a structural means to specify data source/sink relationships, data flow rates, or access control</w:t>
      </w:r>
      <w:r w:rsidR="00374950">
        <w:rPr>
          <w:lang w:eastAsia="en-US" w:bidi="ar-SA"/>
        </w:rPr>
        <w:t xml:space="preserve">. </w:t>
      </w:r>
      <w:r w:rsidR="00F470D5">
        <w:rPr>
          <w:lang w:eastAsia="en-US" w:bidi="ar-SA"/>
        </w:rPr>
        <w:t>Sc</w:t>
      </w:r>
      <w:r w:rsidRPr="002C72C2">
        <w:rPr>
          <w:lang w:eastAsia="en-US" w:bidi="ar-SA"/>
        </w:rPr>
        <w:t>alability</w:t>
      </w:r>
      <w:r w:rsidR="00F470D5">
        <w:rPr>
          <w:lang w:eastAsia="en-US" w:bidi="ar-SA"/>
        </w:rPr>
        <w:t xml:space="preserve"> claims</w:t>
      </w:r>
      <w:r w:rsidRPr="002C72C2">
        <w:rPr>
          <w:lang w:eastAsia="en-US" w:bidi="ar-SA"/>
        </w:rPr>
        <w:t xml:space="preserve"> should be considered in the light of how DLT creates ever-expanding ledgers that must be updated with all transactions, thus causing the stored data volumes to grow approximately linearly with both time and the number of participating elements. </w:t>
      </w:r>
      <w:r w:rsidR="00F470D5">
        <w:rPr>
          <w:lang w:eastAsia="en-US" w:bidi="ar-SA"/>
        </w:rPr>
        <w:t xml:space="preserve">Similarly, DLT </w:t>
      </w:r>
      <w:r w:rsidRPr="002C72C2">
        <w:rPr>
          <w:lang w:eastAsia="en-US" w:bidi="ar-SA"/>
        </w:rPr>
        <w:t>security claims should be considered in light of the experiences in the cryptocurrency industry.</w:t>
      </w:r>
    </w:p>
    <w:p w14:paraId="4A2F1865" w14:textId="24F9D8C2" w:rsidR="00411546" w:rsidRPr="002C72C2" w:rsidRDefault="00411546" w:rsidP="00EB2823">
      <w:pPr>
        <w:spacing w:before="120" w:after="120" w:line="264" w:lineRule="auto"/>
        <w:rPr>
          <w:lang w:eastAsia="en-US" w:bidi="ar-SA"/>
        </w:rPr>
      </w:pPr>
      <w:r w:rsidRPr="002C72C2">
        <w:rPr>
          <w:lang w:eastAsia="en-US" w:bidi="ar-SA"/>
        </w:rPr>
        <w:t xml:space="preserve">It is </w:t>
      </w:r>
      <w:r w:rsidR="00F470D5">
        <w:rPr>
          <w:lang w:eastAsia="en-US" w:bidi="ar-SA"/>
        </w:rPr>
        <w:t>also i</w:t>
      </w:r>
      <w:r w:rsidRPr="002C72C2">
        <w:rPr>
          <w:lang w:eastAsia="en-US" w:bidi="ar-SA"/>
        </w:rPr>
        <w:t>mportant to note that DLT-based solutions remain immature in the power sector</w:t>
      </w:r>
      <w:r w:rsidR="00374950">
        <w:rPr>
          <w:lang w:eastAsia="en-US" w:bidi="ar-SA"/>
        </w:rPr>
        <w:t xml:space="preserve">. </w:t>
      </w:r>
      <w:r w:rsidRPr="002C72C2">
        <w:rPr>
          <w:lang w:eastAsia="en-US" w:bidi="ar-SA"/>
        </w:rPr>
        <w:t>Any significant application of promising technologies will require extensive further development, testing and phased deployments</w:t>
      </w:r>
      <w:r w:rsidR="00374950">
        <w:rPr>
          <w:lang w:eastAsia="en-US" w:bidi="ar-SA"/>
        </w:rPr>
        <w:t xml:space="preserve">. </w:t>
      </w:r>
    </w:p>
    <w:p w14:paraId="0BC7AD7E" w14:textId="52BCDA1C" w:rsidR="00411546" w:rsidRPr="002C72C2" w:rsidRDefault="00411546" w:rsidP="00EB2823">
      <w:pPr>
        <w:spacing w:before="120" w:after="120" w:line="264" w:lineRule="auto"/>
        <w:rPr>
          <w:lang w:eastAsia="en-US" w:bidi="ar-SA"/>
        </w:rPr>
      </w:pPr>
      <w:r w:rsidRPr="002C72C2">
        <w:rPr>
          <w:lang w:eastAsia="en-US" w:bidi="ar-SA"/>
        </w:rPr>
        <w:t xml:space="preserve">In addition, the application of DLT or any other enabling technology in no way eliminates, or even minimises, the foundational requirement of formally developing the underpinning </w:t>
      </w:r>
      <w:r w:rsidR="00A45B5B">
        <w:rPr>
          <w:lang w:eastAsia="en-US" w:bidi="ar-SA"/>
        </w:rPr>
        <w:t>s</w:t>
      </w:r>
      <w:r w:rsidRPr="002C72C2">
        <w:rPr>
          <w:lang w:eastAsia="en-US" w:bidi="ar-SA"/>
        </w:rPr>
        <w:t xml:space="preserve">ystems </w:t>
      </w:r>
      <w:r w:rsidR="00A45B5B">
        <w:rPr>
          <w:lang w:eastAsia="en-US" w:bidi="ar-SA"/>
        </w:rPr>
        <w:t>a</w:t>
      </w:r>
      <w:r w:rsidRPr="002C72C2">
        <w:rPr>
          <w:lang w:eastAsia="en-US" w:bidi="ar-SA"/>
        </w:rPr>
        <w:t>rchitecture of any decentralised (or centralised) approach</w:t>
      </w:r>
      <w:r w:rsidR="00374950">
        <w:rPr>
          <w:lang w:eastAsia="en-US" w:bidi="ar-SA"/>
        </w:rPr>
        <w:t xml:space="preserve">. </w:t>
      </w:r>
      <w:r w:rsidRPr="002C72C2">
        <w:rPr>
          <w:lang w:eastAsia="en-US" w:bidi="ar-SA"/>
        </w:rPr>
        <w:t>On the contrary, to be successful, its development would require the disciplined, granular and multi-stakeholder consideration of:</w:t>
      </w:r>
    </w:p>
    <w:p w14:paraId="0657633D" w14:textId="2D67587E" w:rsidR="00411546" w:rsidRPr="002C72C2" w:rsidRDefault="00411546" w:rsidP="00954BAC">
      <w:pPr>
        <w:pStyle w:val="ListParagraph"/>
        <w:numPr>
          <w:ilvl w:val="0"/>
          <w:numId w:val="28"/>
        </w:numPr>
        <w:spacing w:line="264" w:lineRule="auto"/>
        <w:rPr>
          <w:lang w:eastAsia="en-US" w:bidi="ar-SA"/>
        </w:rPr>
      </w:pPr>
      <w:r w:rsidRPr="002C72C2">
        <w:rPr>
          <w:lang w:eastAsia="en-US" w:bidi="ar-SA"/>
        </w:rPr>
        <w:t>All structural relationships and interdependencies between all participating entities and application systems</w:t>
      </w:r>
      <w:r w:rsidR="00EC5741">
        <w:rPr>
          <w:lang w:eastAsia="en-US" w:bidi="ar-SA"/>
        </w:rPr>
        <w:t>.</w:t>
      </w:r>
    </w:p>
    <w:p w14:paraId="6186D1EE" w14:textId="1C525C26" w:rsidR="00411546" w:rsidRPr="002C72C2" w:rsidRDefault="00411546" w:rsidP="00954BAC">
      <w:pPr>
        <w:pStyle w:val="ListParagraph"/>
        <w:numPr>
          <w:ilvl w:val="0"/>
          <w:numId w:val="28"/>
        </w:numPr>
        <w:spacing w:line="264" w:lineRule="auto"/>
        <w:rPr>
          <w:lang w:eastAsia="en-US" w:bidi="ar-SA"/>
        </w:rPr>
      </w:pPr>
      <w:r w:rsidRPr="002C72C2">
        <w:rPr>
          <w:lang w:eastAsia="en-US" w:bidi="ar-SA"/>
        </w:rPr>
        <w:t xml:space="preserve">Spanning the full Transmission-Distribution-Customer (TDC) value chain and including </w:t>
      </w:r>
      <w:r w:rsidR="009D696C">
        <w:rPr>
          <w:lang w:eastAsia="en-US" w:bidi="ar-SA"/>
        </w:rPr>
        <w:t>a</w:t>
      </w:r>
      <w:r w:rsidRPr="002C72C2">
        <w:rPr>
          <w:lang w:eastAsia="en-US" w:bidi="ar-SA"/>
        </w:rPr>
        <w:t xml:space="preserve">ggregators, </w:t>
      </w:r>
      <w:r w:rsidR="007A3C74" w:rsidRPr="002C72C2">
        <w:rPr>
          <w:lang w:eastAsia="en-US" w:bidi="ar-SA"/>
        </w:rPr>
        <w:t>CER/DER</w:t>
      </w:r>
      <w:r w:rsidRPr="002C72C2">
        <w:rPr>
          <w:lang w:eastAsia="en-US" w:bidi="ar-SA"/>
        </w:rPr>
        <w:t xml:space="preserve"> devices and EVs</w:t>
      </w:r>
      <w:r w:rsidR="00EC5741">
        <w:rPr>
          <w:lang w:eastAsia="en-US" w:bidi="ar-SA"/>
        </w:rPr>
        <w:t>.</w:t>
      </w:r>
    </w:p>
    <w:p w14:paraId="0C308F33" w14:textId="0547BC56" w:rsidR="00411546" w:rsidRPr="002C72C2" w:rsidRDefault="00411546" w:rsidP="00954BAC">
      <w:pPr>
        <w:pStyle w:val="ListParagraph"/>
        <w:numPr>
          <w:ilvl w:val="0"/>
          <w:numId w:val="28"/>
        </w:numPr>
        <w:spacing w:line="264" w:lineRule="auto"/>
        <w:rPr>
          <w:lang w:eastAsia="en-US" w:bidi="ar-SA"/>
        </w:rPr>
      </w:pPr>
      <w:r w:rsidRPr="002C72C2">
        <w:rPr>
          <w:lang w:eastAsia="en-US" w:bidi="ar-SA"/>
        </w:rPr>
        <w:t>Include consideration of both requirements for the current state and the most plausible emerging future state configurations</w:t>
      </w:r>
      <w:r w:rsidR="00374950">
        <w:rPr>
          <w:lang w:eastAsia="en-US" w:bidi="ar-SA"/>
        </w:rPr>
        <w:t xml:space="preserve">. </w:t>
      </w:r>
    </w:p>
    <w:p w14:paraId="14B565B5" w14:textId="654D89A5" w:rsidR="00411546" w:rsidRPr="00760464" w:rsidRDefault="00411546" w:rsidP="00EB2823">
      <w:pPr>
        <w:spacing w:before="180" w:after="120" w:line="264" w:lineRule="auto"/>
        <w:rPr>
          <w:rStyle w:val="IntenseEmphasis"/>
        </w:rPr>
      </w:pPr>
      <w:r w:rsidRPr="00760464">
        <w:rPr>
          <w:rStyle w:val="IntenseEmphasis"/>
        </w:rPr>
        <w:t>Option 4: Publish-and-</w:t>
      </w:r>
      <w:r w:rsidR="00385711">
        <w:rPr>
          <w:rStyle w:val="IntenseEmphasis"/>
        </w:rPr>
        <w:t>S</w:t>
      </w:r>
      <w:r w:rsidRPr="00760464">
        <w:rPr>
          <w:rStyle w:val="IntenseEmphasis"/>
        </w:rPr>
        <w:t>ubscribe Model</w:t>
      </w:r>
    </w:p>
    <w:p w14:paraId="0E0B9B03" w14:textId="21464274" w:rsidR="00411546" w:rsidRPr="002C72C2" w:rsidRDefault="00411546" w:rsidP="00EB2823">
      <w:pPr>
        <w:spacing w:before="120" w:after="120" w:line="264" w:lineRule="auto"/>
        <w:rPr>
          <w:lang w:eastAsia="en-US" w:bidi="ar-SA"/>
        </w:rPr>
      </w:pPr>
      <w:r w:rsidRPr="002C72C2">
        <w:rPr>
          <w:lang w:eastAsia="en-US" w:bidi="ar-SA"/>
        </w:rPr>
        <w:t xml:space="preserve">While there is no perfect solution to the data sharing challenge pivotal to an increasingly decentralised </w:t>
      </w:r>
      <w:r w:rsidR="008B3E08" w:rsidRPr="002C72C2">
        <w:rPr>
          <w:lang w:eastAsia="en-US" w:bidi="ar-SA"/>
        </w:rPr>
        <w:t>p</w:t>
      </w:r>
      <w:r w:rsidRPr="002C72C2">
        <w:rPr>
          <w:lang w:eastAsia="en-US" w:bidi="ar-SA"/>
        </w:rPr>
        <w:t xml:space="preserve">ower </w:t>
      </w:r>
      <w:r w:rsidR="008B3E08" w:rsidRPr="002C72C2">
        <w:rPr>
          <w:lang w:eastAsia="en-US" w:bidi="ar-SA"/>
        </w:rPr>
        <w:t>s</w:t>
      </w:r>
      <w:r w:rsidRPr="002C72C2">
        <w:rPr>
          <w:lang w:eastAsia="en-US" w:bidi="ar-SA"/>
        </w:rPr>
        <w:t xml:space="preserve">ystem, the </w:t>
      </w:r>
      <w:r w:rsidR="00385711" w:rsidRPr="00AA5B90">
        <w:rPr>
          <w:lang w:eastAsia="en-US" w:bidi="ar-SA"/>
        </w:rPr>
        <w:t>p</w:t>
      </w:r>
      <w:r w:rsidRPr="00AA5B90">
        <w:rPr>
          <w:lang w:eastAsia="en-US" w:bidi="ar-SA"/>
        </w:rPr>
        <w:t>ublish-and-subscribe</w:t>
      </w:r>
      <w:r w:rsidRPr="002C72C2">
        <w:rPr>
          <w:lang w:eastAsia="en-US" w:bidi="ar-SA"/>
        </w:rPr>
        <w:t xml:space="preserve"> model is </w:t>
      </w:r>
      <w:r w:rsidR="00A45B5B">
        <w:rPr>
          <w:lang w:eastAsia="en-US" w:bidi="ar-SA"/>
        </w:rPr>
        <w:t xml:space="preserve">a significantly </w:t>
      </w:r>
      <w:r w:rsidRPr="002C72C2">
        <w:rPr>
          <w:lang w:eastAsia="en-US" w:bidi="ar-SA"/>
        </w:rPr>
        <w:t>more mature approach that mitigates or overcomes several of the above shortcomings</w:t>
      </w:r>
      <w:r w:rsidR="00374950">
        <w:rPr>
          <w:lang w:eastAsia="en-US" w:bidi="ar-SA"/>
        </w:rPr>
        <w:t xml:space="preserve">. </w:t>
      </w:r>
      <w:r w:rsidRPr="002C72C2">
        <w:rPr>
          <w:lang w:eastAsia="en-US" w:bidi="ar-SA"/>
        </w:rPr>
        <w:t xml:space="preserve">It does so by enabling the combination of a multi-layer </w:t>
      </w:r>
      <w:r w:rsidR="00B07E10" w:rsidRPr="002C72C2">
        <w:rPr>
          <w:lang w:eastAsia="en-US" w:bidi="ar-SA"/>
        </w:rPr>
        <w:t>p</w:t>
      </w:r>
      <w:r w:rsidRPr="002C72C2">
        <w:rPr>
          <w:lang w:eastAsia="en-US" w:bidi="ar-SA"/>
        </w:rPr>
        <w:t xml:space="preserve">latform and federated databases which can manage </w:t>
      </w:r>
      <w:r w:rsidR="004E106B" w:rsidRPr="002C72C2">
        <w:rPr>
          <w:lang w:eastAsia="en-US" w:bidi="ar-SA"/>
        </w:rPr>
        <w:t xml:space="preserve">both </w:t>
      </w:r>
      <w:r w:rsidRPr="002C72C2">
        <w:rPr>
          <w:lang w:eastAsia="en-US" w:bidi="ar-SA"/>
        </w:rPr>
        <w:t xml:space="preserve">data in motion and archived data sets. </w:t>
      </w:r>
      <w:r w:rsidR="00C61AC9" w:rsidRPr="002C72C2">
        <w:rPr>
          <w:lang w:eastAsia="en-US" w:bidi="ar-SA"/>
        </w:rPr>
        <w:t xml:space="preserve">Modern network streaming protocols and cyber security are well developed </w:t>
      </w:r>
      <w:r w:rsidR="001B0B96" w:rsidRPr="002C72C2">
        <w:rPr>
          <w:lang w:eastAsia="en-US" w:bidi="ar-SA"/>
        </w:rPr>
        <w:t xml:space="preserve">for this application </w:t>
      </w:r>
      <w:r w:rsidR="00C61AC9" w:rsidRPr="002C72C2">
        <w:rPr>
          <w:lang w:eastAsia="en-US" w:bidi="ar-SA"/>
        </w:rPr>
        <w:t>and have extensive experience bases.</w:t>
      </w:r>
    </w:p>
    <w:p w14:paraId="50FC266B" w14:textId="77777777" w:rsidR="00F6467B" w:rsidRDefault="00F6467B">
      <w:pPr>
        <w:spacing w:before="0" w:after="160" w:line="259" w:lineRule="auto"/>
        <w:rPr>
          <w:lang w:eastAsia="en-US" w:bidi="ar-SA"/>
        </w:rPr>
      </w:pPr>
      <w:r>
        <w:rPr>
          <w:lang w:eastAsia="en-US" w:bidi="ar-SA"/>
        </w:rPr>
        <w:br w:type="page"/>
      </w:r>
    </w:p>
    <w:p w14:paraId="6E4675CA" w14:textId="3823D055" w:rsidR="00411546" w:rsidRPr="002C72C2" w:rsidRDefault="00411546" w:rsidP="00EB2823">
      <w:pPr>
        <w:spacing w:before="120" w:after="120" w:line="264" w:lineRule="auto"/>
        <w:rPr>
          <w:lang w:eastAsia="en-US" w:bidi="ar-SA"/>
        </w:rPr>
      </w:pPr>
      <w:r w:rsidRPr="002C72C2">
        <w:rPr>
          <w:lang w:eastAsia="en-US" w:bidi="ar-SA"/>
        </w:rPr>
        <w:t xml:space="preserve">The model allows organisations and application systems to provide specific data to other authorised recipients, via a service bus or distributed </w:t>
      </w:r>
      <w:r w:rsidR="00022BAF">
        <w:rPr>
          <w:lang w:eastAsia="en-US" w:bidi="ar-SA"/>
        </w:rPr>
        <w:t>p</w:t>
      </w:r>
      <w:r w:rsidRPr="002C72C2">
        <w:rPr>
          <w:lang w:eastAsia="en-US" w:bidi="ar-SA"/>
        </w:rPr>
        <w:t>latform, which is underpinned by a centralised server</w:t>
      </w:r>
      <w:r w:rsidR="00374950">
        <w:rPr>
          <w:lang w:eastAsia="en-US" w:bidi="ar-SA"/>
        </w:rPr>
        <w:t xml:space="preserve">. </w:t>
      </w:r>
      <w:r w:rsidRPr="002C72C2">
        <w:rPr>
          <w:lang w:eastAsia="en-US" w:bidi="ar-SA"/>
        </w:rPr>
        <w:t xml:space="preserve">The </w:t>
      </w:r>
      <w:r w:rsidR="00B07E10" w:rsidRPr="002C72C2">
        <w:rPr>
          <w:lang w:eastAsia="en-US" w:bidi="ar-SA"/>
        </w:rPr>
        <w:t>p</w:t>
      </w:r>
      <w:r w:rsidRPr="002C72C2">
        <w:rPr>
          <w:lang w:eastAsia="en-US" w:bidi="ar-SA"/>
        </w:rPr>
        <w:t>latform will typically provide valuable additional functionality such as message queuing and persistent delivery, message routing, data transformation, and communication contention management.</w:t>
      </w:r>
    </w:p>
    <w:p w14:paraId="2021ACF6" w14:textId="219602B0" w:rsidR="00411546" w:rsidRPr="002C72C2" w:rsidRDefault="00411546" w:rsidP="00EB2823">
      <w:pPr>
        <w:spacing w:before="120" w:after="120" w:line="264" w:lineRule="auto"/>
        <w:rPr>
          <w:lang w:eastAsia="en-US" w:bidi="ar-SA"/>
        </w:rPr>
      </w:pPr>
      <w:r w:rsidRPr="002C72C2">
        <w:rPr>
          <w:lang w:eastAsia="en-US" w:bidi="ar-SA"/>
        </w:rPr>
        <w:t xml:space="preserve">To the extent that the </w:t>
      </w:r>
      <w:r w:rsidR="00B07E10" w:rsidRPr="002C72C2">
        <w:rPr>
          <w:lang w:eastAsia="en-US" w:bidi="ar-SA"/>
        </w:rPr>
        <w:t>p</w:t>
      </w:r>
      <w:r w:rsidRPr="002C72C2">
        <w:rPr>
          <w:lang w:eastAsia="en-US" w:bidi="ar-SA"/>
        </w:rPr>
        <w:t xml:space="preserve">latform stores data briefly while in transit, it may be considered a </w:t>
      </w:r>
      <w:r w:rsidR="00022BAF">
        <w:rPr>
          <w:lang w:eastAsia="en-US" w:bidi="ar-SA"/>
        </w:rPr>
        <w:t>single-point-of-failure</w:t>
      </w:r>
      <w:r w:rsidRPr="002C72C2">
        <w:rPr>
          <w:lang w:eastAsia="en-US" w:bidi="ar-SA"/>
        </w:rPr>
        <w:t xml:space="preserve"> and a source of system coupling</w:t>
      </w:r>
      <w:r w:rsidR="00374950">
        <w:rPr>
          <w:lang w:eastAsia="en-US" w:bidi="ar-SA"/>
        </w:rPr>
        <w:t xml:space="preserve">. </w:t>
      </w:r>
      <w:r w:rsidRPr="002C72C2">
        <w:rPr>
          <w:lang w:eastAsia="en-US" w:bidi="ar-SA"/>
        </w:rPr>
        <w:t>The approach also generally involves significant effort to interface via ETL (extract, transform, load) adapters that must be created for all the interconnected systems</w:t>
      </w:r>
      <w:r w:rsidR="00374950">
        <w:rPr>
          <w:lang w:eastAsia="en-US" w:bidi="ar-SA"/>
        </w:rPr>
        <w:t xml:space="preserve">. </w:t>
      </w:r>
      <w:r w:rsidR="009E5BD3" w:rsidRPr="002C72C2">
        <w:rPr>
          <w:lang w:eastAsia="en-US" w:bidi="ar-SA"/>
        </w:rPr>
        <w:t xml:space="preserve">If the interfaces are specified by the </w:t>
      </w:r>
      <w:r w:rsidR="00022BAF">
        <w:rPr>
          <w:lang w:eastAsia="en-US" w:bidi="ar-SA"/>
        </w:rPr>
        <w:t>s</w:t>
      </w:r>
      <w:r w:rsidR="009E5BD3" w:rsidRPr="002C72C2">
        <w:rPr>
          <w:lang w:eastAsia="en-US" w:bidi="ar-SA"/>
        </w:rPr>
        <w:t xml:space="preserve">ystem </w:t>
      </w:r>
      <w:r w:rsidR="00022BAF">
        <w:rPr>
          <w:lang w:eastAsia="en-US" w:bidi="ar-SA"/>
        </w:rPr>
        <w:t>a</w:t>
      </w:r>
      <w:r w:rsidR="009E5BD3" w:rsidRPr="002C72C2">
        <w:rPr>
          <w:lang w:eastAsia="en-US" w:bidi="ar-SA"/>
        </w:rPr>
        <w:t>rchitecture (as is appropriate) then the number and types of interfaces can be optimi</w:t>
      </w:r>
      <w:r w:rsidR="00BE3F41">
        <w:rPr>
          <w:lang w:eastAsia="en-US" w:bidi="ar-SA"/>
        </w:rPr>
        <w:t>s</w:t>
      </w:r>
      <w:r w:rsidR="009E5BD3" w:rsidRPr="002C72C2">
        <w:rPr>
          <w:lang w:eastAsia="en-US" w:bidi="ar-SA"/>
        </w:rPr>
        <w:t>ed.</w:t>
      </w:r>
    </w:p>
    <w:p w14:paraId="46F52678" w14:textId="701F1FEF" w:rsidR="00411546" w:rsidRPr="002C72C2" w:rsidRDefault="00411546" w:rsidP="00EB2823">
      <w:pPr>
        <w:spacing w:before="120" w:after="120" w:line="264" w:lineRule="auto"/>
        <w:rPr>
          <w:lang w:eastAsia="en-US" w:bidi="ar-SA"/>
        </w:rPr>
      </w:pPr>
      <w:r w:rsidRPr="002C72C2">
        <w:rPr>
          <w:lang w:eastAsia="en-US" w:bidi="ar-SA"/>
        </w:rPr>
        <w:t xml:space="preserve">Nevertheless, this approach allows the residual shortcomings to be mitigated by </w:t>
      </w:r>
      <w:r w:rsidR="00780E6C" w:rsidRPr="002C72C2">
        <w:rPr>
          <w:lang w:eastAsia="en-US" w:bidi="ar-SA"/>
        </w:rPr>
        <w:t>l</w:t>
      </w:r>
      <w:r w:rsidRPr="002C72C2">
        <w:rPr>
          <w:lang w:eastAsia="en-US" w:bidi="ar-SA"/>
        </w:rPr>
        <w:t xml:space="preserve">ayering how the underlying electrical infrastructure, sensors, and multi-services IP communication network are structured as a </w:t>
      </w:r>
      <w:r w:rsidR="00780E6C" w:rsidRPr="002C72C2">
        <w:rPr>
          <w:lang w:eastAsia="en-US" w:bidi="ar-SA"/>
        </w:rPr>
        <w:t>p</w:t>
      </w:r>
      <w:r w:rsidRPr="002C72C2">
        <w:rPr>
          <w:lang w:eastAsia="en-US" w:bidi="ar-SA"/>
        </w:rPr>
        <w:t xml:space="preserve">latform. Each authorised organisation and application system can obtain the required data from the distributed </w:t>
      </w:r>
      <w:r w:rsidR="00022BAF">
        <w:rPr>
          <w:lang w:eastAsia="en-US" w:bidi="ar-SA"/>
        </w:rPr>
        <w:t>p</w:t>
      </w:r>
      <w:r w:rsidRPr="002C72C2">
        <w:rPr>
          <w:lang w:eastAsia="en-US" w:bidi="ar-SA"/>
        </w:rPr>
        <w:t>latform and the source organisation for specific data can control which entities have access to it.</w:t>
      </w:r>
    </w:p>
    <w:p w14:paraId="22325C92" w14:textId="2D7E8059" w:rsidR="009A41DD" w:rsidRPr="002C72C2" w:rsidRDefault="009A41DD" w:rsidP="00EB2823">
      <w:pPr>
        <w:spacing w:before="120" w:after="120" w:line="264" w:lineRule="auto"/>
        <w:rPr>
          <w:lang w:eastAsia="en-US" w:bidi="ar-SA"/>
        </w:rPr>
      </w:pPr>
      <w:r w:rsidRPr="002C72C2">
        <w:rPr>
          <w:lang w:eastAsia="en-US" w:bidi="ar-SA"/>
        </w:rPr>
        <w:t xml:space="preserve">By applying </w:t>
      </w:r>
      <w:r w:rsidR="00022BAF">
        <w:rPr>
          <w:lang w:eastAsia="en-US" w:bidi="ar-SA"/>
        </w:rPr>
        <w:t>s</w:t>
      </w:r>
      <w:r w:rsidRPr="002C72C2">
        <w:rPr>
          <w:lang w:eastAsia="en-US" w:bidi="ar-SA"/>
        </w:rPr>
        <w:t xml:space="preserve">ystem </w:t>
      </w:r>
      <w:r w:rsidR="00022BAF">
        <w:rPr>
          <w:lang w:eastAsia="en-US" w:bidi="ar-SA"/>
        </w:rPr>
        <w:t>a</w:t>
      </w:r>
      <w:r w:rsidRPr="002C72C2">
        <w:rPr>
          <w:lang w:eastAsia="en-US" w:bidi="ar-SA"/>
        </w:rPr>
        <w:t>rchitecture methods and tools such as</w:t>
      </w:r>
      <w:r w:rsidR="00022BAF">
        <w:rPr>
          <w:lang w:eastAsia="en-US" w:bidi="ar-SA"/>
        </w:rPr>
        <w:t xml:space="preserve"> analytic t</w:t>
      </w:r>
      <w:r w:rsidRPr="002C72C2">
        <w:rPr>
          <w:lang w:eastAsia="en-US" w:bidi="ar-SA"/>
        </w:rPr>
        <w:t xml:space="preserve">ransformation, it is possible to structure data flows so that each entity provides information (as opposed to just data) to other entities. This approach makes it possible to manage the scalability of </w:t>
      </w:r>
      <w:r w:rsidR="00022BAF">
        <w:rPr>
          <w:lang w:eastAsia="en-US" w:bidi="ar-SA"/>
        </w:rPr>
        <w:t>‘upward’</w:t>
      </w:r>
      <w:r w:rsidRPr="002C72C2">
        <w:rPr>
          <w:lang w:eastAsia="en-US" w:bidi="ar-SA"/>
        </w:rPr>
        <w:t xml:space="preserve"> data flows from the grid edge through the DNSPs and DSOs to TNSPs and AEMO.</w:t>
      </w:r>
    </w:p>
    <w:p w14:paraId="45D19FE9" w14:textId="77777777" w:rsidR="00411546" w:rsidRPr="002C72C2" w:rsidRDefault="00411546" w:rsidP="00F518C6">
      <w:pPr>
        <w:spacing w:before="120" w:after="120" w:line="264" w:lineRule="auto"/>
        <w:rPr>
          <w:lang w:eastAsia="en-US" w:bidi="ar-SA"/>
        </w:rPr>
      </w:pPr>
      <w:r w:rsidRPr="002C72C2">
        <w:rPr>
          <w:lang w:eastAsia="en-US" w:bidi="ar-SA"/>
        </w:rPr>
        <w:t>For data that must be persisted, each organisation can maintain a decentralised data store, the set of which can be federated across the communication network to function as a repository, but with no central location. Each organisation both retains ownership of its data and access control.</w:t>
      </w:r>
    </w:p>
    <w:p w14:paraId="15F09114" w14:textId="77777777" w:rsidR="00411546" w:rsidRPr="00EB2823" w:rsidRDefault="00411546" w:rsidP="00954BAC">
      <w:pPr>
        <w:pStyle w:val="Heading4"/>
        <w:numPr>
          <w:ilvl w:val="0"/>
          <w:numId w:val="61"/>
        </w:numPr>
        <w:spacing w:before="240" w:after="120" w:line="264" w:lineRule="auto"/>
        <w:rPr>
          <w:i w:val="0"/>
          <w:iCs w:val="0"/>
        </w:rPr>
      </w:pPr>
      <w:r w:rsidRPr="00EB2823">
        <w:rPr>
          <w:i w:val="0"/>
          <w:iCs w:val="0"/>
        </w:rPr>
        <w:t xml:space="preserve">Solution Requirements </w:t>
      </w:r>
    </w:p>
    <w:p w14:paraId="48FA612A" w14:textId="09C73E4D" w:rsidR="00411546" w:rsidRPr="002C72C2" w:rsidRDefault="00022BAF" w:rsidP="00EB2823">
      <w:pPr>
        <w:spacing w:before="120" w:after="120" w:line="264" w:lineRule="auto"/>
        <w:rPr>
          <w:lang w:eastAsia="en-US" w:bidi="ar-SA"/>
        </w:rPr>
      </w:pPr>
      <w:r>
        <w:rPr>
          <w:lang w:eastAsia="en-US" w:bidi="ar-SA"/>
        </w:rPr>
        <w:t>W</w:t>
      </w:r>
      <w:r w:rsidRPr="002C72C2">
        <w:rPr>
          <w:lang w:eastAsia="en-US" w:bidi="ar-SA"/>
        </w:rPr>
        <w:t xml:space="preserve">hile there is significant hype about the potential of technologies such as </w:t>
      </w:r>
      <w:r>
        <w:rPr>
          <w:lang w:eastAsia="en-US" w:bidi="ar-SA"/>
        </w:rPr>
        <w:t xml:space="preserve">DLT </w:t>
      </w:r>
      <w:r w:rsidRPr="002C72C2">
        <w:rPr>
          <w:lang w:eastAsia="en-US" w:bidi="ar-SA"/>
        </w:rPr>
        <w:t>and digital platform solutions</w:t>
      </w:r>
      <w:r>
        <w:rPr>
          <w:lang w:eastAsia="en-US" w:bidi="ar-SA"/>
        </w:rPr>
        <w:t>, a</w:t>
      </w:r>
      <w:r w:rsidR="00411546" w:rsidRPr="002C72C2">
        <w:rPr>
          <w:lang w:eastAsia="en-US" w:bidi="ar-SA"/>
        </w:rPr>
        <w:t xml:space="preserve">s a relatively immature area in the power sector, there is no single or perfect solution to the data sharing needs of increasingly decentralised </w:t>
      </w:r>
      <w:r w:rsidR="00D55174" w:rsidRPr="002C72C2">
        <w:rPr>
          <w:lang w:eastAsia="en-US" w:bidi="ar-SA"/>
        </w:rPr>
        <w:t>p</w:t>
      </w:r>
      <w:r w:rsidR="00411546" w:rsidRPr="002C72C2">
        <w:rPr>
          <w:lang w:eastAsia="en-US" w:bidi="ar-SA"/>
        </w:rPr>
        <w:t xml:space="preserve">ower </w:t>
      </w:r>
      <w:r w:rsidR="00D55174" w:rsidRPr="002C72C2">
        <w:rPr>
          <w:lang w:eastAsia="en-US" w:bidi="ar-SA"/>
        </w:rPr>
        <w:t>s</w:t>
      </w:r>
      <w:r w:rsidR="00411546" w:rsidRPr="002C72C2">
        <w:rPr>
          <w:lang w:eastAsia="en-US" w:bidi="ar-SA"/>
        </w:rPr>
        <w:t>ystems.</w:t>
      </w:r>
    </w:p>
    <w:p w14:paraId="486E6B3D" w14:textId="6184ABA0" w:rsidR="00411546" w:rsidRPr="002C72C2" w:rsidRDefault="00411546" w:rsidP="00EB2823">
      <w:pPr>
        <w:spacing w:before="120" w:after="120" w:line="264" w:lineRule="auto"/>
        <w:rPr>
          <w:lang w:eastAsia="en-US" w:bidi="ar-SA"/>
        </w:rPr>
      </w:pPr>
      <w:r w:rsidRPr="002C72C2">
        <w:rPr>
          <w:lang w:eastAsia="en-US" w:bidi="ar-SA"/>
        </w:rPr>
        <w:t xml:space="preserve">In addition to their comparatively nascent status in the power sector, no single data exchange solution – no matter how promising – can be successfully implemented without a disciplined and comprehensive approach to developing the </w:t>
      </w:r>
      <w:r w:rsidR="00022BAF">
        <w:rPr>
          <w:lang w:eastAsia="en-US" w:bidi="ar-SA"/>
        </w:rPr>
        <w:t>s</w:t>
      </w:r>
      <w:r w:rsidRPr="002C72C2">
        <w:rPr>
          <w:lang w:eastAsia="en-US" w:bidi="ar-SA"/>
        </w:rPr>
        <w:t xml:space="preserve">ystems </w:t>
      </w:r>
      <w:r w:rsidR="00022BAF">
        <w:rPr>
          <w:lang w:eastAsia="en-US" w:bidi="ar-SA"/>
        </w:rPr>
        <w:t>a</w:t>
      </w:r>
      <w:r w:rsidRPr="002C72C2">
        <w:rPr>
          <w:lang w:eastAsia="en-US" w:bidi="ar-SA"/>
        </w:rPr>
        <w:t>rchitecture that underpin its relationships and interfaces with multiple other systems and subsystems</w:t>
      </w:r>
      <w:r w:rsidR="00374950">
        <w:rPr>
          <w:lang w:eastAsia="en-US" w:bidi="ar-SA"/>
        </w:rPr>
        <w:t xml:space="preserve">. </w:t>
      </w:r>
      <w:r w:rsidRPr="002C72C2">
        <w:rPr>
          <w:lang w:eastAsia="en-US" w:bidi="ar-SA"/>
        </w:rPr>
        <w:t xml:space="preserve">Where this is applied, the potential for more scalable, structurally resilient and cyber-secure data exchange solutions expands significantly. </w:t>
      </w:r>
    </w:p>
    <w:p w14:paraId="5AFFA0D0" w14:textId="6CE2B500" w:rsidR="00B32A18" w:rsidRPr="002C72C2" w:rsidRDefault="00B32A18" w:rsidP="00EB2823">
      <w:pPr>
        <w:spacing w:before="120" w:after="120" w:line="264" w:lineRule="auto"/>
        <w:rPr>
          <w:lang w:eastAsia="en-US" w:bidi="ar-SA"/>
        </w:rPr>
      </w:pPr>
      <w:r w:rsidRPr="002C72C2">
        <w:rPr>
          <w:lang w:eastAsia="en-US" w:bidi="ar-SA"/>
        </w:rPr>
        <w:t xml:space="preserve">By addressing the structural issues using </w:t>
      </w:r>
      <w:r w:rsidR="00022BAF">
        <w:rPr>
          <w:lang w:eastAsia="en-US" w:bidi="ar-SA"/>
        </w:rPr>
        <w:t>s</w:t>
      </w:r>
      <w:r w:rsidRPr="002C72C2">
        <w:rPr>
          <w:lang w:eastAsia="en-US" w:bidi="ar-SA"/>
        </w:rPr>
        <w:t xml:space="preserve">ystem </w:t>
      </w:r>
      <w:r w:rsidR="00022BAF">
        <w:rPr>
          <w:lang w:eastAsia="en-US" w:bidi="ar-SA"/>
        </w:rPr>
        <w:t>a</w:t>
      </w:r>
      <w:r w:rsidRPr="002C72C2">
        <w:rPr>
          <w:lang w:eastAsia="en-US" w:bidi="ar-SA"/>
        </w:rPr>
        <w:t>rchitecture methods and tools early on, the logical information flows (and corresponding data flows), the analytic transformation structures, and the locations/forms/functions of system interfaces can be understood and validated by all entities in advance so that ad hoc approaches and uncontrolled proliferation of data exchange formats can be minimi</w:t>
      </w:r>
      <w:r w:rsidR="00BE3F41">
        <w:rPr>
          <w:lang w:eastAsia="en-US" w:bidi="ar-SA"/>
        </w:rPr>
        <w:t>s</w:t>
      </w:r>
      <w:r w:rsidRPr="002C72C2">
        <w:rPr>
          <w:lang w:eastAsia="en-US" w:bidi="ar-SA"/>
        </w:rPr>
        <w:t>ed.</w:t>
      </w:r>
    </w:p>
    <w:p w14:paraId="46731826" w14:textId="77777777" w:rsidR="00574740" w:rsidRDefault="00574740">
      <w:pPr>
        <w:spacing w:before="0" w:after="160" w:line="259" w:lineRule="auto"/>
        <w:rPr>
          <w:rFonts w:ascii="PP Mori SemiBold" w:eastAsiaTheme="majorEastAsia" w:hAnsi="PP Mori SemiBold" w:cstheme="majorBidi"/>
          <w:color w:val="001D25" w:themeColor="accent1" w:themeShade="7F"/>
          <w:sz w:val="24"/>
          <w:szCs w:val="30"/>
          <w:lang w:eastAsia="en-US" w:bidi="ar-SA"/>
        </w:rPr>
      </w:pPr>
      <w:r>
        <w:rPr>
          <w:lang w:eastAsia="en-US" w:bidi="ar-SA"/>
        </w:rPr>
        <w:br w:type="page"/>
      </w:r>
    </w:p>
    <w:p w14:paraId="2934076B" w14:textId="200DA4AC" w:rsidR="000F3597" w:rsidRPr="002C72C2" w:rsidRDefault="003E6261" w:rsidP="00EB2823">
      <w:pPr>
        <w:pStyle w:val="Heading3"/>
        <w:spacing w:line="264" w:lineRule="auto"/>
        <w:rPr>
          <w:lang w:eastAsia="en-US" w:bidi="ar-SA"/>
        </w:rPr>
      </w:pPr>
      <w:bookmarkStart w:id="91" w:name="_Toc205533974"/>
      <w:r w:rsidRPr="002C72C2">
        <w:rPr>
          <w:lang w:eastAsia="en-US" w:bidi="ar-SA"/>
        </w:rPr>
        <w:t>Solution Scalability Risks</w:t>
      </w:r>
      <w:bookmarkEnd w:id="91"/>
    </w:p>
    <w:tbl>
      <w:tblPr>
        <w:tblStyle w:val="TableGrid"/>
        <w:tblW w:w="0" w:type="auto"/>
        <w:tblLook w:val="04A0" w:firstRow="1" w:lastRow="0" w:firstColumn="1" w:lastColumn="0" w:noHBand="0" w:noVBand="1"/>
      </w:tblPr>
      <w:tblGrid>
        <w:gridCol w:w="8210"/>
      </w:tblGrid>
      <w:tr w:rsidR="00CD234D" w14:paraId="4CC09C72" w14:textId="77777777" w:rsidTr="008F2E81">
        <w:tc>
          <w:tcPr>
            <w:tcW w:w="8210" w:type="dxa"/>
            <w:shd w:val="clear" w:color="auto" w:fill="013C4C" w:themeFill="text1"/>
          </w:tcPr>
          <w:p w14:paraId="0704586A" w14:textId="39E72079" w:rsidR="00CD234D" w:rsidRPr="00631477" w:rsidRDefault="00631477" w:rsidP="00631477">
            <w:pPr>
              <w:spacing w:before="120" w:after="120" w:line="264" w:lineRule="auto"/>
              <w:rPr>
                <w:i/>
                <w:iCs/>
                <w:lang w:eastAsia="en-US" w:bidi="ar-SA"/>
              </w:rPr>
            </w:pPr>
            <w:r w:rsidRPr="00631477">
              <w:rPr>
                <w:i/>
                <w:iCs/>
                <w:lang w:eastAsia="en-US" w:bidi="ar-SA"/>
              </w:rPr>
              <w:t>Greater focus on the whole-system functionality, scalability and</w:t>
            </w:r>
            <w:r>
              <w:rPr>
                <w:i/>
                <w:iCs/>
                <w:lang w:eastAsia="en-US" w:bidi="ar-SA"/>
              </w:rPr>
              <w:t xml:space="preserve"> potential </w:t>
            </w:r>
            <w:r w:rsidRPr="00631477">
              <w:rPr>
                <w:i/>
                <w:iCs/>
                <w:lang w:eastAsia="en-US" w:bidi="ar-SA"/>
              </w:rPr>
              <w:t xml:space="preserve">unintended impacts of new technology and solution innovations, including but not limited to Dynamic Operating Envelope (DOE) solutions, to identify and pre-emptively address cyber-physical issues that </w:t>
            </w:r>
            <w:r w:rsidR="00707A04">
              <w:rPr>
                <w:i/>
                <w:iCs/>
                <w:lang w:eastAsia="en-US" w:bidi="ar-SA"/>
              </w:rPr>
              <w:t>will otherwise o</w:t>
            </w:r>
            <w:r w:rsidRPr="00631477">
              <w:rPr>
                <w:i/>
                <w:iCs/>
                <w:lang w:eastAsia="en-US" w:bidi="ar-SA"/>
              </w:rPr>
              <w:t>nly manifest during mass</w:t>
            </w:r>
            <w:r w:rsidR="00924ACC">
              <w:rPr>
                <w:i/>
                <w:iCs/>
                <w:lang w:eastAsia="en-US" w:bidi="ar-SA"/>
              </w:rPr>
              <w:t>-</w:t>
            </w:r>
            <w:r w:rsidRPr="00631477">
              <w:rPr>
                <w:i/>
                <w:iCs/>
                <w:lang w:eastAsia="en-US" w:bidi="ar-SA"/>
              </w:rPr>
              <w:t xml:space="preserve">deployment </w:t>
            </w:r>
            <w:r w:rsidR="00924ACC">
              <w:rPr>
                <w:i/>
                <w:iCs/>
                <w:lang w:eastAsia="en-US" w:bidi="ar-SA"/>
              </w:rPr>
              <w:t>of solutions post-trial phase</w:t>
            </w:r>
            <w:r w:rsidR="00374950">
              <w:rPr>
                <w:i/>
                <w:iCs/>
                <w:lang w:eastAsia="en-US" w:bidi="ar-SA"/>
              </w:rPr>
              <w:t xml:space="preserve">. </w:t>
            </w:r>
          </w:p>
        </w:tc>
      </w:tr>
    </w:tbl>
    <w:p w14:paraId="72196B47" w14:textId="5F188994" w:rsidR="00253BA4" w:rsidRPr="00EB2823" w:rsidRDefault="006B46B4" w:rsidP="00954BAC">
      <w:pPr>
        <w:pStyle w:val="Heading4"/>
        <w:numPr>
          <w:ilvl w:val="0"/>
          <w:numId w:val="62"/>
        </w:numPr>
        <w:spacing w:before="240" w:after="120" w:line="264" w:lineRule="auto"/>
        <w:rPr>
          <w:i w:val="0"/>
          <w:iCs w:val="0"/>
        </w:rPr>
      </w:pPr>
      <w:r w:rsidRPr="00EB2823">
        <w:rPr>
          <w:i w:val="0"/>
          <w:iCs w:val="0"/>
        </w:rPr>
        <w:t>Cross Cutting Issue</w:t>
      </w:r>
    </w:p>
    <w:p w14:paraId="0F980B23" w14:textId="39E5EF2F" w:rsidR="00DF2E62" w:rsidRDefault="00DF2E62" w:rsidP="000175AD">
      <w:pPr>
        <w:spacing w:before="120" w:after="120" w:line="264" w:lineRule="auto"/>
        <w:rPr>
          <w:lang w:eastAsia="en-US" w:bidi="ar-SA"/>
        </w:rPr>
      </w:pPr>
      <w:r w:rsidRPr="000175AD">
        <w:rPr>
          <w:lang w:eastAsia="en-US" w:bidi="ar-SA"/>
        </w:rPr>
        <w:t>A unique feature of Australia’s power system transition is the progressive shift from hundreds to tens of millions of participating energy resources due to world leading levels of CER/DER deployment</w:t>
      </w:r>
      <w:r w:rsidR="00374950">
        <w:rPr>
          <w:lang w:eastAsia="en-US" w:bidi="ar-SA"/>
        </w:rPr>
        <w:t xml:space="preserve">. </w:t>
      </w:r>
      <w:r w:rsidR="00701F4A">
        <w:rPr>
          <w:lang w:eastAsia="en-US" w:bidi="ar-SA"/>
        </w:rPr>
        <w:t xml:space="preserve">The </w:t>
      </w:r>
      <w:r w:rsidR="00090382" w:rsidRPr="000175AD">
        <w:rPr>
          <w:lang w:eastAsia="en-US" w:bidi="ar-SA"/>
        </w:rPr>
        <w:t xml:space="preserve">application of </w:t>
      </w:r>
      <w:r w:rsidR="00CF0342">
        <w:rPr>
          <w:lang w:eastAsia="en-US" w:bidi="ar-SA"/>
        </w:rPr>
        <w:t>DOE</w:t>
      </w:r>
      <w:r w:rsidR="00090382" w:rsidRPr="000175AD">
        <w:rPr>
          <w:lang w:eastAsia="en-US" w:bidi="ar-SA"/>
        </w:rPr>
        <w:t xml:space="preserve"> solutions has significant potential for supporting Australia’s </w:t>
      </w:r>
      <w:r w:rsidR="00A52B9B">
        <w:rPr>
          <w:lang w:eastAsia="en-US" w:bidi="ar-SA"/>
        </w:rPr>
        <w:t xml:space="preserve">highly distributed </w:t>
      </w:r>
      <w:r w:rsidR="00090382" w:rsidRPr="000175AD">
        <w:rPr>
          <w:lang w:eastAsia="en-US" w:bidi="ar-SA"/>
        </w:rPr>
        <w:t>power system</w:t>
      </w:r>
      <w:r w:rsidR="00CF0342">
        <w:rPr>
          <w:lang w:eastAsia="en-US" w:bidi="ar-SA"/>
        </w:rPr>
        <w:t xml:space="preserve"> transformation</w:t>
      </w:r>
      <w:r w:rsidR="00374950">
        <w:rPr>
          <w:lang w:eastAsia="en-US" w:bidi="ar-SA"/>
        </w:rPr>
        <w:t xml:space="preserve">. </w:t>
      </w:r>
    </w:p>
    <w:p w14:paraId="5B219BFE" w14:textId="102C53D0" w:rsidR="00090382" w:rsidRPr="000175AD" w:rsidRDefault="00090382" w:rsidP="000175AD">
      <w:pPr>
        <w:spacing w:before="120" w:after="120" w:line="264" w:lineRule="auto"/>
        <w:rPr>
          <w:lang w:eastAsia="en-US" w:bidi="ar-SA"/>
        </w:rPr>
      </w:pPr>
      <w:r w:rsidRPr="000175AD">
        <w:rPr>
          <w:lang w:eastAsia="en-US" w:bidi="ar-SA"/>
        </w:rPr>
        <w:t>In the context of the structural separation</w:t>
      </w:r>
      <w:r w:rsidR="00A43442">
        <w:rPr>
          <w:lang w:eastAsia="en-US" w:bidi="ar-SA"/>
        </w:rPr>
        <w:t>s embedded in the NEM</w:t>
      </w:r>
      <w:r w:rsidR="00686510">
        <w:rPr>
          <w:lang w:eastAsia="en-US" w:bidi="ar-SA"/>
        </w:rPr>
        <w:t xml:space="preserve">, development of </w:t>
      </w:r>
      <w:r w:rsidRPr="000175AD">
        <w:rPr>
          <w:lang w:eastAsia="en-US" w:bidi="ar-SA"/>
        </w:rPr>
        <w:t>DOE solution</w:t>
      </w:r>
      <w:r w:rsidR="00686510">
        <w:rPr>
          <w:lang w:eastAsia="en-US" w:bidi="ar-SA"/>
        </w:rPr>
        <w:t>s ori</w:t>
      </w:r>
      <w:r w:rsidRPr="000175AD">
        <w:rPr>
          <w:lang w:eastAsia="en-US" w:bidi="ar-SA"/>
        </w:rPr>
        <w:t xml:space="preserve">ginated </w:t>
      </w:r>
      <w:r w:rsidR="00D604FF">
        <w:rPr>
          <w:lang w:eastAsia="en-US" w:bidi="ar-SA"/>
        </w:rPr>
        <w:t xml:space="preserve">with a focus on </w:t>
      </w:r>
      <w:r w:rsidRPr="000175AD">
        <w:rPr>
          <w:lang w:eastAsia="en-US" w:bidi="ar-SA"/>
        </w:rPr>
        <w:t xml:space="preserve">providing flexible export limits to CER/DER to </w:t>
      </w:r>
      <w:r w:rsidR="00D604FF">
        <w:rPr>
          <w:lang w:eastAsia="en-US" w:bidi="ar-SA"/>
        </w:rPr>
        <w:t>provide</w:t>
      </w:r>
      <w:r w:rsidRPr="000175AD">
        <w:rPr>
          <w:lang w:eastAsia="en-US" w:bidi="ar-SA"/>
        </w:rPr>
        <w:t xml:space="preserve"> more advanced distribution network capacity management. From these origins, Australia’s market, regulatory and innovation funding bodies </w:t>
      </w:r>
      <w:r w:rsidR="00535E05">
        <w:rPr>
          <w:lang w:eastAsia="en-US" w:bidi="ar-SA"/>
        </w:rPr>
        <w:t>now</w:t>
      </w:r>
      <w:r w:rsidRPr="000175AD">
        <w:rPr>
          <w:lang w:eastAsia="en-US" w:bidi="ar-SA"/>
        </w:rPr>
        <w:t xml:space="preserve"> anticipate an</w:t>
      </w:r>
      <w:r w:rsidR="000175AD" w:rsidRPr="000175AD">
        <w:rPr>
          <w:lang w:eastAsia="en-US" w:bidi="ar-SA"/>
        </w:rPr>
        <w:t xml:space="preserve"> expanding </w:t>
      </w:r>
      <w:r w:rsidRPr="000175AD">
        <w:rPr>
          <w:lang w:eastAsia="en-US" w:bidi="ar-SA"/>
        </w:rPr>
        <w:t xml:space="preserve">range of contributions that DOE solutions may make to overall power system optimisation and customer benefits. </w:t>
      </w:r>
    </w:p>
    <w:p w14:paraId="336A4E8B" w14:textId="073CB8FE" w:rsidR="00090382" w:rsidRPr="000175AD" w:rsidRDefault="00EA605F" w:rsidP="000175AD">
      <w:pPr>
        <w:spacing w:before="120" w:after="120" w:line="264" w:lineRule="auto"/>
        <w:rPr>
          <w:lang w:eastAsia="en-US" w:bidi="ar-SA"/>
        </w:rPr>
      </w:pPr>
      <w:r>
        <w:rPr>
          <w:lang w:eastAsia="en-US" w:bidi="ar-SA"/>
        </w:rPr>
        <w:t xml:space="preserve">Despite </w:t>
      </w:r>
      <w:r w:rsidR="002E7E56">
        <w:rPr>
          <w:lang w:eastAsia="en-US" w:bidi="ar-SA"/>
        </w:rPr>
        <w:t xml:space="preserve">the </w:t>
      </w:r>
      <w:r w:rsidR="002704BE">
        <w:rPr>
          <w:lang w:eastAsia="en-US" w:bidi="ar-SA"/>
        </w:rPr>
        <w:t xml:space="preserve">relevant </w:t>
      </w:r>
      <w:r w:rsidR="002E7E56">
        <w:rPr>
          <w:lang w:eastAsia="en-US" w:bidi="ar-SA"/>
        </w:rPr>
        <w:t>structural separations</w:t>
      </w:r>
      <w:r w:rsidR="00DB2CB6">
        <w:rPr>
          <w:lang w:eastAsia="en-US" w:bidi="ar-SA"/>
        </w:rPr>
        <w:t>, the Laws of Physics interact with</w:t>
      </w:r>
      <w:r w:rsidR="002704BE">
        <w:rPr>
          <w:lang w:eastAsia="en-US" w:bidi="ar-SA"/>
        </w:rPr>
        <w:t xml:space="preserve"> the NEM </w:t>
      </w:r>
      <w:r w:rsidR="00DB2CB6">
        <w:rPr>
          <w:lang w:eastAsia="en-US" w:bidi="ar-SA"/>
        </w:rPr>
        <w:t>as one integrated system</w:t>
      </w:r>
      <w:r w:rsidR="00374950">
        <w:rPr>
          <w:lang w:eastAsia="en-US" w:bidi="ar-SA"/>
        </w:rPr>
        <w:t xml:space="preserve">. </w:t>
      </w:r>
      <w:r w:rsidR="00DB2CB6">
        <w:rPr>
          <w:lang w:eastAsia="en-US" w:bidi="ar-SA"/>
        </w:rPr>
        <w:t>Accordingly, t</w:t>
      </w:r>
      <w:r w:rsidR="00090382" w:rsidRPr="000175AD">
        <w:rPr>
          <w:lang w:eastAsia="en-US" w:bidi="ar-SA"/>
        </w:rPr>
        <w:t xml:space="preserve">he full benefits-realisation of </w:t>
      </w:r>
      <w:r w:rsidR="00DB2CB6">
        <w:rPr>
          <w:lang w:eastAsia="en-US" w:bidi="ar-SA"/>
        </w:rPr>
        <w:t xml:space="preserve">any promising </w:t>
      </w:r>
      <w:r w:rsidR="00090382" w:rsidRPr="000175AD">
        <w:rPr>
          <w:lang w:eastAsia="en-US" w:bidi="ar-SA"/>
        </w:rPr>
        <w:t>technolog</w:t>
      </w:r>
      <w:r w:rsidR="00DB2CB6">
        <w:rPr>
          <w:lang w:eastAsia="en-US" w:bidi="ar-SA"/>
        </w:rPr>
        <w:t xml:space="preserve">y </w:t>
      </w:r>
      <w:r w:rsidR="00424E29">
        <w:rPr>
          <w:lang w:eastAsia="en-US" w:bidi="ar-SA"/>
        </w:rPr>
        <w:t xml:space="preserve">originally developed </w:t>
      </w:r>
      <w:r w:rsidR="00090382" w:rsidRPr="000175AD">
        <w:rPr>
          <w:lang w:eastAsia="en-US" w:bidi="ar-SA"/>
        </w:rPr>
        <w:t xml:space="preserve">in one </w:t>
      </w:r>
      <w:r>
        <w:rPr>
          <w:lang w:eastAsia="en-US" w:bidi="ar-SA"/>
        </w:rPr>
        <w:t>tier/</w:t>
      </w:r>
      <w:r w:rsidR="00090382" w:rsidRPr="000175AD">
        <w:rPr>
          <w:lang w:eastAsia="en-US" w:bidi="ar-SA"/>
        </w:rPr>
        <w:t xml:space="preserve">layer </w:t>
      </w:r>
      <w:r w:rsidR="00424E29">
        <w:rPr>
          <w:lang w:eastAsia="en-US" w:bidi="ar-SA"/>
        </w:rPr>
        <w:t>of</w:t>
      </w:r>
      <w:r w:rsidR="00090382" w:rsidRPr="000175AD">
        <w:rPr>
          <w:lang w:eastAsia="en-US" w:bidi="ar-SA"/>
        </w:rPr>
        <w:t xml:space="preserve"> the supply chain will be advanced by applying a whole-system view </w:t>
      </w:r>
      <w:r w:rsidR="00535E05">
        <w:rPr>
          <w:lang w:eastAsia="en-US" w:bidi="ar-SA"/>
        </w:rPr>
        <w:t>to</w:t>
      </w:r>
      <w:r w:rsidR="00090382" w:rsidRPr="000175AD">
        <w:rPr>
          <w:lang w:eastAsia="en-US" w:bidi="ar-SA"/>
        </w:rPr>
        <w:t xml:space="preserve"> its further development</w:t>
      </w:r>
      <w:r w:rsidR="00374950">
        <w:rPr>
          <w:lang w:eastAsia="en-US" w:bidi="ar-SA"/>
        </w:rPr>
        <w:t xml:space="preserve">. </w:t>
      </w:r>
      <w:r w:rsidR="00090382" w:rsidRPr="000175AD">
        <w:rPr>
          <w:lang w:eastAsia="en-US" w:bidi="ar-SA"/>
        </w:rPr>
        <w:t xml:space="preserve">This is particularly important as power system operations increasingly depend on dynamic interoperability between </w:t>
      </w:r>
      <w:r w:rsidR="00844115">
        <w:rPr>
          <w:lang w:eastAsia="en-US" w:bidi="ar-SA"/>
        </w:rPr>
        <w:t>across the Transmission-D</w:t>
      </w:r>
      <w:r w:rsidR="00090382" w:rsidRPr="000175AD">
        <w:rPr>
          <w:lang w:eastAsia="en-US" w:bidi="ar-SA"/>
        </w:rPr>
        <w:t xml:space="preserve">istribution </w:t>
      </w:r>
      <w:r w:rsidR="00844115">
        <w:rPr>
          <w:lang w:eastAsia="en-US" w:bidi="ar-SA"/>
        </w:rPr>
        <w:t>Interface (TDI)</w:t>
      </w:r>
      <w:r w:rsidR="00374950">
        <w:rPr>
          <w:lang w:eastAsia="en-US" w:bidi="ar-SA"/>
        </w:rPr>
        <w:t xml:space="preserve">. </w:t>
      </w:r>
    </w:p>
    <w:p w14:paraId="1053FA39" w14:textId="67D525AE" w:rsidR="00090382" w:rsidRPr="000175AD" w:rsidRDefault="00090382" w:rsidP="000175AD">
      <w:pPr>
        <w:spacing w:before="120" w:after="120" w:line="264" w:lineRule="auto"/>
        <w:rPr>
          <w:lang w:eastAsia="en-US" w:bidi="ar-SA"/>
        </w:rPr>
      </w:pPr>
      <w:r w:rsidRPr="000175AD">
        <w:rPr>
          <w:lang w:eastAsia="en-US" w:bidi="ar-SA"/>
        </w:rPr>
        <w:t xml:space="preserve">Conversely, the failure to apply such a holistic approach heightens the risk of unintended consequences emerging when </w:t>
      </w:r>
      <w:r w:rsidR="00535E05">
        <w:rPr>
          <w:lang w:eastAsia="en-US" w:bidi="ar-SA"/>
        </w:rPr>
        <w:t xml:space="preserve">solutions </w:t>
      </w:r>
      <w:r w:rsidRPr="000175AD">
        <w:rPr>
          <w:lang w:eastAsia="en-US" w:bidi="ar-SA"/>
        </w:rPr>
        <w:t>are deployed and activated at mass scale (i.e. in the hundreds of thousands or more)</w:t>
      </w:r>
      <w:r w:rsidR="00374950">
        <w:rPr>
          <w:lang w:eastAsia="en-US" w:bidi="ar-SA"/>
        </w:rPr>
        <w:t xml:space="preserve">. </w:t>
      </w:r>
      <w:r w:rsidR="00535E05">
        <w:rPr>
          <w:lang w:eastAsia="en-US" w:bidi="ar-SA"/>
        </w:rPr>
        <w:t xml:space="preserve">In the case of DOEs, this </w:t>
      </w:r>
      <w:r w:rsidRPr="000175AD">
        <w:rPr>
          <w:lang w:eastAsia="en-US" w:bidi="ar-SA"/>
        </w:rPr>
        <w:t xml:space="preserve">could include </w:t>
      </w:r>
      <w:r w:rsidR="00535E05">
        <w:rPr>
          <w:lang w:eastAsia="en-US" w:bidi="ar-SA"/>
        </w:rPr>
        <w:t xml:space="preserve">the propagation of </w:t>
      </w:r>
      <w:r w:rsidRPr="000175AD">
        <w:rPr>
          <w:lang w:eastAsia="en-US" w:bidi="ar-SA"/>
        </w:rPr>
        <w:t xml:space="preserve">significant instability issues </w:t>
      </w:r>
      <w:r w:rsidR="005A4DC9">
        <w:rPr>
          <w:lang w:eastAsia="en-US" w:bidi="ar-SA"/>
        </w:rPr>
        <w:t xml:space="preserve">in the </w:t>
      </w:r>
      <w:r w:rsidRPr="000175AD">
        <w:rPr>
          <w:lang w:eastAsia="en-US" w:bidi="ar-SA"/>
        </w:rPr>
        <w:t>form of unstable oscillation</w:t>
      </w:r>
      <w:r w:rsidR="00320D6F">
        <w:rPr>
          <w:lang w:eastAsia="en-US" w:bidi="ar-SA"/>
        </w:rPr>
        <w:t>s at t</w:t>
      </w:r>
      <w:r w:rsidRPr="000175AD">
        <w:rPr>
          <w:lang w:eastAsia="en-US" w:bidi="ar-SA"/>
        </w:rPr>
        <w:t xml:space="preserve">he </w:t>
      </w:r>
      <w:r w:rsidR="00320D6F">
        <w:rPr>
          <w:lang w:eastAsia="en-US" w:bidi="ar-SA"/>
        </w:rPr>
        <w:t>TDI</w:t>
      </w:r>
      <w:r w:rsidR="00374950">
        <w:rPr>
          <w:lang w:eastAsia="en-US" w:bidi="ar-SA"/>
        </w:rPr>
        <w:t xml:space="preserve">. </w:t>
      </w:r>
      <w:r w:rsidRPr="000175AD">
        <w:rPr>
          <w:lang w:eastAsia="en-US" w:bidi="ar-SA"/>
        </w:rPr>
        <w:t>Other outcomes may include non-linear behaviours, structural complexity and fragility, and stakeholder concerns over the equity of capacity allocation mechanisms</w:t>
      </w:r>
      <w:r w:rsidR="00374950">
        <w:rPr>
          <w:lang w:eastAsia="en-US" w:bidi="ar-SA"/>
        </w:rPr>
        <w:t xml:space="preserve">. </w:t>
      </w:r>
    </w:p>
    <w:p w14:paraId="0DA1E77E" w14:textId="77777777" w:rsidR="00090382" w:rsidRPr="006A6D00" w:rsidRDefault="00090382" w:rsidP="00954BAC">
      <w:pPr>
        <w:pStyle w:val="Heading4"/>
        <w:numPr>
          <w:ilvl w:val="0"/>
          <w:numId w:val="62"/>
        </w:numPr>
        <w:spacing w:before="240" w:after="120" w:line="264" w:lineRule="auto"/>
        <w:rPr>
          <w:i w:val="0"/>
          <w:iCs w:val="0"/>
        </w:rPr>
      </w:pPr>
      <w:r w:rsidRPr="006A6D00">
        <w:rPr>
          <w:i w:val="0"/>
          <w:iCs w:val="0"/>
        </w:rPr>
        <w:t>Contributing Factors</w:t>
      </w:r>
    </w:p>
    <w:p w14:paraId="54D346AB" w14:textId="2D9F3EC9" w:rsidR="00EA39AA" w:rsidRPr="006D2F2B" w:rsidRDefault="006D2F2B" w:rsidP="00EA39AA">
      <w:pPr>
        <w:spacing w:before="120" w:after="120" w:line="264" w:lineRule="auto"/>
        <w:rPr>
          <w:rStyle w:val="IntenseEmphasis"/>
        </w:rPr>
      </w:pPr>
      <w:r w:rsidRPr="006D2F2B">
        <w:rPr>
          <w:rStyle w:val="IntenseEmphasis"/>
        </w:rPr>
        <w:t>Potential for Whole-system Benefits</w:t>
      </w:r>
    </w:p>
    <w:p w14:paraId="1AF12936" w14:textId="276983F5" w:rsidR="00EA39AA" w:rsidRPr="000175AD" w:rsidRDefault="00EA39AA" w:rsidP="00EA39AA">
      <w:pPr>
        <w:spacing w:before="120" w:after="120" w:line="264" w:lineRule="auto"/>
        <w:rPr>
          <w:lang w:eastAsia="en-US" w:bidi="ar-SA"/>
        </w:rPr>
      </w:pPr>
      <w:r>
        <w:rPr>
          <w:lang w:eastAsia="en-US" w:bidi="ar-SA"/>
        </w:rPr>
        <w:t xml:space="preserve">There </w:t>
      </w:r>
      <w:r w:rsidRPr="000175AD">
        <w:rPr>
          <w:lang w:eastAsia="en-US" w:bidi="ar-SA"/>
        </w:rPr>
        <w:t xml:space="preserve">is a growing recognition that decarbonised power systems will </w:t>
      </w:r>
      <w:r w:rsidR="006D2F2B">
        <w:rPr>
          <w:lang w:eastAsia="en-US" w:bidi="ar-SA"/>
        </w:rPr>
        <w:t>need</w:t>
      </w:r>
      <w:r w:rsidRPr="000175AD">
        <w:rPr>
          <w:lang w:eastAsia="en-US" w:bidi="ar-SA"/>
        </w:rPr>
        <w:t xml:space="preserve"> the bulk </w:t>
      </w:r>
      <w:r>
        <w:rPr>
          <w:lang w:eastAsia="en-US" w:bidi="ar-SA"/>
        </w:rPr>
        <w:t>power</w:t>
      </w:r>
      <w:r w:rsidRPr="000175AD">
        <w:rPr>
          <w:lang w:eastAsia="en-US" w:bidi="ar-SA"/>
        </w:rPr>
        <w:t xml:space="preserve">, transmission and distribution systems – together with millions of demand-side </w:t>
      </w:r>
      <w:r>
        <w:rPr>
          <w:lang w:eastAsia="en-US" w:bidi="ar-SA"/>
        </w:rPr>
        <w:t>CER/DER</w:t>
      </w:r>
      <w:r w:rsidRPr="000175AD">
        <w:rPr>
          <w:lang w:eastAsia="en-US" w:bidi="ar-SA"/>
        </w:rPr>
        <w:t xml:space="preserve"> – to function much more holistically </w:t>
      </w:r>
      <w:r>
        <w:rPr>
          <w:lang w:eastAsia="en-US" w:bidi="ar-SA"/>
        </w:rPr>
        <w:t xml:space="preserve">to enable </w:t>
      </w:r>
      <w:r w:rsidRPr="000175AD">
        <w:rPr>
          <w:lang w:eastAsia="en-US" w:bidi="ar-SA"/>
        </w:rPr>
        <w:t>reliable and efficient operation</w:t>
      </w:r>
      <w:r w:rsidR="00374950">
        <w:rPr>
          <w:lang w:eastAsia="en-US" w:bidi="ar-SA"/>
        </w:rPr>
        <w:t xml:space="preserve">. </w:t>
      </w:r>
      <w:r w:rsidRPr="000175AD">
        <w:rPr>
          <w:lang w:eastAsia="en-US" w:bidi="ar-SA"/>
        </w:rPr>
        <w:t xml:space="preserve">In this context, Australia’s market, regulatory and innovation funding bodies are </w:t>
      </w:r>
      <w:r w:rsidR="00C16951">
        <w:rPr>
          <w:lang w:eastAsia="en-US" w:bidi="ar-SA"/>
        </w:rPr>
        <w:t xml:space="preserve">also anticipating </w:t>
      </w:r>
      <w:r w:rsidRPr="000175AD">
        <w:rPr>
          <w:lang w:eastAsia="en-US" w:bidi="ar-SA"/>
        </w:rPr>
        <w:t xml:space="preserve">a wider range of contributions that DOE technologies may make </w:t>
      </w:r>
      <w:r>
        <w:rPr>
          <w:lang w:eastAsia="en-US" w:bidi="ar-SA"/>
        </w:rPr>
        <w:t>beyond</w:t>
      </w:r>
      <w:r w:rsidRPr="000175AD">
        <w:rPr>
          <w:lang w:eastAsia="en-US" w:bidi="ar-SA"/>
        </w:rPr>
        <w:t xml:space="preserve"> flexible export limits</w:t>
      </w:r>
      <w:r w:rsidR="00374950">
        <w:rPr>
          <w:lang w:eastAsia="en-US" w:bidi="ar-SA"/>
        </w:rPr>
        <w:t xml:space="preserve">. </w:t>
      </w:r>
      <w:r w:rsidRPr="000175AD">
        <w:rPr>
          <w:lang w:eastAsia="en-US" w:bidi="ar-SA"/>
        </w:rPr>
        <w:t xml:space="preserve">These include: </w:t>
      </w:r>
    </w:p>
    <w:p w14:paraId="30C6BC28" w14:textId="5F14B261" w:rsidR="00EA39AA" w:rsidRPr="000175AD" w:rsidRDefault="00EA39AA" w:rsidP="00954BAC">
      <w:pPr>
        <w:pStyle w:val="ListParagraph"/>
        <w:numPr>
          <w:ilvl w:val="0"/>
          <w:numId w:val="32"/>
        </w:numPr>
        <w:spacing w:line="264" w:lineRule="auto"/>
        <w:rPr>
          <w:lang w:eastAsia="en-US" w:bidi="ar-SA"/>
        </w:rPr>
      </w:pPr>
      <w:r w:rsidRPr="000175AD">
        <w:rPr>
          <w:lang w:eastAsia="en-US" w:bidi="ar-SA"/>
        </w:rPr>
        <w:t xml:space="preserve">Efficient management of a variety of flexible resources such as residential battery storage systems and other smart technologies, in terms of both exports and </w:t>
      </w:r>
      <w:r w:rsidR="00EC5741" w:rsidRPr="000175AD">
        <w:rPr>
          <w:lang w:eastAsia="en-US" w:bidi="ar-SA"/>
        </w:rPr>
        <w:t>imports.</w:t>
      </w:r>
      <w:r w:rsidRPr="000175AD">
        <w:rPr>
          <w:lang w:eastAsia="en-US" w:bidi="ar-SA"/>
        </w:rPr>
        <w:t xml:space="preserve"> </w:t>
      </w:r>
    </w:p>
    <w:p w14:paraId="532D2591" w14:textId="506A50D3" w:rsidR="00EA39AA" w:rsidRPr="000175AD" w:rsidRDefault="00EA39AA" w:rsidP="00954BAC">
      <w:pPr>
        <w:pStyle w:val="ListParagraph"/>
        <w:numPr>
          <w:ilvl w:val="0"/>
          <w:numId w:val="32"/>
        </w:numPr>
        <w:spacing w:line="264" w:lineRule="auto"/>
        <w:rPr>
          <w:lang w:eastAsia="en-US" w:bidi="ar-SA"/>
        </w:rPr>
      </w:pPr>
      <w:r w:rsidRPr="000175AD">
        <w:rPr>
          <w:lang w:eastAsia="en-US" w:bidi="ar-SA"/>
        </w:rPr>
        <w:t xml:space="preserve">Expanded </w:t>
      </w:r>
      <w:r>
        <w:rPr>
          <w:lang w:eastAsia="en-US" w:bidi="ar-SA"/>
        </w:rPr>
        <w:t>EV</w:t>
      </w:r>
      <w:r w:rsidRPr="000175AD">
        <w:rPr>
          <w:lang w:eastAsia="en-US" w:bidi="ar-SA"/>
        </w:rPr>
        <w:t xml:space="preserve"> charging and faster charging by allowing for higher loads during off-peak times, again including vehicle-to-grid </w:t>
      </w:r>
      <w:r w:rsidR="003F6767">
        <w:rPr>
          <w:lang w:eastAsia="en-US" w:bidi="ar-SA"/>
        </w:rPr>
        <w:t>EV</w:t>
      </w:r>
      <w:r w:rsidRPr="000175AD">
        <w:rPr>
          <w:lang w:eastAsia="en-US" w:bidi="ar-SA"/>
        </w:rPr>
        <w:t xml:space="preserve"> discharging</w:t>
      </w:r>
      <w:r w:rsidR="00EC5741">
        <w:rPr>
          <w:lang w:eastAsia="en-US" w:bidi="ar-SA"/>
        </w:rPr>
        <w:t>.</w:t>
      </w:r>
    </w:p>
    <w:p w14:paraId="0607201E" w14:textId="25E6F0F1" w:rsidR="00EA39AA" w:rsidRPr="000175AD" w:rsidRDefault="00EA39AA" w:rsidP="00954BAC">
      <w:pPr>
        <w:pStyle w:val="ListParagraph"/>
        <w:numPr>
          <w:ilvl w:val="0"/>
          <w:numId w:val="32"/>
        </w:numPr>
        <w:spacing w:line="264" w:lineRule="auto"/>
        <w:rPr>
          <w:lang w:eastAsia="en-US" w:bidi="ar-SA"/>
        </w:rPr>
      </w:pPr>
      <w:r w:rsidRPr="000175AD">
        <w:rPr>
          <w:lang w:eastAsia="en-US" w:bidi="ar-SA"/>
        </w:rPr>
        <w:t>Managing fluctuations in solar output that significantly impact instantaneous and average voltage</w:t>
      </w:r>
      <w:r>
        <w:rPr>
          <w:lang w:eastAsia="en-US" w:bidi="ar-SA"/>
        </w:rPr>
        <w:t xml:space="preserve">, making </w:t>
      </w:r>
      <w:r w:rsidRPr="000175AD">
        <w:rPr>
          <w:lang w:eastAsia="en-US" w:bidi="ar-SA"/>
        </w:rPr>
        <w:t>it harder and more expensive to maintain regulated voltage limits</w:t>
      </w:r>
      <w:r w:rsidR="00EC5741">
        <w:rPr>
          <w:lang w:eastAsia="en-US" w:bidi="ar-SA"/>
        </w:rPr>
        <w:t>.</w:t>
      </w:r>
    </w:p>
    <w:p w14:paraId="5A67DCB7" w14:textId="4051AA23" w:rsidR="00EA39AA" w:rsidRPr="000175AD" w:rsidRDefault="00EA39AA" w:rsidP="00954BAC">
      <w:pPr>
        <w:pStyle w:val="ListParagraph"/>
        <w:numPr>
          <w:ilvl w:val="0"/>
          <w:numId w:val="32"/>
        </w:numPr>
        <w:spacing w:line="264" w:lineRule="auto"/>
        <w:rPr>
          <w:lang w:eastAsia="en-US" w:bidi="ar-SA"/>
        </w:rPr>
      </w:pPr>
      <w:r w:rsidRPr="000175AD">
        <w:rPr>
          <w:lang w:eastAsia="en-US" w:bidi="ar-SA"/>
        </w:rPr>
        <w:t>Supporting the instantaneous balance of supply and demand in the bulk power system, including the management of minimum operational demand</w:t>
      </w:r>
      <w:r w:rsidR="00EC5741">
        <w:rPr>
          <w:lang w:eastAsia="en-US" w:bidi="ar-SA"/>
        </w:rPr>
        <w:t>.</w:t>
      </w:r>
    </w:p>
    <w:p w14:paraId="5D8B2CB3" w14:textId="6A40309B" w:rsidR="00EA39AA" w:rsidRPr="000175AD" w:rsidRDefault="00EA39AA" w:rsidP="00954BAC">
      <w:pPr>
        <w:pStyle w:val="ListParagraph"/>
        <w:numPr>
          <w:ilvl w:val="0"/>
          <w:numId w:val="32"/>
        </w:numPr>
        <w:spacing w:line="264" w:lineRule="auto"/>
        <w:rPr>
          <w:lang w:eastAsia="en-US" w:bidi="ar-SA"/>
        </w:rPr>
      </w:pPr>
      <w:r w:rsidRPr="000175AD">
        <w:rPr>
          <w:lang w:eastAsia="en-US" w:bidi="ar-SA"/>
        </w:rPr>
        <w:t>Reduced curtailment of distributed solar PV and lower wholesale electricity prices due to increased supply</w:t>
      </w:r>
      <w:r w:rsidR="00374950">
        <w:rPr>
          <w:lang w:eastAsia="en-US" w:bidi="ar-SA"/>
        </w:rPr>
        <w:t xml:space="preserve">. </w:t>
      </w:r>
    </w:p>
    <w:p w14:paraId="3F3EAF29" w14:textId="6B62829B" w:rsidR="00EA39AA" w:rsidRPr="000175AD" w:rsidRDefault="00C16951" w:rsidP="00EA39AA">
      <w:pPr>
        <w:spacing w:before="120" w:after="120" w:line="264" w:lineRule="auto"/>
        <w:rPr>
          <w:lang w:eastAsia="en-US" w:bidi="ar-SA"/>
        </w:rPr>
      </w:pPr>
      <w:r>
        <w:rPr>
          <w:lang w:eastAsia="en-US" w:bidi="ar-SA"/>
        </w:rPr>
        <w:t>Market</w:t>
      </w:r>
      <w:r w:rsidR="00EA39AA" w:rsidRPr="000175AD">
        <w:rPr>
          <w:lang w:eastAsia="en-US" w:bidi="ar-SA"/>
        </w:rPr>
        <w:t xml:space="preserve"> and regulatory bodies note that this </w:t>
      </w:r>
      <w:r w:rsidR="00EA39AA">
        <w:rPr>
          <w:lang w:eastAsia="en-US" w:bidi="ar-SA"/>
        </w:rPr>
        <w:t>may</w:t>
      </w:r>
      <w:r w:rsidR="00EA39AA" w:rsidRPr="000175AD">
        <w:rPr>
          <w:lang w:eastAsia="en-US" w:bidi="ar-SA"/>
        </w:rPr>
        <w:t xml:space="preserve"> enable business models that provide participating CER/DER owners with greater access to financial returns through: </w:t>
      </w:r>
    </w:p>
    <w:p w14:paraId="62D29375" w14:textId="007F2686" w:rsidR="00EA39AA" w:rsidRPr="000175AD" w:rsidRDefault="00EA39AA" w:rsidP="00954BAC">
      <w:pPr>
        <w:pStyle w:val="ListParagraph"/>
        <w:numPr>
          <w:ilvl w:val="0"/>
          <w:numId w:val="33"/>
        </w:numPr>
        <w:spacing w:line="264" w:lineRule="auto"/>
        <w:rPr>
          <w:lang w:eastAsia="en-US" w:bidi="ar-SA"/>
        </w:rPr>
      </w:pPr>
      <w:r w:rsidRPr="000175AD">
        <w:rPr>
          <w:lang w:eastAsia="en-US" w:bidi="ar-SA"/>
        </w:rPr>
        <w:t xml:space="preserve">Bulk power market services including wholesale energy, FCAS, or Reliability </w:t>
      </w:r>
      <w:r>
        <w:rPr>
          <w:lang w:eastAsia="en-US" w:bidi="ar-SA"/>
        </w:rPr>
        <w:t>&amp;</w:t>
      </w:r>
      <w:r w:rsidRPr="000175AD">
        <w:rPr>
          <w:lang w:eastAsia="en-US" w:bidi="ar-SA"/>
        </w:rPr>
        <w:t xml:space="preserve"> Emergency Reserve Trader (RERT)</w:t>
      </w:r>
      <w:r w:rsidR="00EC5741">
        <w:rPr>
          <w:lang w:eastAsia="en-US" w:bidi="ar-SA"/>
        </w:rPr>
        <w:t xml:space="preserve">, </w:t>
      </w:r>
      <w:r w:rsidRPr="000175AD">
        <w:rPr>
          <w:lang w:eastAsia="en-US" w:bidi="ar-SA"/>
        </w:rPr>
        <w:t>and</w:t>
      </w:r>
    </w:p>
    <w:p w14:paraId="436FC7FF" w14:textId="77777777" w:rsidR="00EA39AA" w:rsidRPr="000175AD" w:rsidRDefault="00EA39AA" w:rsidP="00954BAC">
      <w:pPr>
        <w:pStyle w:val="ListParagraph"/>
        <w:numPr>
          <w:ilvl w:val="0"/>
          <w:numId w:val="33"/>
        </w:numPr>
        <w:spacing w:line="264" w:lineRule="auto"/>
        <w:rPr>
          <w:lang w:eastAsia="en-US" w:bidi="ar-SA"/>
        </w:rPr>
      </w:pPr>
      <w:r w:rsidRPr="000175AD">
        <w:rPr>
          <w:lang w:eastAsia="en-US" w:bidi="ar-SA"/>
        </w:rPr>
        <w:t xml:space="preserve">Network services, where excess capacity is provided to local networks to defer or avoid the need for network upgrades. </w:t>
      </w:r>
    </w:p>
    <w:p w14:paraId="325848F8" w14:textId="77777777" w:rsidR="00EA39AA" w:rsidRPr="000175AD" w:rsidRDefault="00EA39AA" w:rsidP="00EA39AA">
      <w:pPr>
        <w:spacing w:before="120" w:after="120" w:line="264" w:lineRule="auto"/>
        <w:rPr>
          <w:lang w:eastAsia="en-US" w:bidi="ar-SA"/>
        </w:rPr>
      </w:pPr>
      <w:r w:rsidRPr="000175AD">
        <w:rPr>
          <w:lang w:eastAsia="en-US" w:bidi="ar-SA"/>
        </w:rPr>
        <w:t xml:space="preserve">As such, there is a recognition of the wider value of DOEs as a key part of Australia’s emerging ecosystem that enables new retailer/aggregator business models that unlock the full system value of millions of CER/DERs. </w:t>
      </w:r>
    </w:p>
    <w:p w14:paraId="173A8D4A" w14:textId="75FEED30" w:rsidR="00090382" w:rsidRPr="000175AD" w:rsidRDefault="00090382" w:rsidP="000175AD">
      <w:pPr>
        <w:spacing w:before="120" w:after="120" w:line="264" w:lineRule="auto"/>
        <w:rPr>
          <w:rStyle w:val="IntenseEmphasis"/>
        </w:rPr>
      </w:pPr>
      <w:r w:rsidRPr="000175AD">
        <w:rPr>
          <w:rStyle w:val="IntenseEmphasis"/>
        </w:rPr>
        <w:t xml:space="preserve">Potential Instability &amp; Latency Issues </w:t>
      </w:r>
    </w:p>
    <w:p w14:paraId="3C4B126B" w14:textId="76B2C128" w:rsidR="00090382" w:rsidRPr="000175AD" w:rsidRDefault="00090382" w:rsidP="000175AD">
      <w:pPr>
        <w:spacing w:before="120" w:after="120" w:line="264" w:lineRule="auto"/>
        <w:rPr>
          <w:lang w:eastAsia="en-US" w:bidi="ar-SA"/>
        </w:rPr>
      </w:pPr>
      <w:r w:rsidRPr="000175AD">
        <w:rPr>
          <w:lang w:eastAsia="en-US" w:bidi="ar-SA"/>
        </w:rPr>
        <w:t>An advanced DOE engine is essentially a specialised distribution state estimator that produces finely granular circuit capacity limits, ideally for both power export and import</w:t>
      </w:r>
      <w:r w:rsidR="00374950">
        <w:rPr>
          <w:lang w:eastAsia="en-US" w:bidi="ar-SA"/>
        </w:rPr>
        <w:t xml:space="preserve">. </w:t>
      </w:r>
      <w:r w:rsidRPr="000175AD">
        <w:rPr>
          <w:lang w:eastAsia="en-US" w:bidi="ar-SA"/>
        </w:rPr>
        <w:t>A pair of values is calculated for each CER/DER or customer connection point. The DOE engine is dependent on several external inputs:</w:t>
      </w:r>
    </w:p>
    <w:p w14:paraId="270E781A" w14:textId="6FF5F50E" w:rsidR="00090382" w:rsidRPr="000175AD" w:rsidRDefault="00090382" w:rsidP="00954BAC">
      <w:pPr>
        <w:pStyle w:val="ListParagraph"/>
        <w:numPr>
          <w:ilvl w:val="0"/>
          <w:numId w:val="34"/>
        </w:numPr>
        <w:spacing w:line="264" w:lineRule="auto"/>
        <w:rPr>
          <w:lang w:eastAsia="en-US" w:bidi="ar-SA"/>
        </w:rPr>
      </w:pPr>
      <w:r w:rsidRPr="000175AD">
        <w:rPr>
          <w:lang w:eastAsia="en-US" w:bidi="ar-SA"/>
        </w:rPr>
        <w:t xml:space="preserve">Sufficient voltage and power flow visibility data to support accurate state estimation of all voltages and </w:t>
      </w:r>
      <w:r w:rsidR="00EC5741" w:rsidRPr="000175AD">
        <w:rPr>
          <w:lang w:eastAsia="en-US" w:bidi="ar-SA"/>
        </w:rPr>
        <w:t>flows.</w:t>
      </w:r>
      <w:r w:rsidRPr="000175AD">
        <w:rPr>
          <w:lang w:eastAsia="en-US" w:bidi="ar-SA"/>
        </w:rPr>
        <w:t xml:space="preserve"> </w:t>
      </w:r>
    </w:p>
    <w:p w14:paraId="71224021" w14:textId="392B54F3" w:rsidR="00090382" w:rsidRPr="000175AD" w:rsidRDefault="00090382" w:rsidP="00954BAC">
      <w:pPr>
        <w:pStyle w:val="ListParagraph"/>
        <w:numPr>
          <w:ilvl w:val="0"/>
          <w:numId w:val="34"/>
        </w:numPr>
        <w:spacing w:line="264" w:lineRule="auto"/>
        <w:rPr>
          <w:lang w:eastAsia="en-US" w:bidi="ar-SA"/>
        </w:rPr>
      </w:pPr>
      <w:r w:rsidRPr="000175AD">
        <w:rPr>
          <w:lang w:eastAsia="en-US" w:bidi="ar-SA"/>
        </w:rPr>
        <w:t>Topology models for the network circuits, including CER/DER and load location and phase connectivity</w:t>
      </w:r>
      <w:r w:rsidR="00EC5741">
        <w:rPr>
          <w:lang w:eastAsia="en-US" w:bidi="ar-SA"/>
        </w:rPr>
        <w:t>.</w:t>
      </w:r>
    </w:p>
    <w:p w14:paraId="4A032527" w14:textId="12D6C3CB" w:rsidR="00090382" w:rsidRPr="000175AD" w:rsidRDefault="00090382" w:rsidP="00954BAC">
      <w:pPr>
        <w:pStyle w:val="ListParagraph"/>
        <w:numPr>
          <w:ilvl w:val="0"/>
          <w:numId w:val="34"/>
        </w:numPr>
        <w:spacing w:line="264" w:lineRule="auto"/>
        <w:rPr>
          <w:lang w:eastAsia="en-US" w:bidi="ar-SA"/>
        </w:rPr>
      </w:pPr>
      <w:r w:rsidRPr="000175AD">
        <w:rPr>
          <w:lang w:eastAsia="en-US" w:bidi="ar-SA"/>
        </w:rPr>
        <w:t>Distribution network impedance values</w:t>
      </w:r>
      <w:r w:rsidR="00EC5741">
        <w:rPr>
          <w:lang w:eastAsia="en-US" w:bidi="ar-SA"/>
        </w:rPr>
        <w:t>.</w:t>
      </w:r>
    </w:p>
    <w:p w14:paraId="75B52A0C" w14:textId="6BDC1594" w:rsidR="00090382" w:rsidRPr="000175AD" w:rsidRDefault="00090382" w:rsidP="00954BAC">
      <w:pPr>
        <w:pStyle w:val="ListParagraph"/>
        <w:numPr>
          <w:ilvl w:val="0"/>
          <w:numId w:val="34"/>
        </w:numPr>
        <w:spacing w:line="264" w:lineRule="auto"/>
        <w:rPr>
          <w:lang w:eastAsia="en-US" w:bidi="ar-SA"/>
        </w:rPr>
      </w:pPr>
      <w:r w:rsidRPr="000175AD">
        <w:rPr>
          <w:lang w:eastAsia="en-US" w:bidi="ar-SA"/>
        </w:rPr>
        <w:t>Distribution network constraints (voltage limits, thermal limits, protection settings)</w:t>
      </w:r>
      <w:r w:rsidR="00374950">
        <w:rPr>
          <w:lang w:eastAsia="en-US" w:bidi="ar-SA"/>
        </w:rPr>
        <w:t xml:space="preserve">. </w:t>
      </w:r>
    </w:p>
    <w:p w14:paraId="421B093E" w14:textId="01B362C9" w:rsidR="00090382" w:rsidRPr="000175AD" w:rsidRDefault="00090382" w:rsidP="000175AD">
      <w:pPr>
        <w:spacing w:before="120" w:after="120" w:line="264" w:lineRule="auto"/>
        <w:rPr>
          <w:lang w:eastAsia="en-US" w:bidi="ar-SA"/>
        </w:rPr>
      </w:pPr>
      <w:r w:rsidRPr="000175AD">
        <w:rPr>
          <w:lang w:eastAsia="en-US" w:bidi="ar-SA"/>
        </w:rPr>
        <w:t xml:space="preserve">DOE engines are currently envisaged as being centralised, where the above data feeds are required from a variety of sources: </w:t>
      </w:r>
      <w:r w:rsidR="005E2FAA" w:rsidRPr="005E2FAA">
        <w:rPr>
          <w:lang w:eastAsia="en-US" w:bidi="ar-SA"/>
        </w:rPr>
        <w:t>Geographic Information System (GIS), Outage Management System (OMS), Distribution Management System (DMS), Advanced Metering Infrastructure (AMI)</w:t>
      </w:r>
      <w:r w:rsidR="00D05A7B">
        <w:rPr>
          <w:lang w:eastAsia="en-US" w:bidi="ar-SA"/>
        </w:rPr>
        <w:t xml:space="preserve">, </w:t>
      </w:r>
      <w:r w:rsidRPr="000175AD">
        <w:rPr>
          <w:lang w:eastAsia="en-US" w:bidi="ar-SA"/>
        </w:rPr>
        <w:t>head end, substation and line sensors, and CER/DER</w:t>
      </w:r>
      <w:r w:rsidR="00374950">
        <w:rPr>
          <w:lang w:eastAsia="en-US" w:bidi="ar-SA"/>
        </w:rPr>
        <w:t xml:space="preserve">. </w:t>
      </w:r>
      <w:r w:rsidRPr="000175AD">
        <w:rPr>
          <w:lang w:eastAsia="en-US" w:bidi="ar-SA"/>
        </w:rPr>
        <w:t>These existing systems containing the necessary data are often siloed and can impose their own significant time delay / latency constraints.</w:t>
      </w:r>
    </w:p>
    <w:p w14:paraId="223E652B" w14:textId="23276B8F" w:rsidR="00090382" w:rsidRPr="000175AD" w:rsidRDefault="00090382" w:rsidP="000175AD">
      <w:pPr>
        <w:spacing w:before="120" w:after="120" w:line="264" w:lineRule="auto"/>
        <w:rPr>
          <w:lang w:eastAsia="en-US" w:bidi="ar-SA"/>
        </w:rPr>
      </w:pPr>
      <w:r w:rsidRPr="000175AD">
        <w:rPr>
          <w:lang w:eastAsia="en-US" w:bidi="ar-SA"/>
        </w:rPr>
        <w:t>Once the DOE envelope is calculated, the information is issued to the CER/DER or customer connection point, possibly via the relevant aggregator</w:t>
      </w:r>
      <w:r w:rsidR="00374950">
        <w:rPr>
          <w:lang w:eastAsia="en-US" w:bidi="ar-SA"/>
        </w:rPr>
        <w:t xml:space="preserve">. </w:t>
      </w:r>
      <w:r w:rsidRPr="000175AD">
        <w:rPr>
          <w:lang w:eastAsia="en-US" w:bidi="ar-SA"/>
        </w:rPr>
        <w:t>Under different models, the DOE information may also be sent to the DNSP / DSO and System / Market Operator</w:t>
      </w:r>
      <w:r w:rsidR="00374950">
        <w:rPr>
          <w:lang w:eastAsia="en-US" w:bidi="ar-SA"/>
        </w:rPr>
        <w:t xml:space="preserve">. </w:t>
      </w:r>
    </w:p>
    <w:p w14:paraId="1C03BB20" w14:textId="77777777" w:rsidR="00E87F52" w:rsidRDefault="00E87F52">
      <w:pPr>
        <w:spacing w:before="0" w:after="160" w:line="259" w:lineRule="auto"/>
        <w:rPr>
          <w:lang w:eastAsia="en-US" w:bidi="ar-SA"/>
        </w:rPr>
      </w:pPr>
      <w:r>
        <w:rPr>
          <w:lang w:eastAsia="en-US" w:bidi="ar-SA"/>
        </w:rPr>
        <w:br w:type="page"/>
      </w:r>
    </w:p>
    <w:p w14:paraId="4EBBEDB3" w14:textId="50EB5C98" w:rsidR="00090382" w:rsidRPr="000175AD" w:rsidRDefault="00090382" w:rsidP="000175AD">
      <w:pPr>
        <w:spacing w:before="120" w:after="120" w:line="264" w:lineRule="auto"/>
        <w:rPr>
          <w:lang w:eastAsia="en-US" w:bidi="ar-SA"/>
        </w:rPr>
      </w:pPr>
      <w:r w:rsidRPr="000175AD">
        <w:rPr>
          <w:lang w:eastAsia="en-US" w:bidi="ar-SA"/>
        </w:rPr>
        <w:t xml:space="preserve">From a data flow perspective, this </w:t>
      </w:r>
      <w:r w:rsidR="00525232">
        <w:rPr>
          <w:lang w:eastAsia="en-US" w:bidi="ar-SA"/>
        </w:rPr>
        <w:t xml:space="preserve">can </w:t>
      </w:r>
      <w:r w:rsidRPr="000175AD">
        <w:rPr>
          <w:lang w:eastAsia="en-US" w:bidi="ar-SA"/>
        </w:rPr>
        <w:t>create</w:t>
      </w:r>
      <w:r w:rsidR="00525232">
        <w:rPr>
          <w:lang w:eastAsia="en-US" w:bidi="ar-SA"/>
        </w:rPr>
        <w:t xml:space="preserve"> </w:t>
      </w:r>
      <w:r w:rsidRPr="000175AD">
        <w:rPr>
          <w:lang w:eastAsia="en-US" w:bidi="ar-SA"/>
        </w:rPr>
        <w:t>a DOE substructure which is a star or hub-and-spoke arrangement, with the DOE engine at the centre of the hub</w:t>
      </w:r>
      <w:r w:rsidR="00374950">
        <w:rPr>
          <w:lang w:eastAsia="en-US" w:bidi="ar-SA"/>
        </w:rPr>
        <w:t xml:space="preserve">. </w:t>
      </w:r>
      <w:r w:rsidRPr="000175AD">
        <w:rPr>
          <w:lang w:eastAsia="en-US" w:bidi="ar-SA"/>
        </w:rPr>
        <w:t>From a control system perspective, however, the DOE system operates as a closed loop control circuit where the DOE engine is inside a loop that may contain other entities</w:t>
      </w:r>
      <w:r w:rsidR="00374950">
        <w:rPr>
          <w:lang w:eastAsia="en-US" w:bidi="ar-SA"/>
        </w:rPr>
        <w:t xml:space="preserve">. </w:t>
      </w:r>
      <w:r w:rsidRPr="000175AD">
        <w:rPr>
          <w:lang w:eastAsia="en-US" w:bidi="ar-SA"/>
        </w:rPr>
        <w:t>Beyond trial scale, when mass deployed the structural configuration may present the following issues:</w:t>
      </w:r>
    </w:p>
    <w:p w14:paraId="1A9AC605" w14:textId="6ACAB0E4" w:rsidR="00090382" w:rsidRPr="000175AD" w:rsidRDefault="00090382" w:rsidP="00954BAC">
      <w:pPr>
        <w:pStyle w:val="ListParagraph"/>
        <w:numPr>
          <w:ilvl w:val="0"/>
          <w:numId w:val="35"/>
        </w:numPr>
        <w:spacing w:line="264" w:lineRule="auto"/>
        <w:rPr>
          <w:lang w:eastAsia="en-US" w:bidi="ar-SA"/>
        </w:rPr>
      </w:pPr>
      <w:r w:rsidRPr="000175AD">
        <w:rPr>
          <w:lang w:eastAsia="en-US" w:bidi="ar-SA"/>
        </w:rPr>
        <w:t xml:space="preserve">Where mass deployment and activation of DOEs occurs, this may result in unstable oscillation at the </w:t>
      </w:r>
      <w:r w:rsidR="00896BBC">
        <w:rPr>
          <w:lang w:eastAsia="en-US" w:bidi="ar-SA"/>
        </w:rPr>
        <w:t>TDI</w:t>
      </w:r>
      <w:r w:rsidR="00374950">
        <w:rPr>
          <w:lang w:eastAsia="en-US" w:bidi="ar-SA"/>
        </w:rPr>
        <w:t xml:space="preserve">. </w:t>
      </w:r>
      <w:r w:rsidR="00C1304E" w:rsidRPr="00C1304E">
        <w:rPr>
          <w:lang w:eastAsia="en-US" w:bidi="ar-SA"/>
        </w:rPr>
        <w:t xml:space="preserve"> </w:t>
      </w:r>
      <w:r w:rsidR="00C1304E">
        <w:rPr>
          <w:lang w:eastAsia="en-US" w:bidi="ar-SA"/>
        </w:rPr>
        <w:t xml:space="preserve">This is </w:t>
      </w:r>
      <w:r w:rsidR="00B135A4">
        <w:rPr>
          <w:lang w:eastAsia="en-US" w:bidi="ar-SA"/>
        </w:rPr>
        <w:t xml:space="preserve">neither </w:t>
      </w:r>
      <w:r w:rsidR="00C1304E">
        <w:rPr>
          <w:lang w:eastAsia="en-US" w:bidi="ar-SA"/>
        </w:rPr>
        <w:t xml:space="preserve">an observability problem </w:t>
      </w:r>
      <w:r w:rsidR="00B135A4">
        <w:rPr>
          <w:lang w:eastAsia="en-US" w:bidi="ar-SA"/>
        </w:rPr>
        <w:t>n</w:t>
      </w:r>
      <w:r w:rsidR="00C1304E">
        <w:rPr>
          <w:lang w:eastAsia="en-US" w:bidi="ar-SA"/>
        </w:rPr>
        <w:t>or a technology problem. It is a control systems issue, related to latency stacking and close loop control system stability, potentially exacerbated by the structural issues described above.</w:t>
      </w:r>
    </w:p>
    <w:p w14:paraId="3EAB6710" w14:textId="30EE3504" w:rsidR="00090382" w:rsidRPr="000175AD" w:rsidRDefault="00090382" w:rsidP="00954BAC">
      <w:pPr>
        <w:pStyle w:val="ListParagraph"/>
        <w:numPr>
          <w:ilvl w:val="0"/>
          <w:numId w:val="35"/>
        </w:numPr>
        <w:spacing w:line="264" w:lineRule="auto"/>
        <w:rPr>
          <w:lang w:eastAsia="en-US" w:bidi="ar-SA"/>
        </w:rPr>
      </w:pPr>
      <w:r w:rsidRPr="000175AD">
        <w:rPr>
          <w:lang w:eastAsia="en-US" w:bidi="ar-SA"/>
        </w:rPr>
        <w:t xml:space="preserve">The mass deployment of DOE will co-exist with other distribution network control systems (Volt/Var regulation, </w:t>
      </w:r>
      <w:r w:rsidR="00304A69" w:rsidRPr="00304A69">
        <w:rPr>
          <w:lang w:eastAsia="en-US" w:bidi="ar-SA"/>
        </w:rPr>
        <w:t>Distribution Management System (DMS), Distributed Energy Resource Management System (DERMS), Fault Location, Isolation and Service Restoration (FLISR)</w:t>
      </w:r>
      <w:r w:rsidRPr="000175AD">
        <w:rPr>
          <w:lang w:eastAsia="en-US" w:bidi="ar-SA"/>
        </w:rPr>
        <w:t>, and protection systems). Without coordination/integration, unplanned interactions and resultant grid unreliability are significant hazards.</w:t>
      </w:r>
    </w:p>
    <w:p w14:paraId="509DA1F6" w14:textId="66765305" w:rsidR="00090382" w:rsidRPr="000175AD" w:rsidRDefault="00090382" w:rsidP="00954BAC">
      <w:pPr>
        <w:pStyle w:val="ListParagraph"/>
        <w:numPr>
          <w:ilvl w:val="0"/>
          <w:numId w:val="35"/>
        </w:numPr>
        <w:spacing w:line="264" w:lineRule="auto"/>
        <w:rPr>
          <w:lang w:eastAsia="en-US" w:bidi="ar-SA"/>
        </w:rPr>
      </w:pPr>
      <w:r w:rsidRPr="000175AD">
        <w:rPr>
          <w:lang w:eastAsia="en-US" w:bidi="ar-SA"/>
        </w:rPr>
        <w:t>Depending on how DOE is structurally integrated with various supply chain entities, massive latencies may be cascaded</w:t>
      </w:r>
      <w:r w:rsidR="00364DEE">
        <w:rPr>
          <w:lang w:eastAsia="en-US" w:bidi="ar-SA"/>
        </w:rPr>
        <w:t>, which is</w:t>
      </w:r>
      <w:r w:rsidRPr="000175AD">
        <w:rPr>
          <w:lang w:eastAsia="en-US" w:bidi="ar-SA"/>
        </w:rPr>
        <w:t xml:space="preserve"> particularly problematic if DOEs ar</w:t>
      </w:r>
      <w:r w:rsidRPr="000175AD">
        <w:rPr>
          <w:rFonts w:hint="eastAsia"/>
          <w:lang w:eastAsia="en-US" w:bidi="ar-SA"/>
        </w:rPr>
        <w:t>e to be updated in near-real time (</w:t>
      </w:r>
      <w:r w:rsidRPr="000175AD">
        <w:rPr>
          <w:rFonts w:hint="eastAsia"/>
          <w:lang w:eastAsia="en-US" w:bidi="ar-SA"/>
        </w:rPr>
        <w:t>≤</w:t>
      </w:r>
      <w:r w:rsidRPr="000175AD">
        <w:rPr>
          <w:rFonts w:hint="eastAsia"/>
          <w:lang w:eastAsia="en-US" w:bidi="ar-SA"/>
        </w:rPr>
        <w:t xml:space="preserve"> 5-min updates) to reflect current and local conditions as is currently asserted</w:t>
      </w:r>
      <w:r w:rsidR="007A1F23">
        <w:rPr>
          <w:lang w:eastAsia="en-US" w:bidi="ar-SA"/>
        </w:rPr>
        <w:t xml:space="preserve"> </w:t>
      </w:r>
      <w:hyperlink w:anchor="Ref_28" w:history="1">
        <w:r w:rsidR="00E271DC" w:rsidRPr="00844FEB">
          <w:rPr>
            <w:rStyle w:val="Hyperlink"/>
            <w:lang w:eastAsia="en-US" w:bidi="ar-SA"/>
          </w:rPr>
          <w:fldChar w:fldCharType="begin"/>
        </w:r>
        <w:r w:rsidR="00732E28" w:rsidRPr="00844FEB">
          <w:rPr>
            <w:rStyle w:val="Hyperlink"/>
            <w:lang w:eastAsia="en-US" w:bidi="ar-SA"/>
          </w:rPr>
          <w:instrText xml:space="preserve"> ADDIN ZOTERO_ITEM CSL_CITATION {"citationID":"gFLkqdIP","properties":{"formattedCitation":"[28]","plainCitation":"[28]","noteIndex":0},"citationItems":[{"id":24,"uris":["http://zotero.org/users/17348326/items/K6AQZH57"],"itemData":{"id":24,"type":"report","collection-title":"Distributed Energy Integratio Program","title":"Dynamic Operting Envelopes Working Group - Outcomes Report","author":[{"family":"Australian Renewable Energy Agency (ARENA)","given":""}],"issued":{"date-parts":[["2022",3]]}}}],"schema":"https://github.com/citation-style-language/schema/raw/master/csl-citation.json"} </w:instrText>
        </w:r>
        <w:r w:rsidR="00E271DC" w:rsidRPr="00844FEB">
          <w:rPr>
            <w:rStyle w:val="Hyperlink"/>
            <w:lang w:eastAsia="en-US" w:bidi="ar-SA"/>
          </w:rPr>
          <w:fldChar w:fldCharType="separate"/>
        </w:r>
        <w:r w:rsidR="00732E28" w:rsidRPr="00844FEB">
          <w:rPr>
            <w:rStyle w:val="Hyperlink"/>
          </w:rPr>
          <w:t>[28]</w:t>
        </w:r>
        <w:r w:rsidR="00E271DC" w:rsidRPr="00844FEB">
          <w:rPr>
            <w:rStyle w:val="Hyperlink"/>
            <w:lang w:eastAsia="en-US" w:bidi="ar-SA"/>
          </w:rPr>
          <w:fldChar w:fldCharType="end"/>
        </w:r>
      </w:hyperlink>
      <w:r w:rsidR="00374950">
        <w:rPr>
          <w:rFonts w:hint="eastAsia"/>
          <w:lang w:eastAsia="en-US" w:bidi="ar-SA"/>
        </w:rPr>
        <w:t xml:space="preserve">. </w:t>
      </w:r>
    </w:p>
    <w:p w14:paraId="4A5B2957" w14:textId="77777777" w:rsidR="00090382" w:rsidRPr="000175AD" w:rsidRDefault="00090382" w:rsidP="00954BAC">
      <w:pPr>
        <w:pStyle w:val="ListParagraph"/>
        <w:numPr>
          <w:ilvl w:val="0"/>
          <w:numId w:val="35"/>
        </w:numPr>
        <w:spacing w:line="264" w:lineRule="auto"/>
        <w:rPr>
          <w:lang w:eastAsia="en-US" w:bidi="ar-SA"/>
        </w:rPr>
      </w:pPr>
      <w:r w:rsidRPr="000175AD">
        <w:rPr>
          <w:lang w:eastAsia="en-US" w:bidi="ar-SA"/>
        </w:rPr>
        <w:t>Communication is currently proposed to be via internet, which opens significant reliability, throughput, latency and cybersecurity issues.</w:t>
      </w:r>
    </w:p>
    <w:p w14:paraId="264DD9AE" w14:textId="77777777" w:rsidR="00090382" w:rsidRPr="000175AD" w:rsidRDefault="00090382" w:rsidP="000175AD">
      <w:pPr>
        <w:spacing w:before="120" w:after="120" w:line="264" w:lineRule="auto"/>
        <w:rPr>
          <w:rStyle w:val="IntenseEmphasis"/>
        </w:rPr>
      </w:pPr>
      <w:r w:rsidRPr="000175AD">
        <w:rPr>
          <w:rStyle w:val="IntenseEmphasis"/>
        </w:rPr>
        <w:t xml:space="preserve">Diversity of Structural Alternatives </w:t>
      </w:r>
    </w:p>
    <w:p w14:paraId="13A4B158" w14:textId="65D1A9C0" w:rsidR="00090382" w:rsidRPr="000175AD" w:rsidRDefault="00090382" w:rsidP="000175AD">
      <w:pPr>
        <w:spacing w:before="120" w:after="120" w:line="264" w:lineRule="auto"/>
        <w:rPr>
          <w:lang w:eastAsia="en-US" w:bidi="ar-SA"/>
        </w:rPr>
      </w:pPr>
      <w:r w:rsidRPr="000175AD">
        <w:rPr>
          <w:lang w:eastAsia="en-US" w:bidi="ar-SA"/>
        </w:rPr>
        <w:t xml:space="preserve">In addition to the above considerations, given the ongoing development and </w:t>
      </w:r>
      <w:r w:rsidR="00346D36">
        <w:rPr>
          <w:lang w:eastAsia="en-US" w:bidi="ar-SA"/>
        </w:rPr>
        <w:t>trialling</w:t>
      </w:r>
      <w:r w:rsidRPr="000175AD">
        <w:rPr>
          <w:lang w:eastAsia="en-US" w:bidi="ar-SA"/>
        </w:rPr>
        <w:t xml:space="preserve"> of DOE models, there is currently a diversity of deployment models under development in Australia</w:t>
      </w:r>
      <w:r w:rsidR="00374950">
        <w:rPr>
          <w:lang w:eastAsia="en-US" w:bidi="ar-SA"/>
        </w:rPr>
        <w:t xml:space="preserve">. </w:t>
      </w:r>
      <w:r w:rsidRPr="000175AD">
        <w:rPr>
          <w:lang w:eastAsia="en-US" w:bidi="ar-SA"/>
        </w:rPr>
        <w:t>For example:</w:t>
      </w:r>
    </w:p>
    <w:p w14:paraId="30343B3C" w14:textId="7568A593" w:rsidR="00090382" w:rsidRPr="000175AD" w:rsidRDefault="00090382" w:rsidP="00954BAC">
      <w:pPr>
        <w:pStyle w:val="ListParagraph"/>
        <w:numPr>
          <w:ilvl w:val="0"/>
          <w:numId w:val="36"/>
        </w:numPr>
        <w:spacing w:line="264" w:lineRule="auto"/>
        <w:rPr>
          <w:lang w:eastAsia="en-US" w:bidi="ar-SA"/>
        </w:rPr>
      </w:pPr>
      <w:r w:rsidRPr="000175AD">
        <w:rPr>
          <w:lang w:eastAsia="en-US" w:bidi="ar-SA"/>
        </w:rPr>
        <w:t>AEMO / AusNet - Project EDGE</w:t>
      </w:r>
    </w:p>
    <w:p w14:paraId="5ED14476" w14:textId="33053C0A" w:rsidR="00090382" w:rsidRPr="000175AD" w:rsidRDefault="00090382" w:rsidP="00954BAC">
      <w:pPr>
        <w:pStyle w:val="ListParagraph"/>
        <w:numPr>
          <w:ilvl w:val="0"/>
          <w:numId w:val="36"/>
        </w:numPr>
        <w:spacing w:line="264" w:lineRule="auto"/>
        <w:rPr>
          <w:lang w:eastAsia="en-US" w:bidi="ar-SA"/>
        </w:rPr>
      </w:pPr>
      <w:r w:rsidRPr="000175AD">
        <w:rPr>
          <w:lang w:eastAsia="en-US" w:bidi="ar-SA"/>
        </w:rPr>
        <w:t>Western Power - Project Symphon</w:t>
      </w:r>
      <w:r w:rsidR="00346D36">
        <w:rPr>
          <w:lang w:eastAsia="en-US" w:bidi="ar-SA"/>
        </w:rPr>
        <w:t>y</w:t>
      </w:r>
    </w:p>
    <w:p w14:paraId="1D3C50A4" w14:textId="6ADD0B9F" w:rsidR="00090382" w:rsidRPr="000175AD" w:rsidRDefault="00090382" w:rsidP="00954BAC">
      <w:pPr>
        <w:pStyle w:val="ListParagraph"/>
        <w:numPr>
          <w:ilvl w:val="0"/>
          <w:numId w:val="36"/>
        </w:numPr>
        <w:spacing w:line="264" w:lineRule="auto"/>
        <w:rPr>
          <w:lang w:eastAsia="en-US" w:bidi="ar-SA"/>
        </w:rPr>
      </w:pPr>
      <w:r w:rsidRPr="000175AD">
        <w:rPr>
          <w:lang w:eastAsia="en-US" w:bidi="ar-SA"/>
        </w:rPr>
        <w:t>Ausgrid - Project Edit</w:t>
      </w:r>
      <w:r w:rsidR="003654AB">
        <w:rPr>
          <w:lang w:eastAsia="en-US" w:bidi="ar-SA"/>
        </w:rPr>
        <w:t>h</w:t>
      </w:r>
    </w:p>
    <w:p w14:paraId="2DEE5B07" w14:textId="3D13B13F" w:rsidR="00090382" w:rsidRPr="000175AD" w:rsidRDefault="00090382" w:rsidP="00954BAC">
      <w:pPr>
        <w:pStyle w:val="ListParagraph"/>
        <w:numPr>
          <w:ilvl w:val="0"/>
          <w:numId w:val="36"/>
        </w:numPr>
        <w:spacing w:line="264" w:lineRule="auto"/>
        <w:rPr>
          <w:lang w:eastAsia="en-US" w:bidi="ar-SA"/>
        </w:rPr>
      </w:pPr>
      <w:r w:rsidRPr="000175AD">
        <w:rPr>
          <w:lang w:eastAsia="en-US" w:bidi="ar-SA"/>
        </w:rPr>
        <w:t>EvoEnergy – Project Converge</w:t>
      </w:r>
    </w:p>
    <w:p w14:paraId="2C26DEE8" w14:textId="1C17C113" w:rsidR="00090382" w:rsidRPr="000175AD" w:rsidRDefault="00090382" w:rsidP="00954BAC">
      <w:pPr>
        <w:pStyle w:val="ListParagraph"/>
        <w:numPr>
          <w:ilvl w:val="0"/>
          <w:numId w:val="36"/>
        </w:numPr>
        <w:spacing w:line="264" w:lineRule="auto"/>
        <w:rPr>
          <w:lang w:eastAsia="en-US" w:bidi="ar-SA"/>
        </w:rPr>
      </w:pPr>
      <w:r w:rsidRPr="000175AD">
        <w:rPr>
          <w:lang w:eastAsia="en-US" w:bidi="ar-SA"/>
        </w:rPr>
        <w:t>Energy Queensland</w:t>
      </w:r>
      <w:r w:rsidR="003654AB">
        <w:rPr>
          <w:lang w:eastAsia="en-US" w:bidi="ar-SA"/>
        </w:rPr>
        <w:t xml:space="preserve"> </w:t>
      </w:r>
      <w:r w:rsidRPr="000175AD">
        <w:rPr>
          <w:lang w:eastAsia="en-US" w:bidi="ar-SA"/>
        </w:rPr>
        <w:t>– GridQube deployment</w:t>
      </w:r>
      <w:r w:rsidR="002902ED">
        <w:rPr>
          <w:lang w:eastAsia="en-US" w:bidi="ar-SA"/>
        </w:rPr>
        <w:t>,</w:t>
      </w:r>
      <w:r w:rsidR="003654AB">
        <w:rPr>
          <w:lang w:eastAsia="en-US" w:bidi="ar-SA"/>
        </w:rPr>
        <w:t xml:space="preserve"> and </w:t>
      </w:r>
    </w:p>
    <w:p w14:paraId="6A422912" w14:textId="1A6ACFC5" w:rsidR="00090382" w:rsidRPr="000175AD" w:rsidRDefault="00090382" w:rsidP="00954BAC">
      <w:pPr>
        <w:pStyle w:val="ListParagraph"/>
        <w:numPr>
          <w:ilvl w:val="0"/>
          <w:numId w:val="36"/>
        </w:numPr>
        <w:spacing w:line="264" w:lineRule="auto"/>
        <w:rPr>
          <w:lang w:eastAsia="en-US" w:bidi="ar-SA"/>
        </w:rPr>
      </w:pPr>
      <w:r w:rsidRPr="000175AD">
        <w:rPr>
          <w:lang w:eastAsia="en-US" w:bidi="ar-SA"/>
        </w:rPr>
        <w:t>SAPN – Flexible Exports and VPP projects</w:t>
      </w:r>
    </w:p>
    <w:p w14:paraId="072E79A0" w14:textId="6DAC9A0B" w:rsidR="00090382" w:rsidRPr="000175AD" w:rsidRDefault="00090382" w:rsidP="000175AD">
      <w:pPr>
        <w:spacing w:before="120" w:after="120" w:line="264" w:lineRule="auto"/>
        <w:rPr>
          <w:lang w:eastAsia="en-US" w:bidi="ar-SA"/>
        </w:rPr>
      </w:pPr>
      <w:r w:rsidRPr="000175AD">
        <w:rPr>
          <w:lang w:eastAsia="en-US" w:bidi="ar-SA"/>
        </w:rPr>
        <w:t>While there are similarities across many of these projects, there are also material differences in design priorities functions and customer incentives, the entities involved, and the deployment approach – all of which may impact the above potential instability and/or latency considerations</w:t>
      </w:r>
      <w:r w:rsidR="00374950">
        <w:rPr>
          <w:lang w:eastAsia="en-US" w:bidi="ar-SA"/>
        </w:rPr>
        <w:t xml:space="preserve">. </w:t>
      </w:r>
    </w:p>
    <w:p w14:paraId="1CFC99B0" w14:textId="1A42817A" w:rsidR="00090382" w:rsidRDefault="00090382" w:rsidP="000175AD">
      <w:pPr>
        <w:spacing w:before="120" w:after="120" w:line="264" w:lineRule="auto"/>
        <w:rPr>
          <w:lang w:eastAsia="en-US" w:bidi="ar-SA"/>
        </w:rPr>
      </w:pPr>
      <w:r w:rsidRPr="000175AD">
        <w:rPr>
          <w:lang w:eastAsia="en-US" w:bidi="ar-SA"/>
        </w:rPr>
        <w:t xml:space="preserve">This is ultimately because each of these trial / demonstration projects bring their own set of assumptions about the </w:t>
      </w:r>
      <w:r w:rsidR="007A1F23">
        <w:rPr>
          <w:lang w:eastAsia="en-US" w:bidi="ar-SA"/>
        </w:rPr>
        <w:t xml:space="preserve">operating environments </w:t>
      </w:r>
      <w:r w:rsidRPr="000175AD">
        <w:rPr>
          <w:lang w:eastAsia="en-US" w:bidi="ar-SA"/>
        </w:rPr>
        <w:t>in which DOEs will exist</w:t>
      </w:r>
      <w:r w:rsidR="00374950">
        <w:rPr>
          <w:lang w:eastAsia="en-US" w:bidi="ar-SA"/>
        </w:rPr>
        <w:t xml:space="preserve">. </w:t>
      </w:r>
      <w:r w:rsidRPr="000175AD">
        <w:rPr>
          <w:lang w:eastAsia="en-US" w:bidi="ar-SA"/>
        </w:rPr>
        <w:t>As these medium – longer term future structural or architectural configurations remain unresolved, however, these must be considered working hypotheses</w:t>
      </w:r>
      <w:r w:rsidR="00374950">
        <w:rPr>
          <w:lang w:eastAsia="en-US" w:bidi="ar-SA"/>
        </w:rPr>
        <w:t xml:space="preserve">. </w:t>
      </w:r>
      <w:r w:rsidRPr="000175AD">
        <w:rPr>
          <w:lang w:eastAsia="en-US" w:bidi="ar-SA"/>
        </w:rPr>
        <w:t xml:space="preserve">Nevertheless, as a DOE engine can only be understood within a wider ecosystem of critical data </w:t>
      </w:r>
      <w:r w:rsidR="005972DC">
        <w:rPr>
          <w:lang w:eastAsia="en-US" w:bidi="ar-SA"/>
        </w:rPr>
        <w:t>flows</w:t>
      </w:r>
      <w:r w:rsidRPr="000175AD">
        <w:rPr>
          <w:lang w:eastAsia="en-US" w:bidi="ar-SA"/>
        </w:rPr>
        <w:t>, these questions must ultimately be empirically resolved as a basis for future-ready mass deployment</w:t>
      </w:r>
      <w:r w:rsidR="00374950">
        <w:rPr>
          <w:lang w:eastAsia="en-US" w:bidi="ar-SA"/>
        </w:rPr>
        <w:t xml:space="preserve">. </w:t>
      </w:r>
    </w:p>
    <w:tbl>
      <w:tblPr>
        <w:tblStyle w:val="GridTable5Dark"/>
        <w:tblW w:w="0" w:type="auto"/>
        <w:tblLook w:val="04A0" w:firstRow="1" w:lastRow="0" w:firstColumn="1" w:lastColumn="0" w:noHBand="0" w:noVBand="1"/>
      </w:tblPr>
      <w:tblGrid>
        <w:gridCol w:w="8210"/>
      </w:tblGrid>
      <w:tr w:rsidR="00E434E9" w:rsidRPr="002F2243" w14:paraId="174BDE94" w14:textId="77777777" w:rsidTr="00D355C5">
        <w:trPr>
          <w:cnfStyle w:val="100000000000" w:firstRow="1" w:lastRow="0" w:firstColumn="0" w:lastColumn="0" w:oddVBand="0" w:evenVBand="0" w:oddHBand="0" w:evenHBand="0" w:firstRowFirstColumn="0" w:firstRowLastColumn="0" w:lastRowFirstColumn="0" w:lastRowLastColumn="0"/>
          <w:trHeight w:val="10338"/>
        </w:trPr>
        <w:tc>
          <w:tcPr>
            <w:cnfStyle w:val="001000000000" w:firstRow="0" w:lastRow="0" w:firstColumn="1" w:lastColumn="0" w:oddVBand="0" w:evenVBand="0" w:oddHBand="0" w:evenHBand="0" w:firstRowFirstColumn="0" w:firstRowLastColumn="0" w:lastRowFirstColumn="0" w:lastRowLastColumn="0"/>
            <w:tcW w:w="8210" w:type="dxa"/>
          </w:tcPr>
          <w:p w14:paraId="49479F42" w14:textId="74428750" w:rsidR="00E434E9" w:rsidRPr="002F2243" w:rsidRDefault="00E434E9" w:rsidP="00E52F89">
            <w:pPr>
              <w:spacing w:before="120" w:after="120" w:line="264" w:lineRule="auto"/>
              <w:ind w:left="175" w:right="169"/>
              <w:rPr>
                <w:rStyle w:val="Strong"/>
                <w:b w:val="0"/>
                <w:bCs w:val="0"/>
                <w:sz w:val="28"/>
              </w:rPr>
            </w:pPr>
            <w:bookmarkStart w:id="92" w:name="Key_Concepts_H"/>
            <w:r w:rsidRPr="002F2243">
              <w:rPr>
                <w:rStyle w:val="Strong"/>
                <w:b w:val="0"/>
                <w:bCs w:val="0"/>
                <w:sz w:val="28"/>
              </w:rPr>
              <w:t xml:space="preserve">Key Concepts </w:t>
            </w:r>
            <w:bookmarkEnd w:id="92"/>
            <w:r w:rsidR="00EF166C">
              <w:rPr>
                <w:rStyle w:val="Strong"/>
                <w:b w:val="0"/>
                <w:bCs w:val="0"/>
                <w:sz w:val="28"/>
              </w:rPr>
              <w:t>L</w:t>
            </w:r>
            <w:r w:rsidRPr="00F10C61">
              <w:rPr>
                <w:rFonts w:ascii="PP Mori SemiBold" w:hAnsi="PP Mori SemiBold"/>
                <w:noProof/>
                <w:sz w:val="20"/>
                <w:szCs w:val="20"/>
              </w:rPr>
              <w:drawing>
                <wp:inline distT="0" distB="0" distL="0" distR="0" wp14:anchorId="54A68538" wp14:editId="13518AB1">
                  <wp:extent cx="272006" cy="272006"/>
                  <wp:effectExtent l="0" t="0" r="6350" b="6350"/>
                  <wp:docPr id="1101695996"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272006" cy="272006"/>
                          </a:xfrm>
                          <a:prstGeom prst="rect">
                            <a:avLst/>
                          </a:prstGeom>
                        </pic:spPr>
                      </pic:pic>
                    </a:graphicData>
                  </a:graphic>
                </wp:inline>
              </w:drawing>
            </w:r>
          </w:p>
          <w:p w14:paraId="70816BC9" w14:textId="77777777" w:rsidR="00E434E9" w:rsidRPr="009A0345" w:rsidRDefault="00E434E9" w:rsidP="00E52F89">
            <w:pPr>
              <w:pStyle w:val="Subtitle"/>
              <w:spacing w:before="180" w:after="120" w:line="264" w:lineRule="auto"/>
              <w:ind w:left="175" w:right="169"/>
              <w:rPr>
                <w:rStyle w:val="Emphasis"/>
                <w:rFonts w:ascii="PP Mori SemiBold" w:hAnsi="PP Mori SemiBold"/>
                <w:color w:val="auto"/>
                <w:sz w:val="24"/>
                <w:szCs w:val="40"/>
              </w:rPr>
            </w:pPr>
            <w:r w:rsidRPr="00933172">
              <w:rPr>
                <w:rStyle w:val="Emphasis"/>
                <w:rFonts w:ascii="PP Mori SemiBold" w:hAnsi="PP Mori SemiBold"/>
                <w:color w:val="auto"/>
                <w:sz w:val="24"/>
                <w:szCs w:val="40"/>
              </w:rPr>
              <w:t>Scalability</w:t>
            </w:r>
          </w:p>
          <w:p w14:paraId="1E8A03F1" w14:textId="77777777" w:rsidR="00E434E9" w:rsidRDefault="00E434E9" w:rsidP="00E52F89">
            <w:pPr>
              <w:spacing w:before="120" w:after="120" w:line="264" w:lineRule="auto"/>
              <w:ind w:left="176" w:right="169"/>
              <w:rPr>
                <w:bCs w:val="0"/>
                <w:lang w:eastAsia="en-US" w:bidi="ar-SA"/>
              </w:rPr>
            </w:pPr>
            <w:r w:rsidRPr="00B91B12">
              <w:rPr>
                <w:b w:val="0"/>
                <w:lang w:eastAsia="en-US" w:bidi="ar-SA"/>
              </w:rPr>
              <w:t>A central consideration of architectural analysis focusing on the degree to which a complex system can securely and efficiently accommodate scale growth</w:t>
            </w:r>
            <w:r>
              <w:rPr>
                <w:b w:val="0"/>
                <w:lang w:eastAsia="en-US" w:bidi="ar-SA"/>
              </w:rPr>
              <w:t xml:space="preserve">. </w:t>
            </w:r>
            <w:r w:rsidRPr="009A0345">
              <w:rPr>
                <w:b w:val="0"/>
                <w:lang w:eastAsia="en-US" w:bidi="ar-SA"/>
              </w:rPr>
              <w:t>It is a systemic measure of the underpinning structure’s ability to accommodate significant increases in the number of components and endpoints without degrading system functions and/or requiring major modifications</w:t>
            </w:r>
            <w:r>
              <w:rPr>
                <w:b w:val="0"/>
                <w:lang w:eastAsia="en-US" w:bidi="ar-SA"/>
              </w:rPr>
              <w:t xml:space="preserve">. </w:t>
            </w:r>
          </w:p>
          <w:p w14:paraId="2FC5EBED" w14:textId="77777777" w:rsidR="005809CE" w:rsidRPr="00546E95" w:rsidRDefault="005809CE" w:rsidP="005809CE">
            <w:pPr>
              <w:pStyle w:val="Subtitle"/>
              <w:spacing w:before="180" w:after="60" w:line="264" w:lineRule="auto"/>
              <w:ind w:left="175" w:right="176"/>
              <w:rPr>
                <w:rStyle w:val="Emphasis"/>
                <w:rFonts w:ascii="PP Mori SemiBold" w:hAnsi="PP Mori SemiBold"/>
                <w:sz w:val="24"/>
                <w:szCs w:val="40"/>
              </w:rPr>
            </w:pPr>
            <w:r w:rsidRPr="00546E95">
              <w:rPr>
                <w:rStyle w:val="Emphasis"/>
                <w:rFonts w:ascii="PP Mori SemiBold" w:hAnsi="PP Mori SemiBold"/>
                <w:sz w:val="24"/>
                <w:szCs w:val="40"/>
              </w:rPr>
              <w:t>Cyber-physical</w:t>
            </w:r>
          </w:p>
          <w:p w14:paraId="56F89F7D" w14:textId="77777777" w:rsidR="005809CE" w:rsidRPr="00D355C5" w:rsidRDefault="005809CE" w:rsidP="005809CE">
            <w:pPr>
              <w:spacing w:before="100" w:after="60" w:line="264" w:lineRule="auto"/>
              <w:ind w:left="176" w:right="176"/>
              <w:rPr>
                <w:b w:val="0"/>
                <w:lang w:eastAsia="en-US" w:bidi="ar-SA"/>
              </w:rPr>
            </w:pPr>
            <w:r w:rsidRPr="00D355C5">
              <w:rPr>
                <w:b w:val="0"/>
                <w:lang w:eastAsia="en-US" w:bidi="ar-SA"/>
              </w:rPr>
              <w:t>Tightly integrated computational and physical/engineered elements that create a close coupling between the virtual and physical. In cyber-physical systems, computer-based algorithms and capabilities are embedded in, and interact with physical/engineered processes, often in real or near real-time.</w:t>
            </w:r>
          </w:p>
          <w:p w14:paraId="1C36DA36" w14:textId="77777777" w:rsidR="00C35785" w:rsidRPr="00C35785" w:rsidRDefault="00C35785" w:rsidP="00C35785">
            <w:pPr>
              <w:spacing w:before="180" w:after="120"/>
              <w:ind w:left="175" w:right="176"/>
              <w:rPr>
                <w:rFonts w:ascii="PP Mori SemiBold" w:hAnsi="PP Mori SemiBold"/>
                <w:b w:val="0"/>
                <w:bCs w:val="0"/>
                <w:i/>
                <w:iCs/>
                <w:color w:val="auto"/>
                <w:sz w:val="24"/>
                <w:szCs w:val="40"/>
              </w:rPr>
            </w:pPr>
            <w:r w:rsidRPr="00C35785">
              <w:rPr>
                <w:rFonts w:ascii="PP Mori SemiBold" w:hAnsi="PP Mori SemiBold"/>
                <w:b w:val="0"/>
                <w:bCs w:val="0"/>
                <w:i/>
                <w:iCs/>
                <w:color w:val="auto"/>
                <w:sz w:val="24"/>
                <w:szCs w:val="40"/>
              </w:rPr>
              <w:t>Ultra-Large-Scale (ULS) system</w:t>
            </w:r>
          </w:p>
          <w:p w14:paraId="7F5E021C" w14:textId="77777777" w:rsidR="00C35785" w:rsidRPr="00C35785" w:rsidRDefault="00C35785" w:rsidP="00C35785">
            <w:pPr>
              <w:spacing w:before="120" w:after="120"/>
              <w:ind w:left="175" w:right="176"/>
              <w:rPr>
                <w:b w:val="0"/>
                <w:color w:val="auto"/>
                <w:lang w:eastAsia="en-US" w:bidi="ar-SA"/>
              </w:rPr>
            </w:pPr>
            <w:r w:rsidRPr="00C35785">
              <w:rPr>
                <w:b w:val="0"/>
                <w:color w:val="auto"/>
                <w:lang w:eastAsia="en-US" w:bidi="ar-SA"/>
              </w:rPr>
              <w:t>Extremely large, and inordinately complex systems that consist of an almost unparalleled volume and diversity of hardware and software, data storage and exchange, computational elements and lines of code, participants and stakeholders, together with multiple complicated structures that are interconnected in complicated ways.</w:t>
            </w:r>
            <w:r w:rsidRPr="00C35785">
              <w:rPr>
                <w:rFonts w:ascii="Calibri" w:hAnsi="Calibri" w:cs="Calibri"/>
                <w:b w:val="0"/>
                <w:color w:val="auto"/>
                <w:lang w:eastAsia="en-US" w:bidi="ar-SA"/>
              </w:rPr>
              <w:t> </w:t>
            </w:r>
          </w:p>
          <w:p w14:paraId="5483EABA" w14:textId="77777777" w:rsidR="00C35785" w:rsidRPr="00C35785" w:rsidRDefault="00C35785" w:rsidP="00C35785">
            <w:pPr>
              <w:spacing w:before="120" w:after="120"/>
              <w:ind w:left="175" w:right="176"/>
              <w:rPr>
                <w:b w:val="0"/>
                <w:color w:val="auto"/>
                <w:lang w:eastAsia="en-US" w:bidi="ar-SA"/>
              </w:rPr>
            </w:pPr>
            <w:r w:rsidRPr="00C35785">
              <w:rPr>
                <w:b w:val="0"/>
                <w:color w:val="auto"/>
                <w:lang w:eastAsia="en-US" w:bidi="ar-SA"/>
              </w:rPr>
              <w:t>A ULS system also typically exhibits the following characteristics:</w:t>
            </w:r>
          </w:p>
          <w:p w14:paraId="63D0B377" w14:textId="77777777" w:rsidR="00C35785" w:rsidRPr="00C35785" w:rsidRDefault="00C35785" w:rsidP="00954BAC">
            <w:pPr>
              <w:numPr>
                <w:ilvl w:val="0"/>
                <w:numId w:val="85"/>
              </w:numPr>
              <w:spacing w:before="80" w:after="0"/>
              <w:ind w:left="890" w:right="176" w:hanging="357"/>
              <w:rPr>
                <w:b w:val="0"/>
                <w:color w:val="auto"/>
                <w:lang w:eastAsia="en-US" w:bidi="ar-SA"/>
              </w:rPr>
            </w:pPr>
            <w:r w:rsidRPr="00C35785">
              <w:rPr>
                <w:b w:val="0"/>
                <w:color w:val="auto"/>
                <w:lang w:eastAsia="en-US" w:bidi="ar-SA"/>
              </w:rPr>
              <w:t>Wide geographic scales (continental to precinct)</w:t>
            </w:r>
          </w:p>
          <w:p w14:paraId="5881CA86" w14:textId="77777777" w:rsidR="00C35785" w:rsidRPr="00C35785" w:rsidRDefault="00C35785" w:rsidP="00954BAC">
            <w:pPr>
              <w:numPr>
                <w:ilvl w:val="0"/>
                <w:numId w:val="85"/>
              </w:numPr>
              <w:spacing w:before="80" w:after="0"/>
              <w:ind w:left="890" w:right="176" w:hanging="357"/>
              <w:rPr>
                <w:b w:val="0"/>
                <w:color w:val="auto"/>
                <w:lang w:eastAsia="en-US" w:bidi="ar-SA"/>
              </w:rPr>
            </w:pPr>
            <w:r w:rsidRPr="00C35785">
              <w:rPr>
                <w:b w:val="0"/>
                <w:color w:val="auto"/>
                <w:lang w:eastAsia="en-US" w:bidi="ar-SA"/>
              </w:rPr>
              <w:t>Wide-time scales (years to microseconds)</w:t>
            </w:r>
          </w:p>
          <w:p w14:paraId="06435EE9" w14:textId="77777777" w:rsidR="00C35785" w:rsidRPr="00C35785" w:rsidRDefault="00C35785" w:rsidP="00954BAC">
            <w:pPr>
              <w:numPr>
                <w:ilvl w:val="0"/>
                <w:numId w:val="85"/>
              </w:numPr>
              <w:spacing w:before="80" w:after="0"/>
              <w:ind w:left="890" w:right="176" w:hanging="357"/>
              <w:rPr>
                <w:b w:val="0"/>
                <w:color w:val="auto"/>
                <w:lang w:eastAsia="en-US" w:bidi="ar-SA"/>
              </w:rPr>
            </w:pPr>
            <w:r w:rsidRPr="00C35785">
              <w:rPr>
                <w:b w:val="0"/>
                <w:color w:val="auto"/>
                <w:lang w:eastAsia="en-US" w:bidi="ar-SA"/>
              </w:rPr>
              <w:t>Long-term evolution and near continual deployments</w:t>
            </w:r>
          </w:p>
          <w:p w14:paraId="619CB728" w14:textId="77777777" w:rsidR="00C35785" w:rsidRPr="00C35785" w:rsidRDefault="00C35785" w:rsidP="00954BAC">
            <w:pPr>
              <w:numPr>
                <w:ilvl w:val="0"/>
                <w:numId w:val="85"/>
              </w:numPr>
              <w:spacing w:before="80" w:after="0"/>
              <w:ind w:left="890" w:right="176" w:hanging="357"/>
              <w:rPr>
                <w:b w:val="0"/>
                <w:color w:val="auto"/>
                <w:lang w:eastAsia="en-US" w:bidi="ar-SA"/>
              </w:rPr>
            </w:pPr>
            <w:r w:rsidRPr="00C35785">
              <w:rPr>
                <w:b w:val="0"/>
                <w:color w:val="auto"/>
                <w:lang w:eastAsia="en-US" w:bidi="ar-SA"/>
              </w:rPr>
              <w:t>Centralised and decentralised data, control, and development</w:t>
            </w:r>
          </w:p>
          <w:p w14:paraId="542B614E" w14:textId="77777777" w:rsidR="00C35785" w:rsidRPr="00C35785" w:rsidRDefault="00C35785" w:rsidP="00954BAC">
            <w:pPr>
              <w:numPr>
                <w:ilvl w:val="0"/>
                <w:numId w:val="85"/>
              </w:numPr>
              <w:spacing w:before="80" w:after="0"/>
              <w:ind w:left="890" w:right="176" w:hanging="357"/>
              <w:rPr>
                <w:b w:val="0"/>
                <w:color w:val="auto"/>
                <w:lang w:eastAsia="en-US" w:bidi="ar-SA"/>
              </w:rPr>
            </w:pPr>
            <w:r w:rsidRPr="00C35785">
              <w:rPr>
                <w:b w:val="0"/>
                <w:color w:val="auto"/>
                <w:lang w:eastAsia="en-US" w:bidi="ar-SA"/>
              </w:rPr>
              <w:t>Wide diversity of perspectives on the purpose(s) and priorities of the System</w:t>
            </w:r>
          </w:p>
          <w:p w14:paraId="1F40DD22" w14:textId="77777777" w:rsidR="00C35785" w:rsidRPr="00C35785" w:rsidRDefault="00C35785" w:rsidP="00954BAC">
            <w:pPr>
              <w:numPr>
                <w:ilvl w:val="0"/>
                <w:numId w:val="85"/>
              </w:numPr>
              <w:spacing w:before="80" w:after="0"/>
              <w:ind w:left="890" w:right="176" w:hanging="357"/>
              <w:rPr>
                <w:b w:val="0"/>
                <w:color w:val="auto"/>
                <w:lang w:eastAsia="en-US" w:bidi="ar-SA"/>
              </w:rPr>
            </w:pPr>
            <w:r w:rsidRPr="00C35785">
              <w:rPr>
                <w:b w:val="0"/>
                <w:color w:val="auto"/>
                <w:lang w:eastAsia="en-US" w:bidi="ar-SA"/>
              </w:rPr>
              <w:t>Inherently conflicting diverse requirements and trade-offs</w:t>
            </w:r>
          </w:p>
          <w:p w14:paraId="16701521" w14:textId="77777777" w:rsidR="00C35785" w:rsidRPr="00C35785" w:rsidRDefault="00C35785" w:rsidP="00954BAC">
            <w:pPr>
              <w:numPr>
                <w:ilvl w:val="0"/>
                <w:numId w:val="85"/>
              </w:numPr>
              <w:spacing w:before="80" w:after="0"/>
              <w:ind w:left="890" w:right="176" w:hanging="357"/>
              <w:rPr>
                <w:b w:val="0"/>
                <w:color w:val="auto"/>
                <w:lang w:eastAsia="en-US" w:bidi="ar-SA"/>
              </w:rPr>
            </w:pPr>
            <w:r w:rsidRPr="00C35785">
              <w:rPr>
                <w:b w:val="0"/>
                <w:color w:val="auto"/>
                <w:lang w:eastAsia="en-US" w:bidi="ar-SA"/>
              </w:rPr>
              <w:t>Heterogeneous, inconsistent, and changing elements; and</w:t>
            </w:r>
          </w:p>
          <w:p w14:paraId="64E75A2B" w14:textId="77777777" w:rsidR="00C35785" w:rsidRPr="00C35785" w:rsidRDefault="00C35785" w:rsidP="00954BAC">
            <w:pPr>
              <w:numPr>
                <w:ilvl w:val="0"/>
                <w:numId w:val="85"/>
              </w:numPr>
              <w:spacing w:before="80" w:after="0"/>
              <w:ind w:left="890" w:right="176" w:hanging="357"/>
              <w:rPr>
                <w:b w:val="0"/>
                <w:color w:val="auto"/>
                <w:lang w:eastAsia="en-US" w:bidi="ar-SA"/>
              </w:rPr>
            </w:pPr>
            <w:r w:rsidRPr="00C35785">
              <w:rPr>
                <w:b w:val="0"/>
                <w:color w:val="auto"/>
                <w:lang w:eastAsia="en-US" w:bidi="ar-SA"/>
              </w:rPr>
              <w:t>Locational failures and response occur as a matter of normal operations.</w:t>
            </w:r>
          </w:p>
          <w:p w14:paraId="30110079" w14:textId="1A7B12E4" w:rsidR="005809CE" w:rsidRPr="00E00129" w:rsidRDefault="00C35785" w:rsidP="00C35785">
            <w:pPr>
              <w:spacing w:before="120" w:after="120" w:line="264" w:lineRule="auto"/>
              <w:ind w:left="176" w:right="169"/>
              <w:rPr>
                <w:b w:val="0"/>
                <w:lang w:eastAsia="en-US" w:bidi="ar-SA"/>
              </w:rPr>
            </w:pPr>
            <w:r w:rsidRPr="00C35785">
              <w:rPr>
                <w:b w:val="0"/>
                <w:color w:val="auto"/>
                <w:lang w:eastAsia="en-US" w:bidi="ar-SA"/>
              </w:rPr>
              <w:t>GW-scale grids are prime examples of ULS systems, and arguably some of the world’s largest and most complex.</w:t>
            </w:r>
          </w:p>
        </w:tc>
      </w:tr>
    </w:tbl>
    <w:p w14:paraId="3D5D7006" w14:textId="449F5917" w:rsidR="00E434E9" w:rsidRDefault="00E434E9">
      <w:pPr>
        <w:spacing w:before="0" w:after="160" w:line="259" w:lineRule="auto"/>
        <w:rPr>
          <w:lang w:eastAsia="en-US" w:bidi="ar-SA"/>
        </w:rPr>
      </w:pPr>
      <w:r>
        <w:rPr>
          <w:lang w:eastAsia="en-US" w:bidi="ar-SA"/>
        </w:rPr>
        <w:br w:type="page"/>
      </w:r>
    </w:p>
    <w:p w14:paraId="6B7CE783" w14:textId="77777777" w:rsidR="00090382" w:rsidRPr="000175AD" w:rsidRDefault="00090382" w:rsidP="000175AD">
      <w:pPr>
        <w:spacing w:before="120" w:after="120" w:line="264" w:lineRule="auto"/>
        <w:rPr>
          <w:rStyle w:val="IntenseEmphasis"/>
        </w:rPr>
      </w:pPr>
      <w:r w:rsidRPr="000175AD">
        <w:rPr>
          <w:rStyle w:val="IntenseEmphasis"/>
        </w:rPr>
        <w:t xml:space="preserve">‘Whole System’ DOE Benefits at Risk </w:t>
      </w:r>
    </w:p>
    <w:p w14:paraId="31CA7BB6" w14:textId="0708A5EE" w:rsidR="00090382" w:rsidRPr="000175AD" w:rsidRDefault="00090382" w:rsidP="000175AD">
      <w:pPr>
        <w:spacing w:before="120" w:after="120" w:line="264" w:lineRule="auto"/>
        <w:rPr>
          <w:lang w:eastAsia="en-US" w:bidi="ar-SA"/>
        </w:rPr>
      </w:pPr>
      <w:r w:rsidRPr="000175AD">
        <w:rPr>
          <w:lang w:eastAsia="en-US" w:bidi="ar-SA"/>
        </w:rPr>
        <w:t>As noted above, market, regulatory and innovation funding bodies are communicating a wide range of aspirational benefits that DOE technologies will support</w:t>
      </w:r>
      <w:r w:rsidR="00374950">
        <w:rPr>
          <w:lang w:eastAsia="en-US" w:bidi="ar-SA"/>
        </w:rPr>
        <w:t xml:space="preserve">. </w:t>
      </w:r>
      <w:r w:rsidRPr="000175AD">
        <w:rPr>
          <w:lang w:eastAsia="en-US" w:bidi="ar-SA"/>
        </w:rPr>
        <w:t xml:space="preserve">In a context where customers are said to be at the centre of the system, these aspirations are framed around delivering tangible benefits to customers. </w:t>
      </w:r>
    </w:p>
    <w:p w14:paraId="3FF8B6FB" w14:textId="5A76D9AF" w:rsidR="00090382" w:rsidRPr="000175AD" w:rsidRDefault="00090382" w:rsidP="000175AD">
      <w:pPr>
        <w:spacing w:before="120" w:after="120" w:line="264" w:lineRule="auto"/>
        <w:rPr>
          <w:lang w:eastAsia="en-US" w:bidi="ar-SA"/>
        </w:rPr>
      </w:pPr>
      <w:r w:rsidRPr="000175AD">
        <w:rPr>
          <w:lang w:eastAsia="en-US" w:bidi="ar-SA"/>
        </w:rPr>
        <w:t xml:space="preserve">Unlocking this value, and the full multi-functional benefits of DOEs, cannot be achieved with a primary orientation to any one segment of the traditional electricity supply chain (e.g. bulk power, transmission, distribution, energy retailer, etc.). While the genesis of DOE development has been the beneficial enabling of flexible export limits at the distribution network level, giving full effect to these aspirations will require a new level of </w:t>
      </w:r>
      <w:r w:rsidR="004823D2">
        <w:rPr>
          <w:lang w:eastAsia="en-US" w:bidi="ar-SA"/>
        </w:rPr>
        <w:t>whole-system</w:t>
      </w:r>
      <w:r w:rsidRPr="000175AD">
        <w:rPr>
          <w:lang w:eastAsia="en-US" w:bidi="ar-SA"/>
        </w:rPr>
        <w:t xml:space="preserve"> intentionality in the further phases of DOE development</w:t>
      </w:r>
      <w:r w:rsidR="00BC476C">
        <w:rPr>
          <w:lang w:eastAsia="en-US" w:bidi="ar-SA"/>
        </w:rPr>
        <w:t xml:space="preserve"> </w:t>
      </w:r>
      <w:hyperlink w:anchor="Ref_4" w:history="1">
        <w:r w:rsidR="00BC476C" w:rsidRPr="009F0FC6">
          <w:rPr>
            <w:rStyle w:val="Hyperlink"/>
            <w:rFonts w:cs="Cordia New"/>
            <w:sz w:val="16"/>
            <w:szCs w:val="16"/>
            <w:lang w:val="en-US"/>
          </w:rPr>
          <w:fldChar w:fldCharType="begin"/>
        </w:r>
        <w:r w:rsidR="00BC476C" w:rsidRPr="009F0FC6">
          <w:rPr>
            <w:rStyle w:val="Hyperlink"/>
            <w:rFonts w:cs="Cordia New"/>
            <w:sz w:val="16"/>
            <w:szCs w:val="16"/>
            <w:lang w:val="en-US"/>
          </w:rPr>
          <w:instrText xml:space="preserve"> ADDIN ZOTERO_ITEM CSL_CITATION {"citationID":"EZSxj9cD","properties":{"formattedCitation":"[4]","plainCitation":"[4]","noteIndex":46},"citationItems":[{"id":28,"uris":["http://zotero.org/users/17348326/items/QVHZ49HH"],"itemData":{"id":28,"type":"report","collection-title":"Distribution Energy Integration Program (DEIP)","page":"23-25","title":"DER Market Integration Trails - Summary Report","URL":"https://arena.gov.au/assets/2022/09/der-market-integration-trials-summary-report.pdf","author":[{"family":"Australian Renewable Energy Agency (ARENA)","given":""}],"issued":{"date-parts":[["2022",9]]}}}],"schema":"https://github.com/citation-style-language/schema/raw/master/csl-citation.json"} </w:instrText>
        </w:r>
        <w:r w:rsidR="00BC476C" w:rsidRPr="009F0FC6">
          <w:rPr>
            <w:rStyle w:val="Hyperlink"/>
            <w:rFonts w:cs="Cordia New"/>
            <w:sz w:val="16"/>
            <w:szCs w:val="16"/>
            <w:lang w:val="en-US"/>
          </w:rPr>
          <w:fldChar w:fldCharType="separate"/>
        </w:r>
        <w:r w:rsidR="00BC476C" w:rsidRPr="009F0FC6">
          <w:rPr>
            <w:rStyle w:val="Hyperlink"/>
            <w:sz w:val="16"/>
          </w:rPr>
          <w:t>[4]</w:t>
        </w:r>
        <w:r w:rsidR="00BC476C" w:rsidRPr="009F0FC6">
          <w:rPr>
            <w:rStyle w:val="Hyperlink"/>
            <w:rFonts w:cs="Cordia New"/>
            <w:sz w:val="16"/>
            <w:szCs w:val="16"/>
            <w:lang w:val="en-US"/>
          </w:rPr>
          <w:fldChar w:fldCharType="end"/>
        </w:r>
      </w:hyperlink>
      <w:r w:rsidR="00374950">
        <w:rPr>
          <w:lang w:eastAsia="en-US" w:bidi="ar-SA"/>
        </w:rPr>
        <w:t xml:space="preserve">. </w:t>
      </w:r>
    </w:p>
    <w:p w14:paraId="4390880F" w14:textId="261D820C" w:rsidR="00090382" w:rsidRPr="000175AD" w:rsidRDefault="00090382" w:rsidP="000175AD">
      <w:pPr>
        <w:spacing w:before="120" w:after="120" w:line="264" w:lineRule="auto"/>
        <w:rPr>
          <w:lang w:eastAsia="en-US" w:bidi="ar-SA"/>
        </w:rPr>
      </w:pPr>
      <w:r w:rsidRPr="000175AD">
        <w:rPr>
          <w:lang w:eastAsia="en-US" w:bidi="ar-SA"/>
        </w:rPr>
        <w:t>In effect, DOE constitutes either a whole new grid (sub)structure or a modification/extension of existing control and coordination structure. Either way, applying a whole-system approach to DOE is vital to ensuring its success at scale.</w:t>
      </w:r>
    </w:p>
    <w:p w14:paraId="1AC08F3A" w14:textId="77777777" w:rsidR="00090382" w:rsidRPr="000175AD" w:rsidRDefault="00090382" w:rsidP="000175AD">
      <w:pPr>
        <w:spacing w:before="120" w:after="120" w:line="264" w:lineRule="auto"/>
        <w:rPr>
          <w:lang w:eastAsia="en-US" w:bidi="ar-SA"/>
        </w:rPr>
      </w:pPr>
      <w:r w:rsidRPr="000175AD">
        <w:rPr>
          <w:lang w:eastAsia="en-US" w:bidi="ar-SA"/>
        </w:rPr>
        <w:t xml:space="preserve">While this may be staged to ensure the continued priority on local flexible export limits, the failure to pursue holistic solution development will result in the above aspirations being significantly delayed or unrealised. </w:t>
      </w:r>
    </w:p>
    <w:p w14:paraId="68436D7F" w14:textId="77777777" w:rsidR="00090382" w:rsidRPr="006A6D00" w:rsidRDefault="00090382" w:rsidP="00954BAC">
      <w:pPr>
        <w:pStyle w:val="Heading4"/>
        <w:numPr>
          <w:ilvl w:val="0"/>
          <w:numId w:val="62"/>
        </w:numPr>
        <w:spacing w:before="240" w:after="120" w:line="264" w:lineRule="auto"/>
        <w:rPr>
          <w:i w:val="0"/>
          <w:iCs w:val="0"/>
        </w:rPr>
      </w:pPr>
      <w:r w:rsidRPr="006A6D00">
        <w:rPr>
          <w:i w:val="0"/>
          <w:iCs w:val="0"/>
        </w:rPr>
        <w:t xml:space="preserve">Solution Requirements </w:t>
      </w:r>
    </w:p>
    <w:p w14:paraId="7DCCA1A3" w14:textId="70C00686" w:rsidR="00090382" w:rsidRPr="000175AD" w:rsidRDefault="00090382" w:rsidP="008F16FE">
      <w:pPr>
        <w:spacing w:before="120" w:after="120" w:line="264" w:lineRule="auto"/>
        <w:rPr>
          <w:lang w:eastAsia="en-US" w:bidi="ar-SA"/>
        </w:rPr>
      </w:pPr>
      <w:r w:rsidRPr="000175AD">
        <w:rPr>
          <w:lang w:eastAsia="en-US" w:bidi="ar-SA"/>
        </w:rPr>
        <w:t xml:space="preserve">In a context where LV-connected CER/DER and </w:t>
      </w:r>
      <w:r w:rsidR="007D0BFB">
        <w:rPr>
          <w:lang w:eastAsia="en-US" w:bidi="ar-SA"/>
        </w:rPr>
        <w:t>EV</w:t>
      </w:r>
      <w:r w:rsidRPr="000175AD">
        <w:rPr>
          <w:lang w:eastAsia="en-US" w:bidi="ar-SA"/>
        </w:rPr>
        <w:t xml:space="preserve"> are projected to continue strong upward growth as a proportion of all </w:t>
      </w:r>
      <w:r w:rsidR="008F16FE">
        <w:rPr>
          <w:lang w:eastAsia="en-US" w:bidi="ar-SA"/>
        </w:rPr>
        <w:t>energy r</w:t>
      </w:r>
      <w:r w:rsidRPr="000175AD">
        <w:rPr>
          <w:lang w:eastAsia="en-US" w:bidi="ar-SA"/>
        </w:rPr>
        <w:t>esources, the successful mass deployment, activation and full benefits realisation of DOEs is expected to be key</w:t>
      </w:r>
      <w:r w:rsidR="00374950">
        <w:rPr>
          <w:lang w:eastAsia="en-US" w:bidi="ar-SA"/>
        </w:rPr>
        <w:t xml:space="preserve">. </w:t>
      </w:r>
      <w:r w:rsidRPr="000175AD">
        <w:rPr>
          <w:lang w:eastAsia="en-US" w:bidi="ar-SA"/>
        </w:rPr>
        <w:t>Achieving this will require holistic, structurally integrated solutions that include:</w:t>
      </w:r>
    </w:p>
    <w:p w14:paraId="2E61D7C3" w14:textId="096D4597" w:rsidR="00090382" w:rsidRPr="000175AD" w:rsidRDefault="00090382" w:rsidP="00954BAC">
      <w:pPr>
        <w:pStyle w:val="ListParagraph"/>
        <w:numPr>
          <w:ilvl w:val="0"/>
          <w:numId w:val="37"/>
        </w:numPr>
        <w:spacing w:line="264" w:lineRule="auto"/>
        <w:rPr>
          <w:lang w:eastAsia="en-US" w:bidi="ar-SA"/>
        </w:rPr>
      </w:pPr>
      <w:r w:rsidRPr="000175AD">
        <w:rPr>
          <w:lang w:eastAsia="en-US" w:bidi="ar-SA"/>
        </w:rPr>
        <w:t>Timely, low latency access to voltage and power flow data, network topology models, relevant CER/DER and EV information; network impedance values and constraint information</w:t>
      </w:r>
      <w:r w:rsidR="009F0FC6">
        <w:rPr>
          <w:lang w:eastAsia="en-US" w:bidi="ar-SA"/>
        </w:rPr>
        <w:t>.</w:t>
      </w:r>
    </w:p>
    <w:p w14:paraId="7A9F1CE4" w14:textId="00B3C1A0" w:rsidR="00090382" w:rsidRPr="000175AD" w:rsidRDefault="00090382" w:rsidP="00954BAC">
      <w:pPr>
        <w:pStyle w:val="ListParagraph"/>
        <w:numPr>
          <w:ilvl w:val="0"/>
          <w:numId w:val="37"/>
        </w:numPr>
        <w:spacing w:line="264" w:lineRule="auto"/>
        <w:rPr>
          <w:lang w:eastAsia="en-US" w:bidi="ar-SA"/>
        </w:rPr>
      </w:pPr>
      <w:r w:rsidRPr="000175AD">
        <w:rPr>
          <w:lang w:eastAsia="en-US" w:bidi="ar-SA"/>
        </w:rPr>
        <w:t>Comprehensive integration with distribution network control systems (Volt/Var regulation, DMS, DERMS, FLISR, and protection systems) to avoid unintended interactions and resultant grid unreliability are significant hazards</w:t>
      </w:r>
      <w:r w:rsidR="009F0FC6">
        <w:rPr>
          <w:lang w:eastAsia="en-US" w:bidi="ar-SA"/>
        </w:rPr>
        <w:t>.</w:t>
      </w:r>
    </w:p>
    <w:p w14:paraId="45245ADA" w14:textId="48C4243F" w:rsidR="00090382" w:rsidRPr="000175AD" w:rsidRDefault="00090382" w:rsidP="00954BAC">
      <w:pPr>
        <w:pStyle w:val="ListParagraph"/>
        <w:numPr>
          <w:ilvl w:val="0"/>
          <w:numId w:val="37"/>
        </w:numPr>
        <w:spacing w:line="264" w:lineRule="auto"/>
        <w:rPr>
          <w:lang w:eastAsia="en-US" w:bidi="ar-SA"/>
        </w:rPr>
      </w:pPr>
      <w:r w:rsidRPr="000175AD">
        <w:rPr>
          <w:lang w:eastAsia="en-US" w:bidi="ar-SA"/>
        </w:rPr>
        <w:t>Avoidance of closed loop control instability issues that may manifest at mass deployment and activation of DOEs and result in unstable oscillation at the TDI</w:t>
      </w:r>
      <w:r w:rsidR="009F0FC6">
        <w:rPr>
          <w:lang w:eastAsia="en-US" w:bidi="ar-SA"/>
        </w:rPr>
        <w:t>.</w:t>
      </w:r>
    </w:p>
    <w:p w14:paraId="1EBE3922" w14:textId="4F8918F8" w:rsidR="00090382" w:rsidRPr="000175AD" w:rsidRDefault="00090382" w:rsidP="000175AD">
      <w:pPr>
        <w:pStyle w:val="ListParagraph"/>
        <w:spacing w:line="264" w:lineRule="auto"/>
        <w:rPr>
          <w:lang w:eastAsia="en-US" w:bidi="ar-SA"/>
        </w:rPr>
      </w:pPr>
      <w:r w:rsidRPr="000175AD">
        <w:rPr>
          <w:lang w:eastAsia="en-US" w:bidi="ar-SA"/>
        </w:rPr>
        <w:t>Identification of optimal structural relationships and data flows between CER/DER, EVs, DNSP/DSOs</w:t>
      </w:r>
      <w:r w:rsidR="00024BF1">
        <w:rPr>
          <w:lang w:eastAsia="en-US" w:bidi="ar-SA"/>
        </w:rPr>
        <w:t xml:space="preserve">, VPPs </w:t>
      </w:r>
      <w:r w:rsidRPr="000175AD">
        <w:rPr>
          <w:lang w:eastAsia="en-US" w:bidi="ar-SA"/>
        </w:rPr>
        <w:t xml:space="preserve">and </w:t>
      </w:r>
      <w:r w:rsidR="008F16FE">
        <w:rPr>
          <w:lang w:eastAsia="en-US" w:bidi="ar-SA"/>
        </w:rPr>
        <w:t>AEMO</w:t>
      </w:r>
      <w:r w:rsidRPr="000175AD">
        <w:rPr>
          <w:lang w:eastAsia="en-US" w:bidi="ar-SA"/>
        </w:rPr>
        <w:t xml:space="preserve"> and ensure a range of negative architectural Issues are avoided</w:t>
      </w:r>
      <w:r w:rsidR="009F0FC6">
        <w:rPr>
          <w:lang w:eastAsia="en-US" w:bidi="ar-SA"/>
        </w:rPr>
        <w:t>.</w:t>
      </w:r>
    </w:p>
    <w:p w14:paraId="02A2A253" w14:textId="7D656C3F" w:rsidR="00090382" w:rsidRPr="000175AD" w:rsidRDefault="00090382" w:rsidP="000175AD">
      <w:pPr>
        <w:pStyle w:val="ListParagraph"/>
        <w:spacing w:line="264" w:lineRule="auto"/>
        <w:rPr>
          <w:lang w:eastAsia="en-US" w:bidi="ar-SA"/>
        </w:rPr>
      </w:pPr>
      <w:r w:rsidRPr="000175AD">
        <w:rPr>
          <w:lang w:eastAsia="en-US" w:bidi="ar-SA"/>
        </w:rPr>
        <w:t>Availability of real-time mappings of VPPs to CER/DER devices for the purpose of managing variable network configurations</w:t>
      </w:r>
      <w:r w:rsidR="009F0FC6">
        <w:rPr>
          <w:lang w:eastAsia="en-US" w:bidi="ar-SA"/>
        </w:rPr>
        <w:t>.</w:t>
      </w:r>
    </w:p>
    <w:p w14:paraId="3439FCE1" w14:textId="7D88D7D7" w:rsidR="00090382" w:rsidRPr="000175AD" w:rsidRDefault="00090382" w:rsidP="00954BAC">
      <w:pPr>
        <w:pStyle w:val="ListParagraph"/>
        <w:numPr>
          <w:ilvl w:val="0"/>
          <w:numId w:val="37"/>
        </w:numPr>
        <w:spacing w:line="264" w:lineRule="auto"/>
        <w:rPr>
          <w:lang w:eastAsia="en-US" w:bidi="ar-SA"/>
        </w:rPr>
      </w:pPr>
      <w:r w:rsidRPr="000175AD">
        <w:rPr>
          <w:lang w:eastAsia="en-US" w:bidi="ar-SA"/>
        </w:rPr>
        <w:t>Avoidance of latency cascading closed loop control circuits which would otherwise cause performance issues and aggravating instability</w:t>
      </w:r>
      <w:r w:rsidR="00B47954">
        <w:rPr>
          <w:lang w:eastAsia="en-US" w:bidi="ar-SA"/>
        </w:rPr>
        <w:t>.</w:t>
      </w:r>
    </w:p>
    <w:p w14:paraId="1A3CAD9C" w14:textId="4F36DA05" w:rsidR="00775541" w:rsidRPr="00C05515" w:rsidRDefault="00090382" w:rsidP="00954BAC">
      <w:pPr>
        <w:pStyle w:val="ListParagraph"/>
        <w:numPr>
          <w:ilvl w:val="0"/>
          <w:numId w:val="37"/>
        </w:numPr>
        <w:spacing w:line="264" w:lineRule="auto"/>
        <w:rPr>
          <w:lang w:eastAsia="en-US" w:bidi="ar-SA"/>
        </w:rPr>
      </w:pPr>
      <w:r w:rsidRPr="000175AD">
        <w:rPr>
          <w:lang w:eastAsia="en-US" w:bidi="ar-SA"/>
        </w:rPr>
        <w:t>Application of layered decomposition methods to achieve scalable and equitable resolution of capacity allocation optimisation problems</w:t>
      </w:r>
      <w:r w:rsidR="002837DA">
        <w:rPr>
          <w:lang w:eastAsia="en-US" w:bidi="ar-SA"/>
        </w:rPr>
        <w:t xml:space="preserve"> </w:t>
      </w:r>
      <w:hyperlink w:anchor="Ref_29" w:history="1">
        <w:r w:rsidR="002837DA" w:rsidRPr="00B47954">
          <w:rPr>
            <w:rStyle w:val="Hyperlink"/>
            <w:sz w:val="16"/>
            <w:szCs w:val="16"/>
          </w:rPr>
          <w:fldChar w:fldCharType="begin"/>
        </w:r>
        <w:r w:rsidR="002837DA" w:rsidRPr="00B47954">
          <w:rPr>
            <w:rStyle w:val="Hyperlink"/>
            <w:sz w:val="16"/>
            <w:szCs w:val="16"/>
          </w:rPr>
          <w:instrText xml:space="preserve"> ADDIN ZOTERO_ITEM CSL_CITATION {"citationID":"hRSWgZF5","properties":{"formattedCitation":"[29]","plainCitation":"[29]","noteIndex":47},"citationItems":[{"id":38,"uris":["http://zotero.org/users/17348326/items/XYLMZ3LI"],"itemData":{"id":38,"type":"article-journal","container-title":"IEEE Transactions on Automatic Control","DOI":"10.1109/TAC.2007.910665","ISSN":"0018-9286","issue":"12","journalAbbreviation":"IEEE Trans. Automat. Contr.","license":"https://ieeexplore.ieee.org/Xplorehelp/downloads/license-information/IEEE.html","page":"2254-2269","source":"DOI.org (Crossref)","title":"Alternative Distributed Algorithms for Network Utility Maximization: Framework and Applications","title-short":"Alternative Distributed Algorithms for Network Utility Maximization","volume":"52","author":[{"family":"Palomar","given":"Daniel P."},{"family":"Chiang","given":"Mung"}],"issued":{"date-parts":[["2007",12]]}}}],"schema":"https://github.com/citation-style-language/schema/raw/master/csl-citation.json"} </w:instrText>
        </w:r>
        <w:r w:rsidR="002837DA" w:rsidRPr="00B47954">
          <w:rPr>
            <w:rStyle w:val="Hyperlink"/>
            <w:sz w:val="16"/>
            <w:szCs w:val="16"/>
          </w:rPr>
          <w:fldChar w:fldCharType="separate"/>
        </w:r>
        <w:r w:rsidR="002837DA" w:rsidRPr="00B47954">
          <w:rPr>
            <w:rStyle w:val="Hyperlink"/>
            <w:sz w:val="16"/>
          </w:rPr>
          <w:t>[29]</w:t>
        </w:r>
        <w:r w:rsidR="002837DA" w:rsidRPr="00B47954">
          <w:rPr>
            <w:rStyle w:val="Hyperlink"/>
            <w:sz w:val="16"/>
            <w:szCs w:val="16"/>
          </w:rPr>
          <w:fldChar w:fldCharType="end"/>
        </w:r>
      </w:hyperlink>
      <w:r w:rsidR="00374950">
        <w:rPr>
          <w:lang w:eastAsia="en-US" w:bidi="ar-SA"/>
        </w:rPr>
        <w:t xml:space="preserve">. </w:t>
      </w:r>
    </w:p>
    <w:p w14:paraId="594C1C84" w14:textId="7C2107FF" w:rsidR="00295372" w:rsidRPr="002C72C2" w:rsidRDefault="00295372" w:rsidP="00EB2823">
      <w:pPr>
        <w:pStyle w:val="Heading2"/>
        <w:spacing w:line="264" w:lineRule="auto"/>
        <w:rPr>
          <w:lang w:eastAsia="en-US" w:bidi="ar-SA"/>
        </w:rPr>
      </w:pPr>
      <w:bookmarkStart w:id="93" w:name="_Toc205533975"/>
      <w:r w:rsidRPr="002C72C2">
        <w:rPr>
          <w:lang w:eastAsia="en-US" w:bidi="ar-SA"/>
        </w:rPr>
        <w:t>Sectoral Alignment &amp; Participation Models</w:t>
      </w:r>
      <w:bookmarkEnd w:id="93"/>
    </w:p>
    <w:p w14:paraId="13330CAC" w14:textId="50EDEB43" w:rsidR="003C6F64" w:rsidRPr="002C72C2" w:rsidRDefault="002033CE" w:rsidP="00EB2823">
      <w:pPr>
        <w:spacing w:before="0" w:after="160" w:line="264" w:lineRule="auto"/>
        <w:rPr>
          <w:lang w:eastAsia="en-US" w:bidi="ar-SA"/>
        </w:rPr>
      </w:pPr>
      <w:r w:rsidRPr="007739B5">
        <w:rPr>
          <w:lang w:eastAsia="en-US" w:bidi="ar-SA"/>
        </w:rPr>
        <w:t>The following section examines</w:t>
      </w:r>
      <w:r>
        <w:rPr>
          <w:lang w:eastAsia="en-US" w:bidi="ar-SA"/>
        </w:rPr>
        <w:t xml:space="preserve"> c</w:t>
      </w:r>
      <w:r w:rsidR="00D93BA7" w:rsidRPr="002033CE">
        <w:rPr>
          <w:lang w:eastAsia="en-US" w:bidi="ar-SA"/>
        </w:rPr>
        <w:t>onsiderations relevant to the future scalable assignment of roles and responsibilities and new mechanisms for supporting the seamless engagement and beneficial participation of millions of Consumer Energy Resources (CER/DER).</w:t>
      </w:r>
    </w:p>
    <w:p w14:paraId="619C444A" w14:textId="4E4C16F0" w:rsidR="00295372" w:rsidRPr="004674A3" w:rsidRDefault="00295372" w:rsidP="00746C51">
      <w:pPr>
        <w:pStyle w:val="Heading3"/>
        <w:spacing w:before="360" w:line="264" w:lineRule="auto"/>
        <w:rPr>
          <w:color w:val="013C4C" w:themeColor="text1"/>
          <w:lang w:eastAsia="en-US" w:bidi="ar-SA"/>
        </w:rPr>
      </w:pPr>
      <w:bookmarkStart w:id="94" w:name="_Roles_&amp;_Responsibilities"/>
      <w:bookmarkStart w:id="95" w:name="_Toc205533976"/>
      <w:bookmarkEnd w:id="94"/>
      <w:r w:rsidRPr="004674A3">
        <w:rPr>
          <w:color w:val="013C4C" w:themeColor="text1"/>
          <w:lang w:eastAsia="en-US" w:bidi="ar-SA"/>
        </w:rPr>
        <w:t>Roles &amp; Responsibilities</w:t>
      </w:r>
      <w:r w:rsidR="0028304C" w:rsidRPr="004674A3">
        <w:rPr>
          <w:color w:val="013C4C" w:themeColor="text1"/>
          <w:lang w:eastAsia="en-US" w:bidi="ar-SA"/>
        </w:rPr>
        <w:t xml:space="preserve"> Assignment Risks</w:t>
      </w:r>
      <w:bookmarkEnd w:id="95"/>
    </w:p>
    <w:tbl>
      <w:tblPr>
        <w:tblStyle w:val="TableGrid"/>
        <w:tblW w:w="0" w:type="auto"/>
        <w:tblLook w:val="04A0" w:firstRow="1" w:lastRow="0" w:firstColumn="1" w:lastColumn="0" w:noHBand="0" w:noVBand="1"/>
      </w:tblPr>
      <w:tblGrid>
        <w:gridCol w:w="8210"/>
      </w:tblGrid>
      <w:tr w:rsidR="00CD234D" w14:paraId="3FF0E8A2" w14:textId="77777777" w:rsidTr="008F2E81">
        <w:tc>
          <w:tcPr>
            <w:tcW w:w="8210" w:type="dxa"/>
            <w:shd w:val="clear" w:color="auto" w:fill="013C4C" w:themeFill="text1"/>
          </w:tcPr>
          <w:p w14:paraId="143E9543" w14:textId="1D0F2C4E" w:rsidR="00CD234D" w:rsidRPr="00AC45B2" w:rsidRDefault="008A4B10" w:rsidP="00F04320">
            <w:pPr>
              <w:tabs>
                <w:tab w:val="left" w:pos="1430"/>
              </w:tabs>
              <w:spacing w:before="180" w:after="180" w:line="264" w:lineRule="auto"/>
              <w:ind w:left="176" w:right="176"/>
              <w:rPr>
                <w:i/>
                <w:iCs/>
                <w:lang w:eastAsia="en-US" w:bidi="ar-SA"/>
              </w:rPr>
            </w:pPr>
            <w:r>
              <w:rPr>
                <w:i/>
                <w:iCs/>
                <w:lang w:eastAsia="en-US" w:bidi="ar-SA"/>
              </w:rPr>
              <w:t xml:space="preserve">The secure and efficient operation of GW-scale power systems </w:t>
            </w:r>
            <w:r w:rsidR="009A0F9D">
              <w:rPr>
                <w:i/>
                <w:iCs/>
                <w:lang w:eastAsia="en-US" w:bidi="ar-SA"/>
              </w:rPr>
              <w:t>depend</w:t>
            </w:r>
            <w:r>
              <w:rPr>
                <w:i/>
                <w:iCs/>
                <w:lang w:eastAsia="en-US" w:bidi="ar-SA"/>
              </w:rPr>
              <w:t>s</w:t>
            </w:r>
            <w:r w:rsidR="009A0F9D">
              <w:rPr>
                <w:i/>
                <w:iCs/>
                <w:lang w:eastAsia="en-US" w:bidi="ar-SA"/>
              </w:rPr>
              <w:t xml:space="preserve"> on </w:t>
            </w:r>
            <w:r w:rsidR="00B83E4D">
              <w:rPr>
                <w:i/>
                <w:iCs/>
                <w:lang w:eastAsia="en-US" w:bidi="ar-SA"/>
              </w:rPr>
              <w:t xml:space="preserve">an intricate </w:t>
            </w:r>
            <w:r w:rsidR="009F2BAE">
              <w:rPr>
                <w:i/>
                <w:iCs/>
                <w:lang w:eastAsia="en-US" w:bidi="ar-SA"/>
              </w:rPr>
              <w:t>web</w:t>
            </w:r>
            <w:r w:rsidR="00B83E4D">
              <w:rPr>
                <w:i/>
                <w:iCs/>
                <w:lang w:eastAsia="en-US" w:bidi="ar-SA"/>
              </w:rPr>
              <w:t xml:space="preserve"> of </w:t>
            </w:r>
            <w:r w:rsidR="00AC45B2" w:rsidRPr="00AC45B2">
              <w:rPr>
                <w:i/>
                <w:iCs/>
                <w:lang w:eastAsia="en-US" w:bidi="ar-SA"/>
              </w:rPr>
              <w:t xml:space="preserve">relationships </w:t>
            </w:r>
            <w:r w:rsidR="009C6E19">
              <w:rPr>
                <w:i/>
                <w:iCs/>
                <w:lang w:eastAsia="en-US" w:bidi="ar-SA"/>
              </w:rPr>
              <w:t xml:space="preserve">across </w:t>
            </w:r>
            <w:r w:rsidR="00DE4E3D">
              <w:rPr>
                <w:i/>
                <w:iCs/>
                <w:lang w:eastAsia="en-US" w:bidi="ar-SA"/>
              </w:rPr>
              <w:t>n</w:t>
            </w:r>
            <w:r w:rsidR="0022622F">
              <w:rPr>
                <w:i/>
                <w:iCs/>
                <w:lang w:eastAsia="en-US" w:bidi="ar-SA"/>
              </w:rPr>
              <w:t xml:space="preserve">umerous </w:t>
            </w:r>
            <w:r w:rsidR="0022622F" w:rsidRPr="00AC45B2">
              <w:rPr>
                <w:i/>
                <w:iCs/>
                <w:lang w:eastAsia="en-US" w:bidi="ar-SA"/>
              </w:rPr>
              <w:t>functions</w:t>
            </w:r>
            <w:r w:rsidR="0022622F">
              <w:rPr>
                <w:i/>
                <w:iCs/>
                <w:lang w:eastAsia="en-US" w:bidi="ar-SA"/>
              </w:rPr>
              <w:t xml:space="preserve">, </w:t>
            </w:r>
            <w:r w:rsidR="00DE4E3D">
              <w:rPr>
                <w:i/>
                <w:iCs/>
                <w:lang w:eastAsia="en-US" w:bidi="ar-SA"/>
              </w:rPr>
              <w:t xml:space="preserve">entities, </w:t>
            </w:r>
            <w:r w:rsidR="00AC45B2" w:rsidRPr="00AC45B2">
              <w:rPr>
                <w:i/>
                <w:iCs/>
                <w:lang w:eastAsia="en-US" w:bidi="ar-SA"/>
              </w:rPr>
              <w:t>structures</w:t>
            </w:r>
            <w:r w:rsidR="00FC5E50">
              <w:rPr>
                <w:i/>
                <w:iCs/>
                <w:lang w:eastAsia="en-US" w:bidi="ar-SA"/>
              </w:rPr>
              <w:t xml:space="preserve">, </w:t>
            </w:r>
            <w:r w:rsidR="00602562">
              <w:rPr>
                <w:i/>
                <w:iCs/>
                <w:lang w:eastAsia="en-US" w:bidi="ar-SA"/>
              </w:rPr>
              <w:t xml:space="preserve">system </w:t>
            </w:r>
            <w:r w:rsidR="00490E04">
              <w:rPr>
                <w:i/>
                <w:iCs/>
                <w:lang w:eastAsia="en-US" w:bidi="ar-SA"/>
              </w:rPr>
              <w:t>boundarie</w:t>
            </w:r>
            <w:r w:rsidR="00DE4E3D">
              <w:rPr>
                <w:i/>
                <w:iCs/>
                <w:lang w:eastAsia="en-US" w:bidi="ar-SA"/>
              </w:rPr>
              <w:t xml:space="preserve">s, interfaces and </w:t>
            </w:r>
            <w:r w:rsidR="00490E04">
              <w:rPr>
                <w:i/>
                <w:iCs/>
                <w:lang w:eastAsia="en-US" w:bidi="ar-SA"/>
              </w:rPr>
              <w:t>hand-off points</w:t>
            </w:r>
            <w:r w:rsidR="00CD1FD0">
              <w:rPr>
                <w:i/>
                <w:iCs/>
                <w:lang w:eastAsia="en-US" w:bidi="ar-SA"/>
              </w:rPr>
              <w:t xml:space="preserve">.  </w:t>
            </w:r>
            <w:r w:rsidR="00102953">
              <w:rPr>
                <w:i/>
                <w:iCs/>
                <w:lang w:eastAsia="en-US" w:bidi="ar-SA"/>
              </w:rPr>
              <w:t>As decarbonising p</w:t>
            </w:r>
            <w:r w:rsidR="00102953" w:rsidRPr="009C6E19">
              <w:rPr>
                <w:i/>
                <w:iCs/>
                <w:lang w:eastAsia="en-US" w:bidi="ar-SA"/>
              </w:rPr>
              <w:t>ower systems become increasingly volatile and bidirectiona</w:t>
            </w:r>
            <w:r w:rsidR="00135AC0">
              <w:rPr>
                <w:i/>
                <w:iCs/>
                <w:lang w:eastAsia="en-US" w:bidi="ar-SA"/>
              </w:rPr>
              <w:t xml:space="preserve">l, this inherent </w:t>
            </w:r>
            <w:r w:rsidR="00DE4E3D">
              <w:rPr>
                <w:i/>
                <w:iCs/>
                <w:lang w:eastAsia="en-US" w:bidi="ar-SA"/>
              </w:rPr>
              <w:t xml:space="preserve">complexity </w:t>
            </w:r>
            <w:r w:rsidR="00135AC0">
              <w:rPr>
                <w:i/>
                <w:iCs/>
                <w:lang w:eastAsia="en-US" w:bidi="ar-SA"/>
              </w:rPr>
              <w:t>grows</w:t>
            </w:r>
            <w:r w:rsidR="00744703">
              <w:rPr>
                <w:i/>
                <w:iCs/>
                <w:lang w:eastAsia="en-US" w:bidi="ar-SA"/>
              </w:rPr>
              <w:t xml:space="preserve"> and </w:t>
            </w:r>
            <w:r w:rsidR="005E3F56">
              <w:rPr>
                <w:i/>
                <w:iCs/>
                <w:lang w:eastAsia="en-US" w:bidi="ar-SA"/>
              </w:rPr>
              <w:t>n</w:t>
            </w:r>
            <w:r w:rsidR="00102953" w:rsidRPr="009C6E19">
              <w:rPr>
                <w:i/>
                <w:iCs/>
                <w:lang w:eastAsia="en-US" w:bidi="ar-SA"/>
              </w:rPr>
              <w:t xml:space="preserve">ew </w:t>
            </w:r>
            <w:r w:rsidR="00DC31D2">
              <w:rPr>
                <w:i/>
                <w:iCs/>
                <w:lang w:eastAsia="en-US" w:bidi="ar-SA"/>
              </w:rPr>
              <w:t xml:space="preserve">capabilities </w:t>
            </w:r>
            <w:r w:rsidR="00DD0876">
              <w:rPr>
                <w:i/>
                <w:iCs/>
                <w:lang w:eastAsia="en-US" w:bidi="ar-SA"/>
              </w:rPr>
              <w:t>such as</w:t>
            </w:r>
            <w:r w:rsidR="00DC31D2">
              <w:rPr>
                <w:i/>
                <w:iCs/>
                <w:lang w:eastAsia="en-US" w:bidi="ar-SA"/>
              </w:rPr>
              <w:t xml:space="preserve"> Distribution System Operator (DSO) and Transmission-Distribution Coordination (</w:t>
            </w:r>
            <w:r w:rsidR="00C36607" w:rsidRPr="009C6E19">
              <w:rPr>
                <w:i/>
                <w:iCs/>
                <w:lang w:eastAsia="en-US" w:bidi="ar-SA"/>
              </w:rPr>
              <w:t>TDC</w:t>
            </w:r>
            <w:r w:rsidR="00DC31D2">
              <w:rPr>
                <w:i/>
                <w:iCs/>
                <w:lang w:eastAsia="en-US" w:bidi="ar-SA"/>
              </w:rPr>
              <w:t>)</w:t>
            </w:r>
            <w:r w:rsidR="00C36607" w:rsidRPr="009C6E19">
              <w:rPr>
                <w:i/>
                <w:iCs/>
                <w:lang w:eastAsia="en-US" w:bidi="ar-SA"/>
              </w:rPr>
              <w:t xml:space="preserve"> </w:t>
            </w:r>
            <w:r w:rsidR="005E3F56">
              <w:rPr>
                <w:i/>
                <w:iCs/>
                <w:lang w:eastAsia="en-US" w:bidi="ar-SA"/>
              </w:rPr>
              <w:t>models are required.</w:t>
            </w:r>
            <w:r w:rsidR="00F04320">
              <w:rPr>
                <w:i/>
                <w:iCs/>
                <w:lang w:eastAsia="en-US" w:bidi="ar-SA"/>
              </w:rPr>
              <w:t xml:space="preserve">  Given their </w:t>
            </w:r>
            <w:r w:rsidR="00C06E6C">
              <w:rPr>
                <w:i/>
                <w:iCs/>
                <w:lang w:eastAsia="en-US" w:bidi="ar-SA"/>
              </w:rPr>
              <w:t xml:space="preserve">deeply interconnected </w:t>
            </w:r>
            <w:r w:rsidR="00F04320">
              <w:rPr>
                <w:i/>
                <w:iCs/>
                <w:lang w:eastAsia="en-US" w:bidi="ar-SA"/>
              </w:rPr>
              <w:t xml:space="preserve">role in future system operations, </w:t>
            </w:r>
            <w:r w:rsidR="00E03C55">
              <w:rPr>
                <w:i/>
                <w:iCs/>
                <w:lang w:eastAsia="en-US" w:bidi="ar-SA"/>
              </w:rPr>
              <w:t xml:space="preserve">the </w:t>
            </w:r>
            <w:r w:rsidR="00E03C55" w:rsidRPr="00AC45B2">
              <w:rPr>
                <w:i/>
                <w:iCs/>
                <w:lang w:eastAsia="en-US" w:bidi="ar-SA"/>
              </w:rPr>
              <w:t xml:space="preserve">assignment of </w:t>
            </w:r>
            <w:r w:rsidR="00C06E6C">
              <w:rPr>
                <w:i/>
                <w:iCs/>
                <w:lang w:eastAsia="en-US" w:bidi="ar-SA"/>
              </w:rPr>
              <w:t>related</w:t>
            </w:r>
            <w:r w:rsidR="00E03C55" w:rsidRPr="00AC45B2">
              <w:rPr>
                <w:i/>
                <w:iCs/>
                <w:lang w:eastAsia="en-US" w:bidi="ar-SA"/>
              </w:rPr>
              <w:t xml:space="preserve"> </w:t>
            </w:r>
            <w:r w:rsidR="00FC5E50">
              <w:rPr>
                <w:i/>
                <w:iCs/>
                <w:lang w:eastAsia="en-US" w:bidi="ar-SA"/>
              </w:rPr>
              <w:t xml:space="preserve">DSO and TDC </w:t>
            </w:r>
            <w:r w:rsidR="00E03C55" w:rsidRPr="00AC45B2">
              <w:rPr>
                <w:i/>
                <w:iCs/>
                <w:lang w:eastAsia="en-US" w:bidi="ar-SA"/>
              </w:rPr>
              <w:t>roles and responsibilities</w:t>
            </w:r>
            <w:r w:rsidR="00E03C55">
              <w:rPr>
                <w:i/>
                <w:iCs/>
                <w:lang w:eastAsia="en-US" w:bidi="ar-SA"/>
              </w:rPr>
              <w:t xml:space="preserve"> must be underpinned by </w:t>
            </w:r>
            <w:r w:rsidR="00F04320">
              <w:rPr>
                <w:i/>
                <w:iCs/>
                <w:lang w:eastAsia="en-US" w:bidi="ar-SA"/>
              </w:rPr>
              <w:t>formal structural and behavioural analys</w:t>
            </w:r>
            <w:r w:rsidR="00E03C55">
              <w:rPr>
                <w:i/>
                <w:iCs/>
                <w:lang w:eastAsia="en-US" w:bidi="ar-SA"/>
              </w:rPr>
              <w:t xml:space="preserve">es to avoid unintended </w:t>
            </w:r>
            <w:r w:rsidR="00F04320" w:rsidRPr="00AC45B2">
              <w:rPr>
                <w:i/>
                <w:iCs/>
                <w:lang w:eastAsia="en-US" w:bidi="ar-SA"/>
              </w:rPr>
              <w:t>consequences, sub-optimal outcomes</w:t>
            </w:r>
            <w:r w:rsidR="00F04320">
              <w:rPr>
                <w:i/>
                <w:iCs/>
                <w:lang w:eastAsia="en-US" w:bidi="ar-SA"/>
              </w:rPr>
              <w:t xml:space="preserve">, cost </w:t>
            </w:r>
            <w:r w:rsidR="00E03C55">
              <w:rPr>
                <w:i/>
                <w:iCs/>
                <w:lang w:eastAsia="en-US" w:bidi="ar-SA"/>
              </w:rPr>
              <w:t>escalation</w:t>
            </w:r>
            <w:r w:rsidR="00F04320">
              <w:rPr>
                <w:i/>
                <w:iCs/>
                <w:lang w:eastAsia="en-US" w:bidi="ar-SA"/>
              </w:rPr>
              <w:t xml:space="preserve"> </w:t>
            </w:r>
            <w:r w:rsidR="00F04320" w:rsidRPr="00AC45B2">
              <w:rPr>
                <w:i/>
                <w:iCs/>
                <w:lang w:eastAsia="en-US" w:bidi="ar-SA"/>
              </w:rPr>
              <w:t>and the need for substantial rework</w:t>
            </w:r>
            <w:r w:rsidR="00F04320">
              <w:rPr>
                <w:i/>
                <w:iCs/>
                <w:lang w:eastAsia="en-US" w:bidi="ar-SA"/>
              </w:rPr>
              <w:t xml:space="preserve"> and role reallocation</w:t>
            </w:r>
            <w:r w:rsidR="00E03C55">
              <w:rPr>
                <w:i/>
                <w:iCs/>
                <w:lang w:eastAsia="en-US" w:bidi="ar-SA"/>
              </w:rPr>
              <w:t>s.</w:t>
            </w:r>
          </w:p>
        </w:tc>
      </w:tr>
    </w:tbl>
    <w:p w14:paraId="4C6DF7B8" w14:textId="77777777" w:rsidR="003F2A2C" w:rsidRPr="00EB2823" w:rsidRDefault="003F2A2C" w:rsidP="00954BAC">
      <w:pPr>
        <w:pStyle w:val="Heading4"/>
        <w:numPr>
          <w:ilvl w:val="0"/>
          <w:numId w:val="83"/>
        </w:numPr>
        <w:spacing w:before="240" w:after="120" w:line="264" w:lineRule="auto"/>
        <w:rPr>
          <w:i w:val="0"/>
          <w:iCs w:val="0"/>
        </w:rPr>
      </w:pPr>
      <w:r w:rsidRPr="00EB2823">
        <w:rPr>
          <w:i w:val="0"/>
          <w:iCs w:val="0"/>
        </w:rPr>
        <w:t>Cross Cutting Issue</w:t>
      </w:r>
    </w:p>
    <w:p w14:paraId="2197212B" w14:textId="243F61F6" w:rsidR="00C51867" w:rsidRDefault="003F2A2C" w:rsidP="00EB2823">
      <w:pPr>
        <w:spacing w:before="120" w:after="120" w:line="264" w:lineRule="auto"/>
        <w:rPr>
          <w:lang w:eastAsia="en-US" w:bidi="ar-SA"/>
        </w:rPr>
      </w:pPr>
      <w:r w:rsidRPr="002C72C2">
        <w:rPr>
          <w:lang w:eastAsia="en-US" w:bidi="ar-SA"/>
        </w:rPr>
        <w:t xml:space="preserve">As noted throughout this </w:t>
      </w:r>
      <w:r w:rsidR="0001614D">
        <w:rPr>
          <w:lang w:eastAsia="en-US" w:bidi="ar-SA"/>
        </w:rPr>
        <w:t xml:space="preserve">series of reports, Australia’s </w:t>
      </w:r>
      <w:r w:rsidR="00267538" w:rsidRPr="002C72C2">
        <w:rPr>
          <w:lang w:eastAsia="en-US" w:bidi="ar-SA"/>
        </w:rPr>
        <w:t>p</w:t>
      </w:r>
      <w:r w:rsidRPr="002C72C2">
        <w:rPr>
          <w:lang w:eastAsia="en-US" w:bidi="ar-SA"/>
        </w:rPr>
        <w:t xml:space="preserve">ower </w:t>
      </w:r>
      <w:r w:rsidR="00267538" w:rsidRPr="002C72C2">
        <w:rPr>
          <w:lang w:eastAsia="en-US" w:bidi="ar-SA"/>
        </w:rPr>
        <w:t>s</w:t>
      </w:r>
      <w:r w:rsidRPr="002C72C2">
        <w:rPr>
          <w:lang w:eastAsia="en-US" w:bidi="ar-SA"/>
        </w:rPr>
        <w:t xml:space="preserve">ystems are becoming </w:t>
      </w:r>
      <w:r w:rsidR="0001614D">
        <w:rPr>
          <w:lang w:eastAsia="en-US" w:bidi="ar-SA"/>
        </w:rPr>
        <w:t>increasingly volatile and bidirectional as</w:t>
      </w:r>
      <w:r w:rsidR="0089674D">
        <w:rPr>
          <w:lang w:eastAsia="en-US" w:bidi="ar-SA"/>
        </w:rPr>
        <w:t xml:space="preserve"> </w:t>
      </w:r>
      <w:r w:rsidR="00B10F09">
        <w:rPr>
          <w:lang w:eastAsia="en-US" w:bidi="ar-SA"/>
        </w:rPr>
        <w:t xml:space="preserve">the forces of </w:t>
      </w:r>
      <w:r w:rsidR="0089674D">
        <w:rPr>
          <w:lang w:eastAsia="en-US" w:bidi="ar-SA"/>
        </w:rPr>
        <w:t xml:space="preserve">decarbonisation and </w:t>
      </w:r>
      <w:r w:rsidR="00B10F09">
        <w:rPr>
          <w:lang w:eastAsia="en-US" w:bidi="ar-SA"/>
        </w:rPr>
        <w:t xml:space="preserve">the </w:t>
      </w:r>
      <w:r w:rsidR="006516A8">
        <w:rPr>
          <w:lang w:eastAsia="en-US" w:bidi="ar-SA"/>
        </w:rPr>
        <w:t xml:space="preserve">mass deployment of </w:t>
      </w:r>
      <w:r w:rsidR="0089674D">
        <w:rPr>
          <w:lang w:eastAsia="en-US" w:bidi="ar-SA"/>
        </w:rPr>
        <w:t>CER/DER</w:t>
      </w:r>
      <w:r w:rsidRPr="002C72C2">
        <w:rPr>
          <w:lang w:eastAsia="en-US" w:bidi="ar-SA"/>
        </w:rPr>
        <w:t xml:space="preserve"> </w:t>
      </w:r>
      <w:r w:rsidR="00B10F09">
        <w:rPr>
          <w:lang w:eastAsia="en-US" w:bidi="ar-SA"/>
        </w:rPr>
        <w:t>continue to advance.</w:t>
      </w:r>
      <w:r w:rsidR="00B64308">
        <w:rPr>
          <w:lang w:eastAsia="en-US" w:bidi="ar-SA"/>
        </w:rPr>
        <w:t xml:space="preserve">  F</w:t>
      </w:r>
      <w:r w:rsidR="007435AE">
        <w:rPr>
          <w:lang w:eastAsia="en-US" w:bidi="ar-SA"/>
        </w:rPr>
        <w:t>ormally defined as an Ultra-Large Scale (ULS) complex systems</w:t>
      </w:r>
      <w:r w:rsidR="00B64308">
        <w:rPr>
          <w:lang w:eastAsia="en-US" w:bidi="ar-SA"/>
        </w:rPr>
        <w:t xml:space="preserve">, </w:t>
      </w:r>
      <w:r w:rsidR="007435AE">
        <w:rPr>
          <w:lang w:eastAsia="en-US" w:bidi="ar-SA"/>
        </w:rPr>
        <w:t xml:space="preserve">their secure and efficient operation depends on an </w:t>
      </w:r>
      <w:r w:rsidR="007435AE" w:rsidRPr="00736E6C">
        <w:rPr>
          <w:lang w:eastAsia="en-US" w:bidi="ar-SA"/>
        </w:rPr>
        <w:t>intricate set of relationships between cyber-physical</w:t>
      </w:r>
      <w:r w:rsidR="007435AE">
        <w:rPr>
          <w:lang w:eastAsia="en-US" w:bidi="ar-SA"/>
        </w:rPr>
        <w:t xml:space="preserve"> structures, </w:t>
      </w:r>
      <w:r w:rsidR="007435AE" w:rsidRPr="00736E6C">
        <w:rPr>
          <w:lang w:eastAsia="en-US" w:bidi="ar-SA"/>
        </w:rPr>
        <w:t>system functions</w:t>
      </w:r>
      <w:r w:rsidR="007435AE">
        <w:rPr>
          <w:lang w:eastAsia="en-US" w:bidi="ar-SA"/>
        </w:rPr>
        <w:t xml:space="preserve">, transactional mechanisms and </w:t>
      </w:r>
      <w:r w:rsidR="007435AE" w:rsidRPr="00736E6C">
        <w:rPr>
          <w:lang w:eastAsia="en-US" w:bidi="ar-SA"/>
        </w:rPr>
        <w:t>system</w:t>
      </w:r>
      <w:r w:rsidR="007435AE">
        <w:rPr>
          <w:lang w:eastAsia="en-US" w:bidi="ar-SA"/>
        </w:rPr>
        <w:t>/sub-system</w:t>
      </w:r>
      <w:r w:rsidR="007435AE" w:rsidRPr="00736E6C">
        <w:rPr>
          <w:lang w:eastAsia="en-US" w:bidi="ar-SA"/>
        </w:rPr>
        <w:t xml:space="preserve"> boundaries</w:t>
      </w:r>
      <w:r w:rsidR="00B459E8">
        <w:rPr>
          <w:lang w:eastAsia="en-US" w:bidi="ar-SA"/>
        </w:rPr>
        <w:t xml:space="preserve">, many of which </w:t>
      </w:r>
      <w:r w:rsidR="007435AE">
        <w:rPr>
          <w:lang w:eastAsia="en-US" w:bidi="ar-SA"/>
        </w:rPr>
        <w:t xml:space="preserve">span multiple entities and </w:t>
      </w:r>
      <w:r w:rsidR="00B459E8">
        <w:rPr>
          <w:lang w:eastAsia="en-US" w:bidi="ar-SA"/>
        </w:rPr>
        <w:t>systems</w:t>
      </w:r>
      <w:r w:rsidR="007435AE">
        <w:rPr>
          <w:lang w:eastAsia="en-US" w:bidi="ar-SA"/>
        </w:rPr>
        <w:t xml:space="preserve">.  </w:t>
      </w:r>
    </w:p>
    <w:p w14:paraId="4C363993" w14:textId="77777777" w:rsidR="00E65601" w:rsidRDefault="00A70441" w:rsidP="006E6CBD">
      <w:pPr>
        <w:spacing w:before="120" w:after="120" w:line="264" w:lineRule="auto"/>
        <w:rPr>
          <w:lang w:eastAsia="en-US" w:bidi="ar-SA"/>
        </w:rPr>
      </w:pPr>
      <w:r>
        <w:rPr>
          <w:lang w:eastAsia="en-US" w:bidi="ar-SA"/>
        </w:rPr>
        <w:t>If</w:t>
      </w:r>
      <w:r w:rsidR="001138F6">
        <w:rPr>
          <w:lang w:eastAsia="en-US" w:bidi="ar-SA"/>
        </w:rPr>
        <w:t xml:space="preserve"> the </w:t>
      </w:r>
      <w:r w:rsidR="001138F6" w:rsidRPr="002C72C2">
        <w:rPr>
          <w:lang w:eastAsia="en-US" w:bidi="ar-SA"/>
        </w:rPr>
        <w:t xml:space="preserve">aim is to </w:t>
      </w:r>
      <w:r w:rsidR="001138F6">
        <w:rPr>
          <w:lang w:eastAsia="en-US" w:bidi="ar-SA"/>
        </w:rPr>
        <w:t xml:space="preserve">progressively ready </w:t>
      </w:r>
      <w:r w:rsidR="001138F6" w:rsidRPr="002C72C2">
        <w:rPr>
          <w:lang w:eastAsia="en-US" w:bidi="ar-SA"/>
        </w:rPr>
        <w:t xml:space="preserve">the power system for </w:t>
      </w:r>
      <w:r w:rsidR="001138F6">
        <w:rPr>
          <w:lang w:eastAsia="en-US" w:bidi="ar-SA"/>
        </w:rPr>
        <w:t xml:space="preserve">more deeply decarbonised, flexible and whole-system operation, due diligence requires a structurally informed approach </w:t>
      </w:r>
      <w:r w:rsidR="006E6CBD">
        <w:rPr>
          <w:lang w:eastAsia="en-US" w:bidi="ar-SA"/>
        </w:rPr>
        <w:t xml:space="preserve">to </w:t>
      </w:r>
      <w:r w:rsidRPr="002C72C2">
        <w:rPr>
          <w:lang w:eastAsia="en-US" w:bidi="ar-SA"/>
        </w:rPr>
        <w:t>interrogat</w:t>
      </w:r>
      <w:r w:rsidR="006E6CBD">
        <w:rPr>
          <w:lang w:eastAsia="en-US" w:bidi="ar-SA"/>
        </w:rPr>
        <w:t>ing t</w:t>
      </w:r>
      <w:r>
        <w:rPr>
          <w:lang w:eastAsia="en-US" w:bidi="ar-SA"/>
        </w:rPr>
        <w:t>hese</w:t>
      </w:r>
      <w:r w:rsidRPr="002C72C2">
        <w:rPr>
          <w:lang w:eastAsia="en-US" w:bidi="ar-SA"/>
        </w:rPr>
        <w:t xml:space="preserve"> underpinning </w:t>
      </w:r>
      <w:r>
        <w:rPr>
          <w:lang w:eastAsia="en-US" w:bidi="ar-SA"/>
        </w:rPr>
        <w:t xml:space="preserve">functional relationships, feedback loops and precise </w:t>
      </w:r>
      <w:r w:rsidRPr="00736E6C">
        <w:rPr>
          <w:lang w:eastAsia="en-US" w:bidi="ar-SA"/>
        </w:rPr>
        <w:t>hand-off points</w:t>
      </w:r>
      <w:r>
        <w:rPr>
          <w:lang w:eastAsia="en-US" w:bidi="ar-SA"/>
        </w:rPr>
        <w:t xml:space="preserve"> between systems and entities.  </w:t>
      </w:r>
      <w:r w:rsidR="00FB3AEA">
        <w:rPr>
          <w:lang w:eastAsia="en-US" w:bidi="ar-SA"/>
        </w:rPr>
        <w:t>While at</w:t>
      </w:r>
      <w:r w:rsidR="006E6CBD">
        <w:rPr>
          <w:lang w:eastAsia="en-US" w:bidi="ar-SA"/>
        </w:rPr>
        <w:t xml:space="preserve"> a </w:t>
      </w:r>
      <w:r w:rsidR="006E6CBD" w:rsidRPr="002C72C2">
        <w:rPr>
          <w:lang w:eastAsia="en-US" w:bidi="ar-SA"/>
        </w:rPr>
        <w:t>high-level</w:t>
      </w:r>
      <w:r w:rsidR="006E6CBD">
        <w:rPr>
          <w:lang w:eastAsia="en-US" w:bidi="ar-SA"/>
        </w:rPr>
        <w:t xml:space="preserve"> this may not immediately appear necessary</w:t>
      </w:r>
      <w:r w:rsidR="00FB3AEA">
        <w:rPr>
          <w:lang w:eastAsia="en-US" w:bidi="ar-SA"/>
        </w:rPr>
        <w:t xml:space="preserve">, in </w:t>
      </w:r>
      <w:r>
        <w:rPr>
          <w:lang w:eastAsia="en-US" w:bidi="ar-SA"/>
        </w:rPr>
        <w:t xml:space="preserve">the context of a transforming ULS system </w:t>
      </w:r>
      <w:r w:rsidR="004B5AC9">
        <w:rPr>
          <w:lang w:eastAsia="en-US" w:bidi="ar-SA"/>
        </w:rPr>
        <w:t>like t</w:t>
      </w:r>
      <w:r>
        <w:rPr>
          <w:lang w:eastAsia="en-US" w:bidi="ar-SA"/>
        </w:rPr>
        <w:t xml:space="preserve">he NEM, </w:t>
      </w:r>
      <w:r w:rsidR="00FB3AEA">
        <w:rPr>
          <w:lang w:eastAsia="en-US" w:bidi="ar-SA"/>
        </w:rPr>
        <w:t xml:space="preserve">it is </w:t>
      </w:r>
      <w:r w:rsidR="00E65601">
        <w:rPr>
          <w:lang w:eastAsia="en-US" w:bidi="ar-SA"/>
        </w:rPr>
        <w:t xml:space="preserve">a critical part of: </w:t>
      </w:r>
    </w:p>
    <w:p w14:paraId="5BC2B75C" w14:textId="1D42D0B5" w:rsidR="00746C51" w:rsidRDefault="002833BC" w:rsidP="00954BAC">
      <w:pPr>
        <w:pStyle w:val="ListParagraph"/>
        <w:numPr>
          <w:ilvl w:val="0"/>
          <w:numId w:val="29"/>
        </w:numPr>
        <w:spacing w:before="180" w:line="264" w:lineRule="auto"/>
        <w:ind w:left="714" w:hanging="357"/>
        <w:rPr>
          <w:lang w:eastAsia="en-US" w:bidi="ar-SA"/>
        </w:rPr>
      </w:pPr>
      <w:r>
        <w:rPr>
          <w:lang w:eastAsia="en-US" w:bidi="ar-SA"/>
        </w:rPr>
        <w:t xml:space="preserve">Avoiding the unintentional propagation of architectural issues described </w:t>
      </w:r>
      <w:r w:rsidR="002F4898">
        <w:rPr>
          <w:lang w:eastAsia="en-US" w:bidi="ar-SA"/>
        </w:rPr>
        <w:t xml:space="preserve">in Sections </w:t>
      </w:r>
      <w:hyperlink w:anchor="S_421" w:history="1">
        <w:r w:rsidR="002F4898" w:rsidRPr="003A3254">
          <w:rPr>
            <w:rStyle w:val="Hyperlink"/>
            <w:lang w:eastAsia="en-US" w:bidi="ar-SA"/>
          </w:rPr>
          <w:t>4.2.1</w:t>
        </w:r>
      </w:hyperlink>
      <w:r w:rsidR="002F4898">
        <w:rPr>
          <w:lang w:eastAsia="en-US" w:bidi="ar-SA"/>
        </w:rPr>
        <w:t xml:space="preserve"> – </w:t>
      </w:r>
      <w:hyperlink w:anchor="S_423" w:history="1">
        <w:r w:rsidR="002F4898" w:rsidRPr="003A3254">
          <w:rPr>
            <w:rStyle w:val="Hyperlink"/>
            <w:lang w:eastAsia="en-US" w:bidi="ar-SA"/>
          </w:rPr>
          <w:t>4.2.3</w:t>
        </w:r>
      </w:hyperlink>
      <w:r w:rsidR="002F4898">
        <w:rPr>
          <w:lang w:eastAsia="en-US" w:bidi="ar-SA"/>
        </w:rPr>
        <w:t xml:space="preserve"> above</w:t>
      </w:r>
      <w:r w:rsidR="00B656B5">
        <w:rPr>
          <w:rStyle w:val="FootnoteReference"/>
          <w:lang w:eastAsia="en-US" w:bidi="ar-SA"/>
        </w:rPr>
        <w:footnoteReference w:id="15"/>
      </w:r>
      <w:r w:rsidR="00746C51">
        <w:rPr>
          <w:lang w:eastAsia="en-US" w:bidi="ar-SA"/>
        </w:rPr>
        <w:t xml:space="preserve">; and, </w:t>
      </w:r>
    </w:p>
    <w:p w14:paraId="04661B1E" w14:textId="1121AF42" w:rsidR="0085553F" w:rsidRDefault="00746C51" w:rsidP="00954BAC">
      <w:pPr>
        <w:pStyle w:val="ListParagraph"/>
        <w:numPr>
          <w:ilvl w:val="0"/>
          <w:numId w:val="29"/>
        </w:numPr>
        <w:spacing w:before="180" w:line="264" w:lineRule="auto"/>
        <w:ind w:left="714" w:hanging="357"/>
        <w:rPr>
          <w:lang w:eastAsia="en-US" w:bidi="ar-SA"/>
        </w:rPr>
      </w:pPr>
      <w:r>
        <w:rPr>
          <w:lang w:eastAsia="en-US" w:bidi="ar-SA"/>
        </w:rPr>
        <w:t>En</w:t>
      </w:r>
      <w:r w:rsidR="004B5AC9">
        <w:rPr>
          <w:lang w:eastAsia="en-US" w:bidi="ar-SA"/>
        </w:rPr>
        <w:t xml:space="preserve">abling the </w:t>
      </w:r>
      <w:r w:rsidR="00A70441">
        <w:rPr>
          <w:lang w:eastAsia="en-US" w:bidi="ar-SA"/>
        </w:rPr>
        <w:t>objective</w:t>
      </w:r>
      <w:r w:rsidR="004B5AC9">
        <w:rPr>
          <w:lang w:eastAsia="en-US" w:bidi="ar-SA"/>
        </w:rPr>
        <w:t xml:space="preserve">, </w:t>
      </w:r>
      <w:r w:rsidR="00A70441">
        <w:rPr>
          <w:lang w:eastAsia="en-US" w:bidi="ar-SA"/>
        </w:rPr>
        <w:t xml:space="preserve">evidence-based </w:t>
      </w:r>
      <w:r w:rsidR="004B5AC9">
        <w:rPr>
          <w:lang w:eastAsia="en-US" w:bidi="ar-SA"/>
        </w:rPr>
        <w:t xml:space="preserve">and defensible </w:t>
      </w:r>
      <w:r w:rsidR="00A70441">
        <w:rPr>
          <w:lang w:eastAsia="en-US" w:bidi="ar-SA"/>
        </w:rPr>
        <w:t>assignment of future r</w:t>
      </w:r>
      <w:r w:rsidR="00A70441" w:rsidRPr="002C72C2">
        <w:rPr>
          <w:lang w:eastAsia="en-US" w:bidi="ar-SA"/>
        </w:rPr>
        <w:t xml:space="preserve">oles </w:t>
      </w:r>
      <w:r w:rsidR="00A70441">
        <w:rPr>
          <w:lang w:eastAsia="en-US" w:bidi="ar-SA"/>
        </w:rPr>
        <w:t xml:space="preserve">and </w:t>
      </w:r>
      <w:r w:rsidR="00A70441" w:rsidRPr="002C72C2">
        <w:rPr>
          <w:lang w:eastAsia="en-US" w:bidi="ar-SA"/>
        </w:rPr>
        <w:t>responsibilities</w:t>
      </w:r>
      <w:r w:rsidR="00A70441">
        <w:rPr>
          <w:lang w:eastAsia="en-US" w:bidi="ar-SA"/>
        </w:rPr>
        <w:t xml:space="preserve"> in a manner </w:t>
      </w:r>
      <w:r w:rsidR="00FB3AEA">
        <w:rPr>
          <w:lang w:eastAsia="en-US" w:bidi="ar-SA"/>
        </w:rPr>
        <w:t xml:space="preserve">that </w:t>
      </w:r>
      <w:r w:rsidR="0085553F">
        <w:rPr>
          <w:lang w:eastAsia="en-US" w:bidi="ar-SA"/>
        </w:rPr>
        <w:t xml:space="preserve">minimises the risk of </w:t>
      </w:r>
      <w:r w:rsidR="00403713">
        <w:rPr>
          <w:lang w:eastAsia="en-US" w:bidi="ar-SA"/>
        </w:rPr>
        <w:t xml:space="preserve">requiring </w:t>
      </w:r>
      <w:r w:rsidR="0085553F">
        <w:rPr>
          <w:lang w:eastAsia="en-US" w:bidi="ar-SA"/>
        </w:rPr>
        <w:t>significant future rework</w:t>
      </w:r>
      <w:r w:rsidR="00403713">
        <w:rPr>
          <w:lang w:eastAsia="en-US" w:bidi="ar-SA"/>
        </w:rPr>
        <w:t xml:space="preserve"> and re-assignment of roles</w:t>
      </w:r>
      <w:r w:rsidR="0085553F">
        <w:rPr>
          <w:lang w:eastAsia="en-US" w:bidi="ar-SA"/>
        </w:rPr>
        <w:t xml:space="preserve">. </w:t>
      </w:r>
    </w:p>
    <w:p w14:paraId="014E57EA" w14:textId="77777777" w:rsidR="00746C51" w:rsidRDefault="00746C51">
      <w:pPr>
        <w:spacing w:before="0" w:after="160" w:line="259" w:lineRule="auto"/>
        <w:rPr>
          <w:rFonts w:ascii="PP Mori SemiBold" w:eastAsiaTheme="majorEastAsia" w:hAnsi="PP Mori SemiBold" w:cstheme="majorBidi"/>
          <w:color w:val="002C38" w:themeColor="accent1" w:themeShade="BF"/>
        </w:rPr>
      </w:pPr>
      <w:r>
        <w:rPr>
          <w:i/>
          <w:iCs/>
        </w:rPr>
        <w:br w:type="page"/>
      </w:r>
    </w:p>
    <w:tbl>
      <w:tblPr>
        <w:tblStyle w:val="GridTable4"/>
        <w:tblW w:w="8217" w:type="dxa"/>
        <w:tblLook w:val="04A0" w:firstRow="1" w:lastRow="0" w:firstColumn="1" w:lastColumn="0" w:noHBand="0" w:noVBand="1"/>
      </w:tblPr>
      <w:tblGrid>
        <w:gridCol w:w="8217"/>
      </w:tblGrid>
      <w:tr w:rsidR="00385C39" w:rsidRPr="002C72C2" w14:paraId="3E29DC7C" w14:textId="77777777" w:rsidTr="00054FBB">
        <w:trPr>
          <w:cnfStyle w:val="100000000000" w:firstRow="1" w:lastRow="0" w:firstColumn="0" w:lastColumn="0" w:oddVBand="0" w:evenVBand="0" w:oddHBand="0" w:evenHBand="0" w:firstRowFirstColumn="0" w:firstRowLastColumn="0" w:lastRowFirstColumn="0" w:lastRowLastColumn="0"/>
          <w:trHeight w:val="9488"/>
        </w:trPr>
        <w:tc>
          <w:tcPr>
            <w:cnfStyle w:val="001000000000" w:firstRow="0" w:lastRow="0" w:firstColumn="1" w:lastColumn="0" w:oddVBand="0" w:evenVBand="0" w:oddHBand="0" w:evenHBand="0" w:firstRowFirstColumn="0" w:firstRowLastColumn="0" w:lastRowFirstColumn="0" w:lastRowLastColumn="0"/>
            <w:tcW w:w="8217" w:type="dxa"/>
          </w:tcPr>
          <w:p w14:paraId="545F4B51" w14:textId="46A8B592" w:rsidR="00385C39" w:rsidRPr="002F2243" w:rsidRDefault="00385C39">
            <w:pPr>
              <w:spacing w:before="120" w:after="0" w:line="264" w:lineRule="auto"/>
              <w:ind w:left="175"/>
              <w:rPr>
                <w:rStyle w:val="Strong"/>
                <w:b w:val="0"/>
                <w:bCs w:val="0"/>
                <w:color w:val="auto"/>
                <w:sz w:val="28"/>
              </w:rPr>
            </w:pPr>
            <w:r w:rsidRPr="00CC7B9F">
              <w:rPr>
                <w:rStyle w:val="Strong"/>
                <w:b w:val="0"/>
                <w:bCs w:val="0"/>
                <w:sz w:val="28"/>
              </w:rPr>
              <w:t xml:space="preserve">Key Concepts </w:t>
            </w:r>
            <w:r w:rsidR="00EF166C">
              <w:rPr>
                <w:rStyle w:val="Strong"/>
                <w:b w:val="0"/>
                <w:bCs w:val="0"/>
                <w:sz w:val="28"/>
              </w:rPr>
              <w:t>M</w:t>
            </w:r>
            <w:r w:rsidRPr="00F10C61">
              <w:rPr>
                <w:rFonts w:ascii="PP Mori SemiBold" w:hAnsi="PP Mori SemiBold"/>
                <w:noProof/>
                <w:sz w:val="20"/>
                <w:szCs w:val="20"/>
              </w:rPr>
              <w:drawing>
                <wp:inline distT="0" distB="0" distL="0" distR="0" wp14:anchorId="66FC4DB2" wp14:editId="783D9EE5">
                  <wp:extent cx="272006" cy="272006"/>
                  <wp:effectExtent l="0" t="0" r="6350" b="6350"/>
                  <wp:docPr id="202140517"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5"/>
                              </a:ext>
                            </a:extLst>
                          </a:blip>
                          <a:stretch>
                            <a:fillRect/>
                          </a:stretch>
                        </pic:blipFill>
                        <pic:spPr>
                          <a:xfrm>
                            <a:off x="0" y="0"/>
                            <a:ext cx="272006" cy="272006"/>
                          </a:xfrm>
                          <a:prstGeom prst="rect">
                            <a:avLst/>
                          </a:prstGeom>
                        </pic:spPr>
                      </pic:pic>
                    </a:graphicData>
                  </a:graphic>
                </wp:inline>
              </w:drawing>
            </w:r>
            <w:r>
              <w:rPr>
                <w:rStyle w:val="Strong"/>
                <w:b w:val="0"/>
                <w:bCs w:val="0"/>
                <w:sz w:val="28"/>
              </w:rPr>
              <w:t xml:space="preserve"> </w:t>
            </w:r>
          </w:p>
          <w:p w14:paraId="357E6AC0" w14:textId="77777777" w:rsidR="003F7CBE" w:rsidRPr="002F2243" w:rsidRDefault="003F7CBE" w:rsidP="00ED0B84">
            <w:pPr>
              <w:pStyle w:val="Subtitle"/>
              <w:spacing w:before="180" w:after="80" w:line="264" w:lineRule="auto"/>
              <w:ind w:left="176" w:right="170"/>
              <w:rPr>
                <w:rStyle w:val="Emphasis"/>
                <w:b w:val="0"/>
                <w:bCs w:val="0"/>
              </w:rPr>
            </w:pPr>
            <w:r w:rsidRPr="00014ED2">
              <w:rPr>
                <w:rStyle w:val="Emphasis"/>
                <w:rFonts w:ascii="PP Mori SemiBold" w:hAnsi="PP Mori SemiBold"/>
                <w:sz w:val="24"/>
                <w:szCs w:val="40"/>
              </w:rPr>
              <w:t>Structure</w:t>
            </w:r>
          </w:p>
          <w:p w14:paraId="4DD20B09" w14:textId="77777777" w:rsidR="003F7CBE" w:rsidRDefault="003F7CBE" w:rsidP="00ED0B84">
            <w:pPr>
              <w:spacing w:before="0" w:after="120" w:line="264" w:lineRule="auto"/>
              <w:ind w:left="176" w:right="170"/>
              <w:rPr>
                <w:bCs w:val="0"/>
                <w:lang w:eastAsia="en-US" w:bidi="ar-SA"/>
              </w:rPr>
            </w:pPr>
            <w:r w:rsidRPr="002C72C2">
              <w:rPr>
                <w:b w:val="0"/>
                <w:lang w:eastAsia="en-US" w:bidi="ar-SA"/>
              </w:rPr>
              <w:t xml:space="preserve">Every functioning </w:t>
            </w:r>
            <w:r>
              <w:rPr>
                <w:b w:val="0"/>
                <w:lang w:eastAsia="en-US" w:bidi="ar-SA"/>
              </w:rPr>
              <w:t>s</w:t>
            </w:r>
            <w:r w:rsidRPr="00346697">
              <w:rPr>
                <w:b w:val="0"/>
                <w:lang w:eastAsia="en-US" w:bidi="ar-SA"/>
              </w:rPr>
              <w:t xml:space="preserve">ystem </w:t>
            </w:r>
            <w:r w:rsidRPr="002C72C2">
              <w:rPr>
                <w:b w:val="0"/>
                <w:lang w:eastAsia="en-US" w:bidi="ar-SA"/>
              </w:rPr>
              <w:t xml:space="preserve">created by humans has an underpinning </w:t>
            </w:r>
            <w:r>
              <w:rPr>
                <w:b w:val="0"/>
                <w:lang w:eastAsia="en-US" w:bidi="ar-SA"/>
              </w:rPr>
              <w:t>s</w:t>
            </w:r>
            <w:r w:rsidRPr="00346697">
              <w:rPr>
                <w:b w:val="0"/>
                <w:lang w:eastAsia="en-US" w:bidi="ar-SA"/>
              </w:rPr>
              <w:t>tructure</w:t>
            </w:r>
            <w:r>
              <w:rPr>
                <w:b w:val="0"/>
                <w:lang w:eastAsia="en-US" w:bidi="ar-SA"/>
              </w:rPr>
              <w:t xml:space="preserve">. </w:t>
            </w:r>
            <w:r w:rsidRPr="002C72C2">
              <w:rPr>
                <w:b w:val="0"/>
                <w:lang w:eastAsia="en-US" w:bidi="ar-SA"/>
              </w:rPr>
              <w:t xml:space="preserve">The </w:t>
            </w:r>
            <w:r>
              <w:rPr>
                <w:b w:val="0"/>
                <w:lang w:eastAsia="en-US" w:bidi="ar-SA"/>
              </w:rPr>
              <w:t>s</w:t>
            </w:r>
            <w:r w:rsidRPr="00346697">
              <w:rPr>
                <w:b w:val="0"/>
                <w:lang w:eastAsia="en-US" w:bidi="ar-SA"/>
              </w:rPr>
              <w:t xml:space="preserve">tructure </w:t>
            </w:r>
            <w:r w:rsidRPr="002C72C2">
              <w:rPr>
                <w:b w:val="0"/>
                <w:lang w:eastAsia="en-US" w:bidi="ar-SA"/>
              </w:rPr>
              <w:t xml:space="preserve">of a </w:t>
            </w:r>
            <w:r>
              <w:rPr>
                <w:b w:val="0"/>
                <w:lang w:eastAsia="en-US" w:bidi="ar-SA"/>
              </w:rPr>
              <w:t>s</w:t>
            </w:r>
            <w:r w:rsidRPr="00346697">
              <w:rPr>
                <w:b w:val="0"/>
                <w:lang w:eastAsia="en-US" w:bidi="ar-SA"/>
              </w:rPr>
              <w:t xml:space="preserve">ystem </w:t>
            </w:r>
            <w:r w:rsidRPr="002C72C2">
              <w:rPr>
                <w:b w:val="0"/>
                <w:lang w:eastAsia="en-US" w:bidi="ar-SA"/>
              </w:rPr>
              <w:t xml:space="preserve">consists of the formal, stable connections, interactions, relationships and interdependencies that exist between the numerous </w:t>
            </w:r>
            <w:r>
              <w:rPr>
                <w:b w:val="0"/>
                <w:lang w:eastAsia="en-US" w:bidi="ar-SA"/>
              </w:rPr>
              <w:t>c</w:t>
            </w:r>
            <w:r w:rsidRPr="00346697">
              <w:rPr>
                <w:b w:val="0"/>
                <w:lang w:eastAsia="en-US" w:bidi="ar-SA"/>
              </w:rPr>
              <w:t xml:space="preserve">omponents </w:t>
            </w:r>
            <w:r w:rsidRPr="002C72C2">
              <w:rPr>
                <w:b w:val="0"/>
                <w:lang w:eastAsia="en-US" w:bidi="ar-SA"/>
              </w:rPr>
              <w:t xml:space="preserve">of the </w:t>
            </w:r>
            <w:r>
              <w:rPr>
                <w:b w:val="0"/>
                <w:lang w:eastAsia="en-US" w:bidi="ar-SA"/>
              </w:rPr>
              <w:t>s</w:t>
            </w:r>
            <w:r w:rsidRPr="00346697">
              <w:rPr>
                <w:b w:val="0"/>
                <w:lang w:eastAsia="en-US" w:bidi="ar-SA"/>
              </w:rPr>
              <w:t xml:space="preserve">ystem </w:t>
            </w:r>
            <w:r w:rsidRPr="002C72C2">
              <w:rPr>
                <w:b w:val="0"/>
                <w:lang w:eastAsia="en-US" w:bidi="ar-SA"/>
              </w:rPr>
              <w:t>and enable it to reliably achieve specific purposes.</w:t>
            </w:r>
          </w:p>
          <w:p w14:paraId="345051AA" w14:textId="4C9BD8A9" w:rsidR="006A387B" w:rsidRPr="006A387B" w:rsidRDefault="006A387B" w:rsidP="00ED0B84">
            <w:pPr>
              <w:pStyle w:val="Subtitle"/>
              <w:spacing w:before="180" w:after="80" w:line="264" w:lineRule="auto"/>
              <w:ind w:left="176" w:right="170"/>
              <w:rPr>
                <w:rStyle w:val="Emphasis"/>
                <w:rFonts w:ascii="PP Mori SemiBold" w:hAnsi="PP Mori SemiBold"/>
                <w:sz w:val="24"/>
                <w:szCs w:val="40"/>
              </w:rPr>
            </w:pPr>
            <w:r w:rsidRPr="006A387B">
              <w:rPr>
                <w:rStyle w:val="Emphasis"/>
                <w:rFonts w:ascii="PP Mori SemiBold" w:hAnsi="PP Mori SemiBold"/>
                <w:sz w:val="24"/>
                <w:szCs w:val="40"/>
              </w:rPr>
              <w:t xml:space="preserve">Component </w:t>
            </w:r>
          </w:p>
          <w:p w14:paraId="46FBED64" w14:textId="2D8C9599" w:rsidR="00ED0B84" w:rsidRPr="00ED0B84" w:rsidRDefault="00ED0B84" w:rsidP="00ED0B84">
            <w:pPr>
              <w:spacing w:before="0" w:after="120" w:line="264" w:lineRule="auto"/>
              <w:ind w:left="176" w:right="170"/>
              <w:rPr>
                <w:b w:val="0"/>
                <w:lang w:eastAsia="en-US" w:bidi="ar-SA"/>
              </w:rPr>
            </w:pPr>
            <w:r w:rsidRPr="00ED0B84">
              <w:rPr>
                <w:b w:val="0"/>
                <w:lang w:eastAsia="en-US" w:bidi="ar-SA"/>
              </w:rPr>
              <w:t xml:space="preserve">A generic term for the uniquely identifiable elements, building blocks, organisations, devices and applications which are related together by a structure to enable the purposes of the </w:t>
            </w:r>
            <w:r>
              <w:rPr>
                <w:b w:val="0"/>
                <w:lang w:eastAsia="en-US" w:bidi="ar-SA"/>
              </w:rPr>
              <w:t>s</w:t>
            </w:r>
            <w:r w:rsidRPr="00ED0B84">
              <w:rPr>
                <w:b w:val="0"/>
                <w:lang w:eastAsia="en-US" w:bidi="ar-SA"/>
              </w:rPr>
              <w:t>ystem to be achieved.</w:t>
            </w:r>
            <w:r w:rsidRPr="00ED0B84">
              <w:rPr>
                <w:rFonts w:ascii="Cambria Math" w:hAnsi="Cambria Math" w:cs="Cambria Math"/>
                <w:b w:val="0"/>
                <w:lang w:eastAsia="en-US" w:bidi="ar-SA"/>
              </w:rPr>
              <w:t> </w:t>
            </w:r>
            <w:r w:rsidRPr="00ED0B84">
              <w:rPr>
                <w:rFonts w:ascii="Calibri" w:hAnsi="Calibri" w:cs="Calibri"/>
                <w:b w:val="0"/>
                <w:lang w:eastAsia="en-US" w:bidi="ar-SA"/>
              </w:rPr>
              <w:t> </w:t>
            </w:r>
          </w:p>
          <w:p w14:paraId="1FB0A5F2" w14:textId="5A2DB2FC" w:rsidR="006A387B" w:rsidRPr="002C72C2" w:rsidRDefault="00ED0B84" w:rsidP="00ED0B84">
            <w:pPr>
              <w:spacing w:before="0" w:after="120" w:line="264" w:lineRule="auto"/>
              <w:ind w:left="176" w:right="170"/>
              <w:rPr>
                <w:b w:val="0"/>
                <w:lang w:eastAsia="en-US" w:bidi="ar-SA"/>
              </w:rPr>
            </w:pPr>
            <w:r w:rsidRPr="00ED0B84">
              <w:rPr>
                <w:b w:val="0"/>
                <w:lang w:eastAsia="en-US" w:bidi="ar-SA"/>
              </w:rPr>
              <w:t xml:space="preserve">The term also includes mechanisms intrinsic to the functioning of the </w:t>
            </w:r>
            <w:r>
              <w:rPr>
                <w:b w:val="0"/>
                <w:lang w:eastAsia="en-US" w:bidi="ar-SA"/>
              </w:rPr>
              <w:t>s</w:t>
            </w:r>
            <w:r w:rsidRPr="00ED0B84">
              <w:rPr>
                <w:b w:val="0"/>
                <w:lang w:eastAsia="en-US" w:bidi="ar-SA"/>
              </w:rPr>
              <w:t>ystem that are both tangible and intangible, such as policy instruments, regulatory mechanisms, rate or tariff structures, etc.</w:t>
            </w:r>
            <w:r w:rsidRPr="00ED0B84">
              <w:rPr>
                <w:rFonts w:ascii="Calibri" w:hAnsi="Calibri" w:cs="Calibri"/>
                <w:b w:val="0"/>
                <w:lang w:eastAsia="en-US" w:bidi="ar-SA"/>
              </w:rPr>
              <w:t> </w:t>
            </w:r>
          </w:p>
          <w:p w14:paraId="66D93226" w14:textId="77777777" w:rsidR="00385C39" w:rsidRPr="00ED0B84" w:rsidRDefault="00385C39" w:rsidP="00ED0B84">
            <w:pPr>
              <w:pStyle w:val="Subtitle"/>
              <w:spacing w:before="180" w:after="80" w:line="264" w:lineRule="auto"/>
              <w:ind w:left="176" w:right="170"/>
              <w:rPr>
                <w:rStyle w:val="Emphasis"/>
                <w:rFonts w:ascii="PP Mori SemiBold" w:hAnsi="PP Mori SemiBold"/>
                <w:sz w:val="24"/>
                <w:szCs w:val="40"/>
              </w:rPr>
            </w:pPr>
            <w:r>
              <w:rPr>
                <w:rStyle w:val="Emphasis"/>
                <w:rFonts w:ascii="PP Mori SemiBold" w:hAnsi="PP Mori SemiBold"/>
                <w:sz w:val="24"/>
                <w:szCs w:val="40"/>
              </w:rPr>
              <w:t xml:space="preserve">Capability </w:t>
            </w:r>
          </w:p>
          <w:p w14:paraId="3565BFD6" w14:textId="77777777" w:rsidR="00385C39" w:rsidRPr="007B1AAA" w:rsidRDefault="00385C39" w:rsidP="00ED0B84">
            <w:pPr>
              <w:spacing w:before="0" w:after="120" w:line="264" w:lineRule="auto"/>
              <w:ind w:left="176" w:right="170"/>
              <w:rPr>
                <w:b w:val="0"/>
                <w:lang w:eastAsia="en-US" w:bidi="ar-SA"/>
              </w:rPr>
            </w:pPr>
            <w:r>
              <w:rPr>
                <w:b w:val="0"/>
                <w:lang w:eastAsia="en-US" w:bidi="ar-SA"/>
              </w:rPr>
              <w:t>T</w:t>
            </w:r>
            <w:r w:rsidRPr="007B1AAA">
              <w:rPr>
                <w:b w:val="0"/>
                <w:lang w:eastAsia="en-US" w:bidi="ar-SA"/>
              </w:rPr>
              <w:t>he ability to perform certain actions or achieve specific outcomes.</w:t>
            </w:r>
          </w:p>
          <w:p w14:paraId="1B7D3B07" w14:textId="77777777" w:rsidR="00385C39" w:rsidRPr="00F87614" w:rsidRDefault="00385C39" w:rsidP="00ED0B84">
            <w:pPr>
              <w:pStyle w:val="Subtitle"/>
              <w:spacing w:before="180" w:after="80" w:line="264" w:lineRule="auto"/>
              <w:ind w:left="176" w:right="170"/>
              <w:rPr>
                <w:rStyle w:val="Emphasis"/>
                <w:rFonts w:ascii="PP Mori SemiBold" w:hAnsi="PP Mori SemiBold"/>
                <w:sz w:val="24"/>
                <w:szCs w:val="40"/>
              </w:rPr>
            </w:pPr>
            <w:r w:rsidRPr="00F87614">
              <w:rPr>
                <w:rStyle w:val="Emphasis"/>
                <w:rFonts w:ascii="PP Mori SemiBold" w:hAnsi="PP Mori SemiBold"/>
                <w:sz w:val="24"/>
                <w:szCs w:val="40"/>
              </w:rPr>
              <w:t>Function</w:t>
            </w:r>
          </w:p>
          <w:p w14:paraId="2E4E3D8E" w14:textId="77777777" w:rsidR="00385C39" w:rsidRPr="007B1AAA" w:rsidRDefault="00385C39" w:rsidP="00ED0B84">
            <w:pPr>
              <w:spacing w:before="0" w:after="120" w:line="264" w:lineRule="auto"/>
              <w:ind w:left="176" w:right="170"/>
              <w:rPr>
                <w:b w:val="0"/>
                <w:lang w:eastAsia="en-US" w:bidi="ar-SA"/>
              </w:rPr>
            </w:pPr>
            <w:r>
              <w:rPr>
                <w:b w:val="0"/>
                <w:lang w:eastAsia="en-US" w:bidi="ar-SA"/>
              </w:rPr>
              <w:t>A</w:t>
            </w:r>
            <w:r w:rsidRPr="007B1AAA">
              <w:rPr>
                <w:b w:val="0"/>
                <w:lang w:eastAsia="en-US" w:bidi="ar-SA"/>
              </w:rPr>
              <w:t>ny of a set of related actions contributing to a larger action; a task, operation, or service. Functions combine to implement capabilities.</w:t>
            </w:r>
          </w:p>
          <w:p w14:paraId="0A9C4B67" w14:textId="77777777" w:rsidR="00385C39" w:rsidRPr="00F87614" w:rsidRDefault="00385C39" w:rsidP="00ED0B84">
            <w:pPr>
              <w:pStyle w:val="Subtitle"/>
              <w:spacing w:before="180" w:after="80" w:line="264" w:lineRule="auto"/>
              <w:ind w:left="176" w:right="170"/>
              <w:rPr>
                <w:rStyle w:val="Emphasis"/>
                <w:rFonts w:ascii="PP Mori SemiBold" w:hAnsi="PP Mori SemiBold"/>
                <w:sz w:val="24"/>
                <w:szCs w:val="40"/>
              </w:rPr>
            </w:pPr>
            <w:r w:rsidRPr="00F87614">
              <w:rPr>
                <w:rStyle w:val="Emphasis"/>
                <w:rFonts w:ascii="PP Mori SemiBold" w:hAnsi="PP Mori SemiBold"/>
                <w:sz w:val="24"/>
                <w:szCs w:val="40"/>
              </w:rPr>
              <w:t>Role</w:t>
            </w:r>
          </w:p>
          <w:p w14:paraId="29056797" w14:textId="77777777" w:rsidR="00385C39" w:rsidRPr="007B1AAA" w:rsidRDefault="00385C39" w:rsidP="00ED0B84">
            <w:pPr>
              <w:spacing w:before="0" w:after="120" w:line="264" w:lineRule="auto"/>
              <w:ind w:left="176" w:right="170"/>
              <w:rPr>
                <w:b w:val="0"/>
                <w:lang w:eastAsia="en-US" w:bidi="ar-SA"/>
              </w:rPr>
            </w:pPr>
            <w:r>
              <w:rPr>
                <w:b w:val="0"/>
                <w:lang w:eastAsia="en-US" w:bidi="ar-SA"/>
              </w:rPr>
              <w:t>A</w:t>
            </w:r>
            <w:r w:rsidRPr="00ED0B84">
              <w:rPr>
                <w:b w:val="0"/>
                <w:lang w:eastAsia="en-US" w:bidi="ar-SA"/>
              </w:rPr>
              <w:t xml:space="preserve"> </w:t>
            </w:r>
            <w:r w:rsidRPr="007B1AAA">
              <w:rPr>
                <w:b w:val="0"/>
                <w:lang w:eastAsia="en-US" w:bidi="ar-SA"/>
              </w:rPr>
              <w:t>set of connected behaviour</w:t>
            </w:r>
            <w:r w:rsidRPr="00ED0B84">
              <w:rPr>
                <w:b w:val="0"/>
                <w:lang w:eastAsia="en-US" w:bidi="ar-SA"/>
              </w:rPr>
              <w:t>s</w:t>
            </w:r>
            <w:r w:rsidRPr="007B1AAA">
              <w:rPr>
                <w:b w:val="0"/>
                <w:lang w:eastAsia="en-US" w:bidi="ar-SA"/>
              </w:rPr>
              <w:t>, actions, or processes carried out by an entity (a person or an organisation) to animate, direct, or manage one or more functions.</w:t>
            </w:r>
          </w:p>
          <w:p w14:paraId="4F63D609" w14:textId="77777777" w:rsidR="00385C39" w:rsidRPr="00F87614" w:rsidRDefault="00385C39" w:rsidP="00ED0B84">
            <w:pPr>
              <w:pStyle w:val="Subtitle"/>
              <w:spacing w:before="180" w:after="80" w:line="264" w:lineRule="auto"/>
              <w:ind w:left="176" w:right="170"/>
              <w:rPr>
                <w:rStyle w:val="Emphasis"/>
                <w:rFonts w:ascii="PP Mori SemiBold" w:hAnsi="PP Mori SemiBold"/>
                <w:sz w:val="24"/>
                <w:szCs w:val="40"/>
              </w:rPr>
            </w:pPr>
            <w:r w:rsidRPr="00F87614">
              <w:rPr>
                <w:rStyle w:val="Emphasis"/>
                <w:rFonts w:ascii="PP Mori SemiBold" w:hAnsi="PP Mori SemiBold"/>
                <w:sz w:val="24"/>
                <w:szCs w:val="40"/>
              </w:rPr>
              <w:t>Responsibility</w:t>
            </w:r>
          </w:p>
          <w:p w14:paraId="4416EA5D" w14:textId="77777777" w:rsidR="00385C39" w:rsidRPr="002C72C2" w:rsidRDefault="00385C39" w:rsidP="00ED0B84">
            <w:pPr>
              <w:spacing w:before="0" w:after="120" w:line="264" w:lineRule="auto"/>
              <w:ind w:left="176" w:right="170"/>
              <w:rPr>
                <w:b w:val="0"/>
                <w:lang w:eastAsia="en-US" w:bidi="ar-SA"/>
              </w:rPr>
            </w:pPr>
            <w:r w:rsidRPr="00ED0B84">
              <w:rPr>
                <w:b w:val="0"/>
                <w:lang w:eastAsia="en-US" w:bidi="ar-SA"/>
              </w:rPr>
              <w:t xml:space="preserve">A </w:t>
            </w:r>
            <w:r w:rsidRPr="007B1AAA">
              <w:rPr>
                <w:b w:val="0"/>
                <w:lang w:eastAsia="en-US" w:bidi="ar-SA"/>
              </w:rPr>
              <w:t>duty or obligation for which an entity is held accountable. One or more responsibilities attach to a given role.</w:t>
            </w:r>
          </w:p>
        </w:tc>
      </w:tr>
    </w:tbl>
    <w:p w14:paraId="051D2294" w14:textId="42158668" w:rsidR="003F2A2C" w:rsidRPr="00EB2823" w:rsidRDefault="003F2A2C" w:rsidP="00954BAC">
      <w:pPr>
        <w:pStyle w:val="Heading4"/>
        <w:numPr>
          <w:ilvl w:val="0"/>
          <w:numId w:val="83"/>
        </w:numPr>
        <w:spacing w:before="360" w:after="120" w:line="264" w:lineRule="auto"/>
        <w:ind w:left="357" w:hanging="357"/>
        <w:rPr>
          <w:i w:val="0"/>
          <w:iCs w:val="0"/>
        </w:rPr>
      </w:pPr>
      <w:r w:rsidRPr="00EB2823">
        <w:rPr>
          <w:i w:val="0"/>
          <w:iCs w:val="0"/>
        </w:rPr>
        <w:t>Contributing Factors</w:t>
      </w:r>
    </w:p>
    <w:p w14:paraId="49C4426F" w14:textId="77777777" w:rsidR="003F2A2C" w:rsidRPr="00760464" w:rsidRDefault="003F2A2C" w:rsidP="00EB2823">
      <w:pPr>
        <w:spacing w:before="180" w:after="120" w:line="264" w:lineRule="auto"/>
        <w:rPr>
          <w:rStyle w:val="IntenseEmphasis"/>
        </w:rPr>
      </w:pPr>
      <w:r w:rsidRPr="00760464">
        <w:rPr>
          <w:rStyle w:val="IntenseEmphasis"/>
        </w:rPr>
        <w:t xml:space="preserve">Detailed Interrogation of Structural Dependencies a Critical Requirement </w:t>
      </w:r>
    </w:p>
    <w:p w14:paraId="09357EC9" w14:textId="31C2C1D3" w:rsidR="003F2A2C" w:rsidRPr="002C72C2" w:rsidRDefault="003F2A2C" w:rsidP="00F5508E">
      <w:pPr>
        <w:spacing w:before="180" w:after="120" w:line="264" w:lineRule="auto"/>
        <w:rPr>
          <w:lang w:eastAsia="en-US" w:bidi="ar-SA"/>
        </w:rPr>
      </w:pPr>
      <w:r w:rsidRPr="002C72C2">
        <w:rPr>
          <w:lang w:eastAsia="en-US" w:bidi="ar-SA"/>
        </w:rPr>
        <w:t xml:space="preserve">The scale and sophistication of the structural interdependencies embedded in GW-scale </w:t>
      </w:r>
      <w:r w:rsidR="00B109B1">
        <w:rPr>
          <w:lang w:eastAsia="en-US" w:bidi="ar-SA"/>
        </w:rPr>
        <w:t>p</w:t>
      </w:r>
      <w:r w:rsidRPr="002C72C2">
        <w:rPr>
          <w:lang w:eastAsia="en-US" w:bidi="ar-SA"/>
        </w:rPr>
        <w:t xml:space="preserve">ower </w:t>
      </w:r>
      <w:r w:rsidR="00B109B1">
        <w:rPr>
          <w:lang w:eastAsia="en-US" w:bidi="ar-SA"/>
        </w:rPr>
        <w:t>s</w:t>
      </w:r>
      <w:r w:rsidRPr="002C72C2">
        <w:rPr>
          <w:lang w:eastAsia="en-US" w:bidi="ar-SA"/>
        </w:rPr>
        <w:t>ystems are humanly overwhelming</w:t>
      </w:r>
      <w:r w:rsidR="00374950">
        <w:rPr>
          <w:lang w:eastAsia="en-US" w:bidi="ar-SA"/>
        </w:rPr>
        <w:t xml:space="preserve">. </w:t>
      </w:r>
      <w:r w:rsidR="00864866">
        <w:rPr>
          <w:lang w:eastAsia="en-US" w:bidi="ar-SA"/>
        </w:rPr>
        <w:t xml:space="preserve">Not </w:t>
      </w:r>
      <w:r w:rsidRPr="002C72C2">
        <w:rPr>
          <w:lang w:eastAsia="en-US" w:bidi="ar-SA"/>
        </w:rPr>
        <w:t>dissimilar</w:t>
      </w:r>
      <w:r w:rsidR="009A53F3">
        <w:rPr>
          <w:lang w:eastAsia="en-US" w:bidi="ar-SA"/>
        </w:rPr>
        <w:t xml:space="preserve"> to</w:t>
      </w:r>
      <w:r w:rsidRPr="002C72C2">
        <w:rPr>
          <w:lang w:eastAsia="en-US" w:bidi="ar-SA"/>
        </w:rPr>
        <w:t xml:space="preserve"> – but more complex than – the multi-structure combination of </w:t>
      </w:r>
      <w:r w:rsidR="004122E1">
        <w:rPr>
          <w:lang w:eastAsia="en-US" w:bidi="ar-SA"/>
        </w:rPr>
        <w:t xml:space="preserve">the overlaid </w:t>
      </w:r>
      <w:r w:rsidRPr="002C72C2">
        <w:rPr>
          <w:lang w:eastAsia="en-US" w:bidi="ar-SA"/>
        </w:rPr>
        <w:t>systems embedded in advanced passenger aircraft such as a Boeing 787 or Airbus A380</w:t>
      </w:r>
      <w:r w:rsidR="009A53F3">
        <w:rPr>
          <w:lang w:eastAsia="en-US" w:bidi="ar-SA"/>
        </w:rPr>
        <w:t xml:space="preserve">, the formal interrogation of structural dependencies is </w:t>
      </w:r>
      <w:r w:rsidR="008B3B42">
        <w:rPr>
          <w:lang w:eastAsia="en-US" w:bidi="ar-SA"/>
        </w:rPr>
        <w:t>critical</w:t>
      </w:r>
      <w:r w:rsidR="00374950">
        <w:rPr>
          <w:lang w:eastAsia="en-US" w:bidi="ar-SA"/>
        </w:rPr>
        <w:t xml:space="preserve">. </w:t>
      </w:r>
    </w:p>
    <w:p w14:paraId="6D582AB4" w14:textId="0DC17463" w:rsidR="009C328C" w:rsidRDefault="003F2A2C" w:rsidP="00F5508E">
      <w:pPr>
        <w:spacing w:before="180" w:after="120" w:line="264" w:lineRule="auto"/>
        <w:rPr>
          <w:lang w:eastAsia="en-US" w:bidi="ar-SA"/>
        </w:rPr>
      </w:pPr>
      <w:r w:rsidRPr="002C72C2">
        <w:rPr>
          <w:lang w:eastAsia="en-US" w:bidi="ar-SA"/>
        </w:rPr>
        <w:t xml:space="preserve">Properly understood as a </w:t>
      </w:r>
      <w:r w:rsidR="00B109B1">
        <w:rPr>
          <w:lang w:eastAsia="en-US" w:bidi="ar-SA"/>
        </w:rPr>
        <w:t>Network of Structures</w:t>
      </w:r>
      <w:r w:rsidRPr="002C72C2">
        <w:rPr>
          <w:lang w:eastAsia="en-US" w:bidi="ar-SA"/>
        </w:rPr>
        <w:t xml:space="preserve">, modern </w:t>
      </w:r>
      <w:r w:rsidR="008B3B42">
        <w:rPr>
          <w:lang w:eastAsia="en-US" w:bidi="ar-SA"/>
        </w:rPr>
        <w:t>grids</w:t>
      </w:r>
      <w:r w:rsidRPr="002C72C2">
        <w:rPr>
          <w:lang w:eastAsia="en-US" w:bidi="ar-SA"/>
        </w:rPr>
        <w:t xml:space="preserve"> are a web of seven distinct but deeply interdependent structures, several of which dynamically influence each other on a hours-minutes-microseconds basis</w:t>
      </w:r>
      <w:r w:rsidR="00374950">
        <w:rPr>
          <w:lang w:eastAsia="en-US" w:bidi="ar-SA"/>
        </w:rPr>
        <w:t xml:space="preserve">. </w:t>
      </w:r>
      <w:r w:rsidRPr="002C72C2">
        <w:rPr>
          <w:lang w:eastAsia="en-US" w:bidi="ar-SA"/>
        </w:rPr>
        <w:t xml:space="preserve">Further, many of these structures span </w:t>
      </w:r>
      <w:r w:rsidR="00F22F8C">
        <w:rPr>
          <w:lang w:eastAsia="en-US" w:bidi="ar-SA"/>
        </w:rPr>
        <w:t xml:space="preserve">the various tiers/layers of the </w:t>
      </w:r>
      <w:r w:rsidRPr="002C72C2">
        <w:rPr>
          <w:lang w:eastAsia="en-US" w:bidi="ar-SA"/>
        </w:rPr>
        <w:t>electricity supply chain</w:t>
      </w:r>
      <w:r w:rsidR="00F22F8C">
        <w:rPr>
          <w:lang w:eastAsia="en-US" w:bidi="ar-SA"/>
        </w:rPr>
        <w:t xml:space="preserve"> including </w:t>
      </w:r>
      <w:r w:rsidR="002C72C2">
        <w:rPr>
          <w:lang w:eastAsia="en-US" w:bidi="ar-SA"/>
        </w:rPr>
        <w:t>b</w:t>
      </w:r>
      <w:r w:rsidRPr="002C72C2">
        <w:rPr>
          <w:lang w:eastAsia="en-US" w:bidi="ar-SA"/>
        </w:rPr>
        <w:t xml:space="preserve">ulk </w:t>
      </w:r>
      <w:r w:rsidR="002C72C2">
        <w:rPr>
          <w:lang w:eastAsia="en-US" w:bidi="ar-SA"/>
        </w:rPr>
        <w:t>p</w:t>
      </w:r>
      <w:r w:rsidRPr="002C72C2">
        <w:rPr>
          <w:lang w:eastAsia="en-US" w:bidi="ar-SA"/>
        </w:rPr>
        <w:t xml:space="preserve">ower, </w:t>
      </w:r>
      <w:r w:rsidR="007A1422" w:rsidRPr="007A1422">
        <w:rPr>
          <w:lang w:eastAsia="en-US" w:bidi="ar-SA"/>
        </w:rPr>
        <w:t>t</w:t>
      </w:r>
      <w:r w:rsidRPr="007A1422">
        <w:rPr>
          <w:lang w:eastAsia="en-US" w:bidi="ar-SA"/>
        </w:rPr>
        <w:t xml:space="preserve">ransmission and </w:t>
      </w:r>
      <w:r w:rsidR="007A1422" w:rsidRPr="007A1422">
        <w:rPr>
          <w:lang w:eastAsia="en-US" w:bidi="ar-SA"/>
        </w:rPr>
        <w:t>d</w:t>
      </w:r>
      <w:r w:rsidRPr="007A1422">
        <w:rPr>
          <w:lang w:eastAsia="en-US" w:bidi="ar-SA"/>
        </w:rPr>
        <w:t xml:space="preserve">istribution </w:t>
      </w:r>
      <w:r w:rsidR="00B109B1">
        <w:rPr>
          <w:lang w:eastAsia="en-US" w:bidi="ar-SA"/>
        </w:rPr>
        <w:t>s</w:t>
      </w:r>
      <w:r w:rsidRPr="007A1422">
        <w:rPr>
          <w:lang w:eastAsia="en-US" w:bidi="ar-SA"/>
        </w:rPr>
        <w:t xml:space="preserve">ystems, </w:t>
      </w:r>
      <w:r w:rsidR="007A1422" w:rsidRPr="007A1422">
        <w:rPr>
          <w:lang w:eastAsia="en-US" w:bidi="ar-SA"/>
        </w:rPr>
        <w:t>e</w:t>
      </w:r>
      <w:r w:rsidRPr="007A1422">
        <w:rPr>
          <w:lang w:eastAsia="en-US" w:bidi="ar-SA"/>
        </w:rPr>
        <w:t xml:space="preserve">nergy </w:t>
      </w:r>
      <w:r w:rsidR="007A1422" w:rsidRPr="007A1422">
        <w:rPr>
          <w:lang w:eastAsia="en-US" w:bidi="ar-SA"/>
        </w:rPr>
        <w:t>r</w:t>
      </w:r>
      <w:r w:rsidRPr="007A1422">
        <w:rPr>
          <w:lang w:eastAsia="en-US" w:bidi="ar-SA"/>
        </w:rPr>
        <w:t xml:space="preserve">etailers, </w:t>
      </w:r>
      <w:r w:rsidR="007A1422" w:rsidRPr="007A1422">
        <w:rPr>
          <w:lang w:eastAsia="en-US" w:bidi="ar-SA"/>
        </w:rPr>
        <w:t>a</w:t>
      </w:r>
      <w:r w:rsidRPr="007A1422">
        <w:rPr>
          <w:lang w:eastAsia="en-US" w:bidi="ar-SA"/>
        </w:rPr>
        <w:t xml:space="preserve">ggregators and </w:t>
      </w:r>
      <w:r w:rsidR="007A1422" w:rsidRPr="007A1422">
        <w:rPr>
          <w:lang w:eastAsia="en-US" w:bidi="ar-SA"/>
        </w:rPr>
        <w:t>c</w:t>
      </w:r>
      <w:r w:rsidRPr="007A1422">
        <w:rPr>
          <w:lang w:eastAsia="en-US" w:bidi="ar-SA"/>
        </w:rPr>
        <w:t>ustomers</w:t>
      </w:r>
      <w:r w:rsidR="00374950">
        <w:rPr>
          <w:lang w:eastAsia="en-US" w:bidi="ar-SA"/>
        </w:rPr>
        <w:t xml:space="preserve">. </w:t>
      </w:r>
    </w:p>
    <w:p w14:paraId="0648A1FE" w14:textId="4EE14D50" w:rsidR="00076EB7" w:rsidRDefault="00076EB7" w:rsidP="003B48AF">
      <w:pPr>
        <w:spacing w:before="120" w:after="120" w:line="264" w:lineRule="auto"/>
        <w:ind w:left="-142"/>
        <w:rPr>
          <w:lang w:eastAsia="en-US" w:bidi="ar-SA"/>
        </w:rPr>
      </w:pPr>
      <w:bookmarkStart w:id="96" w:name="Figure_14"/>
      <w:r>
        <w:rPr>
          <w:noProof/>
          <w:lang w:eastAsia="en-US" w:bidi="ar-SA"/>
        </w:rPr>
        <w:drawing>
          <wp:inline distT="0" distB="0" distL="0" distR="0" wp14:anchorId="546D2FCC" wp14:editId="1DB74B86">
            <wp:extent cx="5379723" cy="2632203"/>
            <wp:effectExtent l="0" t="0" r="0" b="0"/>
            <wp:docPr id="490295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1231" cy="2642727"/>
                    </a:xfrm>
                    <a:prstGeom prst="rect">
                      <a:avLst/>
                    </a:prstGeom>
                    <a:noFill/>
                  </pic:spPr>
                </pic:pic>
              </a:graphicData>
            </a:graphic>
          </wp:inline>
        </w:drawing>
      </w:r>
      <w:bookmarkEnd w:id="96"/>
    </w:p>
    <w:p w14:paraId="7C14BFEA" w14:textId="322BC99E" w:rsidR="003743F0" w:rsidRDefault="00F30A57" w:rsidP="00E54F7D">
      <w:pPr>
        <w:pStyle w:val="Caption"/>
        <w:spacing w:before="120" w:after="240" w:line="264" w:lineRule="auto"/>
      </w:pPr>
      <w:bookmarkStart w:id="97" w:name="_Toc205365739"/>
      <w:r w:rsidRPr="00920BE3">
        <w:t xml:space="preserve">Figure </w:t>
      </w:r>
      <w:r w:rsidRPr="00920BE3">
        <w:fldChar w:fldCharType="begin"/>
      </w:r>
      <w:r w:rsidRPr="00920BE3">
        <w:instrText>SEQ Figure \* ARABIC</w:instrText>
      </w:r>
      <w:r w:rsidRPr="00920BE3">
        <w:fldChar w:fldCharType="separate"/>
      </w:r>
      <w:r w:rsidR="009F382F">
        <w:rPr>
          <w:noProof/>
        </w:rPr>
        <w:t>14</w:t>
      </w:r>
      <w:r w:rsidRPr="00920BE3">
        <w:fldChar w:fldCharType="end"/>
      </w:r>
      <w:r w:rsidRPr="00920BE3">
        <w:t xml:space="preserve">: One </w:t>
      </w:r>
      <w:r w:rsidR="00460AA7">
        <w:t>credible view of</w:t>
      </w:r>
      <w:r w:rsidR="00460AA7" w:rsidRPr="00460AA7">
        <w:rPr>
          <w:lang w:eastAsia="en-US" w:bidi="ar-SA"/>
        </w:rPr>
        <w:t xml:space="preserve"> </w:t>
      </w:r>
      <w:r w:rsidR="00460AA7">
        <w:rPr>
          <w:lang w:eastAsia="en-US" w:bidi="ar-SA"/>
        </w:rPr>
        <w:t>how the NEM’s legacy structures will need to change to enable high-CER/DER futures similar to AEMO’s S</w:t>
      </w:r>
      <w:r w:rsidR="00460AA7" w:rsidRPr="002C72C2">
        <w:rPr>
          <w:lang w:eastAsia="en-US" w:bidi="ar-SA"/>
        </w:rPr>
        <w:t xml:space="preserve">tep Change </w:t>
      </w:r>
      <w:r w:rsidR="00460AA7">
        <w:rPr>
          <w:lang w:eastAsia="en-US" w:bidi="ar-SA"/>
        </w:rPr>
        <w:t>scenario</w:t>
      </w:r>
      <w:r w:rsidR="00A520BD">
        <w:t xml:space="preserve"> </w:t>
      </w:r>
      <w:hyperlink w:anchor="Ref_6" w:history="1">
        <w:r w:rsidR="00A520BD" w:rsidRPr="00A25D24">
          <w:rPr>
            <w:rStyle w:val="Hyperlink"/>
            <w:lang w:eastAsia="en-US" w:bidi="ar-SA"/>
          </w:rPr>
          <w:t>[6]</w:t>
        </w:r>
      </w:hyperlink>
      <w:r w:rsidR="00E54F7D">
        <w:rPr>
          <w:i w:val="0"/>
          <w:iCs w:val="0"/>
        </w:rPr>
        <w:t>.</w:t>
      </w:r>
      <w:bookmarkEnd w:id="97"/>
      <w:r w:rsidRPr="00F61E48">
        <w:t xml:space="preserve"> </w:t>
      </w:r>
    </w:p>
    <w:p w14:paraId="260F7506" w14:textId="77777777" w:rsidR="00A4053A" w:rsidRPr="002C72C2" w:rsidRDefault="00A4053A" w:rsidP="00A4053A">
      <w:pPr>
        <w:spacing w:after="120"/>
        <w:rPr>
          <w:lang w:eastAsia="en-US" w:bidi="ar-SA"/>
        </w:rPr>
      </w:pPr>
      <w:r>
        <w:t>H</w:t>
      </w:r>
      <w:r w:rsidRPr="002C72C2">
        <w:rPr>
          <w:lang w:eastAsia="en-US" w:bidi="ar-SA"/>
        </w:rPr>
        <w:t xml:space="preserve">aving the </w:t>
      </w:r>
      <w:r>
        <w:rPr>
          <w:lang w:eastAsia="en-US" w:bidi="ar-SA"/>
        </w:rPr>
        <w:t xml:space="preserve">capability </w:t>
      </w:r>
      <w:r w:rsidRPr="002C72C2">
        <w:rPr>
          <w:lang w:eastAsia="en-US" w:bidi="ar-SA"/>
        </w:rPr>
        <w:t xml:space="preserve">to formally interrogate </w:t>
      </w:r>
      <w:r>
        <w:rPr>
          <w:lang w:eastAsia="en-US" w:bidi="ar-SA"/>
        </w:rPr>
        <w:t>the</w:t>
      </w:r>
      <w:r w:rsidRPr="002C72C2">
        <w:rPr>
          <w:lang w:eastAsia="en-US" w:bidi="ar-SA"/>
        </w:rPr>
        <w:t xml:space="preserve"> structures</w:t>
      </w:r>
      <w:r>
        <w:rPr>
          <w:lang w:eastAsia="en-US" w:bidi="ar-SA"/>
        </w:rPr>
        <w:t xml:space="preserve"> and dynamic behaviours is </w:t>
      </w:r>
      <w:r w:rsidRPr="002C72C2">
        <w:rPr>
          <w:lang w:eastAsia="en-US" w:bidi="ar-SA"/>
        </w:rPr>
        <w:t xml:space="preserve">pivotal to </w:t>
      </w:r>
      <w:r>
        <w:rPr>
          <w:lang w:eastAsia="en-US" w:bidi="ar-SA"/>
        </w:rPr>
        <w:t>the robust and objective assignment of roles and r</w:t>
      </w:r>
      <w:r w:rsidRPr="002C72C2">
        <w:rPr>
          <w:lang w:eastAsia="en-US" w:bidi="ar-SA"/>
        </w:rPr>
        <w:t>esponsibilities</w:t>
      </w:r>
      <w:r>
        <w:rPr>
          <w:lang w:eastAsia="en-US" w:bidi="ar-SA"/>
        </w:rPr>
        <w:t xml:space="preserve"> in a manner that minimise the need for significant later rework. T</w:t>
      </w:r>
      <w:r w:rsidRPr="002C72C2">
        <w:rPr>
          <w:lang w:eastAsia="en-US" w:bidi="ar-SA"/>
        </w:rPr>
        <w:t xml:space="preserve">his is </w:t>
      </w:r>
      <w:r>
        <w:rPr>
          <w:lang w:eastAsia="en-US" w:bidi="ar-SA"/>
        </w:rPr>
        <w:t xml:space="preserve">ultimately </w:t>
      </w:r>
      <w:r w:rsidRPr="002C72C2">
        <w:rPr>
          <w:lang w:eastAsia="en-US" w:bidi="ar-SA"/>
        </w:rPr>
        <w:t>because formal</w:t>
      </w:r>
      <w:r>
        <w:rPr>
          <w:lang w:eastAsia="en-US" w:bidi="ar-SA"/>
        </w:rPr>
        <w:t xml:space="preserve"> Systems Architecture</w:t>
      </w:r>
      <w:r w:rsidRPr="002C72C2">
        <w:rPr>
          <w:lang w:eastAsia="en-US" w:bidi="ar-SA"/>
        </w:rPr>
        <w:t xml:space="preserve"> methodologies </w:t>
      </w:r>
      <w:r>
        <w:rPr>
          <w:lang w:eastAsia="en-US" w:bidi="ar-SA"/>
        </w:rPr>
        <w:t>enable the following critical steps</w:t>
      </w:r>
      <w:r w:rsidRPr="002C72C2">
        <w:rPr>
          <w:lang w:eastAsia="en-US" w:bidi="ar-SA"/>
        </w:rPr>
        <w:t>:</w:t>
      </w:r>
    </w:p>
    <w:p w14:paraId="3A092FF0" w14:textId="77777777" w:rsidR="00A4053A" w:rsidRDefault="00A4053A" w:rsidP="00954BAC">
      <w:pPr>
        <w:pStyle w:val="ListParagraph"/>
        <w:numPr>
          <w:ilvl w:val="0"/>
          <w:numId w:val="82"/>
        </w:numPr>
        <w:spacing w:before="180" w:line="264" w:lineRule="auto"/>
        <w:rPr>
          <w:lang w:eastAsia="en-US" w:bidi="ar-SA"/>
        </w:rPr>
      </w:pPr>
      <w:r>
        <w:rPr>
          <w:lang w:eastAsia="en-US" w:bidi="ar-SA"/>
        </w:rPr>
        <w:t>M</w:t>
      </w:r>
      <w:r w:rsidRPr="00A7031E">
        <w:rPr>
          <w:lang w:eastAsia="en-US" w:bidi="ar-SA"/>
        </w:rPr>
        <w:t>apping</w:t>
      </w:r>
      <w:r>
        <w:rPr>
          <w:lang w:eastAsia="en-US" w:bidi="ar-SA"/>
        </w:rPr>
        <w:t xml:space="preserve"> of</w:t>
      </w:r>
      <w:r w:rsidRPr="00A7031E">
        <w:rPr>
          <w:lang w:eastAsia="en-US" w:bidi="ar-SA"/>
        </w:rPr>
        <w:t xml:space="preserve"> the most </w:t>
      </w:r>
      <w:r>
        <w:rPr>
          <w:lang w:eastAsia="en-US" w:bidi="ar-SA"/>
        </w:rPr>
        <w:t>plausible</w:t>
      </w:r>
      <w:r w:rsidRPr="00A7031E">
        <w:rPr>
          <w:lang w:eastAsia="en-US" w:bidi="ar-SA"/>
        </w:rPr>
        <w:t xml:space="preserve"> phases</w:t>
      </w:r>
      <w:r>
        <w:rPr>
          <w:lang w:eastAsia="en-US" w:bidi="ar-SA"/>
        </w:rPr>
        <w:t xml:space="preserve"> through which essential </w:t>
      </w:r>
      <w:r w:rsidRPr="00A7031E">
        <w:rPr>
          <w:lang w:eastAsia="en-US" w:bidi="ar-SA"/>
        </w:rPr>
        <w:t xml:space="preserve">new capabilities </w:t>
      </w:r>
      <w:r>
        <w:rPr>
          <w:lang w:eastAsia="en-US" w:bidi="ar-SA"/>
        </w:rPr>
        <w:t>such as D</w:t>
      </w:r>
      <w:r w:rsidRPr="002C72C2">
        <w:rPr>
          <w:lang w:eastAsia="en-US" w:bidi="ar-SA"/>
        </w:rPr>
        <w:t>istribution System Operator (DSO)</w:t>
      </w:r>
      <w:r>
        <w:rPr>
          <w:lang w:eastAsia="en-US" w:bidi="ar-SA"/>
        </w:rPr>
        <w:t xml:space="preserve"> and </w:t>
      </w:r>
      <w:r w:rsidRPr="002C72C2">
        <w:rPr>
          <w:lang w:eastAsia="en-US" w:bidi="ar-SA"/>
        </w:rPr>
        <w:t xml:space="preserve">Transmission-Distribution </w:t>
      </w:r>
      <w:r>
        <w:rPr>
          <w:lang w:eastAsia="en-US" w:bidi="ar-SA"/>
        </w:rPr>
        <w:t xml:space="preserve">Coordination (TDC) models will need to evolve and mature as distribution-connected energy resources continue to grow as a proportion of net system resources.   </w:t>
      </w:r>
    </w:p>
    <w:p w14:paraId="0D80CBFA" w14:textId="77777777" w:rsidR="00A4053A" w:rsidRDefault="00A4053A" w:rsidP="00954BAC">
      <w:pPr>
        <w:pStyle w:val="ListParagraph"/>
        <w:numPr>
          <w:ilvl w:val="0"/>
          <w:numId w:val="82"/>
        </w:numPr>
        <w:spacing w:line="264" w:lineRule="auto"/>
        <w:rPr>
          <w:lang w:eastAsia="en-US" w:bidi="ar-SA"/>
        </w:rPr>
      </w:pPr>
      <w:r>
        <w:rPr>
          <w:lang w:eastAsia="en-US" w:bidi="ar-SA"/>
        </w:rPr>
        <w:t xml:space="preserve">Detailed analysis of the </w:t>
      </w:r>
      <w:r w:rsidRPr="002C72C2">
        <w:rPr>
          <w:lang w:eastAsia="en-US" w:bidi="ar-SA"/>
        </w:rPr>
        <w:t>as-built structures, entity relationships</w:t>
      </w:r>
      <w:r>
        <w:rPr>
          <w:lang w:eastAsia="en-US" w:bidi="ar-SA"/>
        </w:rPr>
        <w:t xml:space="preserve">, interfaces, hand-offs and </w:t>
      </w:r>
      <w:r w:rsidRPr="002C72C2">
        <w:rPr>
          <w:lang w:eastAsia="en-US" w:bidi="ar-SA"/>
        </w:rPr>
        <w:t>data flows</w:t>
      </w:r>
      <w:r>
        <w:rPr>
          <w:lang w:eastAsia="en-US" w:bidi="ar-SA"/>
        </w:rPr>
        <w:t xml:space="preserve"> </w:t>
      </w:r>
      <w:r w:rsidRPr="002C72C2">
        <w:rPr>
          <w:lang w:eastAsia="en-US" w:bidi="ar-SA"/>
        </w:rPr>
        <w:t xml:space="preserve">embedded </w:t>
      </w:r>
      <w:r>
        <w:rPr>
          <w:lang w:eastAsia="en-US" w:bidi="ar-SA"/>
        </w:rPr>
        <w:t>across</w:t>
      </w:r>
      <w:r w:rsidRPr="002C72C2">
        <w:rPr>
          <w:lang w:eastAsia="en-US" w:bidi="ar-SA"/>
        </w:rPr>
        <w:t xml:space="preserve"> the legacy </w:t>
      </w:r>
      <w:r>
        <w:rPr>
          <w:lang w:eastAsia="en-US" w:bidi="ar-SA"/>
        </w:rPr>
        <w:t>p</w:t>
      </w:r>
      <w:r w:rsidRPr="002C72C2">
        <w:rPr>
          <w:lang w:eastAsia="en-US" w:bidi="ar-SA"/>
        </w:rPr>
        <w:t xml:space="preserve">ower </w:t>
      </w:r>
      <w:r>
        <w:rPr>
          <w:lang w:eastAsia="en-US" w:bidi="ar-SA"/>
        </w:rPr>
        <w:t>s</w:t>
      </w:r>
      <w:r w:rsidRPr="002C72C2">
        <w:rPr>
          <w:lang w:eastAsia="en-US" w:bidi="ar-SA"/>
        </w:rPr>
        <w:t>ystem</w:t>
      </w:r>
      <w:r>
        <w:rPr>
          <w:lang w:eastAsia="en-US" w:bidi="ar-SA"/>
        </w:rPr>
        <w:t>.</w:t>
      </w:r>
    </w:p>
    <w:p w14:paraId="211DFBBB" w14:textId="77777777" w:rsidR="00A4053A" w:rsidRPr="002C72C2" w:rsidRDefault="00A4053A" w:rsidP="00954BAC">
      <w:pPr>
        <w:pStyle w:val="ListParagraph"/>
        <w:numPr>
          <w:ilvl w:val="0"/>
          <w:numId w:val="82"/>
        </w:numPr>
        <w:spacing w:line="264" w:lineRule="auto"/>
        <w:rPr>
          <w:lang w:eastAsia="en-US" w:bidi="ar-SA"/>
        </w:rPr>
      </w:pPr>
      <w:r w:rsidRPr="002C72C2">
        <w:rPr>
          <w:lang w:eastAsia="en-US" w:bidi="ar-SA"/>
        </w:rPr>
        <w:t xml:space="preserve">Interrogation of </w:t>
      </w:r>
      <w:r>
        <w:rPr>
          <w:lang w:eastAsia="en-US" w:bidi="ar-SA"/>
        </w:rPr>
        <w:t xml:space="preserve">the most credible options </w:t>
      </w:r>
      <w:r w:rsidRPr="002C72C2">
        <w:rPr>
          <w:lang w:eastAsia="en-US" w:bidi="ar-SA"/>
        </w:rPr>
        <w:t xml:space="preserve">for how </w:t>
      </w:r>
      <w:r>
        <w:rPr>
          <w:lang w:eastAsia="en-US" w:bidi="ar-SA"/>
        </w:rPr>
        <w:t xml:space="preserve">these structural and functional relationships, interfaces and hand-off points between systems and entities may </w:t>
      </w:r>
      <w:r w:rsidRPr="002C72C2">
        <w:rPr>
          <w:lang w:eastAsia="en-US" w:bidi="ar-SA"/>
        </w:rPr>
        <w:t xml:space="preserve">need to </w:t>
      </w:r>
      <w:r>
        <w:rPr>
          <w:lang w:eastAsia="en-US" w:bidi="ar-SA"/>
        </w:rPr>
        <w:t xml:space="preserve">be changed to enable secure and efficient operation in the longer term, supported by high fidelity </w:t>
      </w:r>
      <w:r w:rsidRPr="00D146D1">
        <w:rPr>
          <w:lang w:eastAsia="en-US" w:bidi="ar-SA"/>
        </w:rPr>
        <w:t>dynamic behaviour and scalability analyses</w:t>
      </w:r>
      <w:r>
        <w:rPr>
          <w:lang w:eastAsia="en-US" w:bidi="ar-SA"/>
        </w:rPr>
        <w:t xml:space="preserve">. </w:t>
      </w:r>
    </w:p>
    <w:p w14:paraId="164EFA78" w14:textId="3AC99319" w:rsidR="00A4053A" w:rsidRDefault="00A4053A" w:rsidP="00E90223">
      <w:pPr>
        <w:spacing w:before="180" w:after="120" w:line="264" w:lineRule="auto"/>
        <w:rPr>
          <w:i/>
          <w:iCs/>
          <w:lang w:eastAsia="en-US" w:bidi="ar-SA"/>
        </w:rPr>
      </w:pPr>
      <w:r>
        <w:rPr>
          <w:lang w:eastAsia="en-US" w:bidi="ar-SA"/>
        </w:rPr>
        <w:t xml:space="preserve">These steps are </w:t>
      </w:r>
      <w:r w:rsidRPr="002C72C2">
        <w:rPr>
          <w:lang w:eastAsia="en-US" w:bidi="ar-SA"/>
        </w:rPr>
        <w:t>inextricably linked to the least</w:t>
      </w:r>
      <w:r>
        <w:rPr>
          <w:lang w:eastAsia="en-US" w:bidi="ar-SA"/>
        </w:rPr>
        <w:t xml:space="preserve"> </w:t>
      </w:r>
      <w:r w:rsidRPr="002C72C2">
        <w:rPr>
          <w:lang w:eastAsia="en-US" w:bidi="ar-SA"/>
        </w:rPr>
        <w:t>regre</w:t>
      </w:r>
      <w:r>
        <w:rPr>
          <w:lang w:eastAsia="en-US" w:bidi="ar-SA"/>
        </w:rPr>
        <w:t>t</w:t>
      </w:r>
      <w:r w:rsidR="004727E7">
        <w:rPr>
          <w:lang w:eastAsia="en-US" w:bidi="ar-SA"/>
        </w:rPr>
        <w:t xml:space="preserve"> </w:t>
      </w:r>
      <w:r>
        <w:rPr>
          <w:lang w:eastAsia="en-US" w:bidi="ar-SA"/>
        </w:rPr>
        <w:t>assignment of roles and r</w:t>
      </w:r>
      <w:r w:rsidRPr="002C72C2">
        <w:rPr>
          <w:lang w:eastAsia="en-US" w:bidi="ar-SA"/>
        </w:rPr>
        <w:t>esponsibilities</w:t>
      </w:r>
      <w:r w:rsidR="00550584">
        <w:rPr>
          <w:lang w:eastAsia="en-US" w:bidi="ar-SA"/>
        </w:rPr>
        <w:t xml:space="preserve">.  The </w:t>
      </w:r>
      <w:r>
        <w:rPr>
          <w:lang w:eastAsia="en-US" w:bidi="ar-SA"/>
        </w:rPr>
        <w:t>formal</w:t>
      </w:r>
      <w:r w:rsidR="004727E7">
        <w:rPr>
          <w:lang w:eastAsia="en-US" w:bidi="ar-SA"/>
        </w:rPr>
        <w:t xml:space="preserve">, structurally informed </w:t>
      </w:r>
      <w:r>
        <w:rPr>
          <w:lang w:eastAsia="en-US" w:bidi="ar-SA"/>
        </w:rPr>
        <w:t xml:space="preserve">approach significantly reduces the risk of </w:t>
      </w:r>
      <w:r w:rsidRPr="00B3433F">
        <w:rPr>
          <w:lang w:eastAsia="en-US" w:bidi="ar-SA"/>
        </w:rPr>
        <w:t>unintended consequences, sub-optimal outcomes and the potential</w:t>
      </w:r>
      <w:r w:rsidR="004727E7">
        <w:rPr>
          <w:lang w:eastAsia="en-US" w:bidi="ar-SA"/>
        </w:rPr>
        <w:t xml:space="preserve"> need</w:t>
      </w:r>
      <w:r w:rsidRPr="00B3433F">
        <w:rPr>
          <w:lang w:eastAsia="en-US" w:bidi="ar-SA"/>
        </w:rPr>
        <w:t xml:space="preserve"> for substantial </w:t>
      </w:r>
      <w:r w:rsidR="004727E7">
        <w:rPr>
          <w:lang w:eastAsia="en-US" w:bidi="ar-SA"/>
        </w:rPr>
        <w:t xml:space="preserve">latter </w:t>
      </w:r>
      <w:r w:rsidRPr="00B3433F">
        <w:rPr>
          <w:lang w:eastAsia="en-US" w:bidi="ar-SA"/>
        </w:rPr>
        <w:t>rework.</w:t>
      </w:r>
      <w:r>
        <w:rPr>
          <w:i/>
          <w:iCs/>
          <w:lang w:eastAsia="en-US" w:bidi="ar-SA"/>
        </w:rPr>
        <w:t xml:space="preserve"> </w:t>
      </w:r>
    </w:p>
    <w:p w14:paraId="38CE1943" w14:textId="77777777" w:rsidR="00B93B4C" w:rsidRDefault="00B93B4C">
      <w:pPr>
        <w:spacing w:before="0" w:after="160" w:line="259" w:lineRule="auto"/>
        <w:rPr>
          <w:lang w:eastAsia="en-US" w:bidi="ar-SA"/>
        </w:rPr>
      </w:pPr>
      <w:r>
        <w:rPr>
          <w:lang w:eastAsia="en-US" w:bidi="ar-SA"/>
        </w:rPr>
        <w:br w:type="page"/>
      </w:r>
    </w:p>
    <w:p w14:paraId="0CD690B4" w14:textId="25B7C4B3" w:rsidR="00B300B1" w:rsidRDefault="00363B25" w:rsidP="00775D31">
      <w:pPr>
        <w:spacing w:before="180" w:after="120" w:line="264" w:lineRule="auto"/>
        <w:rPr>
          <w:lang w:eastAsia="en-US" w:bidi="ar-SA"/>
        </w:rPr>
      </w:pPr>
      <w:r>
        <w:rPr>
          <w:lang w:eastAsia="en-US" w:bidi="ar-SA"/>
        </w:rPr>
        <w:t>To illustrate</w:t>
      </w:r>
      <w:r w:rsidR="004727E7">
        <w:rPr>
          <w:lang w:eastAsia="en-US" w:bidi="ar-SA"/>
        </w:rPr>
        <w:t xml:space="preserve"> further</w:t>
      </w:r>
      <w:r>
        <w:rPr>
          <w:lang w:eastAsia="en-US" w:bidi="ar-SA"/>
        </w:rPr>
        <w:t xml:space="preserve">, </w:t>
      </w:r>
      <w:hyperlink w:anchor="Figure_14" w:history="1">
        <w:r w:rsidR="00B300B1" w:rsidRPr="009963F0">
          <w:rPr>
            <w:rStyle w:val="Hyperlink"/>
            <w:lang w:eastAsia="en-US" w:bidi="ar-SA"/>
          </w:rPr>
          <w:t>Figure 14</w:t>
        </w:r>
      </w:hyperlink>
      <w:r w:rsidR="00B300B1" w:rsidRPr="00157491">
        <w:rPr>
          <w:lang w:eastAsia="en-US" w:bidi="ar-SA"/>
        </w:rPr>
        <w:t xml:space="preserve"> above </w:t>
      </w:r>
      <w:r>
        <w:rPr>
          <w:lang w:eastAsia="en-US" w:bidi="ar-SA"/>
        </w:rPr>
        <w:t xml:space="preserve">provides </w:t>
      </w:r>
      <w:r w:rsidR="00A2607D">
        <w:rPr>
          <w:lang w:eastAsia="en-US" w:bidi="ar-SA"/>
        </w:rPr>
        <w:t xml:space="preserve">one </w:t>
      </w:r>
      <w:r w:rsidR="0074742A">
        <w:rPr>
          <w:lang w:eastAsia="en-US" w:bidi="ar-SA"/>
        </w:rPr>
        <w:t>credible</w:t>
      </w:r>
      <w:r w:rsidR="00C0636F">
        <w:rPr>
          <w:lang w:eastAsia="en-US" w:bidi="ar-SA"/>
        </w:rPr>
        <w:t xml:space="preserve"> </w:t>
      </w:r>
      <w:r>
        <w:rPr>
          <w:lang w:eastAsia="en-US" w:bidi="ar-SA"/>
        </w:rPr>
        <w:t xml:space="preserve">view of </w:t>
      </w:r>
      <w:r w:rsidR="00C0636F">
        <w:rPr>
          <w:lang w:eastAsia="en-US" w:bidi="ar-SA"/>
        </w:rPr>
        <w:t>how the</w:t>
      </w:r>
      <w:r w:rsidR="00924778">
        <w:rPr>
          <w:lang w:eastAsia="en-US" w:bidi="ar-SA"/>
        </w:rPr>
        <w:t xml:space="preserve"> </w:t>
      </w:r>
      <w:r w:rsidR="007B5960">
        <w:rPr>
          <w:lang w:eastAsia="en-US" w:bidi="ar-SA"/>
        </w:rPr>
        <w:t xml:space="preserve">NEM’s </w:t>
      </w:r>
      <w:r w:rsidR="00924778">
        <w:rPr>
          <w:lang w:eastAsia="en-US" w:bidi="ar-SA"/>
        </w:rPr>
        <w:t>legacy</w:t>
      </w:r>
      <w:r w:rsidR="00C0636F">
        <w:rPr>
          <w:lang w:eastAsia="en-US" w:bidi="ar-SA"/>
        </w:rPr>
        <w:t xml:space="preserve"> </w:t>
      </w:r>
      <w:r w:rsidR="00AE2F7D">
        <w:rPr>
          <w:lang w:eastAsia="en-US" w:bidi="ar-SA"/>
        </w:rPr>
        <w:t>structu</w:t>
      </w:r>
      <w:r w:rsidR="00924778">
        <w:rPr>
          <w:lang w:eastAsia="en-US" w:bidi="ar-SA"/>
        </w:rPr>
        <w:t xml:space="preserve">res, </w:t>
      </w:r>
      <w:r w:rsidR="00B300B1" w:rsidRPr="002C72C2">
        <w:rPr>
          <w:lang w:eastAsia="en-US" w:bidi="ar-SA"/>
        </w:rPr>
        <w:t xml:space="preserve">interfaces </w:t>
      </w:r>
      <w:r w:rsidR="004D35B7">
        <w:rPr>
          <w:lang w:eastAsia="en-US" w:bidi="ar-SA"/>
        </w:rPr>
        <w:t>and hand-off points b</w:t>
      </w:r>
      <w:r w:rsidR="00B300B1" w:rsidRPr="002C72C2">
        <w:rPr>
          <w:lang w:eastAsia="en-US" w:bidi="ar-SA"/>
        </w:rPr>
        <w:t>etween</w:t>
      </w:r>
      <w:r w:rsidR="00AE2F7D">
        <w:rPr>
          <w:lang w:eastAsia="en-US" w:bidi="ar-SA"/>
        </w:rPr>
        <w:t xml:space="preserve"> </w:t>
      </w:r>
      <w:r w:rsidR="005510A5">
        <w:rPr>
          <w:lang w:eastAsia="en-US" w:bidi="ar-SA"/>
        </w:rPr>
        <w:t>entities, systems</w:t>
      </w:r>
      <w:r w:rsidR="00A95F3E">
        <w:rPr>
          <w:lang w:eastAsia="en-US" w:bidi="ar-SA"/>
        </w:rPr>
        <w:t xml:space="preserve"> and s</w:t>
      </w:r>
      <w:r w:rsidR="00B300B1" w:rsidRPr="002C72C2">
        <w:rPr>
          <w:lang w:eastAsia="en-US" w:bidi="ar-SA"/>
        </w:rPr>
        <w:t>ubsystems</w:t>
      </w:r>
      <w:r w:rsidR="00C0636F">
        <w:rPr>
          <w:lang w:eastAsia="en-US" w:bidi="ar-SA"/>
        </w:rPr>
        <w:t xml:space="preserve"> </w:t>
      </w:r>
      <w:r w:rsidR="00AD095A">
        <w:rPr>
          <w:lang w:eastAsia="en-US" w:bidi="ar-SA"/>
        </w:rPr>
        <w:t xml:space="preserve">will need to </w:t>
      </w:r>
      <w:r w:rsidR="00C0636F">
        <w:rPr>
          <w:lang w:eastAsia="en-US" w:bidi="ar-SA"/>
        </w:rPr>
        <w:t xml:space="preserve">change to enable </w:t>
      </w:r>
      <w:r w:rsidR="00E90223">
        <w:rPr>
          <w:lang w:eastAsia="en-US" w:bidi="ar-SA"/>
        </w:rPr>
        <w:t xml:space="preserve">high-CER/DER </w:t>
      </w:r>
      <w:r w:rsidR="00E978AD">
        <w:rPr>
          <w:lang w:eastAsia="en-US" w:bidi="ar-SA"/>
        </w:rPr>
        <w:t>future</w:t>
      </w:r>
      <w:r w:rsidR="001A642A">
        <w:rPr>
          <w:lang w:eastAsia="en-US" w:bidi="ar-SA"/>
        </w:rPr>
        <w:t>s even broadly</w:t>
      </w:r>
      <w:r w:rsidR="00E978AD">
        <w:rPr>
          <w:lang w:eastAsia="en-US" w:bidi="ar-SA"/>
        </w:rPr>
        <w:t xml:space="preserve"> </w:t>
      </w:r>
      <w:r w:rsidR="001D0EA3">
        <w:rPr>
          <w:lang w:eastAsia="en-US" w:bidi="ar-SA"/>
        </w:rPr>
        <w:t>similar to</w:t>
      </w:r>
      <w:r w:rsidR="00AC7C5B">
        <w:rPr>
          <w:lang w:eastAsia="en-US" w:bidi="ar-SA"/>
        </w:rPr>
        <w:t xml:space="preserve"> </w:t>
      </w:r>
      <w:r w:rsidR="00845872">
        <w:rPr>
          <w:lang w:eastAsia="en-US" w:bidi="ar-SA"/>
        </w:rPr>
        <w:t>AEMO’s S</w:t>
      </w:r>
      <w:r w:rsidR="00B300B1" w:rsidRPr="002C72C2">
        <w:rPr>
          <w:lang w:eastAsia="en-US" w:bidi="ar-SA"/>
        </w:rPr>
        <w:t xml:space="preserve">tep Change </w:t>
      </w:r>
      <w:r w:rsidR="00845872">
        <w:rPr>
          <w:lang w:eastAsia="en-US" w:bidi="ar-SA"/>
        </w:rPr>
        <w:t xml:space="preserve">scenario </w:t>
      </w:r>
      <w:hyperlink w:anchor="Ref_1" w:history="1">
        <w:r w:rsidR="00B300B1" w:rsidRPr="00720DAD">
          <w:rPr>
            <w:rStyle w:val="Hyperlink"/>
            <w:lang w:eastAsia="en-US" w:bidi="ar-SA"/>
          </w:rPr>
          <w:fldChar w:fldCharType="begin"/>
        </w:r>
        <w:r w:rsidR="00B300B1" w:rsidRPr="00720DAD">
          <w:rPr>
            <w:rStyle w:val="Hyperlink"/>
            <w:lang w:eastAsia="en-US" w:bidi="ar-SA"/>
          </w:rPr>
          <w:instrText xml:space="preserve"> ADDIN ZOTERO_ITEM CSL_CITATION {"citationID":"DnPNXP9v","properties":{"formattedCitation":"[1]","plainCitation":"[1]","noteIndex":0},"citationItems":[{"id":1,"uris":["http://zotero.org/users/local/BgaHAIQb/items/ZKYT9SXV","http://zotero.org/users/17348326/items/ZKYT9SXV"],"itemData":{"id":1,"type":"report","number":"Version 1.0","publisher":"AEMO","title":"2024 Integrated System Plan (ISP),","URL":"https://aemo.com.au/-/media/files/major-publications/isp/2024/2024-integrated-system-plan-isp.pdf","author":[{"family":"Australian Energy Market Operator (AEMO)","given":""}],"issued":{"date-parts":[["2024",6]]}}}],"schema":"https://github.com/citation-style-language/schema/raw/master/csl-citation.json"} </w:instrText>
        </w:r>
        <w:r w:rsidR="00B300B1" w:rsidRPr="00720DAD">
          <w:rPr>
            <w:rStyle w:val="Hyperlink"/>
            <w:lang w:eastAsia="en-US" w:bidi="ar-SA"/>
          </w:rPr>
          <w:fldChar w:fldCharType="separate"/>
        </w:r>
        <w:r w:rsidR="00B300B1" w:rsidRPr="00720DAD">
          <w:rPr>
            <w:rStyle w:val="Hyperlink"/>
          </w:rPr>
          <w:t>[1]</w:t>
        </w:r>
        <w:r w:rsidR="00B300B1" w:rsidRPr="00720DAD">
          <w:rPr>
            <w:rStyle w:val="Hyperlink"/>
            <w:lang w:eastAsia="en-US" w:bidi="ar-SA"/>
          </w:rPr>
          <w:fldChar w:fldCharType="end"/>
        </w:r>
      </w:hyperlink>
      <w:r w:rsidR="00474E48">
        <w:rPr>
          <w:lang w:eastAsia="en-US" w:bidi="ar-SA"/>
        </w:rPr>
        <w:t xml:space="preserve">. </w:t>
      </w:r>
      <w:r w:rsidR="00E307C8">
        <w:rPr>
          <w:lang w:eastAsia="en-US" w:bidi="ar-SA"/>
        </w:rPr>
        <w:t>S</w:t>
      </w:r>
      <w:r w:rsidR="00C90979">
        <w:rPr>
          <w:lang w:eastAsia="en-US" w:bidi="ar-SA"/>
        </w:rPr>
        <w:t>takeholder</w:t>
      </w:r>
      <w:r w:rsidR="00242A7A">
        <w:rPr>
          <w:lang w:eastAsia="en-US" w:bidi="ar-SA"/>
        </w:rPr>
        <w:t xml:space="preserve"> perspectives, </w:t>
      </w:r>
      <w:r w:rsidR="00C90979">
        <w:rPr>
          <w:lang w:eastAsia="en-US" w:bidi="ar-SA"/>
        </w:rPr>
        <w:t xml:space="preserve">preferences </w:t>
      </w:r>
      <w:r w:rsidR="0012355D">
        <w:rPr>
          <w:lang w:eastAsia="en-US" w:bidi="ar-SA"/>
        </w:rPr>
        <w:t xml:space="preserve">and </w:t>
      </w:r>
      <w:r w:rsidR="00242A7A">
        <w:rPr>
          <w:lang w:eastAsia="en-US" w:bidi="ar-SA"/>
        </w:rPr>
        <w:t xml:space="preserve">the consideration of </w:t>
      </w:r>
      <w:r w:rsidR="00C90979">
        <w:rPr>
          <w:lang w:eastAsia="en-US" w:bidi="ar-SA"/>
        </w:rPr>
        <w:t xml:space="preserve">individual </w:t>
      </w:r>
      <w:r w:rsidR="00474E48" w:rsidRPr="00F61E48">
        <w:rPr>
          <w:lang w:eastAsia="en-US" w:bidi="ar-SA"/>
        </w:rPr>
        <w:t>use case</w:t>
      </w:r>
      <w:r w:rsidR="00C90979">
        <w:rPr>
          <w:lang w:eastAsia="en-US" w:bidi="ar-SA"/>
        </w:rPr>
        <w:t>s</w:t>
      </w:r>
      <w:r w:rsidR="00242A7A">
        <w:rPr>
          <w:lang w:eastAsia="en-US" w:bidi="ar-SA"/>
        </w:rPr>
        <w:t xml:space="preserve"> are all </w:t>
      </w:r>
      <w:r w:rsidR="001A642A">
        <w:rPr>
          <w:lang w:eastAsia="en-US" w:bidi="ar-SA"/>
        </w:rPr>
        <w:t>important</w:t>
      </w:r>
      <w:r w:rsidR="0012355D">
        <w:rPr>
          <w:lang w:eastAsia="en-US" w:bidi="ar-SA"/>
        </w:rPr>
        <w:t xml:space="preserve"> </w:t>
      </w:r>
      <w:r w:rsidR="00242A7A">
        <w:rPr>
          <w:lang w:eastAsia="en-US" w:bidi="ar-SA"/>
        </w:rPr>
        <w:t>inputs</w:t>
      </w:r>
      <w:r w:rsidR="00242A7A" w:rsidRPr="00F61E48">
        <w:rPr>
          <w:lang w:eastAsia="en-US" w:bidi="ar-SA"/>
        </w:rPr>
        <w:t xml:space="preserve"> </w:t>
      </w:r>
      <w:r w:rsidR="00242A7A">
        <w:rPr>
          <w:lang w:eastAsia="en-US" w:bidi="ar-SA"/>
        </w:rPr>
        <w:t xml:space="preserve">to </w:t>
      </w:r>
      <w:r w:rsidR="00E307C8">
        <w:rPr>
          <w:lang w:eastAsia="en-US" w:bidi="ar-SA"/>
        </w:rPr>
        <w:t xml:space="preserve">the </w:t>
      </w:r>
      <w:r w:rsidR="00242A7A" w:rsidRPr="00F61E48">
        <w:rPr>
          <w:lang w:eastAsia="en-US" w:bidi="ar-SA"/>
        </w:rPr>
        <w:t>wider process</w:t>
      </w:r>
      <w:r w:rsidR="00E307C8">
        <w:rPr>
          <w:lang w:eastAsia="en-US" w:bidi="ar-SA"/>
        </w:rPr>
        <w:t xml:space="preserve"> of considering </w:t>
      </w:r>
      <w:r w:rsidR="0012355D">
        <w:rPr>
          <w:lang w:eastAsia="en-US" w:bidi="ar-SA"/>
        </w:rPr>
        <w:t xml:space="preserve">future </w:t>
      </w:r>
      <w:r w:rsidR="00E307C8">
        <w:rPr>
          <w:lang w:eastAsia="en-US" w:bidi="ar-SA"/>
        </w:rPr>
        <w:t xml:space="preserve">roles and responsibilities.  </w:t>
      </w:r>
      <w:r w:rsidR="0012355D">
        <w:rPr>
          <w:lang w:eastAsia="en-US" w:bidi="ar-SA"/>
        </w:rPr>
        <w:t>However, in</w:t>
      </w:r>
      <w:r w:rsidR="00796D87">
        <w:rPr>
          <w:lang w:eastAsia="en-US" w:bidi="ar-SA"/>
        </w:rPr>
        <w:t xml:space="preserve"> the context of such a complex</w:t>
      </w:r>
      <w:r w:rsidR="0012355D">
        <w:rPr>
          <w:lang w:eastAsia="en-US" w:bidi="ar-SA"/>
        </w:rPr>
        <w:t xml:space="preserve"> and</w:t>
      </w:r>
      <w:r w:rsidR="005C73C5">
        <w:rPr>
          <w:lang w:eastAsia="en-US" w:bidi="ar-SA"/>
        </w:rPr>
        <w:t xml:space="preserve"> functionally interdependent</w:t>
      </w:r>
      <w:r w:rsidR="00796D87">
        <w:rPr>
          <w:lang w:eastAsia="en-US" w:bidi="ar-SA"/>
        </w:rPr>
        <w:t xml:space="preserve"> system, </w:t>
      </w:r>
      <w:r w:rsidR="0071277C">
        <w:rPr>
          <w:lang w:eastAsia="en-US" w:bidi="ar-SA"/>
        </w:rPr>
        <w:t>t</w:t>
      </w:r>
      <w:r w:rsidR="00E307C8">
        <w:rPr>
          <w:lang w:eastAsia="en-US" w:bidi="ar-SA"/>
        </w:rPr>
        <w:t>hey</w:t>
      </w:r>
      <w:r w:rsidR="0071277C">
        <w:rPr>
          <w:lang w:eastAsia="en-US" w:bidi="ar-SA"/>
        </w:rPr>
        <w:t xml:space="preserve"> are </w:t>
      </w:r>
      <w:r w:rsidR="0012355D">
        <w:rPr>
          <w:lang w:eastAsia="en-US" w:bidi="ar-SA"/>
        </w:rPr>
        <w:t xml:space="preserve">not sufficient for </w:t>
      </w:r>
      <w:r w:rsidR="0071277C">
        <w:rPr>
          <w:lang w:eastAsia="en-US" w:bidi="ar-SA"/>
        </w:rPr>
        <w:t xml:space="preserve">providing </w:t>
      </w:r>
      <w:r w:rsidR="00785607">
        <w:rPr>
          <w:lang w:eastAsia="en-US" w:bidi="ar-SA"/>
        </w:rPr>
        <w:t>a credible</w:t>
      </w:r>
      <w:r w:rsidR="00CE440A">
        <w:rPr>
          <w:lang w:eastAsia="en-US" w:bidi="ar-SA"/>
        </w:rPr>
        <w:t xml:space="preserve">, </w:t>
      </w:r>
      <w:r w:rsidR="00C0223D">
        <w:rPr>
          <w:lang w:eastAsia="en-US" w:bidi="ar-SA"/>
        </w:rPr>
        <w:t xml:space="preserve">systemic </w:t>
      </w:r>
      <w:r w:rsidR="00882BF2">
        <w:rPr>
          <w:lang w:eastAsia="en-US" w:bidi="ar-SA"/>
        </w:rPr>
        <w:t>basis fo</w:t>
      </w:r>
      <w:r w:rsidR="00E90223">
        <w:rPr>
          <w:lang w:eastAsia="en-US" w:bidi="ar-SA"/>
        </w:rPr>
        <w:t xml:space="preserve">r the detailed assignment of </w:t>
      </w:r>
      <w:r w:rsidR="00B84C40">
        <w:rPr>
          <w:lang w:eastAsia="en-US" w:bidi="ar-SA"/>
        </w:rPr>
        <w:t>roles and responsibilities.</w:t>
      </w:r>
      <w:r w:rsidR="00925379">
        <w:rPr>
          <w:lang w:eastAsia="en-US" w:bidi="ar-SA"/>
        </w:rPr>
        <w:t xml:space="preserve">  </w:t>
      </w:r>
      <w:r w:rsidR="00CE440A">
        <w:rPr>
          <w:lang w:eastAsia="en-US" w:bidi="ar-SA"/>
        </w:rPr>
        <w:t xml:space="preserve">Where </w:t>
      </w:r>
      <w:r w:rsidR="005C73C5">
        <w:rPr>
          <w:lang w:eastAsia="en-US" w:bidi="ar-SA"/>
        </w:rPr>
        <w:t>the</w:t>
      </w:r>
      <w:r w:rsidR="00CE440A">
        <w:rPr>
          <w:lang w:eastAsia="en-US" w:bidi="ar-SA"/>
        </w:rPr>
        <w:t xml:space="preserve"> more subjective considerations are not underpinned by more objective structural analyses</w:t>
      </w:r>
      <w:r w:rsidR="006A6B0C">
        <w:rPr>
          <w:lang w:eastAsia="en-US" w:bidi="ar-SA"/>
        </w:rPr>
        <w:t>, t</w:t>
      </w:r>
      <w:r w:rsidR="008B0462" w:rsidRPr="00F61E48">
        <w:rPr>
          <w:lang w:eastAsia="en-US" w:bidi="ar-SA"/>
        </w:rPr>
        <w:t xml:space="preserve">he risk of unintended consequences </w:t>
      </w:r>
      <w:r w:rsidR="008B0462">
        <w:rPr>
          <w:lang w:eastAsia="en-US" w:bidi="ar-SA"/>
        </w:rPr>
        <w:t xml:space="preserve">and cost excursions is significantly </w:t>
      </w:r>
      <w:r w:rsidR="008B0462" w:rsidRPr="00F61E48">
        <w:rPr>
          <w:lang w:eastAsia="en-US" w:bidi="ar-SA"/>
        </w:rPr>
        <w:t>elevate</w:t>
      </w:r>
      <w:r w:rsidR="00C95AB8">
        <w:rPr>
          <w:lang w:eastAsia="en-US" w:bidi="ar-SA"/>
        </w:rPr>
        <w:t>d</w:t>
      </w:r>
      <w:r w:rsidR="00B300B1">
        <w:rPr>
          <w:lang w:eastAsia="en-US" w:bidi="ar-SA"/>
        </w:rPr>
        <w:t xml:space="preserve">. </w:t>
      </w:r>
    </w:p>
    <w:p w14:paraId="27960D1A" w14:textId="77777777" w:rsidR="00CA1E29" w:rsidRPr="00F61E48" w:rsidRDefault="00CA1E29" w:rsidP="00EB2823">
      <w:pPr>
        <w:spacing w:before="180" w:after="120" w:line="264" w:lineRule="auto"/>
        <w:rPr>
          <w:rStyle w:val="IntenseEmphasis"/>
        </w:rPr>
      </w:pPr>
      <w:r w:rsidRPr="00F61E48">
        <w:rPr>
          <w:rStyle w:val="IntenseEmphasis"/>
        </w:rPr>
        <w:t xml:space="preserve">Critical Emerging Topics that Require Formal Structural Analysis </w:t>
      </w:r>
    </w:p>
    <w:p w14:paraId="771F31AB" w14:textId="0024963C" w:rsidR="00CA1E29" w:rsidRPr="00F61E48" w:rsidRDefault="006A6B0C" w:rsidP="00EB2823">
      <w:pPr>
        <w:spacing w:before="120" w:after="120" w:line="264" w:lineRule="auto"/>
        <w:rPr>
          <w:lang w:eastAsia="en-US" w:bidi="ar-SA"/>
        </w:rPr>
      </w:pPr>
      <w:r>
        <w:rPr>
          <w:lang w:eastAsia="en-US" w:bidi="ar-SA"/>
        </w:rPr>
        <w:t xml:space="preserve">As indicated above, </w:t>
      </w:r>
      <w:r w:rsidR="006A3475">
        <w:rPr>
          <w:lang w:eastAsia="en-US" w:bidi="ar-SA"/>
        </w:rPr>
        <w:t xml:space="preserve">readying </w:t>
      </w:r>
      <w:r w:rsidR="006760D9">
        <w:rPr>
          <w:lang w:eastAsia="en-US" w:bidi="ar-SA"/>
        </w:rPr>
        <w:t xml:space="preserve">a </w:t>
      </w:r>
      <w:r w:rsidR="006A3475">
        <w:rPr>
          <w:lang w:eastAsia="en-US" w:bidi="ar-SA"/>
        </w:rPr>
        <w:t>legacy p</w:t>
      </w:r>
      <w:r w:rsidR="002067E4" w:rsidRPr="002C72C2">
        <w:rPr>
          <w:lang w:eastAsia="en-US" w:bidi="ar-SA"/>
        </w:rPr>
        <w:t>ower system</w:t>
      </w:r>
      <w:r w:rsidR="006A3475">
        <w:rPr>
          <w:lang w:eastAsia="en-US" w:bidi="ar-SA"/>
        </w:rPr>
        <w:t xml:space="preserve"> like the NEM for </w:t>
      </w:r>
      <w:r w:rsidR="002067E4">
        <w:rPr>
          <w:lang w:eastAsia="en-US" w:bidi="ar-SA"/>
        </w:rPr>
        <w:t>more deeply decarbonised, flexible and whole-system operation</w:t>
      </w:r>
      <w:r w:rsidR="00CA1E29" w:rsidRPr="00F61E48">
        <w:rPr>
          <w:lang w:eastAsia="en-US" w:bidi="ar-SA"/>
        </w:rPr>
        <w:t xml:space="preserve"> </w:t>
      </w:r>
      <w:r w:rsidR="00CA18FC">
        <w:rPr>
          <w:lang w:eastAsia="en-US" w:bidi="ar-SA"/>
        </w:rPr>
        <w:t xml:space="preserve">will require </w:t>
      </w:r>
      <w:r w:rsidR="00CA1E29" w:rsidRPr="00F61E48">
        <w:rPr>
          <w:lang w:eastAsia="en-US" w:bidi="ar-SA"/>
        </w:rPr>
        <w:t xml:space="preserve">several new system </w:t>
      </w:r>
      <w:r w:rsidR="006A3475">
        <w:rPr>
          <w:lang w:eastAsia="en-US" w:bidi="ar-SA"/>
        </w:rPr>
        <w:t xml:space="preserve">capabilities </w:t>
      </w:r>
      <w:r w:rsidR="00CA18FC">
        <w:rPr>
          <w:lang w:eastAsia="en-US" w:bidi="ar-SA"/>
        </w:rPr>
        <w:t>that</w:t>
      </w:r>
      <w:r w:rsidR="006A3475">
        <w:rPr>
          <w:lang w:eastAsia="en-US" w:bidi="ar-SA"/>
        </w:rPr>
        <w:t xml:space="preserve"> </w:t>
      </w:r>
      <w:r w:rsidR="00CA1E29" w:rsidRPr="00F61E48">
        <w:rPr>
          <w:lang w:eastAsia="en-US" w:bidi="ar-SA"/>
        </w:rPr>
        <w:t xml:space="preserve">materially impact future </w:t>
      </w:r>
      <w:r w:rsidR="0059601A" w:rsidRPr="00F61E48">
        <w:rPr>
          <w:lang w:eastAsia="en-US" w:bidi="ar-SA"/>
        </w:rPr>
        <w:t>roles and r</w:t>
      </w:r>
      <w:r w:rsidR="00CA1E29" w:rsidRPr="00F61E48">
        <w:rPr>
          <w:lang w:eastAsia="en-US" w:bidi="ar-SA"/>
        </w:rPr>
        <w:t>esponsibilities</w:t>
      </w:r>
      <w:r w:rsidR="00374950">
        <w:rPr>
          <w:lang w:eastAsia="en-US" w:bidi="ar-SA"/>
        </w:rPr>
        <w:t>.</w:t>
      </w:r>
      <w:r w:rsidR="006A3475">
        <w:rPr>
          <w:lang w:eastAsia="en-US" w:bidi="ar-SA"/>
        </w:rPr>
        <w:t xml:space="preserve">  In particular, </w:t>
      </w:r>
      <w:r w:rsidR="006259F3">
        <w:rPr>
          <w:lang w:eastAsia="en-US" w:bidi="ar-SA"/>
        </w:rPr>
        <w:t xml:space="preserve">both DSO and TDC models </w:t>
      </w:r>
      <w:r w:rsidR="00644493">
        <w:rPr>
          <w:lang w:eastAsia="en-US" w:bidi="ar-SA"/>
        </w:rPr>
        <w:t>are being active</w:t>
      </w:r>
      <w:r w:rsidR="00A31938">
        <w:rPr>
          <w:lang w:eastAsia="en-US" w:bidi="ar-SA"/>
        </w:rPr>
        <w:t xml:space="preserve">ly </w:t>
      </w:r>
      <w:r w:rsidR="00CA1E29" w:rsidRPr="00F61E48">
        <w:rPr>
          <w:lang w:eastAsia="en-US" w:bidi="ar-SA"/>
        </w:rPr>
        <w:t>explored</w:t>
      </w:r>
      <w:r w:rsidR="00644493">
        <w:rPr>
          <w:lang w:eastAsia="en-US" w:bidi="ar-SA"/>
        </w:rPr>
        <w:t xml:space="preserve"> and deployed </w:t>
      </w:r>
      <w:r w:rsidR="00CA1E29" w:rsidRPr="00F61E48">
        <w:rPr>
          <w:lang w:eastAsia="en-US" w:bidi="ar-SA"/>
        </w:rPr>
        <w:t>in the</w:t>
      </w:r>
      <w:r w:rsidR="00644493">
        <w:rPr>
          <w:lang w:eastAsia="en-US" w:bidi="ar-SA"/>
        </w:rPr>
        <w:t xml:space="preserve"> </w:t>
      </w:r>
      <w:r w:rsidR="00CA1E29" w:rsidRPr="00F61E48">
        <w:rPr>
          <w:lang w:eastAsia="en-US" w:bidi="ar-SA"/>
        </w:rPr>
        <w:t>United Kingdom</w:t>
      </w:r>
      <w:r w:rsidR="00644493">
        <w:rPr>
          <w:lang w:eastAsia="en-US" w:bidi="ar-SA"/>
        </w:rPr>
        <w:t xml:space="preserve">, </w:t>
      </w:r>
      <w:r w:rsidR="00CA1E29" w:rsidRPr="00F61E48">
        <w:rPr>
          <w:lang w:eastAsia="en-US" w:bidi="ar-SA"/>
        </w:rPr>
        <w:t>the European Union</w:t>
      </w:r>
      <w:r w:rsidR="00644493">
        <w:rPr>
          <w:lang w:eastAsia="en-US" w:bidi="ar-SA"/>
        </w:rPr>
        <w:t xml:space="preserve"> and </w:t>
      </w:r>
      <w:r w:rsidR="00A31938">
        <w:rPr>
          <w:lang w:eastAsia="en-US" w:bidi="ar-SA"/>
        </w:rPr>
        <w:t xml:space="preserve">the </w:t>
      </w:r>
      <w:r w:rsidR="00DC4CA1">
        <w:rPr>
          <w:lang w:eastAsia="en-US" w:bidi="ar-SA"/>
        </w:rPr>
        <w:t>United States</w:t>
      </w:r>
      <w:r w:rsidR="00597C95">
        <w:rPr>
          <w:lang w:eastAsia="en-US" w:bidi="ar-SA"/>
        </w:rPr>
        <w:t xml:space="preserve"> </w:t>
      </w:r>
      <w:hyperlink w:anchor="Ref_8" w:history="1">
        <w:r w:rsidR="00597C95" w:rsidRPr="00F42427">
          <w:rPr>
            <w:rStyle w:val="Hyperlink"/>
            <w:szCs w:val="18"/>
            <w:lang w:val="en-US"/>
          </w:rPr>
          <w:fldChar w:fldCharType="begin"/>
        </w:r>
        <w:r w:rsidR="00597C95" w:rsidRPr="00F42427">
          <w:rPr>
            <w:rStyle w:val="Hyperlink"/>
            <w:szCs w:val="18"/>
            <w:lang w:val="en-US"/>
          </w:rPr>
          <w:instrText xml:space="preserve"> ADDIN ZOTERO_ITEM CSL_CITATION {"citationID":"Cm7or5UU","properties":{"formattedCitation":"[8]","plainCitation":"[8]","noteIndex":48},"citationItems":[{"id":29,"uris":["http://zotero.org/users/17348326/items/RTAW48WM"],"itemData":{"id":29,"type":"report","title":"System Operation: Innovation Landscape (collection)","URL":"https://www.irena.org/-/media/Files/IRENA/Agency/Publication/2020/Jul/IRENA_System_Operation_Collection_2020.pdf","author":[{"family":"International Renewable Energy Agency (IRENA)","given":""}],"issued":{"date-parts":[["2020",7]]}}}],"schema":"https://github.com/citation-style-language/schema/raw/master/csl-citation.json"} </w:instrText>
        </w:r>
        <w:r w:rsidR="00597C95" w:rsidRPr="00F42427">
          <w:rPr>
            <w:rStyle w:val="Hyperlink"/>
            <w:szCs w:val="18"/>
            <w:lang w:val="en-US"/>
          </w:rPr>
          <w:fldChar w:fldCharType="separate"/>
        </w:r>
        <w:r w:rsidR="00597C95" w:rsidRPr="00F42427">
          <w:rPr>
            <w:rStyle w:val="Hyperlink"/>
            <w:szCs w:val="18"/>
          </w:rPr>
          <w:t>[8]</w:t>
        </w:r>
        <w:r w:rsidR="00597C95" w:rsidRPr="00F42427">
          <w:rPr>
            <w:rStyle w:val="Hyperlink"/>
            <w:szCs w:val="18"/>
            <w:lang w:val="en-US"/>
          </w:rPr>
          <w:fldChar w:fldCharType="end"/>
        </w:r>
      </w:hyperlink>
      <w:r w:rsidR="00597C95" w:rsidRPr="00F42427">
        <w:rPr>
          <w:szCs w:val="18"/>
          <w:lang w:val="en-US"/>
        </w:rPr>
        <w:t xml:space="preserve">, </w:t>
      </w:r>
      <w:hyperlink w:anchor="Ref_9" w:history="1">
        <w:r w:rsidR="00597C95" w:rsidRPr="00F42427">
          <w:rPr>
            <w:rStyle w:val="Hyperlink"/>
            <w:szCs w:val="18"/>
            <w:lang w:val="en-US"/>
          </w:rPr>
          <w:fldChar w:fldCharType="begin"/>
        </w:r>
        <w:r w:rsidR="00597C95" w:rsidRPr="00F42427">
          <w:rPr>
            <w:rStyle w:val="Hyperlink"/>
            <w:szCs w:val="18"/>
            <w:lang w:val="en-US"/>
          </w:rPr>
          <w:instrText xml:space="preserve"> ADDIN ZOTERO_ITEM CSL_CITATION {"citationID":"8PjNHTb9","properties":{"formattedCitation":"[9]","plainCitation":"[9]","noteIndex":48},"citationItems":[{"id":30,"uris":["http://zotero.org/users/17348326/items/YSH4UJZ7"],"itemData":{"id":30,"type":"report","title":"Coordination of Distributed Energy Resources; International System Architecture Insights for Future Market Design","URL":"https://energypedia.info/images/4/47/069_Coordination_of_Distributed_Energy_Resources%3B_International_System_Architecture_Insights_for_Future_.pdf","author":[{"family":"Newport Consortium","given":""}],"issued":{"date-parts":[["2018",5,31]]}}}],"schema":"https://github.com/citation-style-language/schema/raw/master/csl-citation.json"} </w:instrText>
        </w:r>
        <w:r w:rsidR="00597C95" w:rsidRPr="00F42427">
          <w:rPr>
            <w:rStyle w:val="Hyperlink"/>
            <w:szCs w:val="18"/>
            <w:lang w:val="en-US"/>
          </w:rPr>
          <w:fldChar w:fldCharType="separate"/>
        </w:r>
        <w:r w:rsidR="00597C95" w:rsidRPr="00F42427">
          <w:rPr>
            <w:rStyle w:val="Hyperlink"/>
            <w:szCs w:val="18"/>
          </w:rPr>
          <w:t>[9]</w:t>
        </w:r>
        <w:r w:rsidR="00597C95" w:rsidRPr="00F42427">
          <w:rPr>
            <w:rStyle w:val="Hyperlink"/>
            <w:szCs w:val="18"/>
            <w:lang w:val="en-US"/>
          </w:rPr>
          <w:fldChar w:fldCharType="end"/>
        </w:r>
      </w:hyperlink>
      <w:r w:rsidR="00597C95" w:rsidRPr="00F42427">
        <w:rPr>
          <w:szCs w:val="18"/>
          <w:lang w:val="en-US"/>
        </w:rPr>
        <w:t xml:space="preserve">, </w:t>
      </w:r>
      <w:hyperlink w:anchor="Ref_10" w:history="1">
        <w:r w:rsidR="00597C95" w:rsidRPr="00F42427">
          <w:rPr>
            <w:rStyle w:val="Hyperlink"/>
            <w:szCs w:val="18"/>
          </w:rPr>
          <w:fldChar w:fldCharType="begin"/>
        </w:r>
        <w:r w:rsidR="00597C95" w:rsidRPr="00F42427">
          <w:rPr>
            <w:rStyle w:val="Hyperlink"/>
            <w:szCs w:val="18"/>
          </w:rPr>
          <w:instrText xml:space="preserve"> ADDIN ZOTERO_ITEM CSL_CITATION {"citationID":"ZhobQqqK","properties":{"formattedCitation":"[10]","plainCitation":"[10]","noteIndex":48},"citationItems":[{"id":31,"uris":["http://zotero.org/users/17348326/items/K8FVINDG"],"itemData":{"id":31,"type":"report","title":"Evaluation of Combinations of Coordination Schemes and Products for Grid Services (Deliverable D6.2, Chapter</w:instrText>
        </w:r>
        <w:r w:rsidR="00597C95" w:rsidRPr="00F42427">
          <w:rPr>
            <w:rStyle w:val="Hyperlink"/>
            <w:rFonts w:ascii="Cambria Math" w:hAnsi="Cambria Math" w:cs="Cambria Math"/>
            <w:szCs w:val="18"/>
          </w:rPr>
          <w:instrText> </w:instrText>
        </w:r>
        <w:r w:rsidR="00597C95" w:rsidRPr="00F42427">
          <w:rPr>
            <w:rStyle w:val="Hyperlink"/>
            <w:szCs w:val="18"/>
          </w:rPr>
          <w:instrText xml:space="preserve">4)","URL":"https://zenodo.org/records/5871555","author":[{"family":"CoordiNet Project","given":""}],"issued":{"date-parts":[["2022"]]}}}],"schema":"https://github.com/citation-style-language/schema/raw/master/csl-citation.json"} </w:instrText>
        </w:r>
        <w:r w:rsidR="00597C95" w:rsidRPr="00F42427">
          <w:rPr>
            <w:rStyle w:val="Hyperlink"/>
            <w:szCs w:val="18"/>
          </w:rPr>
          <w:fldChar w:fldCharType="separate"/>
        </w:r>
        <w:r w:rsidR="00597C95" w:rsidRPr="00F42427">
          <w:rPr>
            <w:rStyle w:val="Hyperlink"/>
            <w:szCs w:val="18"/>
          </w:rPr>
          <w:t>[10]</w:t>
        </w:r>
        <w:r w:rsidR="00597C95" w:rsidRPr="00F42427">
          <w:rPr>
            <w:rStyle w:val="Hyperlink"/>
            <w:szCs w:val="18"/>
          </w:rPr>
          <w:fldChar w:fldCharType="end"/>
        </w:r>
      </w:hyperlink>
      <w:r w:rsidR="00A31938" w:rsidRPr="00F42427">
        <w:rPr>
          <w:szCs w:val="18"/>
        </w:rPr>
        <w:t xml:space="preserve"> </w:t>
      </w:r>
      <w:r w:rsidR="00C1077E" w:rsidRPr="00F42427">
        <w:rPr>
          <w:szCs w:val="18"/>
        </w:rPr>
        <w:t>as follows</w:t>
      </w:r>
      <w:r w:rsidR="00C1077E">
        <w:t xml:space="preserve">. </w:t>
      </w:r>
    </w:p>
    <w:p w14:paraId="73DD9F25" w14:textId="133E47F1" w:rsidR="00522233" w:rsidRPr="00F61E48" w:rsidRDefault="00522233" w:rsidP="00954BAC">
      <w:pPr>
        <w:pStyle w:val="ListParagraph"/>
        <w:numPr>
          <w:ilvl w:val="0"/>
          <w:numId w:val="29"/>
        </w:numPr>
        <w:spacing w:line="264" w:lineRule="auto"/>
        <w:rPr>
          <w:lang w:eastAsia="en-US" w:bidi="ar-SA"/>
        </w:rPr>
      </w:pPr>
      <w:r w:rsidRPr="00E132D5">
        <w:rPr>
          <w:rFonts w:ascii="PP Mori SemiBold" w:hAnsi="PP Mori SemiBold"/>
          <w:color w:val="013C4C" w:themeColor="text1"/>
          <w:lang w:eastAsia="en-US" w:bidi="ar-SA"/>
        </w:rPr>
        <w:t>Distribution System Operator (DSO):</w:t>
      </w:r>
      <w:r w:rsidRPr="00E132D5">
        <w:rPr>
          <w:color w:val="013C4C" w:themeColor="text1"/>
          <w:lang w:eastAsia="en-US" w:bidi="ar-SA"/>
        </w:rPr>
        <w:t xml:space="preserve"> </w:t>
      </w:r>
      <w:r>
        <w:rPr>
          <w:color w:val="013C4C" w:themeColor="text1"/>
          <w:lang w:eastAsia="en-US" w:bidi="ar-SA"/>
        </w:rPr>
        <w:t>I</w:t>
      </w:r>
      <w:r w:rsidRPr="00F61E48">
        <w:rPr>
          <w:lang w:eastAsia="en-US" w:bidi="ar-SA"/>
        </w:rPr>
        <w:t>n contexts where a</w:t>
      </w:r>
      <w:r w:rsidR="00AB5DDC">
        <w:rPr>
          <w:lang w:eastAsia="en-US" w:bidi="ar-SA"/>
        </w:rPr>
        <w:t xml:space="preserve"> </w:t>
      </w:r>
      <w:r w:rsidRPr="00F61E48">
        <w:rPr>
          <w:lang w:eastAsia="en-US" w:bidi="ar-SA"/>
        </w:rPr>
        <w:t xml:space="preserve">growing proportion of </w:t>
      </w:r>
      <w:r w:rsidR="00AB5DDC">
        <w:rPr>
          <w:lang w:eastAsia="en-US" w:bidi="ar-SA"/>
        </w:rPr>
        <w:t>net</w:t>
      </w:r>
      <w:r w:rsidRPr="00F61E48">
        <w:rPr>
          <w:lang w:eastAsia="en-US" w:bidi="ar-SA"/>
        </w:rPr>
        <w:t xml:space="preserve"> energy resource</w:t>
      </w:r>
      <w:r w:rsidR="00AB5DDC">
        <w:rPr>
          <w:lang w:eastAsia="en-US" w:bidi="ar-SA"/>
        </w:rPr>
        <w:t>s are</w:t>
      </w:r>
      <w:r w:rsidRPr="00F61E48">
        <w:rPr>
          <w:lang w:eastAsia="en-US" w:bidi="ar-SA"/>
        </w:rPr>
        <w:t xml:space="preserve"> </w:t>
      </w:r>
      <w:r w:rsidR="00AB5DDC">
        <w:rPr>
          <w:lang w:eastAsia="en-US" w:bidi="ar-SA"/>
        </w:rPr>
        <w:t>distribution</w:t>
      </w:r>
      <w:r w:rsidRPr="00F61E48">
        <w:rPr>
          <w:lang w:eastAsia="en-US" w:bidi="ar-SA"/>
        </w:rPr>
        <w:t xml:space="preserve">-connected, </w:t>
      </w:r>
      <w:r w:rsidR="00B13F47">
        <w:rPr>
          <w:lang w:eastAsia="en-US" w:bidi="ar-SA"/>
        </w:rPr>
        <w:t>new</w:t>
      </w:r>
      <w:r w:rsidRPr="00F61E48">
        <w:rPr>
          <w:lang w:eastAsia="en-US" w:bidi="ar-SA"/>
        </w:rPr>
        <w:t xml:space="preserve"> formalised </w:t>
      </w:r>
      <w:r w:rsidR="00B07FDD">
        <w:rPr>
          <w:lang w:eastAsia="en-US" w:bidi="ar-SA"/>
        </w:rPr>
        <w:t xml:space="preserve">responsibilities </w:t>
      </w:r>
      <w:r w:rsidRPr="00F61E48">
        <w:rPr>
          <w:lang w:eastAsia="en-US" w:bidi="ar-SA"/>
        </w:rPr>
        <w:t xml:space="preserve">for the </w:t>
      </w:r>
      <w:r>
        <w:rPr>
          <w:lang w:eastAsia="en-US" w:bidi="ar-SA"/>
        </w:rPr>
        <w:t xml:space="preserve">real-time </w:t>
      </w:r>
      <w:r w:rsidRPr="00F61E48">
        <w:rPr>
          <w:lang w:eastAsia="en-US" w:bidi="ar-SA"/>
        </w:rPr>
        <w:t>operation</w:t>
      </w:r>
      <w:r>
        <w:rPr>
          <w:lang w:eastAsia="en-US" w:bidi="ar-SA"/>
        </w:rPr>
        <w:t xml:space="preserve">, </w:t>
      </w:r>
      <w:r w:rsidR="00B07FDD">
        <w:rPr>
          <w:lang w:eastAsia="en-US" w:bidi="ar-SA"/>
        </w:rPr>
        <w:t xml:space="preserve">optimisation and </w:t>
      </w:r>
      <w:r>
        <w:rPr>
          <w:lang w:eastAsia="en-US" w:bidi="ar-SA"/>
        </w:rPr>
        <w:t>integrated</w:t>
      </w:r>
      <w:r w:rsidRPr="00F61E48">
        <w:rPr>
          <w:lang w:eastAsia="en-US" w:bidi="ar-SA"/>
        </w:rPr>
        <w:t xml:space="preserve"> planning of high-CER/DER distribution systems, together with their interoperation with the bulk power system, become</w:t>
      </w:r>
      <w:r w:rsidR="00B13F47">
        <w:rPr>
          <w:lang w:eastAsia="en-US" w:bidi="ar-SA"/>
        </w:rPr>
        <w:t xml:space="preserve"> </w:t>
      </w:r>
      <w:r w:rsidRPr="00F61E48">
        <w:rPr>
          <w:lang w:eastAsia="en-US" w:bidi="ar-SA"/>
        </w:rPr>
        <w:t>essential</w:t>
      </w:r>
      <w:r>
        <w:rPr>
          <w:lang w:eastAsia="en-US" w:bidi="ar-SA"/>
        </w:rPr>
        <w:t xml:space="preserve">. </w:t>
      </w:r>
      <w:r w:rsidR="003006CF">
        <w:rPr>
          <w:lang w:eastAsia="en-US" w:bidi="ar-SA"/>
        </w:rPr>
        <w:t xml:space="preserve">In the context of </w:t>
      </w:r>
      <w:r>
        <w:rPr>
          <w:lang w:eastAsia="en-US" w:bidi="ar-SA"/>
        </w:rPr>
        <w:t>Australia’s d</w:t>
      </w:r>
      <w:r w:rsidRPr="00F61E48">
        <w:rPr>
          <w:lang w:eastAsia="en-US" w:bidi="ar-SA"/>
        </w:rPr>
        <w:t xml:space="preserve">eeply </w:t>
      </w:r>
      <w:r>
        <w:rPr>
          <w:lang w:eastAsia="en-US" w:bidi="ar-SA"/>
        </w:rPr>
        <w:t>distributed grid t</w:t>
      </w:r>
      <w:r w:rsidRPr="00F61E48">
        <w:rPr>
          <w:lang w:eastAsia="en-US" w:bidi="ar-SA"/>
        </w:rPr>
        <w:t>ransformation, the holistic range of functions required</w:t>
      </w:r>
      <w:r>
        <w:rPr>
          <w:lang w:eastAsia="en-US" w:bidi="ar-SA"/>
        </w:rPr>
        <w:t xml:space="preserve"> by </w:t>
      </w:r>
      <w:r w:rsidR="003006CF">
        <w:rPr>
          <w:lang w:eastAsia="en-US" w:bidi="ar-SA"/>
        </w:rPr>
        <w:t xml:space="preserve">emerging </w:t>
      </w:r>
      <w:r>
        <w:rPr>
          <w:lang w:eastAsia="en-US" w:bidi="ar-SA"/>
        </w:rPr>
        <w:t>DSOs</w:t>
      </w:r>
      <w:r w:rsidRPr="00F61E48">
        <w:rPr>
          <w:lang w:eastAsia="en-US" w:bidi="ar-SA"/>
        </w:rPr>
        <w:t xml:space="preserve"> </w:t>
      </w:r>
      <w:r>
        <w:rPr>
          <w:lang w:eastAsia="en-US" w:bidi="ar-SA"/>
        </w:rPr>
        <w:t xml:space="preserve">here </w:t>
      </w:r>
      <w:r w:rsidRPr="00F61E48">
        <w:rPr>
          <w:lang w:eastAsia="en-US" w:bidi="ar-SA"/>
        </w:rPr>
        <w:t>will arguably be some of the world’s most expansive</w:t>
      </w:r>
      <w:r>
        <w:rPr>
          <w:lang w:eastAsia="en-US" w:bidi="ar-SA"/>
        </w:rPr>
        <w:t xml:space="preserve">. </w:t>
      </w:r>
    </w:p>
    <w:p w14:paraId="02C1701A" w14:textId="2CE9AF58" w:rsidR="00CA1E29" w:rsidRPr="00F61E48" w:rsidRDefault="00CA1E29" w:rsidP="00954BAC">
      <w:pPr>
        <w:pStyle w:val="ListParagraph"/>
        <w:numPr>
          <w:ilvl w:val="0"/>
          <w:numId w:val="29"/>
        </w:numPr>
        <w:spacing w:line="264" w:lineRule="auto"/>
        <w:rPr>
          <w:lang w:eastAsia="en-US" w:bidi="ar-SA"/>
        </w:rPr>
      </w:pPr>
      <w:r w:rsidRPr="00E132D5">
        <w:rPr>
          <w:rFonts w:ascii="PP Mori SemiBold" w:hAnsi="PP Mori SemiBold"/>
          <w:color w:val="013C4C" w:themeColor="text1"/>
          <w:lang w:eastAsia="en-US" w:bidi="ar-SA"/>
        </w:rPr>
        <w:t xml:space="preserve">Transmission-Distribution </w:t>
      </w:r>
      <w:r w:rsidR="00E132D5" w:rsidRPr="00E132D5">
        <w:rPr>
          <w:rFonts w:ascii="PP Mori SemiBold" w:hAnsi="PP Mori SemiBold"/>
          <w:color w:val="013C4C" w:themeColor="text1"/>
          <w:lang w:eastAsia="en-US" w:bidi="ar-SA"/>
        </w:rPr>
        <w:t>Coordination (TDC</w:t>
      </w:r>
      <w:r w:rsidRPr="00E132D5">
        <w:rPr>
          <w:rFonts w:ascii="PP Mori SemiBold" w:hAnsi="PP Mori SemiBold"/>
          <w:color w:val="013C4C" w:themeColor="text1"/>
          <w:lang w:eastAsia="en-US" w:bidi="ar-SA"/>
        </w:rPr>
        <w:t>):</w:t>
      </w:r>
      <w:r w:rsidRPr="00F61E48">
        <w:rPr>
          <w:lang w:eastAsia="en-US" w:bidi="ar-SA"/>
        </w:rPr>
        <w:t xml:space="preserve"> Power </w:t>
      </w:r>
      <w:r w:rsidR="00762F5D" w:rsidRPr="00F61E48">
        <w:rPr>
          <w:lang w:eastAsia="en-US" w:bidi="ar-SA"/>
        </w:rPr>
        <w:t>s</w:t>
      </w:r>
      <w:r w:rsidRPr="00F61E48">
        <w:rPr>
          <w:lang w:eastAsia="en-US" w:bidi="ar-SA"/>
        </w:rPr>
        <w:t xml:space="preserve">ystems that host growing volumes of </w:t>
      </w:r>
      <w:r w:rsidR="004554F1" w:rsidRPr="00F61E48">
        <w:rPr>
          <w:lang w:eastAsia="en-US" w:bidi="ar-SA"/>
        </w:rPr>
        <w:t xml:space="preserve">VRE and </w:t>
      </w:r>
      <w:r w:rsidR="007A3C74" w:rsidRPr="00F61E48">
        <w:rPr>
          <w:lang w:eastAsia="en-US" w:bidi="ar-SA"/>
        </w:rPr>
        <w:t>CER/DER</w:t>
      </w:r>
      <w:r w:rsidRPr="00F61E48">
        <w:rPr>
          <w:lang w:eastAsia="en-US" w:bidi="ar-SA"/>
        </w:rPr>
        <w:t xml:space="preserve"> experience </w:t>
      </w:r>
      <w:r w:rsidR="004205D6">
        <w:rPr>
          <w:lang w:eastAsia="en-US" w:bidi="ar-SA"/>
        </w:rPr>
        <w:t xml:space="preserve">increasing </w:t>
      </w:r>
      <w:r w:rsidR="004554F1" w:rsidRPr="00F61E48">
        <w:rPr>
          <w:lang w:eastAsia="en-US" w:bidi="ar-SA"/>
        </w:rPr>
        <w:t>v</w:t>
      </w:r>
      <w:r w:rsidRPr="00F61E48">
        <w:rPr>
          <w:lang w:eastAsia="en-US" w:bidi="ar-SA"/>
        </w:rPr>
        <w:t>olatility and</w:t>
      </w:r>
      <w:r w:rsidR="004205D6">
        <w:rPr>
          <w:lang w:eastAsia="en-US" w:bidi="ar-SA"/>
        </w:rPr>
        <w:t xml:space="preserve"> more</w:t>
      </w:r>
      <w:r w:rsidRPr="00F61E48">
        <w:rPr>
          <w:lang w:eastAsia="en-US" w:bidi="ar-SA"/>
        </w:rPr>
        <w:t xml:space="preserve"> </w:t>
      </w:r>
      <w:r w:rsidR="00E132D5">
        <w:rPr>
          <w:lang w:eastAsia="en-US" w:bidi="ar-SA"/>
        </w:rPr>
        <w:t>bidirectional</w:t>
      </w:r>
      <w:r w:rsidR="00111E3B">
        <w:rPr>
          <w:lang w:eastAsia="en-US" w:bidi="ar-SA"/>
        </w:rPr>
        <w:t xml:space="preserve"> power flows</w:t>
      </w:r>
      <w:r w:rsidR="00374950">
        <w:rPr>
          <w:lang w:eastAsia="en-US" w:bidi="ar-SA"/>
        </w:rPr>
        <w:t xml:space="preserve">. </w:t>
      </w:r>
      <w:r w:rsidRPr="00F61E48">
        <w:rPr>
          <w:lang w:eastAsia="en-US" w:bidi="ar-SA"/>
        </w:rPr>
        <w:t xml:space="preserve">As a result, simultaneously ensuring system </w:t>
      </w:r>
      <w:r w:rsidR="00A05400" w:rsidRPr="00F61E48">
        <w:rPr>
          <w:lang w:eastAsia="en-US" w:bidi="ar-SA"/>
        </w:rPr>
        <w:t>a</w:t>
      </w:r>
      <w:r w:rsidRPr="00F61E48">
        <w:rPr>
          <w:lang w:eastAsia="en-US" w:bidi="ar-SA"/>
        </w:rPr>
        <w:t xml:space="preserve">dequacy, </w:t>
      </w:r>
      <w:r w:rsidR="00A05400" w:rsidRPr="00F61E48">
        <w:rPr>
          <w:lang w:eastAsia="en-US" w:bidi="ar-SA"/>
        </w:rPr>
        <w:t>s</w:t>
      </w:r>
      <w:r w:rsidRPr="00F61E48">
        <w:rPr>
          <w:lang w:eastAsia="en-US" w:bidi="ar-SA"/>
        </w:rPr>
        <w:t xml:space="preserve">ecurity, </w:t>
      </w:r>
      <w:r w:rsidR="00A05400" w:rsidRPr="00F61E48">
        <w:rPr>
          <w:lang w:eastAsia="en-US" w:bidi="ar-SA"/>
        </w:rPr>
        <w:t>r</w:t>
      </w:r>
      <w:r w:rsidRPr="00F61E48">
        <w:rPr>
          <w:lang w:eastAsia="en-US" w:bidi="ar-SA"/>
        </w:rPr>
        <w:t xml:space="preserve">eliability and </w:t>
      </w:r>
      <w:r w:rsidR="00A05400" w:rsidRPr="00F61E48">
        <w:rPr>
          <w:lang w:eastAsia="en-US" w:bidi="ar-SA"/>
        </w:rPr>
        <w:t>c</w:t>
      </w:r>
      <w:r w:rsidRPr="00F61E48">
        <w:rPr>
          <w:lang w:eastAsia="en-US" w:bidi="ar-SA"/>
        </w:rPr>
        <w:t xml:space="preserve">ost-efficiency </w:t>
      </w:r>
      <w:r w:rsidR="00111E3B">
        <w:rPr>
          <w:lang w:eastAsia="en-US" w:bidi="ar-SA"/>
        </w:rPr>
        <w:t xml:space="preserve">will </w:t>
      </w:r>
      <w:r w:rsidRPr="00F61E48">
        <w:rPr>
          <w:lang w:eastAsia="en-US" w:bidi="ar-SA"/>
        </w:rPr>
        <w:t xml:space="preserve">require much greater levels of dynamic interdependence between the </w:t>
      </w:r>
      <w:r w:rsidR="008E673C" w:rsidRPr="00F61E48">
        <w:rPr>
          <w:lang w:eastAsia="en-US" w:bidi="ar-SA"/>
        </w:rPr>
        <w:t>b</w:t>
      </w:r>
      <w:r w:rsidRPr="00F61E48">
        <w:rPr>
          <w:lang w:eastAsia="en-US" w:bidi="ar-SA"/>
        </w:rPr>
        <w:t xml:space="preserve">ulk </w:t>
      </w:r>
      <w:r w:rsidR="008E673C" w:rsidRPr="00F61E48">
        <w:rPr>
          <w:lang w:eastAsia="en-US" w:bidi="ar-SA"/>
        </w:rPr>
        <w:t>p</w:t>
      </w:r>
      <w:r w:rsidRPr="00F61E48">
        <w:rPr>
          <w:lang w:eastAsia="en-US" w:bidi="ar-SA"/>
        </w:rPr>
        <w:t xml:space="preserve">ower and </w:t>
      </w:r>
      <w:r w:rsidR="008E673C" w:rsidRPr="00F61E48">
        <w:rPr>
          <w:lang w:eastAsia="en-US" w:bidi="ar-SA"/>
        </w:rPr>
        <w:t>t</w:t>
      </w:r>
      <w:r w:rsidRPr="00F61E48">
        <w:rPr>
          <w:lang w:eastAsia="en-US" w:bidi="ar-SA"/>
        </w:rPr>
        <w:t xml:space="preserve">ransmission </w:t>
      </w:r>
      <w:r w:rsidR="008E673C" w:rsidRPr="00F61E48">
        <w:rPr>
          <w:lang w:eastAsia="en-US" w:bidi="ar-SA"/>
        </w:rPr>
        <w:t>s</w:t>
      </w:r>
      <w:r w:rsidRPr="00F61E48">
        <w:rPr>
          <w:lang w:eastAsia="en-US" w:bidi="ar-SA"/>
        </w:rPr>
        <w:t xml:space="preserve">ystem and the </w:t>
      </w:r>
      <w:r w:rsidR="008E673C" w:rsidRPr="00F61E48">
        <w:rPr>
          <w:lang w:eastAsia="en-US" w:bidi="ar-SA"/>
        </w:rPr>
        <w:t>d</w:t>
      </w:r>
      <w:r w:rsidRPr="00F61E48">
        <w:rPr>
          <w:lang w:eastAsia="en-US" w:bidi="ar-SA"/>
        </w:rPr>
        <w:t xml:space="preserve">istribution </w:t>
      </w:r>
      <w:r w:rsidR="008E673C" w:rsidRPr="00F61E48">
        <w:rPr>
          <w:lang w:eastAsia="en-US" w:bidi="ar-SA"/>
        </w:rPr>
        <w:t>s</w:t>
      </w:r>
      <w:r w:rsidRPr="00F61E48">
        <w:rPr>
          <w:lang w:eastAsia="en-US" w:bidi="ar-SA"/>
        </w:rPr>
        <w:t>ystem</w:t>
      </w:r>
      <w:r w:rsidR="00597C95">
        <w:rPr>
          <w:lang w:eastAsia="en-US" w:bidi="ar-SA"/>
        </w:rPr>
        <w:t xml:space="preserve">. </w:t>
      </w:r>
      <w:r w:rsidR="00D63A55">
        <w:rPr>
          <w:lang w:eastAsia="en-US" w:bidi="ar-SA"/>
        </w:rPr>
        <w:t>As Reports 4 &amp; 5 of this series</w:t>
      </w:r>
      <w:r w:rsidR="00C1077E">
        <w:rPr>
          <w:lang w:eastAsia="en-US" w:bidi="ar-SA"/>
        </w:rPr>
        <w:t xml:space="preserve"> note</w:t>
      </w:r>
      <w:r w:rsidR="0013605B">
        <w:rPr>
          <w:lang w:eastAsia="en-US" w:bidi="ar-SA"/>
        </w:rPr>
        <w:t xml:space="preserve"> </w:t>
      </w:r>
      <w:hyperlink w:anchor="Ref_33" w:history="1">
        <w:r w:rsidR="0013605B" w:rsidRPr="0013605B">
          <w:rPr>
            <w:rStyle w:val="Hyperlink"/>
            <w:lang w:eastAsia="en-US" w:bidi="ar-SA"/>
          </w:rPr>
          <w:t>[33]</w:t>
        </w:r>
      </w:hyperlink>
      <w:r w:rsidR="0013605B">
        <w:rPr>
          <w:lang w:eastAsia="en-US" w:bidi="ar-SA"/>
        </w:rPr>
        <w:t xml:space="preserve"> </w:t>
      </w:r>
      <w:hyperlink w:anchor="R_34" w:history="1">
        <w:r w:rsidR="0013605B" w:rsidRPr="0013605B">
          <w:rPr>
            <w:rStyle w:val="Hyperlink"/>
            <w:lang w:eastAsia="en-US" w:bidi="ar-SA"/>
          </w:rPr>
          <w:t>[34]</w:t>
        </w:r>
      </w:hyperlink>
      <w:r w:rsidR="00D63A55">
        <w:rPr>
          <w:lang w:eastAsia="en-US" w:bidi="ar-SA"/>
        </w:rPr>
        <w:t>, t</w:t>
      </w:r>
      <w:r w:rsidRPr="00F61E48">
        <w:rPr>
          <w:lang w:eastAsia="en-US" w:bidi="ar-SA"/>
        </w:rPr>
        <w:t xml:space="preserve">his will require many existing and new functions and protocols </w:t>
      </w:r>
      <w:r w:rsidR="00522233">
        <w:rPr>
          <w:lang w:eastAsia="en-US" w:bidi="ar-SA"/>
        </w:rPr>
        <w:t xml:space="preserve">between the individual DSOs and the system operator (AEMO) </w:t>
      </w:r>
      <w:r w:rsidRPr="00F61E48">
        <w:rPr>
          <w:lang w:eastAsia="en-US" w:bidi="ar-SA"/>
        </w:rPr>
        <w:t>to be formalised and automated</w:t>
      </w:r>
      <w:r w:rsidR="00374950">
        <w:rPr>
          <w:lang w:eastAsia="en-US" w:bidi="ar-SA"/>
        </w:rPr>
        <w:t xml:space="preserve">. </w:t>
      </w:r>
    </w:p>
    <w:p w14:paraId="6D83F7FF" w14:textId="4EAA8871" w:rsidR="00CA1E29" w:rsidRPr="00F61E48" w:rsidRDefault="00CA1E29" w:rsidP="00EB2823">
      <w:pPr>
        <w:spacing w:before="120" w:after="120" w:line="264" w:lineRule="auto"/>
        <w:rPr>
          <w:lang w:eastAsia="en-US" w:bidi="ar-SA"/>
        </w:rPr>
      </w:pPr>
      <w:r w:rsidRPr="00F61E48">
        <w:rPr>
          <w:lang w:eastAsia="en-US" w:bidi="ar-SA"/>
        </w:rPr>
        <w:t xml:space="preserve">Such matters are fundamentally architectural by nature and must therefore be prominent in the detailed design of future </w:t>
      </w:r>
      <w:r w:rsidR="0059601A" w:rsidRPr="00F61E48">
        <w:rPr>
          <w:lang w:eastAsia="en-US" w:bidi="ar-SA"/>
        </w:rPr>
        <w:t>roles and responsibilities</w:t>
      </w:r>
      <w:r w:rsidR="00374950">
        <w:rPr>
          <w:lang w:eastAsia="en-US" w:bidi="ar-SA"/>
        </w:rPr>
        <w:t xml:space="preserve">. </w:t>
      </w:r>
      <w:r w:rsidRPr="00F61E48">
        <w:rPr>
          <w:lang w:eastAsia="en-US" w:bidi="ar-SA"/>
        </w:rPr>
        <w:t>For example, in discussing FERC Order 2222</w:t>
      </w:r>
      <w:hyperlink w:anchor="Ref_31" w:history="1">
        <w:r w:rsidR="00AB7A2E" w:rsidRPr="005A1C5E">
          <w:rPr>
            <w:rStyle w:val="Hyperlink"/>
            <w:lang w:eastAsia="en-US" w:bidi="ar-SA"/>
          </w:rPr>
          <w:fldChar w:fldCharType="begin"/>
        </w:r>
        <w:r w:rsidR="00397190" w:rsidRPr="005A1C5E">
          <w:rPr>
            <w:rStyle w:val="Hyperlink"/>
            <w:lang w:eastAsia="en-US" w:bidi="ar-SA"/>
          </w:rPr>
          <w:instrText xml:space="preserve"> ADDIN ZOTERO_ITEM CSL_CITATION {"citationID":"hpJHfWyh","properties":{"formattedCitation":"[31]","plainCitation":"[31]","noteIndex":0},"citationItems":[{"id":25,"uris":["http://zotero.org/users/17348326/items/KP6ATQA5"],"itemData":{"id":25,"type":"document","publisher":"Federal Register","title":"Participation of Distributed Energy Resource Aggregations in Markets Operated by Regional Transmission Organizations and Independent System Operators","URL":"https://www.federalregister.gov/d/2021-06089","author":[{"family":"FERC Order 2222","given":""}],"issued":{"date-parts":[["2021",6,1]]}}}],"schema":"https://github.com/citation-style-language/schema/raw/master/csl-citation.json"} </w:instrText>
        </w:r>
        <w:r w:rsidR="00AB7A2E" w:rsidRPr="005A1C5E">
          <w:rPr>
            <w:rStyle w:val="Hyperlink"/>
            <w:lang w:eastAsia="en-US" w:bidi="ar-SA"/>
          </w:rPr>
          <w:fldChar w:fldCharType="separate"/>
        </w:r>
        <w:r w:rsidR="00397190" w:rsidRPr="005A1C5E">
          <w:rPr>
            <w:rStyle w:val="Hyperlink"/>
          </w:rPr>
          <w:t>[31]</w:t>
        </w:r>
        <w:r w:rsidR="00AB7A2E" w:rsidRPr="005A1C5E">
          <w:rPr>
            <w:rStyle w:val="Hyperlink"/>
            <w:lang w:eastAsia="en-US" w:bidi="ar-SA"/>
          </w:rPr>
          <w:fldChar w:fldCharType="end"/>
        </w:r>
      </w:hyperlink>
      <w:r w:rsidR="003B6CE9" w:rsidRPr="00F61E48">
        <w:rPr>
          <w:lang w:eastAsia="en-US" w:bidi="ar-SA"/>
        </w:rPr>
        <w:t xml:space="preserve"> </w:t>
      </w:r>
      <w:r w:rsidRPr="00F61E48">
        <w:rPr>
          <w:lang w:eastAsia="en-US" w:bidi="ar-SA"/>
        </w:rPr>
        <w:t>(which relates to DER integration in wholesale markets), the expert Electricity Advisory Board to the United States Department of Energy (D</w:t>
      </w:r>
      <w:r w:rsidR="00016E26">
        <w:rPr>
          <w:lang w:eastAsia="en-US" w:bidi="ar-SA"/>
        </w:rPr>
        <w:t>O</w:t>
      </w:r>
      <w:r w:rsidRPr="00F61E48">
        <w:rPr>
          <w:lang w:eastAsia="en-US" w:bidi="ar-SA"/>
        </w:rPr>
        <w:t xml:space="preserve">E) </w:t>
      </w:r>
      <w:r w:rsidR="00EC61EB" w:rsidRPr="00F61E48">
        <w:rPr>
          <w:lang w:eastAsia="en-US" w:bidi="ar-SA"/>
        </w:rPr>
        <w:t xml:space="preserve">has </w:t>
      </w:r>
      <w:r w:rsidRPr="00F61E48">
        <w:rPr>
          <w:lang w:eastAsia="en-US" w:bidi="ar-SA"/>
        </w:rPr>
        <w:t>noted</w:t>
      </w:r>
      <w:r w:rsidR="009E5B51">
        <w:rPr>
          <w:lang w:eastAsia="en-US" w:bidi="ar-SA"/>
        </w:rPr>
        <w:t xml:space="preserve"> </w:t>
      </w:r>
      <w:hyperlink w:anchor="Ref_21" w:history="1">
        <w:r w:rsidR="009E5B51" w:rsidRPr="005A1C5E">
          <w:rPr>
            <w:rStyle w:val="Hyperlink"/>
            <w:i/>
            <w:lang w:eastAsia="en-US" w:bidi="ar-SA"/>
          </w:rPr>
          <w:fldChar w:fldCharType="begin"/>
        </w:r>
        <w:r w:rsidR="009E5B51" w:rsidRPr="005A1C5E">
          <w:rPr>
            <w:rStyle w:val="Hyperlink"/>
            <w:i/>
            <w:lang w:eastAsia="en-US" w:bidi="ar-SA"/>
          </w:rPr>
          <w:instrText xml:space="preserve"> ADDIN ZOTERO_ITEM CSL_CITATION {"citationID":"zleYC4uq","properties":{"formattedCitation":"[21]","plainCitation":"[21]","noteIndex":0},"citationItems":[{"id":10,"uris":["http://zotero.org/users/local/BgaHAIQb/items/ALZVMQSK","http://zotero.org/users/17348326/items/ALZVMQSK"],"itemData":{"id":10,"type":"report","publisher":"U.S. Department of Energy","title":"FERC Order 222 Recommendations","URL":"https://www.energy.gov/sites/default/files/2021-04/EAC%20FERC%20Order%202222%20Recommendations_Approved.pdf","author":[{"family":"U.S. Department of Energy","given":"Electricity Advisory Committee"}],"issued":{"date-parts":[["2021",4]]}}}],"schema":"https://github.com/citation-style-language/schema/raw/master/csl-citation.json"} </w:instrText>
        </w:r>
        <w:r w:rsidR="009E5B51" w:rsidRPr="005A1C5E">
          <w:rPr>
            <w:rStyle w:val="Hyperlink"/>
            <w:i/>
            <w:lang w:eastAsia="en-US" w:bidi="ar-SA"/>
          </w:rPr>
          <w:fldChar w:fldCharType="separate"/>
        </w:r>
        <w:r w:rsidR="009E5B51" w:rsidRPr="005A1C5E">
          <w:rPr>
            <w:rStyle w:val="Hyperlink"/>
          </w:rPr>
          <w:t>[21]</w:t>
        </w:r>
        <w:r w:rsidR="009E5B51" w:rsidRPr="005A1C5E">
          <w:rPr>
            <w:rStyle w:val="Hyperlink"/>
            <w:i/>
            <w:lang w:eastAsia="en-US" w:bidi="ar-SA"/>
          </w:rPr>
          <w:fldChar w:fldCharType="end"/>
        </w:r>
      </w:hyperlink>
      <w:r w:rsidRPr="00F61E48">
        <w:rPr>
          <w:lang w:eastAsia="en-US" w:bidi="ar-SA"/>
        </w:rPr>
        <w:t xml:space="preserve">: </w:t>
      </w:r>
    </w:p>
    <w:p w14:paraId="7ACDE4B9" w14:textId="42174208" w:rsidR="00CA1E29" w:rsidRPr="00F61E48" w:rsidRDefault="00CA1E29" w:rsidP="003B6CE9">
      <w:pPr>
        <w:spacing w:line="264" w:lineRule="auto"/>
        <w:ind w:left="360"/>
        <w:rPr>
          <w:i/>
          <w:lang w:eastAsia="en-US" w:bidi="ar-SA"/>
        </w:rPr>
      </w:pPr>
      <w:r w:rsidRPr="00F61E48">
        <w:rPr>
          <w:i/>
          <w:lang w:eastAsia="en-US" w:bidi="ar-SA"/>
        </w:rPr>
        <w:t xml:space="preserve">“…DOE’s work on grid architecture can help identify pathways for mitigating issues related to transmission-distribution-customer operational coordination processes, including how to allocate roles and responsibilities between various system actors based on a jurisdiction’s policy objectives, and define information and data exchange requirements.” </w:t>
      </w:r>
    </w:p>
    <w:p w14:paraId="47CC8D69" w14:textId="69355224" w:rsidR="00CA1E29" w:rsidRDefault="00CA1E29" w:rsidP="00EB2823">
      <w:pPr>
        <w:spacing w:before="120" w:after="120" w:line="264" w:lineRule="auto"/>
        <w:rPr>
          <w:lang w:eastAsia="en-US" w:bidi="ar-SA"/>
        </w:rPr>
      </w:pPr>
      <w:r w:rsidRPr="00F61E48">
        <w:rPr>
          <w:lang w:eastAsia="en-US" w:bidi="ar-SA"/>
        </w:rPr>
        <w:t xml:space="preserve">As </w:t>
      </w:r>
      <w:r w:rsidR="00EC61EB" w:rsidRPr="00F61E48">
        <w:rPr>
          <w:lang w:eastAsia="en-US" w:bidi="ar-SA"/>
        </w:rPr>
        <w:t>noted above</w:t>
      </w:r>
      <w:r w:rsidRPr="00F61E48">
        <w:rPr>
          <w:lang w:eastAsia="en-US" w:bidi="ar-SA"/>
        </w:rPr>
        <w:t>, in ultra-complex systems there are direct relationships between the underpinning</w:t>
      </w:r>
      <w:r w:rsidR="00BC7781" w:rsidRPr="00F61E48">
        <w:rPr>
          <w:lang w:eastAsia="en-US" w:bidi="ar-SA"/>
        </w:rPr>
        <w:t xml:space="preserve"> architecture</w:t>
      </w:r>
      <w:r w:rsidRPr="00F61E48">
        <w:rPr>
          <w:lang w:eastAsia="en-US" w:bidi="ar-SA"/>
        </w:rPr>
        <w:t xml:space="preserve"> of the system, the need for high-resolution analysis of the </w:t>
      </w:r>
      <w:r w:rsidR="00F80F3D" w:rsidRPr="00F61E48">
        <w:rPr>
          <w:lang w:eastAsia="en-US" w:bidi="ar-SA"/>
        </w:rPr>
        <w:t>c</w:t>
      </w:r>
      <w:r w:rsidRPr="00F61E48">
        <w:rPr>
          <w:lang w:eastAsia="en-US" w:bidi="ar-SA"/>
        </w:rPr>
        <w:t xml:space="preserve">yber-physical relationships, and the definition of future </w:t>
      </w:r>
      <w:r w:rsidR="00EC61EB" w:rsidRPr="00F61E48">
        <w:rPr>
          <w:lang w:eastAsia="en-US" w:bidi="ar-SA"/>
        </w:rPr>
        <w:t>roles and r</w:t>
      </w:r>
      <w:r w:rsidRPr="00F61E48">
        <w:rPr>
          <w:lang w:eastAsia="en-US" w:bidi="ar-SA"/>
        </w:rPr>
        <w:t xml:space="preserve">esponsibilities. </w:t>
      </w:r>
    </w:p>
    <w:p w14:paraId="1253F972" w14:textId="77777777" w:rsidR="00CA1E29" w:rsidRPr="00F61E48" w:rsidRDefault="00CA1E29" w:rsidP="00954BAC">
      <w:pPr>
        <w:pStyle w:val="Heading4"/>
        <w:numPr>
          <w:ilvl w:val="0"/>
          <w:numId w:val="83"/>
        </w:numPr>
        <w:spacing w:before="240" w:after="120" w:line="264" w:lineRule="auto"/>
        <w:rPr>
          <w:i w:val="0"/>
          <w:iCs w:val="0"/>
        </w:rPr>
      </w:pPr>
      <w:r w:rsidRPr="00F61E48">
        <w:rPr>
          <w:i w:val="0"/>
          <w:iCs w:val="0"/>
        </w:rPr>
        <w:t xml:space="preserve">Solution Requirements </w:t>
      </w:r>
    </w:p>
    <w:p w14:paraId="3F16FB0B" w14:textId="1539AE39" w:rsidR="00912435" w:rsidRDefault="00F00842" w:rsidP="00EB2823">
      <w:pPr>
        <w:spacing w:before="120" w:after="120" w:line="264" w:lineRule="auto"/>
        <w:rPr>
          <w:lang w:eastAsia="en-US" w:bidi="ar-SA"/>
        </w:rPr>
      </w:pPr>
      <w:r w:rsidRPr="00F00842">
        <w:rPr>
          <w:lang w:eastAsia="en-US" w:bidi="ar-SA"/>
        </w:rPr>
        <w:t xml:space="preserve">The secure and efficient operation of GW-scale power systems depends on an intricate web of relationships across numerous functions, entities, structures, system boundaries, interfaces and hand-off points.  </w:t>
      </w:r>
      <w:r w:rsidR="00912435" w:rsidRPr="00FF00E9">
        <w:rPr>
          <w:lang w:eastAsia="en-US" w:bidi="ar-SA"/>
        </w:rPr>
        <w:t xml:space="preserve">As decarbonising power systems become increasingly volatile and bidirectional, </w:t>
      </w:r>
      <w:r w:rsidR="00912435">
        <w:rPr>
          <w:lang w:eastAsia="en-US" w:bidi="ar-SA"/>
        </w:rPr>
        <w:t xml:space="preserve">the </w:t>
      </w:r>
      <w:r w:rsidR="00912435" w:rsidRPr="00FF00E9">
        <w:rPr>
          <w:lang w:eastAsia="en-US" w:bidi="ar-SA"/>
        </w:rPr>
        <w:t>inherent complexity</w:t>
      </w:r>
      <w:r w:rsidR="00912435">
        <w:rPr>
          <w:lang w:eastAsia="en-US" w:bidi="ar-SA"/>
        </w:rPr>
        <w:t xml:space="preserve"> of legacy systems like the NEM expands further requiring n</w:t>
      </w:r>
      <w:r w:rsidR="00912435" w:rsidRPr="00FF00E9">
        <w:rPr>
          <w:lang w:eastAsia="en-US" w:bidi="ar-SA"/>
        </w:rPr>
        <w:t xml:space="preserve">ew capabilities such as </w:t>
      </w:r>
      <w:r w:rsidR="00912435">
        <w:rPr>
          <w:lang w:eastAsia="en-US" w:bidi="ar-SA"/>
        </w:rPr>
        <w:t>DSO and TDC</w:t>
      </w:r>
      <w:r w:rsidR="00912435" w:rsidRPr="00FF00E9">
        <w:rPr>
          <w:lang w:eastAsia="en-US" w:bidi="ar-SA"/>
        </w:rPr>
        <w:t xml:space="preserve"> models </w:t>
      </w:r>
      <w:r w:rsidR="00912435">
        <w:rPr>
          <w:lang w:eastAsia="en-US" w:bidi="ar-SA"/>
        </w:rPr>
        <w:t>to be developed and deployed.</w:t>
      </w:r>
    </w:p>
    <w:p w14:paraId="04A99C92" w14:textId="1C22E07E" w:rsidR="00951EAC" w:rsidRDefault="00912435" w:rsidP="00520969">
      <w:pPr>
        <w:spacing w:before="180" w:after="120" w:line="264" w:lineRule="auto"/>
        <w:rPr>
          <w:lang w:eastAsia="en-US" w:bidi="ar-SA"/>
        </w:rPr>
      </w:pPr>
      <w:r w:rsidRPr="00FF00E9">
        <w:rPr>
          <w:lang w:eastAsia="en-US" w:bidi="ar-SA"/>
        </w:rPr>
        <w:t xml:space="preserve">Given their deeply interconnected role in future system operations, the assignment of </w:t>
      </w:r>
      <w:r>
        <w:rPr>
          <w:lang w:eastAsia="en-US" w:bidi="ar-SA"/>
        </w:rPr>
        <w:t>DSO and TDC roles</w:t>
      </w:r>
      <w:r w:rsidRPr="00FF00E9">
        <w:rPr>
          <w:lang w:eastAsia="en-US" w:bidi="ar-SA"/>
        </w:rPr>
        <w:t xml:space="preserve"> and responsibilities</w:t>
      </w:r>
      <w:r w:rsidR="005252B3">
        <w:rPr>
          <w:lang w:eastAsia="en-US" w:bidi="ar-SA"/>
        </w:rPr>
        <w:t xml:space="preserve"> </w:t>
      </w:r>
      <w:r w:rsidRPr="00FF00E9">
        <w:rPr>
          <w:lang w:eastAsia="en-US" w:bidi="ar-SA"/>
        </w:rPr>
        <w:t>must be underpinned by formal structural and behavioural analyses to avoid unintended consequences</w:t>
      </w:r>
      <w:r w:rsidR="003D59F7">
        <w:rPr>
          <w:lang w:eastAsia="en-US" w:bidi="ar-SA"/>
        </w:rPr>
        <w:t xml:space="preserve">, </w:t>
      </w:r>
      <w:r w:rsidRPr="00261A26">
        <w:rPr>
          <w:lang w:eastAsia="en-US" w:bidi="ar-SA"/>
        </w:rPr>
        <w:t>sub-optimal outcomes</w:t>
      </w:r>
      <w:r w:rsidR="003D59F7">
        <w:rPr>
          <w:lang w:eastAsia="en-US" w:bidi="ar-SA"/>
        </w:rPr>
        <w:t xml:space="preserve"> and </w:t>
      </w:r>
      <w:r w:rsidRPr="00261A26">
        <w:rPr>
          <w:lang w:eastAsia="en-US" w:bidi="ar-SA"/>
        </w:rPr>
        <w:t>cost escalations</w:t>
      </w:r>
      <w:r w:rsidR="003D59F7">
        <w:rPr>
          <w:lang w:eastAsia="en-US" w:bidi="ar-SA"/>
        </w:rPr>
        <w:t xml:space="preserve">. </w:t>
      </w:r>
      <w:r>
        <w:rPr>
          <w:lang w:eastAsia="en-US" w:bidi="ar-SA"/>
        </w:rPr>
        <w:t xml:space="preserve">As noted </w:t>
      </w:r>
      <w:r w:rsidR="00D6289C">
        <w:rPr>
          <w:lang w:eastAsia="en-US" w:bidi="ar-SA"/>
        </w:rPr>
        <w:t xml:space="preserve">earlier in </w:t>
      </w:r>
      <w:hyperlink w:anchor="S_412" w:history="1">
        <w:r w:rsidR="00D6289C" w:rsidRPr="003A3254">
          <w:rPr>
            <w:rStyle w:val="Hyperlink"/>
            <w:lang w:eastAsia="en-US" w:bidi="ar-SA"/>
          </w:rPr>
          <w:t>Section 4.1.2</w:t>
        </w:r>
      </w:hyperlink>
      <w:r w:rsidR="00951EAC">
        <w:rPr>
          <w:lang w:eastAsia="en-US" w:bidi="ar-SA"/>
        </w:rPr>
        <w:t>,</w:t>
      </w:r>
      <w:r w:rsidR="00F00842">
        <w:rPr>
          <w:lang w:eastAsia="en-US" w:bidi="ar-SA"/>
        </w:rPr>
        <w:t xml:space="preserve"> </w:t>
      </w:r>
      <w:r w:rsidR="003D59F7">
        <w:rPr>
          <w:lang w:eastAsia="en-US" w:bidi="ar-SA"/>
        </w:rPr>
        <w:t xml:space="preserve">this is </w:t>
      </w:r>
      <w:r w:rsidR="0013209D">
        <w:rPr>
          <w:lang w:eastAsia="en-US" w:bidi="ar-SA"/>
        </w:rPr>
        <w:t xml:space="preserve">because additional </w:t>
      </w:r>
      <w:r w:rsidR="00951EAC" w:rsidRPr="197ECEA8">
        <w:rPr>
          <w:lang w:eastAsia="en-US" w:bidi="ar-SA"/>
        </w:rPr>
        <w:t xml:space="preserve">complexity is unavoidably driven into an </w:t>
      </w:r>
      <w:r w:rsidR="00520969">
        <w:rPr>
          <w:lang w:eastAsia="en-US" w:bidi="ar-SA"/>
        </w:rPr>
        <w:t xml:space="preserve">already complex </w:t>
      </w:r>
      <w:r w:rsidR="00951EAC" w:rsidRPr="197ECEA8">
        <w:rPr>
          <w:lang w:eastAsia="en-US" w:bidi="ar-SA"/>
        </w:rPr>
        <w:t xml:space="preserve">system where more functionality </w:t>
      </w:r>
      <w:r w:rsidR="00F00842">
        <w:rPr>
          <w:lang w:eastAsia="en-US" w:bidi="ar-SA"/>
        </w:rPr>
        <w:t xml:space="preserve">is </w:t>
      </w:r>
      <w:r w:rsidR="00951EAC" w:rsidRPr="197ECEA8">
        <w:rPr>
          <w:lang w:eastAsia="en-US" w:bidi="ar-SA"/>
        </w:rPr>
        <w:t>required of it</w:t>
      </w:r>
      <w:r w:rsidR="00E04594">
        <w:rPr>
          <w:lang w:eastAsia="en-US" w:bidi="ar-SA"/>
        </w:rPr>
        <w:t xml:space="preserve">.  This compounding complexity is </w:t>
      </w:r>
      <w:r w:rsidR="0013209D">
        <w:rPr>
          <w:lang w:eastAsia="en-US" w:bidi="ar-SA"/>
        </w:rPr>
        <w:t>exacerbated w</w:t>
      </w:r>
      <w:r w:rsidR="00951EAC" w:rsidRPr="197ECEA8">
        <w:rPr>
          <w:lang w:eastAsia="en-US" w:bidi="ar-SA"/>
        </w:rPr>
        <w:t xml:space="preserve">here structural constraints are not </w:t>
      </w:r>
      <w:r w:rsidR="00175151">
        <w:rPr>
          <w:lang w:eastAsia="en-US" w:bidi="ar-SA"/>
        </w:rPr>
        <w:t>analysed</w:t>
      </w:r>
      <w:r w:rsidR="00351B18">
        <w:rPr>
          <w:lang w:eastAsia="en-US" w:bidi="ar-SA"/>
        </w:rPr>
        <w:t>, identified and targeted interventions applied</w:t>
      </w:r>
      <w:r w:rsidR="00951EAC">
        <w:rPr>
          <w:lang w:eastAsia="en-US" w:bidi="ar-SA"/>
        </w:rPr>
        <w:t xml:space="preserve"> </w:t>
      </w:r>
      <w:hyperlink w:anchor="Ref_3" w:history="1">
        <w:r w:rsidR="00951EAC" w:rsidRPr="008847A2">
          <w:rPr>
            <w:rStyle w:val="Hyperlink"/>
            <w:lang w:eastAsia="en-US" w:bidi="ar-SA"/>
          </w:rPr>
          <w:fldChar w:fldCharType="begin"/>
        </w:r>
        <w:r w:rsidR="00951EAC" w:rsidRPr="008847A2">
          <w:rPr>
            <w:rStyle w:val="Hyperlink"/>
            <w:lang w:eastAsia="en-US" w:bidi="ar-SA"/>
          </w:rPr>
          <w:instrText xml:space="preserve"> ADDIN ZOTERO_ITEM CSL_CITATION {"citationID":"l9zOverk","properties":{"formattedCitation":"[3]","plainCitation":"[3]","noteIndex":0},"citationItems":[{"id":4,"uris":["http://zotero.org/users/local/BgaHAIQb/items/MFJJR57V","http://zotero.org/users/17348326/items/MFJJR57V"],"itemData":{"id":4,"type":"book","abstract":"\"System architecture is the study of early decision making in complex systems. This text teaches how to capture experience and analysis about early system decisions, and how to choose architectures that meet stakeholder needs, integrate easily, and evolve flexibly. With case studies written by leading practitioners, from hybrid cars to communications networks to aircraft, this text showcases the science and art of system architecture.\"--Publisher's website","event-place":"Boston","ISBN":"978-0-13-397534-5","language":"eng","note":"OCLC: 907147354","publisher":"Pearson","publisher-place":"Boston","source":"Open WorldCat","title":"System architecture: strategy and product development for complex systems","title-short":"System architecture","author":[{"family":"Crawley","given":"Edward F."},{"family":"Cameron","given":"Bruce"},{"family":"Selva","given":"Daniel"}],"issued":{"date-parts":[["2016"]]}}}],"schema":"https://github.com/citation-style-language/schema/raw/master/csl-citation.json"} </w:instrText>
        </w:r>
        <w:r w:rsidR="00951EAC" w:rsidRPr="008847A2">
          <w:rPr>
            <w:rStyle w:val="Hyperlink"/>
            <w:lang w:eastAsia="en-US" w:bidi="ar-SA"/>
          </w:rPr>
          <w:fldChar w:fldCharType="separate"/>
        </w:r>
        <w:r w:rsidR="00951EAC" w:rsidRPr="008847A2">
          <w:rPr>
            <w:rStyle w:val="Hyperlink"/>
          </w:rPr>
          <w:t>[3]</w:t>
        </w:r>
        <w:r w:rsidR="00951EAC" w:rsidRPr="008847A2">
          <w:rPr>
            <w:rStyle w:val="Hyperlink"/>
            <w:lang w:eastAsia="en-US" w:bidi="ar-SA"/>
          </w:rPr>
          <w:fldChar w:fldCharType="end"/>
        </w:r>
      </w:hyperlink>
      <w:r w:rsidR="00951EAC">
        <w:rPr>
          <w:lang w:eastAsia="en-US" w:bidi="ar-SA"/>
        </w:rPr>
        <w:t xml:space="preserve">. </w:t>
      </w:r>
    </w:p>
    <w:p w14:paraId="5E8C6F77" w14:textId="0F7E4BBE" w:rsidR="0034447D" w:rsidRPr="00261A26" w:rsidRDefault="0034447D" w:rsidP="00261A26">
      <w:pPr>
        <w:spacing w:before="180" w:after="120" w:line="264" w:lineRule="auto"/>
        <w:rPr>
          <w:lang w:eastAsia="en-US" w:bidi="ar-SA"/>
        </w:rPr>
      </w:pPr>
      <w:r w:rsidRPr="00261A26">
        <w:rPr>
          <w:lang w:eastAsia="en-US" w:bidi="ar-SA"/>
        </w:rPr>
        <w:t xml:space="preserve">Given the </w:t>
      </w:r>
      <w:r w:rsidR="00432E16">
        <w:rPr>
          <w:lang w:eastAsia="en-US" w:bidi="ar-SA"/>
        </w:rPr>
        <w:t xml:space="preserve">central </w:t>
      </w:r>
      <w:r w:rsidRPr="00261A26">
        <w:rPr>
          <w:lang w:eastAsia="en-US" w:bidi="ar-SA"/>
        </w:rPr>
        <w:t>role</w:t>
      </w:r>
      <w:r w:rsidR="00432E16">
        <w:rPr>
          <w:lang w:eastAsia="en-US" w:bidi="ar-SA"/>
        </w:rPr>
        <w:t xml:space="preserve"> that </w:t>
      </w:r>
      <w:r w:rsidRPr="00261A26">
        <w:rPr>
          <w:lang w:eastAsia="en-US" w:bidi="ar-SA"/>
        </w:rPr>
        <w:t xml:space="preserve">DSO and TDC models will </w:t>
      </w:r>
      <w:r w:rsidR="00A12732">
        <w:rPr>
          <w:lang w:eastAsia="en-US" w:bidi="ar-SA"/>
        </w:rPr>
        <w:t xml:space="preserve">increasingly </w:t>
      </w:r>
      <w:r w:rsidRPr="00261A26">
        <w:rPr>
          <w:lang w:eastAsia="en-US" w:bidi="ar-SA"/>
        </w:rPr>
        <w:t xml:space="preserve">play, it is important that near, medium and longer-term needs are </w:t>
      </w:r>
      <w:r w:rsidR="00A12732">
        <w:rPr>
          <w:lang w:eastAsia="en-US" w:bidi="ar-SA"/>
        </w:rPr>
        <w:t xml:space="preserve">all </w:t>
      </w:r>
      <w:r w:rsidRPr="00261A26">
        <w:rPr>
          <w:lang w:eastAsia="en-US" w:bidi="ar-SA"/>
        </w:rPr>
        <w:t>considered when formally assigning roles and responsibilities</w:t>
      </w:r>
      <w:r w:rsidR="00A12732">
        <w:rPr>
          <w:lang w:eastAsia="en-US" w:bidi="ar-SA"/>
        </w:rPr>
        <w:t xml:space="preserve"> as follows:</w:t>
      </w:r>
      <w:r w:rsidRPr="00261A26">
        <w:rPr>
          <w:lang w:eastAsia="en-US" w:bidi="ar-SA"/>
        </w:rPr>
        <w:t xml:space="preserve"> </w:t>
      </w:r>
    </w:p>
    <w:p w14:paraId="4C9D212A" w14:textId="0E1C3BB5" w:rsidR="0034447D" w:rsidRPr="00261A26" w:rsidRDefault="0034447D" w:rsidP="00954BAC">
      <w:pPr>
        <w:pStyle w:val="ListParagraph"/>
        <w:numPr>
          <w:ilvl w:val="0"/>
          <w:numId w:val="30"/>
        </w:numPr>
        <w:spacing w:before="180" w:line="264" w:lineRule="auto"/>
        <w:ind w:left="714" w:hanging="357"/>
        <w:rPr>
          <w:lang w:eastAsia="en-US" w:bidi="ar-SA"/>
        </w:rPr>
      </w:pPr>
      <w:r w:rsidRPr="00261A26">
        <w:rPr>
          <w:lang w:eastAsia="en-US" w:bidi="ar-SA"/>
        </w:rPr>
        <w:t xml:space="preserve">Critical near-term issues </w:t>
      </w:r>
      <w:r w:rsidR="00432E16">
        <w:rPr>
          <w:lang w:eastAsia="en-US" w:bidi="ar-SA"/>
        </w:rPr>
        <w:t>are</w:t>
      </w:r>
      <w:r w:rsidRPr="00261A26">
        <w:rPr>
          <w:lang w:eastAsia="en-US" w:bidi="ar-SA"/>
        </w:rPr>
        <w:t xml:space="preserve"> scoped through multi-stakeholder workshopping and the development of individual use cases (a ‘present-forward’ orientation). </w:t>
      </w:r>
    </w:p>
    <w:p w14:paraId="430E288A" w14:textId="6FE80172" w:rsidR="0034447D" w:rsidRPr="00261A26" w:rsidRDefault="00A22FFB" w:rsidP="00954BAC">
      <w:pPr>
        <w:pStyle w:val="ListParagraph"/>
        <w:numPr>
          <w:ilvl w:val="0"/>
          <w:numId w:val="30"/>
        </w:numPr>
        <w:spacing w:before="180" w:line="264" w:lineRule="auto"/>
        <w:ind w:left="714" w:hanging="357"/>
        <w:rPr>
          <w:lang w:eastAsia="en-US" w:bidi="ar-SA"/>
        </w:rPr>
      </w:pPr>
      <w:r>
        <w:rPr>
          <w:lang w:eastAsia="en-US" w:bidi="ar-SA"/>
        </w:rPr>
        <w:t>Formal</w:t>
      </w:r>
      <w:r w:rsidR="0034447D" w:rsidRPr="00261A26">
        <w:rPr>
          <w:lang w:eastAsia="en-US" w:bidi="ar-SA"/>
        </w:rPr>
        <w:t xml:space="preserve"> analysis of the as-built structures, entity relationships and data flows embedded in the power system </w:t>
      </w:r>
      <w:r>
        <w:rPr>
          <w:lang w:eastAsia="en-US" w:bidi="ar-SA"/>
        </w:rPr>
        <w:t xml:space="preserve">is applied to identify </w:t>
      </w:r>
      <w:r w:rsidR="0034447D" w:rsidRPr="00261A26">
        <w:rPr>
          <w:lang w:eastAsia="en-US" w:bidi="ar-SA"/>
        </w:rPr>
        <w:t>specific function</w:t>
      </w:r>
      <w:r>
        <w:rPr>
          <w:lang w:eastAsia="en-US" w:bidi="ar-SA"/>
        </w:rPr>
        <w:t xml:space="preserve">al relationship </w:t>
      </w:r>
      <w:r w:rsidR="0034447D" w:rsidRPr="00261A26">
        <w:rPr>
          <w:lang w:eastAsia="en-US" w:bidi="ar-SA"/>
        </w:rPr>
        <w:t>that must be transitioned to enable longer-term requirements (a ‘future-back’ orientation).</w:t>
      </w:r>
    </w:p>
    <w:p w14:paraId="11361FA3" w14:textId="428A084C" w:rsidR="0034447D" w:rsidRPr="00261A26" w:rsidRDefault="00DE11B6" w:rsidP="00954BAC">
      <w:pPr>
        <w:pStyle w:val="ListParagraph"/>
        <w:numPr>
          <w:ilvl w:val="0"/>
          <w:numId w:val="30"/>
        </w:numPr>
        <w:spacing w:before="180" w:line="264" w:lineRule="auto"/>
        <w:ind w:left="714" w:hanging="357"/>
        <w:rPr>
          <w:lang w:eastAsia="en-US" w:bidi="ar-SA"/>
        </w:rPr>
      </w:pPr>
      <w:r>
        <w:rPr>
          <w:lang w:eastAsia="en-US" w:bidi="ar-SA"/>
        </w:rPr>
        <w:t>Viewed</w:t>
      </w:r>
      <w:r w:rsidR="0034447D" w:rsidRPr="00261A26">
        <w:rPr>
          <w:lang w:eastAsia="en-US" w:bidi="ar-SA"/>
        </w:rPr>
        <w:t xml:space="preserve"> from both the current</w:t>
      </w:r>
      <w:r>
        <w:rPr>
          <w:lang w:eastAsia="en-US" w:bidi="ar-SA"/>
        </w:rPr>
        <w:t xml:space="preserve"> state</w:t>
      </w:r>
      <w:r w:rsidR="0034447D" w:rsidRPr="00261A26">
        <w:rPr>
          <w:lang w:eastAsia="en-US" w:bidi="ar-SA"/>
        </w:rPr>
        <w:t xml:space="preserve"> and plausible future states</w:t>
      </w:r>
      <w:r w:rsidR="0029257B">
        <w:rPr>
          <w:lang w:eastAsia="en-US" w:bidi="ar-SA"/>
        </w:rPr>
        <w:t xml:space="preserve">, and </w:t>
      </w:r>
      <w:r w:rsidR="0034447D" w:rsidRPr="00261A26">
        <w:rPr>
          <w:lang w:eastAsia="en-US" w:bidi="ar-SA"/>
        </w:rPr>
        <w:t>supported by formal structural analysis,</w:t>
      </w:r>
      <w:r w:rsidR="0029257B">
        <w:rPr>
          <w:lang w:eastAsia="en-US" w:bidi="ar-SA"/>
        </w:rPr>
        <w:t xml:space="preserve"> the most plausible options c</w:t>
      </w:r>
      <w:r w:rsidR="0034447D" w:rsidRPr="00261A26">
        <w:rPr>
          <w:lang w:eastAsia="en-US" w:bidi="ar-SA"/>
        </w:rPr>
        <w:t xml:space="preserve">an then be evaluated via multi-stakeholder workshopping to shortlist the preferred transition pathways. </w:t>
      </w:r>
    </w:p>
    <w:p w14:paraId="63DB771E" w14:textId="77777777" w:rsidR="006D05D5" w:rsidRDefault="00335843" w:rsidP="00D52F3F">
      <w:pPr>
        <w:spacing w:before="180" w:after="120" w:line="264" w:lineRule="auto"/>
        <w:rPr>
          <w:lang w:eastAsia="en-US" w:bidi="ar-SA"/>
        </w:rPr>
      </w:pPr>
      <w:r>
        <w:rPr>
          <w:lang w:eastAsia="en-US" w:bidi="ar-SA"/>
        </w:rPr>
        <w:t xml:space="preserve">In summary, the targeted </w:t>
      </w:r>
      <w:r w:rsidR="00CA1E29" w:rsidRPr="002C72C2">
        <w:rPr>
          <w:lang w:eastAsia="en-US" w:bidi="ar-SA"/>
        </w:rPr>
        <w:t xml:space="preserve">application of </w:t>
      </w:r>
      <w:r w:rsidR="0046576F">
        <w:rPr>
          <w:lang w:eastAsia="en-US" w:bidi="ar-SA"/>
        </w:rPr>
        <w:t>S</w:t>
      </w:r>
      <w:r w:rsidR="00CA1E29" w:rsidRPr="002C72C2">
        <w:rPr>
          <w:lang w:eastAsia="en-US" w:bidi="ar-SA"/>
        </w:rPr>
        <w:t xml:space="preserve">ystem </w:t>
      </w:r>
      <w:r w:rsidR="0046576F">
        <w:rPr>
          <w:lang w:eastAsia="en-US" w:bidi="ar-SA"/>
        </w:rPr>
        <w:t>A</w:t>
      </w:r>
      <w:r w:rsidR="0046576F" w:rsidRPr="002C72C2">
        <w:rPr>
          <w:lang w:eastAsia="en-US" w:bidi="ar-SA"/>
        </w:rPr>
        <w:t>rchitecture</w:t>
      </w:r>
      <w:r w:rsidR="00CA1E29" w:rsidRPr="002C72C2">
        <w:rPr>
          <w:lang w:eastAsia="en-US" w:bidi="ar-SA"/>
        </w:rPr>
        <w:t xml:space="preserve"> disciplines </w:t>
      </w:r>
      <w:r>
        <w:rPr>
          <w:lang w:eastAsia="en-US" w:bidi="ar-SA"/>
        </w:rPr>
        <w:t xml:space="preserve">and tools such as Model-Based Systems Engineering (MBSE) </w:t>
      </w:r>
      <w:r w:rsidR="00CA1E29" w:rsidRPr="002C72C2">
        <w:rPr>
          <w:lang w:eastAsia="en-US" w:bidi="ar-SA"/>
        </w:rPr>
        <w:t xml:space="preserve">enables a </w:t>
      </w:r>
      <w:r>
        <w:rPr>
          <w:lang w:eastAsia="en-US" w:bidi="ar-SA"/>
        </w:rPr>
        <w:t xml:space="preserve">far </w:t>
      </w:r>
      <w:r w:rsidR="00CA1E29" w:rsidRPr="002C72C2">
        <w:rPr>
          <w:lang w:eastAsia="en-US" w:bidi="ar-SA"/>
        </w:rPr>
        <w:t>more holistic and stepwise view of the system’s transformation</w:t>
      </w:r>
      <w:r w:rsidR="006D05D5">
        <w:rPr>
          <w:lang w:eastAsia="en-US" w:bidi="ar-SA"/>
        </w:rPr>
        <w:t xml:space="preserve">, including </w:t>
      </w:r>
      <w:r w:rsidR="00CA1E29" w:rsidRPr="002C72C2">
        <w:rPr>
          <w:lang w:eastAsia="en-US" w:bidi="ar-SA"/>
        </w:rPr>
        <w:t xml:space="preserve">how key </w:t>
      </w:r>
      <w:r w:rsidR="0046576F">
        <w:rPr>
          <w:lang w:eastAsia="en-US" w:bidi="ar-SA"/>
        </w:rPr>
        <w:t>roles and r</w:t>
      </w:r>
      <w:r w:rsidR="0046576F" w:rsidRPr="002C72C2">
        <w:rPr>
          <w:lang w:eastAsia="en-US" w:bidi="ar-SA"/>
        </w:rPr>
        <w:t xml:space="preserve">esponsibilities </w:t>
      </w:r>
      <w:r w:rsidR="006D05D5">
        <w:rPr>
          <w:lang w:eastAsia="en-US" w:bidi="ar-SA"/>
        </w:rPr>
        <w:t>will n</w:t>
      </w:r>
      <w:r w:rsidR="00CA1E29" w:rsidRPr="002C72C2">
        <w:rPr>
          <w:lang w:eastAsia="en-US" w:bidi="ar-SA"/>
        </w:rPr>
        <w:t xml:space="preserve">eed to </w:t>
      </w:r>
      <w:r w:rsidR="006D05D5">
        <w:rPr>
          <w:lang w:eastAsia="en-US" w:bidi="ar-SA"/>
        </w:rPr>
        <w:t>evolve</w:t>
      </w:r>
      <w:r w:rsidR="00CA1E29" w:rsidRPr="002C72C2">
        <w:rPr>
          <w:lang w:eastAsia="en-US" w:bidi="ar-SA"/>
        </w:rPr>
        <w:t xml:space="preserve"> over time</w:t>
      </w:r>
      <w:r w:rsidR="00374950">
        <w:rPr>
          <w:lang w:eastAsia="en-US" w:bidi="ar-SA"/>
        </w:rPr>
        <w:t xml:space="preserve">. </w:t>
      </w:r>
      <w:r w:rsidR="00CA1E29" w:rsidRPr="002C72C2">
        <w:rPr>
          <w:lang w:eastAsia="en-US" w:bidi="ar-SA"/>
        </w:rPr>
        <w:t xml:space="preserve">Critically, this also enables much higher resolution analyses of changing </w:t>
      </w:r>
      <w:r w:rsidR="00331A42">
        <w:rPr>
          <w:lang w:eastAsia="en-US" w:bidi="ar-SA"/>
        </w:rPr>
        <w:t>p</w:t>
      </w:r>
      <w:r w:rsidR="00CA1E29" w:rsidRPr="002C72C2">
        <w:rPr>
          <w:lang w:eastAsia="en-US" w:bidi="ar-SA"/>
        </w:rPr>
        <w:t xml:space="preserve">ower </w:t>
      </w:r>
      <w:r w:rsidR="00331A42">
        <w:rPr>
          <w:lang w:eastAsia="en-US" w:bidi="ar-SA"/>
        </w:rPr>
        <w:t>s</w:t>
      </w:r>
      <w:r w:rsidR="00CA1E29" w:rsidRPr="002C72C2">
        <w:rPr>
          <w:lang w:eastAsia="en-US" w:bidi="ar-SA"/>
        </w:rPr>
        <w:t>ystem structures, the multi-entity relationships and necessary data flows – in the current, future, and transitionary states</w:t>
      </w:r>
      <w:r w:rsidR="00374950">
        <w:rPr>
          <w:lang w:eastAsia="en-US" w:bidi="ar-SA"/>
        </w:rPr>
        <w:t xml:space="preserve">. </w:t>
      </w:r>
    </w:p>
    <w:p w14:paraId="2CE7F2A4" w14:textId="6D9B8461" w:rsidR="0026741D" w:rsidRDefault="00CC6CEA" w:rsidP="00EC2BD2">
      <w:pPr>
        <w:spacing w:before="180" w:after="120" w:line="264" w:lineRule="auto"/>
        <w:rPr>
          <w:lang w:eastAsia="en-US" w:bidi="ar-SA"/>
        </w:rPr>
      </w:pPr>
      <w:r>
        <w:rPr>
          <w:lang w:eastAsia="en-US" w:bidi="ar-SA"/>
        </w:rPr>
        <w:t xml:space="preserve">As illustrated in </w:t>
      </w:r>
      <w:hyperlink w:anchor="Figure_15" w:history="1">
        <w:r w:rsidRPr="00F42427">
          <w:rPr>
            <w:rStyle w:val="Hyperlink"/>
            <w:lang w:eastAsia="en-US" w:bidi="ar-SA"/>
          </w:rPr>
          <w:t>Figure 15</w:t>
        </w:r>
      </w:hyperlink>
      <w:r>
        <w:rPr>
          <w:lang w:eastAsia="en-US" w:bidi="ar-SA"/>
        </w:rPr>
        <w:t xml:space="preserve"> below, </w:t>
      </w:r>
      <w:r w:rsidR="00630F8B">
        <w:rPr>
          <w:lang w:eastAsia="en-US" w:bidi="ar-SA"/>
        </w:rPr>
        <w:t xml:space="preserve">the </w:t>
      </w:r>
      <w:r w:rsidR="00915657">
        <w:rPr>
          <w:lang w:eastAsia="en-US" w:bidi="ar-SA"/>
        </w:rPr>
        <w:t>seven-step</w:t>
      </w:r>
      <w:r w:rsidR="008B692C" w:rsidRPr="001530D3">
        <w:rPr>
          <w:lang w:eastAsia="en-US" w:bidi="ar-SA"/>
        </w:rPr>
        <w:t xml:space="preserve"> process </w:t>
      </w:r>
      <w:r w:rsidR="00915657">
        <w:rPr>
          <w:lang w:eastAsia="en-US" w:bidi="ar-SA"/>
        </w:rPr>
        <w:t>developed by Dr Jeffrey Taft</w:t>
      </w:r>
      <w:r w:rsidR="00916B57">
        <w:rPr>
          <w:lang w:eastAsia="en-US" w:bidi="ar-SA"/>
        </w:rPr>
        <w:t xml:space="preserve">, former Chief Architect at Pacific Northwest National Laboratory (PNNL), </w:t>
      </w:r>
      <w:r w:rsidR="008B692C" w:rsidRPr="001530D3">
        <w:rPr>
          <w:lang w:eastAsia="en-US" w:bidi="ar-SA"/>
        </w:rPr>
        <w:t>commences by outlining an integrated se</w:t>
      </w:r>
      <w:r w:rsidR="00CD4F7A" w:rsidRPr="00CD4F7A">
        <w:rPr>
          <w:lang w:eastAsia="en-US" w:bidi="ar-SA"/>
        </w:rPr>
        <w:t xml:space="preserve">t of desired </w:t>
      </w:r>
      <w:r w:rsidR="008B692C" w:rsidRPr="001530D3">
        <w:rPr>
          <w:lang w:eastAsia="en-US" w:bidi="ar-SA"/>
        </w:rPr>
        <w:t xml:space="preserve">DSO and TDC </w:t>
      </w:r>
      <w:r w:rsidR="00CD4F7A" w:rsidRPr="00CD4F7A">
        <w:rPr>
          <w:lang w:eastAsia="en-US" w:bidi="ar-SA"/>
        </w:rPr>
        <w:t>capabilities</w:t>
      </w:r>
      <w:r w:rsidR="0026741D">
        <w:rPr>
          <w:lang w:eastAsia="en-US" w:bidi="ar-SA"/>
        </w:rPr>
        <w:t xml:space="preserve">.  An </w:t>
      </w:r>
      <w:r w:rsidR="00163DC7">
        <w:rPr>
          <w:lang w:eastAsia="en-US" w:bidi="ar-SA"/>
        </w:rPr>
        <w:t>exploration of</w:t>
      </w:r>
      <w:r w:rsidR="0026741D">
        <w:rPr>
          <w:lang w:eastAsia="en-US" w:bidi="ar-SA"/>
        </w:rPr>
        <w:t xml:space="preserve"> these capabilities</w:t>
      </w:r>
      <w:r w:rsidR="00163DC7">
        <w:rPr>
          <w:lang w:eastAsia="en-US" w:bidi="ar-SA"/>
        </w:rPr>
        <w:t>, including how they may evolve over time, is provided in R</w:t>
      </w:r>
      <w:r w:rsidR="0026741D">
        <w:rPr>
          <w:lang w:eastAsia="en-US" w:bidi="ar-SA"/>
        </w:rPr>
        <w:t>eports 4 and 5 of this series</w:t>
      </w:r>
      <w:r w:rsidR="006D5EE0">
        <w:rPr>
          <w:lang w:eastAsia="en-US" w:bidi="ar-SA"/>
        </w:rPr>
        <w:t xml:space="preserve"> </w:t>
      </w:r>
      <w:hyperlink w:anchor="Ref_33" w:history="1">
        <w:r w:rsidR="006D5EE0" w:rsidRPr="006D5EE0">
          <w:rPr>
            <w:rStyle w:val="Hyperlink"/>
            <w:lang w:eastAsia="en-US" w:bidi="ar-SA"/>
          </w:rPr>
          <w:t>[33]</w:t>
        </w:r>
      </w:hyperlink>
      <w:r w:rsidR="006D5EE0">
        <w:rPr>
          <w:lang w:eastAsia="en-US" w:bidi="ar-SA"/>
        </w:rPr>
        <w:t xml:space="preserve">, </w:t>
      </w:r>
      <w:hyperlink w:anchor="R_34" w:history="1">
        <w:r w:rsidR="006D5EE0" w:rsidRPr="006D5EE0">
          <w:rPr>
            <w:rStyle w:val="Hyperlink"/>
            <w:lang w:eastAsia="en-US" w:bidi="ar-SA"/>
          </w:rPr>
          <w:t>[34]</w:t>
        </w:r>
      </w:hyperlink>
      <w:r w:rsidR="0026741D">
        <w:rPr>
          <w:lang w:eastAsia="en-US" w:bidi="ar-SA"/>
        </w:rPr>
        <w:t>.</w:t>
      </w:r>
    </w:p>
    <w:p w14:paraId="74BBB365" w14:textId="77777777" w:rsidR="00364F07" w:rsidRDefault="00E73344" w:rsidP="00EC2BD2">
      <w:pPr>
        <w:spacing w:before="180" w:after="120" w:line="264" w:lineRule="auto"/>
        <w:rPr>
          <w:lang w:eastAsia="en-US" w:bidi="ar-SA"/>
        </w:rPr>
      </w:pPr>
      <w:r>
        <w:rPr>
          <w:lang w:eastAsia="en-US" w:bidi="ar-SA"/>
        </w:rPr>
        <w:t xml:space="preserve">Having identified the </w:t>
      </w:r>
      <w:r w:rsidR="000608CA">
        <w:rPr>
          <w:lang w:eastAsia="en-US" w:bidi="ar-SA"/>
        </w:rPr>
        <w:t xml:space="preserve">desired capabilities, the </w:t>
      </w:r>
      <w:r w:rsidR="00C47702">
        <w:rPr>
          <w:lang w:eastAsia="en-US" w:bidi="ar-SA"/>
        </w:rPr>
        <w:t xml:space="preserve">distinct and non-overlapping </w:t>
      </w:r>
      <w:r w:rsidR="000608CA">
        <w:rPr>
          <w:lang w:eastAsia="en-US" w:bidi="ar-SA"/>
        </w:rPr>
        <w:t xml:space="preserve">functions </w:t>
      </w:r>
      <w:r>
        <w:rPr>
          <w:lang w:eastAsia="en-US" w:bidi="ar-SA"/>
        </w:rPr>
        <w:t>needed</w:t>
      </w:r>
      <w:r w:rsidR="001C4887">
        <w:rPr>
          <w:lang w:eastAsia="en-US" w:bidi="ar-SA"/>
        </w:rPr>
        <w:t xml:space="preserve"> </w:t>
      </w:r>
      <w:r w:rsidR="000608CA">
        <w:rPr>
          <w:lang w:eastAsia="en-US" w:bidi="ar-SA"/>
        </w:rPr>
        <w:t xml:space="preserve">to </w:t>
      </w:r>
      <w:r w:rsidR="00CD4F7A" w:rsidRPr="00CD4F7A">
        <w:rPr>
          <w:lang w:eastAsia="en-US" w:bidi="ar-SA"/>
        </w:rPr>
        <w:t xml:space="preserve">implement </w:t>
      </w:r>
      <w:r>
        <w:rPr>
          <w:lang w:eastAsia="en-US" w:bidi="ar-SA"/>
        </w:rPr>
        <w:t>each of the</w:t>
      </w:r>
      <w:r w:rsidR="001C4887">
        <w:rPr>
          <w:lang w:eastAsia="en-US" w:bidi="ar-SA"/>
        </w:rPr>
        <w:t xml:space="preserve"> desired </w:t>
      </w:r>
      <w:r w:rsidR="00CD4F7A" w:rsidRPr="00CD4F7A">
        <w:rPr>
          <w:lang w:eastAsia="en-US" w:bidi="ar-SA"/>
        </w:rPr>
        <w:t xml:space="preserve">capabilities </w:t>
      </w:r>
      <w:r w:rsidR="003277D1">
        <w:rPr>
          <w:lang w:eastAsia="en-US" w:bidi="ar-SA"/>
        </w:rPr>
        <w:t>are</w:t>
      </w:r>
      <w:r>
        <w:rPr>
          <w:lang w:eastAsia="en-US" w:bidi="ar-SA"/>
        </w:rPr>
        <w:t xml:space="preserve"> then</w:t>
      </w:r>
      <w:r w:rsidR="003277D1">
        <w:rPr>
          <w:lang w:eastAsia="en-US" w:bidi="ar-SA"/>
        </w:rPr>
        <w:t xml:space="preserve"> distilled</w:t>
      </w:r>
      <w:r w:rsidR="00C47702">
        <w:rPr>
          <w:lang w:eastAsia="en-US" w:bidi="ar-SA"/>
        </w:rPr>
        <w:t xml:space="preserve">.  </w:t>
      </w:r>
      <w:r w:rsidR="00DB4251">
        <w:rPr>
          <w:lang w:eastAsia="en-US" w:bidi="ar-SA"/>
        </w:rPr>
        <w:t>Each i</w:t>
      </w:r>
      <w:r w:rsidR="00210B20">
        <w:rPr>
          <w:lang w:eastAsia="en-US" w:bidi="ar-SA"/>
        </w:rPr>
        <w:t xml:space="preserve">ndividual </w:t>
      </w:r>
      <w:r w:rsidR="00E22B59">
        <w:rPr>
          <w:lang w:eastAsia="en-US" w:bidi="ar-SA"/>
        </w:rPr>
        <w:t>function</w:t>
      </w:r>
      <w:r w:rsidR="008F3607">
        <w:rPr>
          <w:lang w:eastAsia="en-US" w:bidi="ar-SA"/>
        </w:rPr>
        <w:t xml:space="preserve"> </w:t>
      </w:r>
      <w:r w:rsidR="004D3B92">
        <w:rPr>
          <w:lang w:eastAsia="en-US" w:bidi="ar-SA"/>
        </w:rPr>
        <w:t>may t</w:t>
      </w:r>
      <w:r w:rsidR="00E22B59">
        <w:rPr>
          <w:lang w:eastAsia="en-US" w:bidi="ar-SA"/>
        </w:rPr>
        <w:t xml:space="preserve">hen </w:t>
      </w:r>
      <w:r w:rsidR="004D3B92">
        <w:rPr>
          <w:lang w:eastAsia="en-US" w:bidi="ar-SA"/>
        </w:rPr>
        <w:t xml:space="preserve">be </w:t>
      </w:r>
      <w:r w:rsidR="00A3478A">
        <w:rPr>
          <w:lang w:eastAsia="en-US" w:bidi="ar-SA"/>
        </w:rPr>
        <w:t>allocated</w:t>
      </w:r>
      <w:r w:rsidR="00DB4251">
        <w:rPr>
          <w:lang w:eastAsia="en-US" w:bidi="ar-SA"/>
        </w:rPr>
        <w:t xml:space="preserve"> to </w:t>
      </w:r>
      <w:r>
        <w:rPr>
          <w:lang w:eastAsia="en-US" w:bidi="ar-SA"/>
        </w:rPr>
        <w:t xml:space="preserve">the most relevant </w:t>
      </w:r>
      <w:r w:rsidR="00DB4251">
        <w:rPr>
          <w:lang w:eastAsia="en-US" w:bidi="ar-SA"/>
        </w:rPr>
        <w:t>cluster of functions</w:t>
      </w:r>
      <w:r w:rsidR="008F3607">
        <w:rPr>
          <w:lang w:eastAsia="en-US" w:bidi="ar-SA"/>
        </w:rPr>
        <w:t xml:space="preserve">, </w:t>
      </w:r>
      <w:r w:rsidR="007802BB">
        <w:rPr>
          <w:lang w:eastAsia="en-US" w:bidi="ar-SA"/>
        </w:rPr>
        <w:t xml:space="preserve">and </w:t>
      </w:r>
      <w:r w:rsidR="001C4887">
        <w:rPr>
          <w:lang w:eastAsia="en-US" w:bidi="ar-SA"/>
        </w:rPr>
        <w:t>each</w:t>
      </w:r>
      <w:r w:rsidR="008F3607">
        <w:rPr>
          <w:lang w:eastAsia="en-US" w:bidi="ar-SA"/>
        </w:rPr>
        <w:t xml:space="preserve"> </w:t>
      </w:r>
      <w:r w:rsidR="00674732">
        <w:rPr>
          <w:lang w:eastAsia="en-US" w:bidi="ar-SA"/>
        </w:rPr>
        <w:t xml:space="preserve">cluster </w:t>
      </w:r>
      <w:r w:rsidR="001C4887">
        <w:rPr>
          <w:lang w:eastAsia="en-US" w:bidi="ar-SA"/>
        </w:rPr>
        <w:t>of functions</w:t>
      </w:r>
      <w:r w:rsidR="007802BB">
        <w:rPr>
          <w:lang w:eastAsia="en-US" w:bidi="ar-SA"/>
        </w:rPr>
        <w:t xml:space="preserve"> is then </w:t>
      </w:r>
      <w:r w:rsidR="00674732">
        <w:rPr>
          <w:lang w:eastAsia="en-US" w:bidi="ar-SA"/>
        </w:rPr>
        <w:t xml:space="preserve">assigned to only one </w:t>
      </w:r>
      <w:r w:rsidR="00A3478A">
        <w:rPr>
          <w:lang w:eastAsia="en-US" w:bidi="ar-SA"/>
        </w:rPr>
        <w:t>formal role.</w:t>
      </w:r>
      <w:r w:rsidR="00674732">
        <w:rPr>
          <w:lang w:eastAsia="en-US" w:bidi="ar-SA"/>
        </w:rPr>
        <w:t xml:space="preserve">  </w:t>
      </w:r>
      <w:r w:rsidR="00DB1247">
        <w:rPr>
          <w:lang w:eastAsia="en-US" w:bidi="ar-SA"/>
        </w:rPr>
        <w:t xml:space="preserve">While </w:t>
      </w:r>
      <w:r w:rsidR="00364F07">
        <w:rPr>
          <w:lang w:eastAsia="en-US" w:bidi="ar-SA"/>
        </w:rPr>
        <w:t xml:space="preserve">each </w:t>
      </w:r>
      <w:r w:rsidR="00364F07" w:rsidRPr="00CD4F7A">
        <w:rPr>
          <w:lang w:eastAsia="en-US" w:bidi="ar-SA"/>
        </w:rPr>
        <w:t xml:space="preserve">role </w:t>
      </w:r>
      <w:r w:rsidR="00364F07">
        <w:rPr>
          <w:lang w:eastAsia="en-US" w:bidi="ar-SA"/>
        </w:rPr>
        <w:t xml:space="preserve">may be </w:t>
      </w:r>
      <w:r w:rsidR="00364F07" w:rsidRPr="00CD4F7A">
        <w:rPr>
          <w:lang w:eastAsia="en-US" w:bidi="ar-SA"/>
        </w:rPr>
        <w:t xml:space="preserve">assigned to </w:t>
      </w:r>
      <w:r w:rsidR="00364F07">
        <w:rPr>
          <w:lang w:eastAsia="en-US" w:bidi="ar-SA"/>
        </w:rPr>
        <w:t>only one e</w:t>
      </w:r>
      <w:r w:rsidR="00364F07" w:rsidRPr="00CD4F7A">
        <w:rPr>
          <w:lang w:eastAsia="en-US" w:bidi="ar-SA"/>
        </w:rPr>
        <w:t>ntity</w:t>
      </w:r>
      <w:r w:rsidR="00364F07">
        <w:rPr>
          <w:lang w:eastAsia="en-US" w:bidi="ar-SA"/>
        </w:rPr>
        <w:t xml:space="preserve">, an </w:t>
      </w:r>
      <w:r w:rsidR="00DB1247">
        <w:rPr>
          <w:lang w:eastAsia="en-US" w:bidi="ar-SA"/>
        </w:rPr>
        <w:t xml:space="preserve">entity may </w:t>
      </w:r>
      <w:r w:rsidR="001C4887">
        <w:rPr>
          <w:lang w:eastAsia="en-US" w:bidi="ar-SA"/>
        </w:rPr>
        <w:t xml:space="preserve">be assigned </w:t>
      </w:r>
      <w:r w:rsidR="00DB1247">
        <w:rPr>
          <w:lang w:eastAsia="en-US" w:bidi="ar-SA"/>
        </w:rPr>
        <w:t>more than one role</w:t>
      </w:r>
      <w:r w:rsidR="00C3666D">
        <w:rPr>
          <w:lang w:eastAsia="en-US" w:bidi="ar-SA"/>
        </w:rPr>
        <w:t xml:space="preserve">.  </w:t>
      </w:r>
    </w:p>
    <w:p w14:paraId="2AAE06B0" w14:textId="26940E61" w:rsidR="00EC2BD2" w:rsidRDefault="008D4791" w:rsidP="00EC2BD2">
      <w:pPr>
        <w:spacing w:before="180" w:after="120" w:line="264" w:lineRule="auto"/>
        <w:rPr>
          <w:lang w:eastAsia="en-US" w:bidi="ar-SA"/>
        </w:rPr>
        <w:sectPr w:rsidR="00EC2BD2" w:rsidSect="00E04D13">
          <w:pgSz w:w="11906" w:h="16838"/>
          <w:pgMar w:top="2552" w:right="1134" w:bottom="851" w:left="2552" w:header="709" w:footer="709" w:gutter="0"/>
          <w:cols w:space="708"/>
          <w:docGrid w:linePitch="360"/>
        </w:sectPr>
      </w:pPr>
      <w:r>
        <w:rPr>
          <w:lang w:eastAsia="en-US" w:bidi="ar-SA"/>
        </w:rPr>
        <w:t>The result of applying t</w:t>
      </w:r>
      <w:r w:rsidR="00C3666D">
        <w:rPr>
          <w:lang w:eastAsia="en-US" w:bidi="ar-SA"/>
        </w:rPr>
        <w:t xml:space="preserve">his stepwise approach </w:t>
      </w:r>
      <w:r>
        <w:rPr>
          <w:lang w:eastAsia="en-US" w:bidi="ar-SA"/>
        </w:rPr>
        <w:t>is that rol</w:t>
      </w:r>
      <w:r w:rsidR="00DF01BC">
        <w:rPr>
          <w:lang w:eastAsia="en-US" w:bidi="ar-SA"/>
        </w:rPr>
        <w:t xml:space="preserve">es </w:t>
      </w:r>
      <w:r>
        <w:rPr>
          <w:lang w:eastAsia="en-US" w:bidi="ar-SA"/>
        </w:rPr>
        <w:t xml:space="preserve">and responsibilities are assigned in a structurally informed manner that </w:t>
      </w:r>
      <w:r w:rsidR="003277D1">
        <w:rPr>
          <w:lang w:eastAsia="en-US" w:bidi="ar-SA"/>
        </w:rPr>
        <w:t xml:space="preserve">automatically avoids </w:t>
      </w:r>
      <w:r w:rsidR="00CD4F7A" w:rsidRPr="00CD4F7A">
        <w:rPr>
          <w:lang w:eastAsia="en-US" w:bidi="ar-SA"/>
        </w:rPr>
        <w:t>conflicts, duplications and ambiguities</w:t>
      </w:r>
      <w:r w:rsidR="003277D1">
        <w:rPr>
          <w:lang w:eastAsia="en-US" w:bidi="ar-SA"/>
        </w:rPr>
        <w:t>.</w:t>
      </w:r>
    </w:p>
    <w:p w14:paraId="7BFB5A95" w14:textId="79897DDA" w:rsidR="00CD4F7A" w:rsidRPr="00CD4F7A" w:rsidRDefault="00CD4F7A" w:rsidP="00D23524">
      <w:pPr>
        <w:spacing w:before="0" w:after="0" w:line="264" w:lineRule="auto"/>
        <w:rPr>
          <w:rFonts w:ascii="Times New Roman" w:eastAsia="Times New Roman" w:hAnsi="Times New Roman" w:cs="Times New Roman"/>
          <w:b/>
          <w:bCs/>
          <w:color w:val="363737"/>
          <w:kern w:val="0"/>
          <w:sz w:val="2"/>
          <w:szCs w:val="2"/>
          <w14:ligatures w14:val="none"/>
        </w:rPr>
      </w:pPr>
      <w:r w:rsidRPr="00CD4F7A">
        <w:rPr>
          <w:rFonts w:ascii="Times New Roman" w:eastAsia="Times New Roman" w:hAnsi="Times New Roman" w:cs="Times New Roman"/>
          <w:color w:val="363737"/>
          <w:kern w:val="0"/>
          <w:sz w:val="29"/>
          <w:szCs w:val="29"/>
          <w14:ligatures w14:val="none"/>
        </w:rPr>
        <w:fldChar w:fldCharType="begin"/>
      </w:r>
      <w:r w:rsidRPr="00CD4F7A">
        <w:rPr>
          <w:rFonts w:ascii="Times New Roman" w:eastAsia="Times New Roman" w:hAnsi="Times New Roman" w:cs="Times New Roman"/>
          <w:color w:val="363737"/>
          <w:kern w:val="0"/>
          <w:sz w:val="29"/>
          <w:szCs w:val="29"/>
          <w14:ligatures w14:val="none"/>
        </w:rPr>
        <w:instrText>HYPERLINK "https://substackcdn.com/image/fetch/$s_!Gi5N!,f_auto,q_auto:good,fl_progressive:steep/https%3A%2F%2Fsubstack-post-media.s3.amazonaws.com%2Fpublic%2Fimages%2Fdd2b12ca-bb93-41d2-ba96-43db3e8ebed2_1023x672.jpeg" \t "_blank"</w:instrText>
      </w:r>
      <w:r w:rsidRPr="00CD4F7A">
        <w:rPr>
          <w:rFonts w:ascii="Times New Roman" w:eastAsia="Times New Roman" w:hAnsi="Times New Roman" w:cs="Times New Roman"/>
          <w:color w:val="363737"/>
          <w:kern w:val="0"/>
          <w:sz w:val="29"/>
          <w:szCs w:val="29"/>
          <w14:ligatures w14:val="none"/>
        </w:rPr>
      </w:r>
      <w:r w:rsidRPr="00CD4F7A">
        <w:rPr>
          <w:rFonts w:ascii="Times New Roman" w:eastAsia="Times New Roman" w:hAnsi="Times New Roman" w:cs="Times New Roman"/>
          <w:color w:val="363737"/>
          <w:kern w:val="0"/>
          <w:sz w:val="29"/>
          <w:szCs w:val="29"/>
          <w14:ligatures w14:val="none"/>
        </w:rPr>
        <w:fldChar w:fldCharType="separate"/>
      </w:r>
    </w:p>
    <w:p w14:paraId="74CF086D" w14:textId="77777777" w:rsidR="00CD4F7A" w:rsidRPr="00CD4F7A" w:rsidRDefault="00CD4F7A" w:rsidP="00D23524">
      <w:pPr>
        <w:shd w:val="clear" w:color="auto" w:fill="FFFFFF"/>
        <w:spacing w:before="0" w:after="0" w:line="240" w:lineRule="auto"/>
        <w:ind w:right="-1591"/>
        <w:jc w:val="center"/>
        <w:rPr>
          <w:rFonts w:ascii="Times New Roman" w:eastAsia="Times New Roman" w:hAnsi="Times New Roman" w:cs="Times New Roman"/>
          <w:kern w:val="0"/>
          <w:sz w:val="24"/>
          <w:szCs w:val="24"/>
          <w14:ligatures w14:val="none"/>
        </w:rPr>
      </w:pPr>
      <w:bookmarkStart w:id="98" w:name="Figure_15"/>
      <w:r w:rsidRPr="00CD4F7A">
        <w:rPr>
          <w:rFonts w:ascii="Times New Roman" w:eastAsia="Times New Roman" w:hAnsi="Times New Roman" w:cs="Times New Roman"/>
          <w:noProof/>
          <w:color w:val="363737"/>
          <w:kern w:val="0"/>
          <w:sz w:val="29"/>
          <w:szCs w:val="29"/>
          <w:bdr w:val="none" w:sz="0" w:space="0" w:color="auto" w:frame="1"/>
          <w14:ligatures w14:val="none"/>
        </w:rPr>
        <w:drawing>
          <wp:inline distT="0" distB="0" distL="0" distR="0" wp14:anchorId="183F4772" wp14:editId="6DEFA520">
            <wp:extent cx="7230563" cy="4424005"/>
            <wp:effectExtent l="0" t="0" r="8890" b="0"/>
            <wp:docPr id="6" name="Picture 5"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company&#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88165" cy="4459249"/>
                    </a:xfrm>
                    <a:prstGeom prst="rect">
                      <a:avLst/>
                    </a:prstGeom>
                    <a:noFill/>
                    <a:ln>
                      <a:noFill/>
                    </a:ln>
                  </pic:spPr>
                </pic:pic>
              </a:graphicData>
            </a:graphic>
          </wp:inline>
        </w:drawing>
      </w:r>
      <w:bookmarkEnd w:id="98"/>
    </w:p>
    <w:p w14:paraId="45833901" w14:textId="79CF4F51" w:rsidR="00CD4F7A" w:rsidRPr="00CD4F7A" w:rsidRDefault="00CD4F7A" w:rsidP="00D23524">
      <w:pPr>
        <w:shd w:val="clear" w:color="auto" w:fill="FFFFFF"/>
        <w:tabs>
          <w:tab w:val="left" w:pos="907"/>
        </w:tabs>
        <w:spacing w:before="0" w:after="0" w:line="240" w:lineRule="auto"/>
        <w:rPr>
          <w:rFonts w:ascii="Times New Roman" w:eastAsia="Times New Roman" w:hAnsi="Times New Roman" w:cs="Times New Roman"/>
          <w:color w:val="363737"/>
          <w:kern w:val="0"/>
          <w:sz w:val="10"/>
          <w:szCs w:val="10"/>
          <w14:ligatures w14:val="none"/>
        </w:rPr>
      </w:pPr>
      <w:r w:rsidRPr="00CD4F7A">
        <w:rPr>
          <w:rFonts w:ascii="Times New Roman" w:eastAsia="Times New Roman" w:hAnsi="Times New Roman" w:cs="Times New Roman"/>
          <w:color w:val="363737"/>
          <w:kern w:val="0"/>
          <w:sz w:val="29"/>
          <w:szCs w:val="29"/>
          <w14:ligatures w14:val="none"/>
        </w:rPr>
        <w:fldChar w:fldCharType="end"/>
      </w:r>
      <w:r w:rsidR="00D23524">
        <w:rPr>
          <w:rFonts w:ascii="Times New Roman" w:eastAsia="Times New Roman" w:hAnsi="Times New Roman" w:cs="Times New Roman"/>
          <w:color w:val="363737"/>
          <w:kern w:val="0"/>
          <w:sz w:val="29"/>
          <w:szCs w:val="29"/>
          <w14:ligatures w14:val="none"/>
        </w:rPr>
        <w:tab/>
      </w:r>
    </w:p>
    <w:p w14:paraId="77D616E9" w14:textId="5991886C" w:rsidR="00BD0B94" w:rsidRPr="00CD4F7A" w:rsidRDefault="00CC6CEA" w:rsidP="00D23524">
      <w:pPr>
        <w:pStyle w:val="Caption"/>
        <w:spacing w:after="0" w:line="264" w:lineRule="auto"/>
        <w:rPr>
          <w:lang w:eastAsia="en-US" w:bidi="ar-SA"/>
        </w:rPr>
      </w:pPr>
      <w:bookmarkStart w:id="99" w:name="_Toc205365740"/>
      <w:r w:rsidRPr="00920BE3">
        <w:t xml:space="preserve">Figure </w:t>
      </w:r>
      <w:r w:rsidRPr="00920BE3">
        <w:fldChar w:fldCharType="begin"/>
      </w:r>
      <w:r w:rsidRPr="00920BE3">
        <w:instrText>SEQ Figure \* ARABIC</w:instrText>
      </w:r>
      <w:r w:rsidRPr="00920BE3">
        <w:fldChar w:fldCharType="separate"/>
      </w:r>
      <w:r w:rsidR="009F382F">
        <w:rPr>
          <w:noProof/>
        </w:rPr>
        <w:t>15</w:t>
      </w:r>
      <w:r w:rsidRPr="00920BE3">
        <w:fldChar w:fldCharType="end"/>
      </w:r>
      <w:r w:rsidRPr="00920BE3">
        <w:t xml:space="preserve">: </w:t>
      </w:r>
      <w:r>
        <w:rPr>
          <w:lang w:eastAsia="en-US" w:bidi="ar-SA"/>
        </w:rPr>
        <w:t>Structurally informed p</w:t>
      </w:r>
      <w:r w:rsidR="00BD0B94" w:rsidRPr="00CD4F7A">
        <w:rPr>
          <w:lang w:eastAsia="en-US" w:bidi="ar-SA"/>
        </w:rPr>
        <w:t xml:space="preserve">rocess for </w:t>
      </w:r>
      <w:r>
        <w:rPr>
          <w:lang w:eastAsia="en-US" w:bidi="ar-SA"/>
        </w:rPr>
        <w:t>the assignment of roles and responsibilities</w:t>
      </w:r>
      <w:hyperlink w:anchor="R_35" w:history="1">
        <w:r w:rsidR="00275404" w:rsidRPr="00B146C0">
          <w:rPr>
            <w:rStyle w:val="Hyperlink"/>
            <w:lang w:eastAsia="en-US" w:bidi="ar-SA"/>
          </w:rPr>
          <w:t>[</w:t>
        </w:r>
        <w:r w:rsidR="00B146C0" w:rsidRPr="00B146C0">
          <w:rPr>
            <w:rStyle w:val="Hyperlink"/>
            <w:lang w:eastAsia="en-US" w:bidi="ar-SA"/>
          </w:rPr>
          <w:t>35]</w:t>
        </w:r>
        <w:bookmarkEnd w:id="99"/>
      </w:hyperlink>
    </w:p>
    <w:p w14:paraId="71435664" w14:textId="77777777" w:rsidR="00EC2BD2" w:rsidRDefault="00EC2BD2" w:rsidP="00EB2823">
      <w:pPr>
        <w:spacing w:line="264" w:lineRule="auto"/>
        <w:rPr>
          <w:b/>
          <w:bCs/>
        </w:rPr>
        <w:sectPr w:rsidR="00EC2BD2" w:rsidSect="00EC2BD2">
          <w:pgSz w:w="16838" w:h="11906" w:orient="landscape"/>
          <w:pgMar w:top="2552" w:right="2552" w:bottom="1134" w:left="851" w:header="709" w:footer="709" w:gutter="0"/>
          <w:cols w:space="708"/>
          <w:docGrid w:linePitch="360"/>
        </w:sectPr>
      </w:pPr>
    </w:p>
    <w:p w14:paraId="74AD6DAF" w14:textId="62488D64" w:rsidR="00295372" w:rsidRPr="002C72C2" w:rsidRDefault="00DA5B56" w:rsidP="00EB2823">
      <w:pPr>
        <w:pStyle w:val="Heading3"/>
        <w:spacing w:line="264" w:lineRule="auto"/>
        <w:rPr>
          <w:lang w:eastAsia="en-US" w:bidi="ar-SA"/>
        </w:rPr>
      </w:pPr>
      <w:bookmarkStart w:id="100" w:name="_Toc205533977"/>
      <w:r w:rsidRPr="002C72C2">
        <w:rPr>
          <w:lang w:eastAsia="en-US" w:bidi="ar-SA"/>
        </w:rPr>
        <w:t>CER/DER Scale Participation Risks</w:t>
      </w:r>
      <w:bookmarkEnd w:id="100"/>
    </w:p>
    <w:tbl>
      <w:tblPr>
        <w:tblStyle w:val="TableGrid"/>
        <w:tblW w:w="0" w:type="auto"/>
        <w:tblLook w:val="04A0" w:firstRow="1" w:lastRow="0" w:firstColumn="1" w:lastColumn="0" w:noHBand="0" w:noVBand="1"/>
      </w:tblPr>
      <w:tblGrid>
        <w:gridCol w:w="8210"/>
      </w:tblGrid>
      <w:tr w:rsidR="00CD234D" w14:paraId="71737B90" w14:textId="77777777" w:rsidTr="008F2E81">
        <w:tc>
          <w:tcPr>
            <w:tcW w:w="8210" w:type="dxa"/>
            <w:shd w:val="clear" w:color="auto" w:fill="013C4C" w:themeFill="text1"/>
          </w:tcPr>
          <w:p w14:paraId="4C0B8829" w14:textId="420FB73E" w:rsidR="00CD234D" w:rsidRPr="00CA7CF8" w:rsidRDefault="00F90D47" w:rsidP="00CA7CF8">
            <w:pPr>
              <w:tabs>
                <w:tab w:val="left" w:pos="1430"/>
              </w:tabs>
              <w:spacing w:before="180" w:after="180" w:line="264" w:lineRule="auto"/>
              <w:ind w:left="176" w:right="313"/>
              <w:rPr>
                <w:i/>
                <w:iCs/>
                <w:lang w:eastAsia="en-US" w:bidi="ar-SA"/>
              </w:rPr>
            </w:pPr>
            <w:r w:rsidRPr="00CA7CF8">
              <w:rPr>
                <w:i/>
                <w:iCs/>
                <w:lang w:eastAsia="en-US" w:bidi="ar-SA"/>
              </w:rPr>
              <w:t>Future scenarios highlight the important role millions of orchestrated CER/DER, BESS and EVs could play in supporting more secure and efficient future power systems</w:t>
            </w:r>
            <w:r w:rsidR="00374950">
              <w:rPr>
                <w:i/>
                <w:iCs/>
                <w:lang w:eastAsia="en-US" w:bidi="ar-SA"/>
              </w:rPr>
              <w:t xml:space="preserve">. </w:t>
            </w:r>
            <w:r w:rsidRPr="00CA7CF8">
              <w:rPr>
                <w:i/>
                <w:iCs/>
                <w:lang w:eastAsia="en-US" w:bidi="ar-SA"/>
              </w:rPr>
              <w:t>Without a holistic strategy for scaling mass adoption and sustained participation, current trends suggest that achieving the scale of participation required will continue to prove challenging if not infeasible.</w:t>
            </w:r>
          </w:p>
        </w:tc>
      </w:tr>
    </w:tbl>
    <w:p w14:paraId="62232144" w14:textId="77777777" w:rsidR="00C27E97" w:rsidRDefault="00C27E97" w:rsidP="00954BAC">
      <w:pPr>
        <w:pStyle w:val="Heading4"/>
        <w:numPr>
          <w:ilvl w:val="0"/>
          <w:numId w:val="76"/>
        </w:numPr>
        <w:spacing w:before="240" w:after="120" w:line="264" w:lineRule="auto"/>
        <w:rPr>
          <w:i w:val="0"/>
          <w:iCs w:val="0"/>
        </w:rPr>
      </w:pPr>
      <w:r w:rsidRPr="00EB2823">
        <w:rPr>
          <w:i w:val="0"/>
          <w:iCs w:val="0"/>
        </w:rPr>
        <w:t>Cross Cutting Issue</w:t>
      </w:r>
    </w:p>
    <w:p w14:paraId="39B1341E" w14:textId="3E6533A5" w:rsidR="0062253F" w:rsidRDefault="00F90D47" w:rsidP="00B74EEE">
      <w:p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 xml:space="preserve">As noted earlier, </w:t>
      </w:r>
      <w:r w:rsidR="0062253F" w:rsidRPr="0062253F">
        <w:rPr>
          <w:rFonts w:eastAsia="Times New Roman" w:cs="Times New Roman"/>
          <w:kern w:val="0"/>
          <w:szCs w:val="18"/>
          <w14:ligatures w14:val="none"/>
        </w:rPr>
        <w:t xml:space="preserve">AEMO’s Step Change scenario envisions </w:t>
      </w:r>
      <w:r w:rsidR="0007610E">
        <w:rPr>
          <w:rFonts w:eastAsia="Times New Roman" w:cs="Times New Roman"/>
          <w:kern w:val="0"/>
          <w:szCs w:val="18"/>
          <w14:ligatures w14:val="none"/>
        </w:rPr>
        <w:t xml:space="preserve">a future </w:t>
      </w:r>
      <w:r w:rsidR="00385875">
        <w:rPr>
          <w:rFonts w:eastAsia="Times New Roman" w:cs="Times New Roman"/>
          <w:kern w:val="0"/>
          <w:szCs w:val="18"/>
          <w14:ligatures w14:val="none"/>
        </w:rPr>
        <w:t xml:space="preserve">NEM that involves very high levels of </w:t>
      </w:r>
      <w:r w:rsidR="00FD2620" w:rsidRPr="0062253F">
        <w:rPr>
          <w:rFonts w:eastAsia="Times New Roman" w:cs="Times New Roman"/>
          <w:kern w:val="0"/>
          <w:szCs w:val="18"/>
          <w14:ligatures w14:val="none"/>
        </w:rPr>
        <w:t xml:space="preserve">orchestrated </w:t>
      </w:r>
      <w:r w:rsidR="00385875">
        <w:rPr>
          <w:rFonts w:eastAsia="Times New Roman" w:cs="Times New Roman"/>
          <w:kern w:val="0"/>
          <w:szCs w:val="18"/>
          <w14:ligatures w14:val="none"/>
        </w:rPr>
        <w:t>CER/DER</w:t>
      </w:r>
      <w:r w:rsidR="00106B47">
        <w:rPr>
          <w:rFonts w:eastAsia="Times New Roman" w:cs="Times New Roman"/>
          <w:kern w:val="0"/>
          <w:szCs w:val="18"/>
          <w14:ligatures w14:val="none"/>
        </w:rPr>
        <w:t xml:space="preserve">, BESS and EVs </w:t>
      </w:r>
      <w:r w:rsidR="00FD2620" w:rsidRPr="0062253F">
        <w:rPr>
          <w:rFonts w:eastAsia="Times New Roman" w:cs="Times New Roman"/>
          <w:kern w:val="0"/>
          <w:szCs w:val="18"/>
          <w14:ligatures w14:val="none"/>
        </w:rPr>
        <w:t>participat</w:t>
      </w:r>
      <w:r w:rsidR="00106B47">
        <w:rPr>
          <w:rFonts w:eastAsia="Times New Roman" w:cs="Times New Roman"/>
          <w:kern w:val="0"/>
          <w:szCs w:val="18"/>
          <w14:ligatures w14:val="none"/>
        </w:rPr>
        <w:t xml:space="preserve">ing </w:t>
      </w:r>
      <w:r w:rsidR="00FD2620" w:rsidRPr="0062253F">
        <w:rPr>
          <w:rFonts w:eastAsia="Times New Roman" w:cs="Times New Roman"/>
          <w:kern w:val="0"/>
          <w:szCs w:val="18"/>
          <w14:ligatures w14:val="none"/>
        </w:rPr>
        <w:t>in energy markets</w:t>
      </w:r>
      <w:r w:rsidR="00106B47">
        <w:rPr>
          <w:rFonts w:eastAsia="Times New Roman" w:cs="Times New Roman"/>
          <w:kern w:val="0"/>
          <w:szCs w:val="18"/>
          <w14:ligatures w14:val="none"/>
        </w:rPr>
        <w:t xml:space="preserve"> and providing beneficial </w:t>
      </w:r>
      <w:r w:rsidR="00A66BC9">
        <w:rPr>
          <w:rFonts w:eastAsia="Times New Roman" w:cs="Times New Roman"/>
          <w:kern w:val="0"/>
          <w:szCs w:val="18"/>
          <w14:ligatures w14:val="none"/>
        </w:rPr>
        <w:t xml:space="preserve">flexibility and other </w:t>
      </w:r>
      <w:r w:rsidR="00106B47">
        <w:rPr>
          <w:rFonts w:eastAsia="Times New Roman" w:cs="Times New Roman"/>
          <w:kern w:val="0"/>
          <w:szCs w:val="18"/>
          <w14:ligatures w14:val="none"/>
        </w:rPr>
        <w:t>grid services</w:t>
      </w:r>
      <w:r w:rsidR="00374950">
        <w:rPr>
          <w:rFonts w:eastAsia="Times New Roman" w:cs="Times New Roman"/>
          <w:kern w:val="0"/>
          <w:szCs w:val="18"/>
          <w14:ligatures w14:val="none"/>
        </w:rPr>
        <w:t xml:space="preserve">. </w:t>
      </w:r>
      <w:r>
        <w:rPr>
          <w:rFonts w:eastAsia="Times New Roman" w:cs="Times New Roman"/>
          <w:kern w:val="0"/>
          <w:szCs w:val="18"/>
          <w14:ligatures w14:val="none"/>
        </w:rPr>
        <w:t>At present</w:t>
      </w:r>
      <w:r w:rsidR="0007610E">
        <w:rPr>
          <w:rFonts w:eastAsia="Times New Roman" w:cs="Times New Roman"/>
          <w:kern w:val="0"/>
          <w:szCs w:val="18"/>
          <w14:ligatures w14:val="none"/>
        </w:rPr>
        <w:t xml:space="preserve">, however, </w:t>
      </w:r>
      <w:r w:rsidR="00B74EEE">
        <w:rPr>
          <w:rFonts w:eastAsia="Times New Roman" w:cs="Times New Roman"/>
          <w:kern w:val="0"/>
          <w:szCs w:val="18"/>
          <w14:ligatures w14:val="none"/>
        </w:rPr>
        <w:t>the</w:t>
      </w:r>
      <w:r w:rsidR="0007610E">
        <w:rPr>
          <w:rFonts w:eastAsia="Times New Roman" w:cs="Times New Roman"/>
          <w:kern w:val="0"/>
          <w:szCs w:val="18"/>
          <w14:ligatures w14:val="none"/>
        </w:rPr>
        <w:t xml:space="preserve"> current</w:t>
      </w:r>
      <w:r w:rsidR="00B74EEE">
        <w:rPr>
          <w:rFonts w:eastAsia="Times New Roman" w:cs="Times New Roman"/>
          <w:kern w:val="0"/>
          <w:szCs w:val="18"/>
          <w14:ligatures w14:val="none"/>
        </w:rPr>
        <w:t xml:space="preserve"> </w:t>
      </w:r>
      <w:r w:rsidR="0062253F" w:rsidRPr="0062253F">
        <w:rPr>
          <w:rFonts w:eastAsia="Times New Roman" w:cs="Times New Roman"/>
          <w:kern w:val="0"/>
          <w:szCs w:val="18"/>
          <w14:ligatures w14:val="none"/>
        </w:rPr>
        <w:t xml:space="preserve">level of </w:t>
      </w:r>
      <w:r>
        <w:rPr>
          <w:rFonts w:eastAsia="Times New Roman" w:cs="Times New Roman"/>
          <w:kern w:val="0"/>
          <w:szCs w:val="18"/>
          <w14:ligatures w14:val="none"/>
        </w:rPr>
        <w:t xml:space="preserve">orchestrated </w:t>
      </w:r>
      <w:r w:rsidR="0062253F" w:rsidRPr="0062253F">
        <w:rPr>
          <w:rFonts w:eastAsia="Times New Roman" w:cs="Times New Roman"/>
          <w:kern w:val="0"/>
          <w:szCs w:val="18"/>
          <w14:ligatures w14:val="none"/>
        </w:rPr>
        <w:t>market participation remains</w:t>
      </w:r>
      <w:r w:rsidR="002F47FB">
        <w:rPr>
          <w:rFonts w:eastAsia="Times New Roman" w:cs="Times New Roman"/>
          <w:kern w:val="0"/>
          <w:szCs w:val="18"/>
          <w14:ligatures w14:val="none"/>
        </w:rPr>
        <w:t xml:space="preserve"> relatively</w:t>
      </w:r>
      <w:r w:rsidR="0062253F" w:rsidRPr="0062253F">
        <w:rPr>
          <w:rFonts w:eastAsia="Times New Roman" w:cs="Times New Roman"/>
          <w:kern w:val="0"/>
          <w:szCs w:val="18"/>
          <w14:ligatures w14:val="none"/>
        </w:rPr>
        <w:t xml:space="preserve"> low</w:t>
      </w:r>
      <w:r w:rsidR="00A66BC9">
        <w:rPr>
          <w:rFonts w:eastAsia="Times New Roman" w:cs="Times New Roman"/>
          <w:kern w:val="0"/>
          <w:szCs w:val="18"/>
          <w14:ligatures w14:val="none"/>
        </w:rPr>
        <w:t xml:space="preserve">, with most </w:t>
      </w:r>
      <w:r w:rsidR="002F47FB">
        <w:rPr>
          <w:rFonts w:eastAsia="Times New Roman" w:cs="Times New Roman"/>
          <w:kern w:val="0"/>
          <w:szCs w:val="18"/>
          <w14:ligatures w14:val="none"/>
        </w:rPr>
        <w:t xml:space="preserve">customer-owned resources </w:t>
      </w:r>
      <w:r>
        <w:rPr>
          <w:rFonts w:eastAsia="Times New Roman" w:cs="Times New Roman"/>
          <w:kern w:val="0"/>
          <w:szCs w:val="18"/>
          <w14:ligatures w14:val="none"/>
        </w:rPr>
        <w:t xml:space="preserve">being installed and </w:t>
      </w:r>
      <w:r w:rsidR="0062253F" w:rsidRPr="0062253F">
        <w:rPr>
          <w:rFonts w:eastAsia="Times New Roman" w:cs="Times New Roman"/>
          <w:kern w:val="0"/>
          <w:szCs w:val="18"/>
          <w14:ligatures w14:val="none"/>
        </w:rPr>
        <w:t xml:space="preserve">operated </w:t>
      </w:r>
      <w:r w:rsidR="00B74922">
        <w:rPr>
          <w:rFonts w:eastAsia="Times New Roman" w:cs="Times New Roman"/>
          <w:kern w:val="0"/>
          <w:szCs w:val="18"/>
          <w14:ligatures w14:val="none"/>
        </w:rPr>
        <w:t>with little or no</w:t>
      </w:r>
      <w:r w:rsidR="0062253F" w:rsidRPr="0062253F">
        <w:rPr>
          <w:rFonts w:eastAsia="Times New Roman" w:cs="Times New Roman"/>
          <w:kern w:val="0"/>
          <w:szCs w:val="18"/>
          <w14:ligatures w14:val="none"/>
        </w:rPr>
        <w:t xml:space="preserve"> </w:t>
      </w:r>
      <w:r w:rsidR="0007610E">
        <w:rPr>
          <w:rFonts w:eastAsia="Times New Roman" w:cs="Times New Roman"/>
          <w:kern w:val="0"/>
          <w:szCs w:val="18"/>
          <w14:ligatures w14:val="none"/>
        </w:rPr>
        <w:t xml:space="preserve">external </w:t>
      </w:r>
      <w:r w:rsidR="0062253F" w:rsidRPr="0062253F">
        <w:rPr>
          <w:rFonts w:eastAsia="Times New Roman" w:cs="Times New Roman"/>
          <w:kern w:val="0"/>
          <w:szCs w:val="18"/>
          <w14:ligatures w14:val="none"/>
        </w:rPr>
        <w:t xml:space="preserve">coordination </w:t>
      </w:r>
      <w:r w:rsidR="00B74922">
        <w:rPr>
          <w:rFonts w:eastAsia="Times New Roman" w:cs="Times New Roman"/>
          <w:kern w:val="0"/>
          <w:szCs w:val="18"/>
          <w14:ligatures w14:val="none"/>
        </w:rPr>
        <w:t>capability</w:t>
      </w:r>
      <w:r w:rsidR="0062253F" w:rsidRPr="0062253F">
        <w:rPr>
          <w:rFonts w:eastAsia="Times New Roman" w:cs="Times New Roman"/>
          <w:kern w:val="0"/>
          <w:szCs w:val="18"/>
          <w14:ligatures w14:val="none"/>
        </w:rPr>
        <w:t>.</w:t>
      </w:r>
    </w:p>
    <w:p w14:paraId="566D9E36" w14:textId="16ECC3F1" w:rsidR="00EB168F" w:rsidRDefault="00E81070" w:rsidP="00B74EEE">
      <w:p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As noted throughout this report, the design of Australia’s power systems and markets was based on unidirectional power flows and largely passive consumers</w:t>
      </w:r>
      <w:r w:rsidR="00374950">
        <w:rPr>
          <w:rFonts w:eastAsia="Times New Roman" w:cs="Times New Roman"/>
          <w:kern w:val="0"/>
          <w:szCs w:val="18"/>
          <w14:ligatures w14:val="none"/>
        </w:rPr>
        <w:t xml:space="preserve">. </w:t>
      </w:r>
      <w:r>
        <w:rPr>
          <w:rFonts w:eastAsia="Times New Roman" w:cs="Times New Roman"/>
          <w:kern w:val="0"/>
          <w:szCs w:val="18"/>
          <w14:ligatures w14:val="none"/>
        </w:rPr>
        <w:t>Generation and grid services were provided almost exclusively by a few hundred large, upstream merchant resources</w:t>
      </w:r>
      <w:r w:rsidR="00374950">
        <w:rPr>
          <w:rFonts w:eastAsia="Times New Roman" w:cs="Times New Roman"/>
          <w:kern w:val="0"/>
          <w:szCs w:val="18"/>
          <w14:ligatures w14:val="none"/>
        </w:rPr>
        <w:t xml:space="preserve">. </w:t>
      </w:r>
    </w:p>
    <w:p w14:paraId="449101CF" w14:textId="1406BE1D" w:rsidR="00436945" w:rsidRDefault="00EB168F" w:rsidP="00B74EEE">
      <w:p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 xml:space="preserve">In other words, today’s highly </w:t>
      </w:r>
      <w:r w:rsidR="00251DDA">
        <w:rPr>
          <w:rFonts w:eastAsia="Times New Roman" w:cs="Times New Roman"/>
          <w:kern w:val="0"/>
          <w:szCs w:val="18"/>
          <w14:ligatures w14:val="none"/>
        </w:rPr>
        <w:t>centralised power systems and their supporting market and tariff structures did not originate in a world approximating the increasingly distributed future that Australia now anticipates</w:t>
      </w:r>
      <w:r w:rsidR="00374950">
        <w:rPr>
          <w:rFonts w:eastAsia="Times New Roman" w:cs="Times New Roman"/>
          <w:kern w:val="0"/>
          <w:szCs w:val="18"/>
          <w14:ligatures w14:val="none"/>
        </w:rPr>
        <w:t xml:space="preserve">. </w:t>
      </w:r>
      <w:r w:rsidR="00436945">
        <w:rPr>
          <w:rFonts w:eastAsia="Times New Roman" w:cs="Times New Roman"/>
          <w:kern w:val="0"/>
          <w:szCs w:val="18"/>
          <w14:ligatures w14:val="none"/>
        </w:rPr>
        <w:t xml:space="preserve">By contrast, the </w:t>
      </w:r>
      <w:r w:rsidR="00E81070">
        <w:rPr>
          <w:rFonts w:eastAsia="Times New Roman" w:cs="Times New Roman"/>
          <w:kern w:val="0"/>
          <w:szCs w:val="18"/>
          <w14:ligatures w14:val="none"/>
        </w:rPr>
        <w:t xml:space="preserve">creation of </w:t>
      </w:r>
      <w:r w:rsidR="00436945">
        <w:rPr>
          <w:rFonts w:eastAsia="Times New Roman" w:cs="Times New Roman"/>
          <w:kern w:val="0"/>
          <w:szCs w:val="18"/>
          <w14:ligatures w14:val="none"/>
        </w:rPr>
        <w:t xml:space="preserve">an </w:t>
      </w:r>
      <w:r w:rsidR="00F315AC" w:rsidRPr="00F315AC">
        <w:rPr>
          <w:rFonts w:eastAsia="Times New Roman" w:cs="Times New Roman"/>
          <w:kern w:val="0"/>
          <w:szCs w:val="18"/>
          <w14:ligatures w14:val="none"/>
        </w:rPr>
        <w:t>advanced value ecosystem</w:t>
      </w:r>
      <w:r w:rsidR="00436945">
        <w:rPr>
          <w:rFonts w:eastAsia="Times New Roman" w:cs="Times New Roman"/>
          <w:kern w:val="0"/>
          <w:szCs w:val="18"/>
          <w14:ligatures w14:val="none"/>
        </w:rPr>
        <w:t xml:space="preserve"> </w:t>
      </w:r>
      <w:r w:rsidR="00117571">
        <w:rPr>
          <w:rFonts w:eastAsia="Times New Roman" w:cs="Times New Roman"/>
          <w:kern w:val="0"/>
          <w:szCs w:val="18"/>
          <w14:ligatures w14:val="none"/>
        </w:rPr>
        <w:t xml:space="preserve">capable of unlocking the full ‘value stack’ of </w:t>
      </w:r>
      <w:r w:rsidR="00556FC9">
        <w:rPr>
          <w:rFonts w:eastAsia="Times New Roman" w:cs="Times New Roman"/>
          <w:kern w:val="0"/>
          <w:szCs w:val="18"/>
          <w14:ligatures w14:val="none"/>
        </w:rPr>
        <w:t>C</w:t>
      </w:r>
      <w:r w:rsidR="008A4893">
        <w:rPr>
          <w:rFonts w:eastAsia="Times New Roman" w:cs="Times New Roman"/>
          <w:kern w:val="0"/>
          <w:szCs w:val="18"/>
          <w14:ligatures w14:val="none"/>
        </w:rPr>
        <w:t xml:space="preserve">ER/DER services </w:t>
      </w:r>
      <w:r w:rsidR="008A4893" w:rsidRPr="00F315AC">
        <w:rPr>
          <w:rFonts w:eastAsia="Times New Roman" w:cs="Times New Roman"/>
          <w:kern w:val="0"/>
          <w:szCs w:val="18"/>
          <w14:ligatures w14:val="none"/>
        </w:rPr>
        <w:t xml:space="preserve">relies on a sophisticated interplay of technology, policy, </w:t>
      </w:r>
      <w:r w:rsidR="00B6761D">
        <w:rPr>
          <w:rFonts w:eastAsia="Times New Roman" w:cs="Times New Roman"/>
          <w:kern w:val="0"/>
          <w:szCs w:val="18"/>
          <w14:ligatures w14:val="none"/>
        </w:rPr>
        <w:t xml:space="preserve">regulation, </w:t>
      </w:r>
      <w:r w:rsidR="008A4893" w:rsidRPr="00F315AC">
        <w:rPr>
          <w:rFonts w:eastAsia="Times New Roman" w:cs="Times New Roman"/>
          <w:kern w:val="0"/>
          <w:szCs w:val="18"/>
          <w14:ligatures w14:val="none"/>
        </w:rPr>
        <w:t>market structures, and stakeholder coordination</w:t>
      </w:r>
      <w:r w:rsidR="00374950">
        <w:rPr>
          <w:rFonts w:eastAsia="Times New Roman" w:cs="Times New Roman"/>
          <w:kern w:val="0"/>
          <w:szCs w:val="18"/>
          <w14:ligatures w14:val="none"/>
        </w:rPr>
        <w:t xml:space="preserve">. </w:t>
      </w:r>
      <w:r w:rsidR="00D015DB">
        <w:rPr>
          <w:rFonts w:eastAsia="Times New Roman" w:cs="Times New Roman"/>
          <w:kern w:val="0"/>
          <w:szCs w:val="18"/>
          <w14:ligatures w14:val="none"/>
        </w:rPr>
        <w:t>While complex efforts to reverse engineer access to multiple value streams available via legacy mechanisms by some innovators, this has yet to achieve mainstream status</w:t>
      </w:r>
      <w:r w:rsidR="00374950">
        <w:rPr>
          <w:rFonts w:eastAsia="Times New Roman" w:cs="Times New Roman"/>
          <w:kern w:val="0"/>
          <w:szCs w:val="18"/>
          <w14:ligatures w14:val="none"/>
        </w:rPr>
        <w:t xml:space="preserve">. </w:t>
      </w:r>
    </w:p>
    <w:p w14:paraId="5AD8B9D1" w14:textId="12031BFA" w:rsidR="00D015DB" w:rsidRDefault="00D015DB" w:rsidP="00B74EEE">
      <w:p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 xml:space="preserve">Considered from a whole-system perspective, many of the </w:t>
      </w:r>
      <w:r w:rsidR="00DE4ACF">
        <w:rPr>
          <w:rFonts w:eastAsia="Times New Roman" w:cs="Times New Roman"/>
          <w:kern w:val="0"/>
          <w:szCs w:val="18"/>
          <w14:ligatures w14:val="none"/>
        </w:rPr>
        <w:t xml:space="preserve">same </w:t>
      </w:r>
      <w:r>
        <w:rPr>
          <w:rFonts w:eastAsia="Times New Roman" w:cs="Times New Roman"/>
          <w:kern w:val="0"/>
          <w:szCs w:val="18"/>
          <w14:ligatures w14:val="none"/>
        </w:rPr>
        <w:t xml:space="preserve">Systemic Issues examined in this report </w:t>
      </w:r>
      <w:r w:rsidR="00436945">
        <w:rPr>
          <w:rFonts w:eastAsia="Times New Roman" w:cs="Times New Roman"/>
          <w:kern w:val="0"/>
          <w:szCs w:val="18"/>
          <w14:ligatures w14:val="none"/>
        </w:rPr>
        <w:t xml:space="preserve">similarly underpin and </w:t>
      </w:r>
      <w:r w:rsidR="00DE4ACF">
        <w:rPr>
          <w:rFonts w:eastAsia="Times New Roman" w:cs="Times New Roman"/>
          <w:kern w:val="0"/>
          <w:szCs w:val="18"/>
          <w14:ligatures w14:val="none"/>
        </w:rPr>
        <w:t>r</w:t>
      </w:r>
      <w:r>
        <w:rPr>
          <w:rFonts w:eastAsia="Times New Roman" w:cs="Times New Roman"/>
          <w:kern w:val="0"/>
          <w:szCs w:val="18"/>
          <w14:ligatures w14:val="none"/>
        </w:rPr>
        <w:t xml:space="preserve">einforce </w:t>
      </w:r>
      <w:r w:rsidR="00DE4ACF">
        <w:rPr>
          <w:rFonts w:eastAsia="Times New Roman" w:cs="Times New Roman"/>
          <w:kern w:val="0"/>
          <w:szCs w:val="18"/>
          <w14:ligatures w14:val="none"/>
        </w:rPr>
        <w:t>a s</w:t>
      </w:r>
      <w:r>
        <w:rPr>
          <w:rFonts w:eastAsia="Times New Roman" w:cs="Times New Roman"/>
          <w:kern w:val="0"/>
          <w:szCs w:val="18"/>
          <w14:ligatures w14:val="none"/>
        </w:rPr>
        <w:t>tatus quo where</w:t>
      </w:r>
      <w:r w:rsidR="00DE4ACF">
        <w:rPr>
          <w:rFonts w:eastAsia="Times New Roman" w:cs="Times New Roman"/>
          <w:kern w:val="0"/>
          <w:szCs w:val="18"/>
          <w14:ligatures w14:val="none"/>
        </w:rPr>
        <w:t xml:space="preserve"> accessing the full value of </w:t>
      </w:r>
      <w:r w:rsidR="00436945">
        <w:rPr>
          <w:rFonts w:eastAsia="Times New Roman" w:cs="Times New Roman"/>
          <w:kern w:val="0"/>
          <w:szCs w:val="18"/>
          <w14:ligatures w14:val="none"/>
        </w:rPr>
        <w:t xml:space="preserve">CER/DER </w:t>
      </w:r>
      <w:r w:rsidR="00DE4ACF">
        <w:rPr>
          <w:rFonts w:eastAsia="Times New Roman" w:cs="Times New Roman"/>
          <w:kern w:val="0"/>
          <w:szCs w:val="18"/>
          <w14:ligatures w14:val="none"/>
        </w:rPr>
        <w:t xml:space="preserve">participation is difficult if not impossible for most customers. </w:t>
      </w:r>
    </w:p>
    <w:p w14:paraId="78C01134" w14:textId="77777777" w:rsidR="00C27E97" w:rsidRPr="00C27E97" w:rsidRDefault="00C27E97" w:rsidP="00954BAC">
      <w:pPr>
        <w:pStyle w:val="Heading4"/>
        <w:numPr>
          <w:ilvl w:val="0"/>
          <w:numId w:val="76"/>
        </w:numPr>
        <w:spacing w:before="240" w:after="120" w:line="264" w:lineRule="auto"/>
        <w:rPr>
          <w:i w:val="0"/>
          <w:iCs w:val="0"/>
        </w:rPr>
      </w:pPr>
      <w:r w:rsidRPr="00EB2823">
        <w:rPr>
          <w:i w:val="0"/>
          <w:iCs w:val="0"/>
        </w:rPr>
        <w:t>Contributing Factors</w:t>
      </w:r>
    </w:p>
    <w:p w14:paraId="36C4E662" w14:textId="555FCBC7" w:rsidR="00A2183B" w:rsidRDefault="00145F2E" w:rsidP="00A2183B">
      <w:p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Factors</w:t>
      </w:r>
      <w:r w:rsidR="00B128AB">
        <w:rPr>
          <w:rFonts w:eastAsia="Times New Roman" w:cs="Times New Roman"/>
          <w:kern w:val="0"/>
          <w:szCs w:val="18"/>
          <w14:ligatures w14:val="none"/>
        </w:rPr>
        <w:t xml:space="preserve"> that </w:t>
      </w:r>
      <w:r>
        <w:rPr>
          <w:rFonts w:eastAsia="Times New Roman" w:cs="Times New Roman"/>
          <w:kern w:val="0"/>
          <w:szCs w:val="18"/>
          <w14:ligatures w14:val="none"/>
        </w:rPr>
        <w:t xml:space="preserve">may </w:t>
      </w:r>
      <w:r w:rsidR="00B128AB">
        <w:rPr>
          <w:rFonts w:eastAsia="Times New Roman" w:cs="Times New Roman"/>
          <w:kern w:val="0"/>
          <w:szCs w:val="18"/>
          <w14:ligatures w14:val="none"/>
        </w:rPr>
        <w:t xml:space="preserve">further contribute to the limited update of CER/DER orchestration </w:t>
      </w:r>
      <w:r w:rsidR="00A2183B">
        <w:rPr>
          <w:rFonts w:eastAsia="Times New Roman" w:cs="Times New Roman"/>
          <w:kern w:val="0"/>
          <w:szCs w:val="18"/>
          <w14:ligatures w14:val="none"/>
        </w:rPr>
        <w:t xml:space="preserve">include: </w:t>
      </w:r>
    </w:p>
    <w:p w14:paraId="3AC7016A" w14:textId="27827E59" w:rsidR="00A2183B" w:rsidRPr="00D14F74" w:rsidRDefault="00A2183B" w:rsidP="00954BAC">
      <w:pPr>
        <w:pStyle w:val="ListParagraph"/>
        <w:numPr>
          <w:ilvl w:val="0"/>
          <w:numId w:val="31"/>
        </w:numPr>
        <w:spacing w:line="264" w:lineRule="auto"/>
        <w:rPr>
          <w:rFonts w:eastAsia="Times New Roman" w:cs="Times New Roman"/>
          <w:kern w:val="0"/>
          <w:szCs w:val="18"/>
          <w14:ligatures w14:val="none"/>
        </w:rPr>
      </w:pPr>
      <w:r w:rsidRPr="00D14F74">
        <w:rPr>
          <w:rFonts w:eastAsia="Times New Roman" w:cs="Times New Roman"/>
          <w:kern w:val="0"/>
          <w:szCs w:val="18"/>
          <w14:ligatures w14:val="none"/>
        </w:rPr>
        <w:t xml:space="preserve">Limited </w:t>
      </w:r>
      <w:r>
        <w:rPr>
          <w:rFonts w:eastAsia="Times New Roman" w:cs="Times New Roman"/>
          <w:kern w:val="0"/>
          <w:szCs w:val="18"/>
          <w14:ligatures w14:val="none"/>
        </w:rPr>
        <w:t>c</w:t>
      </w:r>
      <w:r w:rsidRPr="00D14F74">
        <w:rPr>
          <w:rFonts w:eastAsia="Times New Roman" w:cs="Times New Roman"/>
          <w:kern w:val="0"/>
          <w:szCs w:val="18"/>
          <w14:ligatures w14:val="none"/>
        </w:rPr>
        <w:t xml:space="preserve">ustomer </w:t>
      </w:r>
      <w:r>
        <w:rPr>
          <w:rFonts w:eastAsia="Times New Roman" w:cs="Times New Roman"/>
          <w:kern w:val="0"/>
          <w:szCs w:val="18"/>
          <w14:ligatures w14:val="none"/>
        </w:rPr>
        <w:t>a</w:t>
      </w:r>
      <w:r w:rsidRPr="00D14F74">
        <w:rPr>
          <w:rFonts w:eastAsia="Times New Roman" w:cs="Times New Roman"/>
          <w:kern w:val="0"/>
          <w:szCs w:val="18"/>
          <w14:ligatures w14:val="none"/>
        </w:rPr>
        <w:t>wareness</w:t>
      </w:r>
      <w:r>
        <w:rPr>
          <w:rFonts w:eastAsia="Times New Roman" w:cs="Times New Roman"/>
          <w:kern w:val="0"/>
          <w:szCs w:val="18"/>
          <w14:ligatures w14:val="none"/>
        </w:rPr>
        <w:t xml:space="preserve">, trust and simplicity: </w:t>
      </w:r>
    </w:p>
    <w:p w14:paraId="7F8E01BE" w14:textId="07D80412" w:rsidR="00A2183B" w:rsidRPr="0062253F" w:rsidRDefault="00A2183B" w:rsidP="00954BAC">
      <w:pPr>
        <w:numPr>
          <w:ilvl w:val="0"/>
          <w:numId w:val="79"/>
        </w:numPr>
        <w:spacing w:before="120" w:after="120" w:line="264" w:lineRule="auto"/>
        <w:rPr>
          <w:rFonts w:eastAsia="Times New Roman" w:cs="Times New Roman"/>
          <w:kern w:val="0"/>
          <w:szCs w:val="18"/>
          <w14:ligatures w14:val="none"/>
        </w:rPr>
      </w:pPr>
      <w:r w:rsidRPr="0062253F">
        <w:rPr>
          <w:rFonts w:eastAsia="Times New Roman" w:cs="Times New Roman"/>
          <w:kern w:val="0"/>
          <w:szCs w:val="18"/>
          <w14:ligatures w14:val="none"/>
        </w:rPr>
        <w:t>Energy literacy remains low</w:t>
      </w:r>
      <w:r>
        <w:rPr>
          <w:rFonts w:eastAsia="Times New Roman" w:cs="Times New Roman"/>
          <w:kern w:val="0"/>
          <w:szCs w:val="18"/>
          <w14:ligatures w14:val="none"/>
        </w:rPr>
        <w:t xml:space="preserve">, and the </w:t>
      </w:r>
      <w:r w:rsidRPr="0062253F">
        <w:rPr>
          <w:rFonts w:eastAsia="Times New Roman" w:cs="Times New Roman"/>
          <w:kern w:val="0"/>
          <w:szCs w:val="18"/>
          <w14:ligatures w14:val="none"/>
        </w:rPr>
        <w:t xml:space="preserve">average customer may not fully understand or </w:t>
      </w:r>
      <w:r>
        <w:rPr>
          <w:rFonts w:eastAsia="Times New Roman" w:cs="Times New Roman"/>
          <w:kern w:val="0"/>
          <w:szCs w:val="18"/>
          <w14:ligatures w14:val="none"/>
        </w:rPr>
        <w:t>appreciate the potential benefits of o</w:t>
      </w:r>
      <w:r w:rsidRPr="0062253F">
        <w:rPr>
          <w:rFonts w:eastAsia="Times New Roman" w:cs="Times New Roman"/>
          <w:kern w:val="0"/>
          <w:szCs w:val="18"/>
          <w14:ligatures w14:val="none"/>
        </w:rPr>
        <w:t xml:space="preserve">rchestration </w:t>
      </w:r>
      <w:r>
        <w:rPr>
          <w:rFonts w:eastAsia="Times New Roman" w:cs="Times New Roman"/>
          <w:kern w:val="0"/>
          <w:szCs w:val="18"/>
          <w14:ligatures w14:val="none"/>
        </w:rPr>
        <w:t>servic</w:t>
      </w:r>
      <w:r w:rsidR="0040553F">
        <w:rPr>
          <w:rFonts w:eastAsia="Times New Roman" w:cs="Times New Roman"/>
          <w:kern w:val="0"/>
          <w:szCs w:val="18"/>
          <w14:ligatures w14:val="none"/>
        </w:rPr>
        <w:t>es</w:t>
      </w:r>
    </w:p>
    <w:p w14:paraId="05E5C5BF" w14:textId="7AD065C4" w:rsidR="00A2183B" w:rsidRPr="0062253F" w:rsidRDefault="00A2183B"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The solutions currently on offer can be complex, require dedicated attention and lack a wider societal context that underpin ‘norming’ and exponential scaling</w:t>
      </w:r>
      <w:r w:rsidR="0040553F">
        <w:rPr>
          <w:rFonts w:eastAsia="Times New Roman" w:cs="Times New Roman"/>
          <w:kern w:val="0"/>
          <w:szCs w:val="18"/>
          <w14:ligatures w14:val="none"/>
        </w:rPr>
        <w:t>\,</w:t>
      </w:r>
      <w:r>
        <w:rPr>
          <w:rFonts w:eastAsia="Times New Roman" w:cs="Times New Roman"/>
          <w:kern w:val="0"/>
          <w:szCs w:val="18"/>
          <w14:ligatures w14:val="none"/>
        </w:rPr>
        <w:t xml:space="preserve"> and </w:t>
      </w:r>
    </w:p>
    <w:p w14:paraId="5ADFDD44" w14:textId="77777777" w:rsidR="00A2183B" w:rsidRDefault="00A2183B"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P</w:t>
      </w:r>
      <w:r w:rsidRPr="0062253F">
        <w:rPr>
          <w:rFonts w:eastAsia="Times New Roman" w:cs="Times New Roman"/>
          <w:kern w:val="0"/>
          <w:szCs w:val="18"/>
          <w14:ligatures w14:val="none"/>
        </w:rPr>
        <w:t>rivacy</w:t>
      </w:r>
      <w:r>
        <w:rPr>
          <w:rFonts w:eastAsia="Times New Roman" w:cs="Times New Roman"/>
          <w:kern w:val="0"/>
          <w:szCs w:val="18"/>
          <w14:ligatures w14:val="none"/>
        </w:rPr>
        <w:t xml:space="preserve">, trust and/or warranty </w:t>
      </w:r>
      <w:r w:rsidRPr="0062253F">
        <w:rPr>
          <w:rFonts w:eastAsia="Times New Roman" w:cs="Times New Roman"/>
          <w:kern w:val="0"/>
          <w:szCs w:val="18"/>
          <w14:ligatures w14:val="none"/>
        </w:rPr>
        <w:t xml:space="preserve">concerns, </w:t>
      </w:r>
      <w:r>
        <w:rPr>
          <w:rFonts w:eastAsia="Times New Roman" w:cs="Times New Roman"/>
          <w:kern w:val="0"/>
          <w:szCs w:val="18"/>
          <w14:ligatures w14:val="none"/>
        </w:rPr>
        <w:t xml:space="preserve">with many customers </w:t>
      </w:r>
      <w:r w:rsidRPr="0062253F">
        <w:rPr>
          <w:rFonts w:eastAsia="Times New Roman" w:cs="Times New Roman"/>
          <w:kern w:val="0"/>
          <w:szCs w:val="18"/>
          <w14:ligatures w14:val="none"/>
        </w:rPr>
        <w:t>preferring autonomy over their energy assets</w:t>
      </w:r>
      <w:r>
        <w:rPr>
          <w:rFonts w:eastAsia="Times New Roman" w:cs="Times New Roman"/>
          <w:kern w:val="0"/>
          <w:szCs w:val="18"/>
          <w14:ligatures w14:val="none"/>
        </w:rPr>
        <w:t xml:space="preserve"> in the absence of certainty. </w:t>
      </w:r>
    </w:p>
    <w:p w14:paraId="090C9C8A" w14:textId="77777777" w:rsidR="00145F2E" w:rsidRDefault="00145F2E">
      <w:pPr>
        <w:spacing w:before="0" w:after="160" w:line="259" w:lineRule="auto"/>
        <w:rPr>
          <w:rFonts w:eastAsia="Times New Roman" w:cs="Times New Roman"/>
          <w:kern w:val="0"/>
          <w:szCs w:val="18"/>
          <w14:ligatures w14:val="none"/>
        </w:rPr>
      </w:pPr>
      <w:r>
        <w:rPr>
          <w:rFonts w:eastAsia="Times New Roman" w:cs="Times New Roman"/>
          <w:kern w:val="0"/>
          <w:szCs w:val="18"/>
          <w14:ligatures w14:val="none"/>
        </w:rPr>
        <w:br w:type="page"/>
      </w:r>
    </w:p>
    <w:p w14:paraId="59387256" w14:textId="571984E8" w:rsidR="00A2183B" w:rsidRPr="0062253F" w:rsidRDefault="00A2183B" w:rsidP="00954BAC">
      <w:pPr>
        <w:pStyle w:val="ListParagraph"/>
        <w:numPr>
          <w:ilvl w:val="0"/>
          <w:numId w:val="31"/>
        </w:numPr>
        <w:spacing w:line="264" w:lineRule="auto"/>
        <w:rPr>
          <w:rFonts w:eastAsia="Times New Roman" w:cs="Times New Roman"/>
          <w:kern w:val="0"/>
          <w:szCs w:val="18"/>
          <w14:ligatures w14:val="none"/>
        </w:rPr>
      </w:pPr>
      <w:r w:rsidRPr="0062253F">
        <w:rPr>
          <w:rFonts w:eastAsia="Times New Roman" w:cs="Times New Roman"/>
          <w:kern w:val="0"/>
          <w:szCs w:val="18"/>
          <w14:ligatures w14:val="none"/>
        </w:rPr>
        <w:t xml:space="preserve">Inadequate </w:t>
      </w:r>
      <w:r>
        <w:rPr>
          <w:rFonts w:eastAsia="Times New Roman" w:cs="Times New Roman"/>
          <w:kern w:val="0"/>
          <w:szCs w:val="18"/>
          <w14:ligatures w14:val="none"/>
        </w:rPr>
        <w:t>f</w:t>
      </w:r>
      <w:r w:rsidRPr="0062253F">
        <w:rPr>
          <w:rFonts w:eastAsia="Times New Roman" w:cs="Times New Roman"/>
          <w:kern w:val="0"/>
          <w:szCs w:val="18"/>
          <w14:ligatures w14:val="none"/>
        </w:rPr>
        <w:t xml:space="preserve">inancial </w:t>
      </w:r>
      <w:r>
        <w:rPr>
          <w:rFonts w:eastAsia="Times New Roman" w:cs="Times New Roman"/>
          <w:kern w:val="0"/>
          <w:szCs w:val="18"/>
          <w14:ligatures w14:val="none"/>
        </w:rPr>
        <w:t>i</w:t>
      </w:r>
      <w:r w:rsidRPr="0062253F">
        <w:rPr>
          <w:rFonts w:eastAsia="Times New Roman" w:cs="Times New Roman"/>
          <w:kern w:val="0"/>
          <w:szCs w:val="18"/>
          <w14:ligatures w14:val="none"/>
        </w:rPr>
        <w:t>ncentives</w:t>
      </w:r>
      <w:r>
        <w:rPr>
          <w:rFonts w:eastAsia="Times New Roman" w:cs="Times New Roman"/>
          <w:kern w:val="0"/>
          <w:szCs w:val="18"/>
          <w14:ligatures w14:val="none"/>
        </w:rPr>
        <w:t>:</w:t>
      </w:r>
    </w:p>
    <w:p w14:paraId="65873803" w14:textId="6804895B" w:rsidR="00A2183B" w:rsidRDefault="00A2183B"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While customised solutions do exist, mass market offerings are not perceived as offering seamless access to the whole-system ‘value stack’ necessary to justify mass CER/DER orchestration</w:t>
      </w:r>
    </w:p>
    <w:p w14:paraId="0F7CC514" w14:textId="28D21E81" w:rsidR="00A2183B" w:rsidRDefault="00A2183B"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 xml:space="preserve">The up-front cost </w:t>
      </w:r>
      <w:r w:rsidRPr="0062253F">
        <w:rPr>
          <w:rFonts w:eastAsia="Times New Roman" w:cs="Times New Roman"/>
          <w:kern w:val="0"/>
          <w:szCs w:val="18"/>
          <w14:ligatures w14:val="none"/>
        </w:rPr>
        <w:t xml:space="preserve">of </w:t>
      </w:r>
      <w:r>
        <w:rPr>
          <w:rFonts w:eastAsia="Times New Roman" w:cs="Times New Roman"/>
          <w:kern w:val="0"/>
          <w:szCs w:val="18"/>
          <w14:ligatures w14:val="none"/>
        </w:rPr>
        <w:t xml:space="preserve">the necessary </w:t>
      </w:r>
      <w:r w:rsidRPr="0062253F">
        <w:rPr>
          <w:rFonts w:eastAsia="Times New Roman" w:cs="Times New Roman"/>
          <w:kern w:val="0"/>
          <w:szCs w:val="18"/>
          <w14:ligatures w14:val="none"/>
        </w:rPr>
        <w:t xml:space="preserve">enabling technology </w:t>
      </w:r>
      <w:r>
        <w:rPr>
          <w:rFonts w:eastAsia="Times New Roman" w:cs="Times New Roman"/>
          <w:kern w:val="0"/>
          <w:szCs w:val="18"/>
          <w14:ligatures w14:val="none"/>
        </w:rPr>
        <w:t>may exceed near-term financial returns</w:t>
      </w:r>
      <w:r w:rsidR="0040553F">
        <w:rPr>
          <w:rFonts w:eastAsia="Times New Roman" w:cs="Times New Roman"/>
          <w:kern w:val="0"/>
          <w:szCs w:val="18"/>
          <w14:ligatures w14:val="none"/>
        </w:rPr>
        <w:t xml:space="preserve">, </w:t>
      </w:r>
      <w:r>
        <w:rPr>
          <w:rFonts w:eastAsia="Times New Roman" w:cs="Times New Roman"/>
          <w:kern w:val="0"/>
          <w:szCs w:val="18"/>
          <w14:ligatures w14:val="none"/>
        </w:rPr>
        <w:t>and</w:t>
      </w:r>
    </w:p>
    <w:p w14:paraId="40A138A7" w14:textId="77777777" w:rsidR="00A2183B" w:rsidRPr="0062253F" w:rsidRDefault="00A2183B"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En</w:t>
      </w:r>
      <w:r w:rsidRPr="0062253F">
        <w:rPr>
          <w:rFonts w:eastAsia="Times New Roman" w:cs="Times New Roman"/>
          <w:kern w:val="0"/>
          <w:szCs w:val="18"/>
          <w14:ligatures w14:val="none"/>
        </w:rPr>
        <w:t xml:space="preserve">ergy market regulations and connection standards </w:t>
      </w:r>
      <w:r>
        <w:rPr>
          <w:rFonts w:eastAsia="Times New Roman" w:cs="Times New Roman"/>
          <w:kern w:val="0"/>
          <w:szCs w:val="18"/>
          <w14:ligatures w14:val="none"/>
        </w:rPr>
        <w:t xml:space="preserve">vary </w:t>
      </w:r>
      <w:r w:rsidRPr="0062253F">
        <w:rPr>
          <w:rFonts w:eastAsia="Times New Roman" w:cs="Times New Roman"/>
          <w:kern w:val="0"/>
          <w:szCs w:val="18"/>
          <w14:ligatures w14:val="none"/>
        </w:rPr>
        <w:t xml:space="preserve">across jurisdictions, making it hard for </w:t>
      </w:r>
      <w:r>
        <w:rPr>
          <w:rFonts w:eastAsia="Times New Roman" w:cs="Times New Roman"/>
          <w:kern w:val="0"/>
          <w:szCs w:val="18"/>
          <w14:ligatures w14:val="none"/>
        </w:rPr>
        <w:t xml:space="preserve">CER/DER </w:t>
      </w:r>
      <w:r w:rsidRPr="0062253F">
        <w:rPr>
          <w:rFonts w:eastAsia="Times New Roman" w:cs="Times New Roman"/>
          <w:kern w:val="0"/>
          <w:szCs w:val="18"/>
          <w14:ligatures w14:val="none"/>
        </w:rPr>
        <w:t>aggregators to scale offerings nationwide.</w:t>
      </w:r>
    </w:p>
    <w:p w14:paraId="040734D7" w14:textId="1FE8F7A2" w:rsidR="00A2183B" w:rsidRPr="0062253F" w:rsidRDefault="00A2183B" w:rsidP="00954BAC">
      <w:pPr>
        <w:pStyle w:val="ListParagraph"/>
        <w:numPr>
          <w:ilvl w:val="0"/>
          <w:numId w:val="31"/>
        </w:numPr>
        <w:spacing w:line="264" w:lineRule="auto"/>
        <w:rPr>
          <w:rFonts w:eastAsia="Times New Roman" w:cs="Times New Roman"/>
          <w:kern w:val="0"/>
          <w:szCs w:val="18"/>
          <w14:ligatures w14:val="none"/>
        </w:rPr>
      </w:pPr>
      <w:r w:rsidRPr="0062253F">
        <w:rPr>
          <w:rFonts w:eastAsia="Times New Roman" w:cs="Times New Roman"/>
          <w:kern w:val="0"/>
          <w:szCs w:val="18"/>
          <w14:ligatures w14:val="none"/>
        </w:rPr>
        <w:t xml:space="preserve">Technology and </w:t>
      </w:r>
      <w:r>
        <w:rPr>
          <w:rFonts w:eastAsia="Times New Roman" w:cs="Times New Roman"/>
          <w:kern w:val="0"/>
          <w:szCs w:val="18"/>
          <w14:ligatures w14:val="none"/>
        </w:rPr>
        <w:t>i</w:t>
      </w:r>
      <w:r w:rsidRPr="0062253F">
        <w:rPr>
          <w:rFonts w:eastAsia="Times New Roman" w:cs="Times New Roman"/>
          <w:kern w:val="0"/>
          <w:szCs w:val="18"/>
          <w14:ligatures w14:val="none"/>
        </w:rPr>
        <w:t xml:space="preserve">nteroperability </w:t>
      </w:r>
      <w:r>
        <w:rPr>
          <w:rFonts w:eastAsia="Times New Roman" w:cs="Times New Roman"/>
          <w:kern w:val="0"/>
          <w:szCs w:val="18"/>
          <w14:ligatures w14:val="none"/>
        </w:rPr>
        <w:t>c</w:t>
      </w:r>
      <w:r w:rsidRPr="0062253F">
        <w:rPr>
          <w:rFonts w:eastAsia="Times New Roman" w:cs="Times New Roman"/>
          <w:kern w:val="0"/>
          <w:szCs w:val="18"/>
          <w14:ligatures w14:val="none"/>
        </w:rPr>
        <w:t>hallenges</w:t>
      </w:r>
      <w:r w:rsidR="0040553F">
        <w:rPr>
          <w:rFonts w:eastAsia="Times New Roman" w:cs="Times New Roman"/>
          <w:kern w:val="0"/>
          <w:szCs w:val="18"/>
          <w14:ligatures w14:val="none"/>
        </w:rPr>
        <w:t>:</w:t>
      </w:r>
    </w:p>
    <w:p w14:paraId="2382CB3D" w14:textId="0E99B472" w:rsidR="00A2183B" w:rsidRPr="0062253F" w:rsidRDefault="00A2183B"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S</w:t>
      </w:r>
      <w:r w:rsidRPr="0062253F">
        <w:rPr>
          <w:rFonts w:eastAsia="Times New Roman" w:cs="Times New Roman"/>
          <w:kern w:val="0"/>
          <w:szCs w:val="18"/>
          <w14:ligatures w14:val="none"/>
        </w:rPr>
        <w:t xml:space="preserve">tandardisation and interoperability </w:t>
      </w:r>
      <w:r>
        <w:rPr>
          <w:rFonts w:eastAsia="Times New Roman" w:cs="Times New Roman"/>
          <w:kern w:val="0"/>
          <w:szCs w:val="18"/>
          <w14:ligatures w14:val="none"/>
        </w:rPr>
        <w:t xml:space="preserve">challenges </w:t>
      </w:r>
      <w:r w:rsidRPr="0062253F">
        <w:rPr>
          <w:rFonts w:eastAsia="Times New Roman" w:cs="Times New Roman"/>
          <w:kern w:val="0"/>
          <w:szCs w:val="18"/>
          <w14:ligatures w14:val="none"/>
        </w:rPr>
        <w:t xml:space="preserve">between </w:t>
      </w:r>
      <w:r>
        <w:rPr>
          <w:rFonts w:eastAsia="Times New Roman" w:cs="Times New Roman"/>
          <w:kern w:val="0"/>
          <w:szCs w:val="18"/>
          <w14:ligatures w14:val="none"/>
        </w:rPr>
        <w:t>CER/</w:t>
      </w:r>
      <w:r w:rsidRPr="0062253F">
        <w:rPr>
          <w:rFonts w:eastAsia="Times New Roman" w:cs="Times New Roman"/>
          <w:kern w:val="0"/>
          <w:szCs w:val="18"/>
          <w14:ligatures w14:val="none"/>
        </w:rPr>
        <w:t xml:space="preserve">DER technologies, platforms, and </w:t>
      </w:r>
      <w:r>
        <w:rPr>
          <w:rFonts w:eastAsia="Times New Roman" w:cs="Times New Roman"/>
          <w:kern w:val="0"/>
          <w:szCs w:val="18"/>
          <w14:ligatures w14:val="none"/>
        </w:rPr>
        <w:t>VPPs</w:t>
      </w:r>
      <w:r w:rsidRPr="0062253F">
        <w:rPr>
          <w:rFonts w:eastAsia="Times New Roman" w:cs="Times New Roman"/>
          <w:kern w:val="0"/>
          <w:szCs w:val="18"/>
          <w14:ligatures w14:val="none"/>
        </w:rPr>
        <w:t xml:space="preserve"> limits the ease of orchestration</w:t>
      </w:r>
      <w:r w:rsidR="0040553F">
        <w:rPr>
          <w:rFonts w:eastAsia="Times New Roman" w:cs="Times New Roman"/>
          <w:kern w:val="0"/>
          <w:szCs w:val="18"/>
          <w14:ligatures w14:val="none"/>
        </w:rPr>
        <w:t>,</w:t>
      </w:r>
      <w:r>
        <w:rPr>
          <w:rFonts w:eastAsia="Times New Roman" w:cs="Times New Roman"/>
          <w:kern w:val="0"/>
          <w:szCs w:val="18"/>
          <w14:ligatures w14:val="none"/>
        </w:rPr>
        <w:t xml:space="preserve"> and </w:t>
      </w:r>
    </w:p>
    <w:p w14:paraId="6BBBA04D" w14:textId="77777777" w:rsidR="00A2183B" w:rsidRPr="0062253F" w:rsidRDefault="00A2183B" w:rsidP="00954BAC">
      <w:pPr>
        <w:numPr>
          <w:ilvl w:val="0"/>
          <w:numId w:val="79"/>
        </w:numPr>
        <w:spacing w:before="120" w:after="120" w:line="264" w:lineRule="auto"/>
        <w:rPr>
          <w:rFonts w:eastAsia="Times New Roman" w:cs="Times New Roman"/>
          <w:kern w:val="0"/>
          <w:szCs w:val="18"/>
          <w14:ligatures w14:val="none"/>
        </w:rPr>
      </w:pPr>
      <w:r w:rsidRPr="0062253F">
        <w:rPr>
          <w:rFonts w:eastAsia="Times New Roman" w:cs="Times New Roman"/>
          <w:kern w:val="0"/>
          <w:szCs w:val="18"/>
          <w14:ligatures w14:val="none"/>
        </w:rPr>
        <w:t>Older systems may lack API access or controllable inverters, requiring costly upgrades.</w:t>
      </w:r>
    </w:p>
    <w:p w14:paraId="7B61007B" w14:textId="77777777" w:rsidR="00C27E97" w:rsidRDefault="00C27E97" w:rsidP="00954BAC">
      <w:pPr>
        <w:pStyle w:val="Heading4"/>
        <w:numPr>
          <w:ilvl w:val="0"/>
          <w:numId w:val="76"/>
        </w:numPr>
        <w:spacing w:before="240" w:after="120" w:line="264" w:lineRule="auto"/>
        <w:rPr>
          <w:i w:val="0"/>
          <w:iCs w:val="0"/>
        </w:rPr>
      </w:pPr>
      <w:r w:rsidRPr="00EB2823">
        <w:rPr>
          <w:i w:val="0"/>
          <w:iCs w:val="0"/>
        </w:rPr>
        <w:t xml:space="preserve">Solution Requirements </w:t>
      </w:r>
    </w:p>
    <w:p w14:paraId="42373533" w14:textId="5048F10D" w:rsidR="00865843" w:rsidRDefault="00717728" w:rsidP="000F4BB1">
      <w:p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 xml:space="preserve">In almost all other consumer-facing sectors, </w:t>
      </w:r>
      <w:r w:rsidR="00B77AF9">
        <w:rPr>
          <w:rFonts w:eastAsia="Times New Roman" w:cs="Times New Roman"/>
          <w:kern w:val="0"/>
          <w:szCs w:val="18"/>
          <w14:ligatures w14:val="none"/>
        </w:rPr>
        <w:t>a wide range of simple, customisable solutions are available to diverse customer segments</w:t>
      </w:r>
      <w:r w:rsidR="00374950">
        <w:rPr>
          <w:rFonts w:eastAsia="Times New Roman" w:cs="Times New Roman"/>
          <w:kern w:val="0"/>
          <w:szCs w:val="18"/>
          <w14:ligatures w14:val="none"/>
        </w:rPr>
        <w:t xml:space="preserve">. </w:t>
      </w:r>
      <w:r w:rsidR="00BE0404">
        <w:rPr>
          <w:rFonts w:eastAsia="Times New Roman" w:cs="Times New Roman"/>
          <w:kern w:val="0"/>
          <w:szCs w:val="18"/>
          <w14:ligatures w14:val="none"/>
        </w:rPr>
        <w:t>Self-service</w:t>
      </w:r>
      <w:r w:rsidR="00FD3290">
        <w:rPr>
          <w:rFonts w:eastAsia="Times New Roman" w:cs="Times New Roman"/>
          <w:kern w:val="0"/>
          <w:szCs w:val="18"/>
          <w14:ligatures w14:val="none"/>
        </w:rPr>
        <w:t xml:space="preserve">, </w:t>
      </w:r>
      <w:r w:rsidR="00E430A9">
        <w:rPr>
          <w:rFonts w:eastAsia="Times New Roman" w:cs="Times New Roman"/>
          <w:kern w:val="0"/>
          <w:szCs w:val="18"/>
          <w14:ligatures w14:val="none"/>
        </w:rPr>
        <w:t xml:space="preserve">product </w:t>
      </w:r>
      <w:r w:rsidR="00FD3290">
        <w:rPr>
          <w:rFonts w:eastAsia="Times New Roman" w:cs="Times New Roman"/>
          <w:kern w:val="0"/>
          <w:szCs w:val="18"/>
          <w14:ligatures w14:val="none"/>
        </w:rPr>
        <w:t>comparison</w:t>
      </w:r>
      <w:r w:rsidR="00E430A9">
        <w:rPr>
          <w:rFonts w:eastAsia="Times New Roman" w:cs="Times New Roman"/>
          <w:kern w:val="0"/>
          <w:szCs w:val="18"/>
          <w14:ligatures w14:val="none"/>
        </w:rPr>
        <w:t>s</w:t>
      </w:r>
      <w:r w:rsidR="00FD3290">
        <w:rPr>
          <w:rFonts w:eastAsia="Times New Roman" w:cs="Times New Roman"/>
          <w:kern w:val="0"/>
          <w:szCs w:val="18"/>
          <w14:ligatures w14:val="none"/>
        </w:rPr>
        <w:t xml:space="preserve"> and solution </w:t>
      </w:r>
      <w:r w:rsidR="00BE0404">
        <w:rPr>
          <w:rFonts w:eastAsia="Times New Roman" w:cs="Times New Roman"/>
          <w:kern w:val="0"/>
          <w:szCs w:val="18"/>
          <w14:ligatures w14:val="none"/>
        </w:rPr>
        <w:t xml:space="preserve">customisation </w:t>
      </w:r>
      <w:r w:rsidR="00E430A9">
        <w:rPr>
          <w:rFonts w:eastAsia="Times New Roman" w:cs="Times New Roman"/>
          <w:kern w:val="0"/>
          <w:szCs w:val="18"/>
          <w14:ligatures w14:val="none"/>
        </w:rPr>
        <w:t xml:space="preserve">are </w:t>
      </w:r>
      <w:r w:rsidR="00BE0404">
        <w:rPr>
          <w:rFonts w:eastAsia="Times New Roman" w:cs="Times New Roman"/>
          <w:kern w:val="0"/>
          <w:szCs w:val="18"/>
          <w14:ligatures w14:val="none"/>
        </w:rPr>
        <w:t xml:space="preserve">often made </w:t>
      </w:r>
      <w:r w:rsidR="00FD3290">
        <w:rPr>
          <w:rFonts w:eastAsia="Times New Roman" w:cs="Times New Roman"/>
          <w:kern w:val="0"/>
          <w:szCs w:val="18"/>
          <w14:ligatures w14:val="none"/>
        </w:rPr>
        <w:t>quick and easy though holistic</w:t>
      </w:r>
      <w:r w:rsidR="00E430A9">
        <w:rPr>
          <w:rFonts w:eastAsia="Times New Roman" w:cs="Times New Roman"/>
          <w:kern w:val="0"/>
          <w:szCs w:val="18"/>
          <w14:ligatures w14:val="none"/>
        </w:rPr>
        <w:t xml:space="preserve">, </w:t>
      </w:r>
      <w:r w:rsidR="00FD3290">
        <w:rPr>
          <w:rFonts w:eastAsia="Times New Roman" w:cs="Times New Roman"/>
          <w:kern w:val="0"/>
          <w:szCs w:val="18"/>
          <w14:ligatures w14:val="none"/>
        </w:rPr>
        <w:t>engaging digital experiences</w:t>
      </w:r>
      <w:r w:rsidR="00965A6C">
        <w:rPr>
          <w:rFonts w:eastAsia="Times New Roman" w:cs="Times New Roman"/>
          <w:kern w:val="0"/>
          <w:szCs w:val="18"/>
          <w14:ligatures w14:val="none"/>
        </w:rPr>
        <w:t xml:space="preserve"> </w:t>
      </w:r>
      <w:r w:rsidR="00E430A9">
        <w:rPr>
          <w:rFonts w:eastAsia="Times New Roman" w:cs="Times New Roman"/>
          <w:kern w:val="0"/>
          <w:szCs w:val="18"/>
          <w14:ligatures w14:val="none"/>
        </w:rPr>
        <w:t>which</w:t>
      </w:r>
      <w:r w:rsidR="00965A6C">
        <w:rPr>
          <w:rFonts w:eastAsia="Times New Roman" w:cs="Times New Roman"/>
          <w:kern w:val="0"/>
          <w:szCs w:val="18"/>
          <w14:ligatures w14:val="none"/>
        </w:rPr>
        <w:t xml:space="preserve"> provide rapid access to multiple sources of value</w:t>
      </w:r>
      <w:r w:rsidR="00374950">
        <w:rPr>
          <w:rFonts w:eastAsia="Times New Roman" w:cs="Times New Roman"/>
          <w:kern w:val="0"/>
          <w:szCs w:val="18"/>
          <w14:ligatures w14:val="none"/>
        </w:rPr>
        <w:t xml:space="preserve">. </w:t>
      </w:r>
    </w:p>
    <w:p w14:paraId="54CBECA9" w14:textId="30B11B84" w:rsidR="00CE3487" w:rsidRPr="000F4BB1" w:rsidRDefault="00391307" w:rsidP="00CE3487">
      <w:p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 xml:space="preserve">The </w:t>
      </w:r>
      <w:r w:rsidR="002C6497">
        <w:rPr>
          <w:rFonts w:eastAsia="Times New Roman" w:cs="Times New Roman"/>
          <w:kern w:val="0"/>
          <w:szCs w:val="18"/>
          <w14:ligatures w14:val="none"/>
        </w:rPr>
        <w:t xml:space="preserve">full </w:t>
      </w:r>
      <w:r w:rsidR="00734252">
        <w:rPr>
          <w:rFonts w:eastAsia="Times New Roman" w:cs="Times New Roman"/>
          <w:kern w:val="0"/>
          <w:szCs w:val="18"/>
          <w14:ligatures w14:val="none"/>
        </w:rPr>
        <w:t xml:space="preserve">exploration </w:t>
      </w:r>
      <w:r w:rsidR="002C6497">
        <w:rPr>
          <w:rFonts w:eastAsia="Times New Roman" w:cs="Times New Roman"/>
          <w:kern w:val="0"/>
          <w:szCs w:val="18"/>
          <w14:ligatures w14:val="none"/>
        </w:rPr>
        <w:t xml:space="preserve">of </w:t>
      </w:r>
      <w:r>
        <w:rPr>
          <w:rFonts w:eastAsia="Times New Roman" w:cs="Times New Roman"/>
          <w:kern w:val="0"/>
          <w:szCs w:val="18"/>
          <w14:ligatures w14:val="none"/>
        </w:rPr>
        <w:t xml:space="preserve">potential </w:t>
      </w:r>
      <w:r w:rsidR="00CE3487">
        <w:rPr>
          <w:rFonts w:eastAsia="Times New Roman" w:cs="Times New Roman"/>
          <w:kern w:val="0"/>
          <w:szCs w:val="18"/>
          <w14:ligatures w14:val="none"/>
        </w:rPr>
        <w:t xml:space="preserve">future </w:t>
      </w:r>
      <w:r w:rsidR="00865843">
        <w:rPr>
          <w:rFonts w:eastAsia="Times New Roman" w:cs="Times New Roman"/>
          <w:kern w:val="0"/>
          <w:szCs w:val="18"/>
          <w14:ligatures w14:val="none"/>
        </w:rPr>
        <w:t xml:space="preserve">solutions </w:t>
      </w:r>
      <w:r w:rsidR="00E430A9">
        <w:rPr>
          <w:rFonts w:eastAsia="Times New Roman" w:cs="Times New Roman"/>
          <w:kern w:val="0"/>
          <w:szCs w:val="18"/>
          <w14:ligatures w14:val="none"/>
        </w:rPr>
        <w:t>is</w:t>
      </w:r>
      <w:r w:rsidR="00865843">
        <w:rPr>
          <w:rFonts w:eastAsia="Times New Roman" w:cs="Times New Roman"/>
          <w:kern w:val="0"/>
          <w:szCs w:val="18"/>
          <w14:ligatures w14:val="none"/>
        </w:rPr>
        <w:t xml:space="preserve"> beyond the scope of this report</w:t>
      </w:r>
      <w:r w:rsidR="00374950">
        <w:rPr>
          <w:rFonts w:eastAsia="Times New Roman" w:cs="Times New Roman"/>
          <w:kern w:val="0"/>
          <w:szCs w:val="18"/>
          <w14:ligatures w14:val="none"/>
        </w:rPr>
        <w:t xml:space="preserve">. </w:t>
      </w:r>
      <w:r>
        <w:rPr>
          <w:rFonts w:eastAsia="Times New Roman" w:cs="Times New Roman"/>
          <w:kern w:val="0"/>
          <w:szCs w:val="18"/>
          <w14:ligatures w14:val="none"/>
        </w:rPr>
        <w:t xml:space="preserve">However, </w:t>
      </w:r>
      <w:r w:rsidR="00734252">
        <w:rPr>
          <w:rFonts w:eastAsia="Times New Roman" w:cs="Times New Roman"/>
          <w:kern w:val="0"/>
          <w:szCs w:val="18"/>
          <w14:ligatures w14:val="none"/>
        </w:rPr>
        <w:t>some</w:t>
      </w:r>
      <w:r w:rsidR="00CE3487">
        <w:rPr>
          <w:rFonts w:eastAsia="Times New Roman" w:cs="Times New Roman"/>
          <w:kern w:val="0"/>
          <w:szCs w:val="18"/>
          <w14:ligatures w14:val="none"/>
        </w:rPr>
        <w:t xml:space="preserve"> considerations </w:t>
      </w:r>
      <w:r>
        <w:rPr>
          <w:rFonts w:eastAsia="Times New Roman" w:cs="Times New Roman"/>
          <w:kern w:val="0"/>
          <w:szCs w:val="18"/>
          <w14:ligatures w14:val="none"/>
        </w:rPr>
        <w:t>that</w:t>
      </w:r>
      <w:r w:rsidR="00870029">
        <w:rPr>
          <w:rFonts w:eastAsia="Times New Roman" w:cs="Times New Roman"/>
          <w:kern w:val="0"/>
          <w:szCs w:val="18"/>
          <w14:ligatures w14:val="none"/>
        </w:rPr>
        <w:t xml:space="preserve"> may be relevant </w:t>
      </w:r>
      <w:r w:rsidR="00C0651D">
        <w:rPr>
          <w:rFonts w:eastAsia="Times New Roman" w:cs="Times New Roman"/>
          <w:kern w:val="0"/>
          <w:szCs w:val="18"/>
          <w14:ligatures w14:val="none"/>
        </w:rPr>
        <w:t xml:space="preserve">to empowering </w:t>
      </w:r>
      <w:r w:rsidR="00546B08" w:rsidRPr="000F4BB1">
        <w:rPr>
          <w:rFonts w:eastAsia="Times New Roman" w:cs="Times New Roman"/>
          <w:kern w:val="0"/>
          <w:szCs w:val="18"/>
          <w14:ligatures w14:val="none"/>
        </w:rPr>
        <w:t>Australian</w:t>
      </w:r>
      <w:r w:rsidR="00C0651D">
        <w:rPr>
          <w:rFonts w:eastAsia="Times New Roman" w:cs="Times New Roman"/>
          <w:kern w:val="0"/>
          <w:szCs w:val="18"/>
          <w14:ligatures w14:val="none"/>
        </w:rPr>
        <w:t xml:space="preserve"> </w:t>
      </w:r>
      <w:r w:rsidR="00870029">
        <w:rPr>
          <w:rFonts w:eastAsia="Times New Roman" w:cs="Times New Roman"/>
          <w:kern w:val="0"/>
          <w:szCs w:val="18"/>
          <w14:ligatures w14:val="none"/>
        </w:rPr>
        <w:t xml:space="preserve">electricity </w:t>
      </w:r>
      <w:r w:rsidR="00C0651D">
        <w:rPr>
          <w:rFonts w:eastAsia="Times New Roman" w:cs="Times New Roman"/>
          <w:kern w:val="0"/>
          <w:szCs w:val="18"/>
          <w14:ligatures w14:val="none"/>
        </w:rPr>
        <w:t>customers – h</w:t>
      </w:r>
      <w:r w:rsidR="00546B08" w:rsidRPr="000F4BB1">
        <w:rPr>
          <w:rFonts w:eastAsia="Times New Roman" w:cs="Times New Roman"/>
          <w:kern w:val="0"/>
          <w:szCs w:val="18"/>
          <w14:ligatures w14:val="none"/>
        </w:rPr>
        <w:t>omeowners, renters, businesses</w:t>
      </w:r>
      <w:r w:rsidR="00C0651D">
        <w:rPr>
          <w:rFonts w:eastAsia="Times New Roman" w:cs="Times New Roman"/>
          <w:kern w:val="0"/>
          <w:szCs w:val="18"/>
          <w14:ligatures w14:val="none"/>
        </w:rPr>
        <w:t xml:space="preserve"> – to </w:t>
      </w:r>
      <w:r w:rsidR="00546B08" w:rsidRPr="000F4BB1">
        <w:rPr>
          <w:rFonts w:eastAsia="Times New Roman" w:cs="Times New Roman"/>
          <w:kern w:val="0"/>
          <w:szCs w:val="18"/>
          <w14:ligatures w14:val="none"/>
        </w:rPr>
        <w:t>become active participants</w:t>
      </w:r>
      <w:r w:rsidR="004F4DAE">
        <w:rPr>
          <w:rFonts w:eastAsia="Times New Roman" w:cs="Times New Roman"/>
          <w:kern w:val="0"/>
          <w:szCs w:val="18"/>
          <w14:ligatures w14:val="none"/>
        </w:rPr>
        <w:t xml:space="preserve"> at significant scale</w:t>
      </w:r>
      <w:r>
        <w:rPr>
          <w:rFonts w:eastAsia="Times New Roman" w:cs="Times New Roman"/>
          <w:kern w:val="0"/>
          <w:szCs w:val="18"/>
          <w14:ligatures w14:val="none"/>
        </w:rPr>
        <w:t xml:space="preserve"> </w:t>
      </w:r>
      <w:r w:rsidR="00870029">
        <w:rPr>
          <w:rFonts w:eastAsia="Times New Roman" w:cs="Times New Roman"/>
          <w:kern w:val="0"/>
          <w:szCs w:val="18"/>
          <w14:ligatures w14:val="none"/>
        </w:rPr>
        <w:t xml:space="preserve">include: </w:t>
      </w:r>
      <w:r w:rsidR="004F4DAE">
        <w:rPr>
          <w:rFonts w:eastAsia="Times New Roman" w:cs="Times New Roman"/>
          <w:kern w:val="0"/>
          <w:szCs w:val="18"/>
          <w14:ligatures w14:val="none"/>
        </w:rPr>
        <w:t xml:space="preserve"> </w:t>
      </w:r>
    </w:p>
    <w:p w14:paraId="5F291AF7" w14:textId="3F490EC3" w:rsidR="00721FAD" w:rsidRPr="0062253F" w:rsidRDefault="00E84A1B" w:rsidP="00954BAC">
      <w:pPr>
        <w:pStyle w:val="ListParagraph"/>
        <w:numPr>
          <w:ilvl w:val="0"/>
          <w:numId w:val="31"/>
        </w:numPr>
        <w:spacing w:line="264" w:lineRule="auto"/>
        <w:rPr>
          <w:rFonts w:eastAsia="Times New Roman" w:cs="Times New Roman"/>
          <w:kern w:val="0"/>
          <w:szCs w:val="18"/>
          <w14:ligatures w14:val="none"/>
        </w:rPr>
      </w:pPr>
      <w:r>
        <w:rPr>
          <w:rFonts w:eastAsia="Times New Roman" w:cs="Times New Roman"/>
          <w:kern w:val="0"/>
          <w:szCs w:val="18"/>
          <w14:ligatures w14:val="none"/>
        </w:rPr>
        <w:t>Aggregate the full CER/DER ‘value stack’</w:t>
      </w:r>
      <w:r w:rsidR="00C764FC">
        <w:rPr>
          <w:rFonts w:eastAsia="Times New Roman" w:cs="Times New Roman"/>
          <w:kern w:val="0"/>
          <w:szCs w:val="18"/>
          <w14:ligatures w14:val="none"/>
        </w:rPr>
        <w:t xml:space="preserve">: </w:t>
      </w:r>
    </w:p>
    <w:p w14:paraId="15448874" w14:textId="67E223EF" w:rsidR="00C70EAB" w:rsidRDefault="00C70EAB"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 xml:space="preserve">Evaluate the longer-term market architectures </w:t>
      </w:r>
      <w:r w:rsidR="007409BC">
        <w:rPr>
          <w:rFonts w:eastAsia="Times New Roman" w:cs="Times New Roman"/>
          <w:kern w:val="0"/>
          <w:szCs w:val="18"/>
          <w14:ligatures w14:val="none"/>
        </w:rPr>
        <w:t xml:space="preserve">needed </w:t>
      </w:r>
      <w:r>
        <w:rPr>
          <w:rFonts w:eastAsia="Times New Roman" w:cs="Times New Roman"/>
          <w:kern w:val="0"/>
          <w:szCs w:val="18"/>
          <w14:ligatures w14:val="none"/>
        </w:rPr>
        <w:t>to value, monetise</w:t>
      </w:r>
      <w:r w:rsidR="007409BC">
        <w:rPr>
          <w:rFonts w:eastAsia="Times New Roman" w:cs="Times New Roman"/>
          <w:kern w:val="0"/>
          <w:szCs w:val="18"/>
          <w14:ligatures w14:val="none"/>
        </w:rPr>
        <w:t xml:space="preserve">, aggregate and </w:t>
      </w:r>
      <w:r>
        <w:rPr>
          <w:rFonts w:eastAsia="Times New Roman" w:cs="Times New Roman"/>
          <w:kern w:val="0"/>
          <w:szCs w:val="18"/>
          <w14:ligatures w14:val="none"/>
        </w:rPr>
        <w:t xml:space="preserve">transact the full ‘value stack’ of </w:t>
      </w:r>
      <w:r w:rsidR="0072557C">
        <w:rPr>
          <w:rFonts w:eastAsia="Times New Roman" w:cs="Times New Roman"/>
          <w:kern w:val="0"/>
          <w:szCs w:val="18"/>
          <w14:ligatures w14:val="none"/>
        </w:rPr>
        <w:t>energy, f</w:t>
      </w:r>
      <w:r w:rsidR="00C764FC">
        <w:rPr>
          <w:rFonts w:eastAsia="Times New Roman" w:cs="Times New Roman"/>
          <w:kern w:val="0"/>
          <w:szCs w:val="18"/>
          <w14:ligatures w14:val="none"/>
        </w:rPr>
        <w:t xml:space="preserve">lexibility </w:t>
      </w:r>
      <w:r w:rsidR="0072557C">
        <w:rPr>
          <w:rFonts w:eastAsia="Times New Roman" w:cs="Times New Roman"/>
          <w:kern w:val="0"/>
          <w:szCs w:val="18"/>
          <w14:ligatures w14:val="none"/>
        </w:rPr>
        <w:t xml:space="preserve">and grid services </w:t>
      </w:r>
      <w:r w:rsidR="00D40918">
        <w:rPr>
          <w:rFonts w:eastAsia="Times New Roman" w:cs="Times New Roman"/>
          <w:kern w:val="0"/>
          <w:szCs w:val="18"/>
          <w14:ligatures w14:val="none"/>
        </w:rPr>
        <w:t xml:space="preserve">across all tiers/layers of </w:t>
      </w:r>
      <w:r w:rsidR="000106D1">
        <w:rPr>
          <w:rFonts w:eastAsia="Times New Roman" w:cs="Times New Roman"/>
          <w:kern w:val="0"/>
          <w:szCs w:val="18"/>
          <w14:ligatures w14:val="none"/>
        </w:rPr>
        <w:t xml:space="preserve">Australia’s </w:t>
      </w:r>
      <w:r w:rsidR="00D40918">
        <w:rPr>
          <w:rFonts w:eastAsia="Times New Roman" w:cs="Times New Roman"/>
          <w:kern w:val="0"/>
          <w:szCs w:val="18"/>
          <w14:ligatures w14:val="none"/>
        </w:rPr>
        <w:t>power system</w:t>
      </w:r>
      <w:r w:rsidR="000106D1">
        <w:rPr>
          <w:rFonts w:eastAsia="Times New Roman" w:cs="Times New Roman"/>
          <w:kern w:val="0"/>
          <w:szCs w:val="18"/>
          <w14:ligatures w14:val="none"/>
        </w:rPr>
        <w:t>s</w:t>
      </w:r>
      <w:r w:rsidR="005435BC">
        <w:rPr>
          <w:rFonts w:eastAsia="Times New Roman" w:cs="Times New Roman"/>
          <w:kern w:val="0"/>
          <w:szCs w:val="18"/>
          <w14:ligatures w14:val="none"/>
        </w:rPr>
        <w:t xml:space="preserve"> </w:t>
      </w:r>
    </w:p>
    <w:p w14:paraId="00159F54" w14:textId="12F85E7F" w:rsidR="005435BC" w:rsidRDefault="005435BC"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 xml:space="preserve">Ensure </w:t>
      </w:r>
      <w:r w:rsidR="000A1110">
        <w:rPr>
          <w:rFonts w:eastAsia="Times New Roman" w:cs="Times New Roman"/>
          <w:kern w:val="0"/>
          <w:szCs w:val="18"/>
          <w14:ligatures w14:val="none"/>
        </w:rPr>
        <w:t xml:space="preserve">emerging </w:t>
      </w:r>
      <w:r>
        <w:rPr>
          <w:rFonts w:eastAsia="Times New Roman" w:cs="Times New Roman"/>
          <w:kern w:val="0"/>
          <w:szCs w:val="18"/>
          <w14:ligatures w14:val="none"/>
        </w:rPr>
        <w:t xml:space="preserve">market </w:t>
      </w:r>
      <w:r w:rsidR="00244026">
        <w:rPr>
          <w:rFonts w:eastAsia="Times New Roman" w:cs="Times New Roman"/>
          <w:kern w:val="0"/>
          <w:szCs w:val="18"/>
          <w14:ligatures w14:val="none"/>
        </w:rPr>
        <w:t>design</w:t>
      </w:r>
      <w:r w:rsidR="000106D1">
        <w:rPr>
          <w:rFonts w:eastAsia="Times New Roman" w:cs="Times New Roman"/>
          <w:kern w:val="0"/>
          <w:szCs w:val="18"/>
          <w14:ligatures w14:val="none"/>
        </w:rPr>
        <w:t>s</w:t>
      </w:r>
      <w:r w:rsidR="00244026">
        <w:rPr>
          <w:rFonts w:eastAsia="Times New Roman" w:cs="Times New Roman"/>
          <w:kern w:val="0"/>
          <w:szCs w:val="18"/>
          <w14:ligatures w14:val="none"/>
        </w:rPr>
        <w:t xml:space="preserve"> reinforce </w:t>
      </w:r>
      <w:r w:rsidR="00BA37E7">
        <w:rPr>
          <w:rFonts w:eastAsia="Times New Roman" w:cs="Times New Roman"/>
          <w:kern w:val="0"/>
          <w:szCs w:val="18"/>
          <w14:ligatures w14:val="none"/>
        </w:rPr>
        <w:t xml:space="preserve">the beneficial </w:t>
      </w:r>
      <w:r w:rsidR="00244026">
        <w:rPr>
          <w:rFonts w:eastAsia="Times New Roman" w:cs="Times New Roman"/>
          <w:kern w:val="0"/>
          <w:szCs w:val="18"/>
          <w14:ligatures w14:val="none"/>
        </w:rPr>
        <w:t>operational coordination</w:t>
      </w:r>
      <w:r w:rsidR="002479B7">
        <w:t xml:space="preserve"> </w:t>
      </w:r>
      <w:r w:rsidR="00244026">
        <w:rPr>
          <w:rFonts w:eastAsia="Times New Roman" w:cs="Times New Roman"/>
          <w:kern w:val="0"/>
          <w:szCs w:val="18"/>
          <w14:ligatures w14:val="none"/>
        </w:rPr>
        <w:t>of millions of CER/DER</w:t>
      </w:r>
      <w:r w:rsidR="007409BC">
        <w:rPr>
          <w:rFonts w:eastAsia="Times New Roman" w:cs="Times New Roman"/>
          <w:kern w:val="0"/>
          <w:szCs w:val="18"/>
          <w14:ligatures w14:val="none"/>
        </w:rPr>
        <w:t>, BESS and EVs</w:t>
      </w:r>
      <w:r w:rsidR="000A1110">
        <w:rPr>
          <w:rFonts w:eastAsia="Times New Roman" w:cs="Times New Roman"/>
          <w:kern w:val="0"/>
          <w:szCs w:val="18"/>
          <w14:ligatures w14:val="none"/>
        </w:rPr>
        <w:t xml:space="preserve">, </w:t>
      </w:r>
      <w:r w:rsidR="0077749B">
        <w:rPr>
          <w:rFonts w:eastAsia="Times New Roman" w:cs="Times New Roman"/>
          <w:kern w:val="0"/>
          <w:szCs w:val="18"/>
          <w14:ligatures w14:val="none"/>
        </w:rPr>
        <w:t xml:space="preserve">co-optimised across </w:t>
      </w:r>
      <w:r w:rsidR="000A1110">
        <w:rPr>
          <w:rFonts w:eastAsia="Times New Roman" w:cs="Times New Roman"/>
          <w:kern w:val="0"/>
          <w:szCs w:val="18"/>
          <w14:ligatures w14:val="none"/>
        </w:rPr>
        <w:t>all</w:t>
      </w:r>
      <w:r w:rsidR="0077749B">
        <w:rPr>
          <w:rFonts w:eastAsia="Times New Roman" w:cs="Times New Roman"/>
          <w:kern w:val="0"/>
          <w:szCs w:val="18"/>
          <w14:ligatures w14:val="none"/>
        </w:rPr>
        <w:t xml:space="preserve"> vertical tiers/layers of the </w:t>
      </w:r>
      <w:r w:rsidR="00BA37E7">
        <w:rPr>
          <w:rFonts w:eastAsia="Times New Roman" w:cs="Times New Roman"/>
          <w:kern w:val="0"/>
          <w:szCs w:val="18"/>
          <w14:ligatures w14:val="none"/>
        </w:rPr>
        <w:t xml:space="preserve">power </w:t>
      </w:r>
      <w:r w:rsidR="0077749B">
        <w:rPr>
          <w:rFonts w:eastAsia="Times New Roman" w:cs="Times New Roman"/>
          <w:kern w:val="0"/>
          <w:szCs w:val="18"/>
          <w14:ligatures w14:val="none"/>
        </w:rPr>
        <w:t>system</w:t>
      </w:r>
      <w:r w:rsidR="00CC005D">
        <w:rPr>
          <w:rFonts w:eastAsia="Times New Roman" w:cs="Times New Roman"/>
          <w:kern w:val="0"/>
          <w:szCs w:val="18"/>
          <w14:ligatures w14:val="none"/>
        </w:rPr>
        <w:t>,</w:t>
      </w:r>
      <w:r w:rsidR="0077749B">
        <w:rPr>
          <w:rFonts w:eastAsia="Times New Roman" w:cs="Times New Roman"/>
          <w:kern w:val="0"/>
          <w:szCs w:val="18"/>
          <w14:ligatures w14:val="none"/>
        </w:rPr>
        <w:t xml:space="preserve"> an</w:t>
      </w:r>
      <w:r w:rsidR="00CC005D">
        <w:rPr>
          <w:rFonts w:eastAsia="Times New Roman" w:cs="Times New Roman"/>
          <w:kern w:val="0"/>
          <w:szCs w:val="18"/>
          <w14:ligatures w14:val="none"/>
        </w:rPr>
        <w:t>d</w:t>
      </w:r>
    </w:p>
    <w:p w14:paraId="37DCC4DB" w14:textId="26B916DD" w:rsidR="00721FAD" w:rsidRPr="0062253F" w:rsidRDefault="006372BF"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Standardise e</w:t>
      </w:r>
      <w:r w:rsidR="00721FAD">
        <w:rPr>
          <w:rFonts w:eastAsia="Times New Roman" w:cs="Times New Roman"/>
          <w:kern w:val="0"/>
          <w:szCs w:val="18"/>
          <w14:ligatures w14:val="none"/>
        </w:rPr>
        <w:t>n</w:t>
      </w:r>
      <w:r w:rsidR="00721FAD" w:rsidRPr="0062253F">
        <w:rPr>
          <w:rFonts w:eastAsia="Times New Roman" w:cs="Times New Roman"/>
          <w:kern w:val="0"/>
          <w:szCs w:val="18"/>
          <w14:ligatures w14:val="none"/>
        </w:rPr>
        <w:t>ergy market regulations</w:t>
      </w:r>
      <w:r>
        <w:rPr>
          <w:rFonts w:eastAsia="Times New Roman" w:cs="Times New Roman"/>
          <w:kern w:val="0"/>
          <w:szCs w:val="18"/>
          <w14:ligatures w14:val="none"/>
        </w:rPr>
        <w:t xml:space="preserve"> and participation </w:t>
      </w:r>
      <w:r w:rsidR="00721FAD" w:rsidRPr="0062253F">
        <w:rPr>
          <w:rFonts w:eastAsia="Times New Roman" w:cs="Times New Roman"/>
          <w:kern w:val="0"/>
          <w:szCs w:val="18"/>
          <w14:ligatures w14:val="none"/>
        </w:rPr>
        <w:t xml:space="preserve">standards across jurisdictions </w:t>
      </w:r>
      <w:r w:rsidR="008A5E1C">
        <w:rPr>
          <w:rFonts w:eastAsia="Times New Roman" w:cs="Times New Roman"/>
          <w:kern w:val="0"/>
          <w:szCs w:val="18"/>
          <w14:ligatures w14:val="none"/>
        </w:rPr>
        <w:t xml:space="preserve">to enable national scaling of service </w:t>
      </w:r>
      <w:r w:rsidR="00721FAD" w:rsidRPr="0062253F">
        <w:rPr>
          <w:rFonts w:eastAsia="Times New Roman" w:cs="Times New Roman"/>
          <w:kern w:val="0"/>
          <w:szCs w:val="18"/>
          <w14:ligatures w14:val="none"/>
        </w:rPr>
        <w:t>offerings.</w:t>
      </w:r>
    </w:p>
    <w:p w14:paraId="044EB8C5" w14:textId="51C7D10E" w:rsidR="00C70EAB" w:rsidRPr="004F4DAE" w:rsidRDefault="00BA37E7" w:rsidP="00954BAC">
      <w:pPr>
        <w:pStyle w:val="ListParagraph"/>
        <w:numPr>
          <w:ilvl w:val="0"/>
          <w:numId w:val="31"/>
        </w:numPr>
        <w:spacing w:line="264" w:lineRule="auto"/>
        <w:rPr>
          <w:rFonts w:eastAsia="Times New Roman" w:cs="Times New Roman"/>
          <w:kern w:val="0"/>
          <w:szCs w:val="18"/>
          <w14:ligatures w14:val="none"/>
        </w:rPr>
      </w:pPr>
      <w:r>
        <w:rPr>
          <w:rFonts w:eastAsia="Times New Roman" w:cs="Times New Roman"/>
          <w:kern w:val="0"/>
          <w:szCs w:val="18"/>
          <w14:ligatures w14:val="none"/>
        </w:rPr>
        <w:t>Establish u</w:t>
      </w:r>
      <w:r w:rsidR="00C70EAB" w:rsidRPr="004F4DAE">
        <w:rPr>
          <w:rFonts w:eastAsia="Times New Roman" w:cs="Times New Roman"/>
          <w:kern w:val="0"/>
          <w:szCs w:val="18"/>
          <w14:ligatures w14:val="none"/>
        </w:rPr>
        <w:t xml:space="preserve">nified </w:t>
      </w:r>
      <w:r w:rsidR="00C70EAB">
        <w:rPr>
          <w:rFonts w:eastAsia="Times New Roman" w:cs="Times New Roman"/>
          <w:kern w:val="0"/>
          <w:szCs w:val="18"/>
          <w14:ligatures w14:val="none"/>
        </w:rPr>
        <w:t>d</w:t>
      </w:r>
      <w:r w:rsidR="00C70EAB" w:rsidRPr="004F4DAE">
        <w:rPr>
          <w:rFonts w:eastAsia="Times New Roman" w:cs="Times New Roman"/>
          <w:kern w:val="0"/>
          <w:szCs w:val="18"/>
          <w14:ligatures w14:val="none"/>
        </w:rPr>
        <w:t xml:space="preserve">igital </w:t>
      </w:r>
      <w:r w:rsidR="00C70EAB">
        <w:rPr>
          <w:rFonts w:eastAsia="Times New Roman" w:cs="Times New Roman"/>
          <w:kern w:val="0"/>
          <w:szCs w:val="18"/>
          <w14:ligatures w14:val="none"/>
        </w:rPr>
        <w:t>p</w:t>
      </w:r>
      <w:r w:rsidR="00C70EAB" w:rsidRPr="004F4DAE">
        <w:rPr>
          <w:rFonts w:eastAsia="Times New Roman" w:cs="Times New Roman"/>
          <w:kern w:val="0"/>
          <w:szCs w:val="18"/>
          <w14:ligatures w14:val="none"/>
        </w:rPr>
        <w:t>latform</w:t>
      </w:r>
      <w:r w:rsidR="00C70EAB">
        <w:rPr>
          <w:rFonts w:eastAsia="Times New Roman" w:cs="Times New Roman"/>
          <w:kern w:val="0"/>
          <w:szCs w:val="18"/>
          <w14:ligatures w14:val="none"/>
        </w:rPr>
        <w:t>(s)</w:t>
      </w:r>
      <w:r w:rsidR="00C70EAB" w:rsidRPr="004F4DAE">
        <w:rPr>
          <w:rFonts w:eastAsia="Times New Roman" w:cs="Times New Roman"/>
          <w:kern w:val="0"/>
          <w:szCs w:val="18"/>
          <w14:ligatures w14:val="none"/>
        </w:rPr>
        <w:t xml:space="preserve"> </w:t>
      </w:r>
      <w:r w:rsidR="00C70EAB">
        <w:rPr>
          <w:rFonts w:eastAsia="Times New Roman" w:cs="Times New Roman"/>
          <w:kern w:val="0"/>
          <w:szCs w:val="18"/>
          <w14:ligatures w14:val="none"/>
        </w:rPr>
        <w:t xml:space="preserve">that provide </w:t>
      </w:r>
      <w:r w:rsidR="00BF0E19">
        <w:rPr>
          <w:rFonts w:eastAsia="Times New Roman" w:cs="Times New Roman"/>
          <w:kern w:val="0"/>
          <w:szCs w:val="18"/>
          <w14:ligatures w14:val="none"/>
        </w:rPr>
        <w:t xml:space="preserve">customers with </w:t>
      </w:r>
      <w:r w:rsidR="00C70EAB">
        <w:rPr>
          <w:rFonts w:eastAsia="Times New Roman" w:cs="Times New Roman"/>
          <w:kern w:val="0"/>
          <w:szCs w:val="18"/>
          <w14:ligatures w14:val="none"/>
        </w:rPr>
        <w:t xml:space="preserve">simple, trusted access to value-added </w:t>
      </w:r>
      <w:r w:rsidR="00BF0E19">
        <w:rPr>
          <w:rFonts w:eastAsia="Times New Roman" w:cs="Times New Roman"/>
          <w:kern w:val="0"/>
          <w:szCs w:val="18"/>
          <w14:ligatures w14:val="none"/>
        </w:rPr>
        <w:t>service offerings</w:t>
      </w:r>
      <w:r w:rsidR="00C70EAB">
        <w:rPr>
          <w:rFonts w:eastAsia="Times New Roman" w:cs="Times New Roman"/>
          <w:kern w:val="0"/>
          <w:szCs w:val="18"/>
          <w14:ligatures w14:val="none"/>
        </w:rPr>
        <w:t xml:space="preserve">, including: </w:t>
      </w:r>
    </w:p>
    <w:p w14:paraId="5B130C8C" w14:textId="2334D6CD" w:rsidR="00C70EAB" w:rsidRPr="000F4BB1" w:rsidRDefault="00C70EAB"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Real-time e</w:t>
      </w:r>
      <w:r w:rsidRPr="000F4BB1">
        <w:rPr>
          <w:rFonts w:eastAsia="Times New Roman" w:cs="Times New Roman"/>
          <w:kern w:val="0"/>
          <w:szCs w:val="18"/>
          <w14:ligatures w14:val="none"/>
        </w:rPr>
        <w:t>nergy usage</w:t>
      </w:r>
      <w:r w:rsidR="008B37A6">
        <w:rPr>
          <w:rFonts w:eastAsia="Times New Roman" w:cs="Times New Roman"/>
          <w:kern w:val="0"/>
          <w:szCs w:val="18"/>
          <w14:ligatures w14:val="none"/>
        </w:rPr>
        <w:t xml:space="preserve">, generation and storage monitoring enhanced with </w:t>
      </w:r>
      <w:r>
        <w:rPr>
          <w:rFonts w:eastAsia="Times New Roman" w:cs="Times New Roman"/>
          <w:kern w:val="0"/>
          <w:szCs w:val="18"/>
          <w14:ligatures w14:val="none"/>
        </w:rPr>
        <w:t xml:space="preserve">AI-enabled </w:t>
      </w:r>
      <w:r w:rsidR="00DF2610">
        <w:rPr>
          <w:rFonts w:eastAsia="Times New Roman" w:cs="Times New Roman"/>
          <w:kern w:val="0"/>
          <w:szCs w:val="18"/>
          <w14:ligatures w14:val="none"/>
        </w:rPr>
        <w:t xml:space="preserve">customised options for immediate </w:t>
      </w:r>
      <w:r>
        <w:rPr>
          <w:rFonts w:eastAsia="Times New Roman" w:cs="Times New Roman"/>
          <w:kern w:val="0"/>
          <w:szCs w:val="18"/>
          <w14:ligatures w14:val="none"/>
        </w:rPr>
        <w:t>efficiency gains</w:t>
      </w:r>
    </w:p>
    <w:p w14:paraId="04D52C6E" w14:textId="78CBC1B3" w:rsidR="00C70EAB" w:rsidRDefault="00DF2610"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Easy s</w:t>
      </w:r>
      <w:r w:rsidR="00C70EAB">
        <w:rPr>
          <w:rFonts w:eastAsia="Times New Roman" w:cs="Times New Roman"/>
          <w:kern w:val="0"/>
          <w:szCs w:val="18"/>
          <w14:ligatures w14:val="none"/>
        </w:rPr>
        <w:t>elf-serve comparison</w:t>
      </w:r>
      <w:r>
        <w:rPr>
          <w:rFonts w:eastAsia="Times New Roman" w:cs="Times New Roman"/>
          <w:kern w:val="0"/>
          <w:szCs w:val="18"/>
          <w14:ligatures w14:val="none"/>
        </w:rPr>
        <w:t>s</w:t>
      </w:r>
      <w:r w:rsidR="00C70EAB">
        <w:rPr>
          <w:rFonts w:eastAsia="Times New Roman" w:cs="Times New Roman"/>
          <w:kern w:val="0"/>
          <w:szCs w:val="18"/>
          <w14:ligatures w14:val="none"/>
        </w:rPr>
        <w:t xml:space="preserve"> of alternative CER/DER service offerings </w:t>
      </w:r>
      <w:r w:rsidR="000F0378">
        <w:rPr>
          <w:rFonts w:eastAsia="Times New Roman" w:cs="Times New Roman"/>
          <w:kern w:val="0"/>
          <w:szCs w:val="18"/>
          <w14:ligatures w14:val="none"/>
        </w:rPr>
        <w:t xml:space="preserve">and their </w:t>
      </w:r>
      <w:r w:rsidR="00C70EAB">
        <w:rPr>
          <w:rFonts w:eastAsia="Times New Roman" w:cs="Times New Roman"/>
          <w:kern w:val="0"/>
          <w:szCs w:val="18"/>
          <w14:ligatures w14:val="none"/>
        </w:rPr>
        <w:t>projected monthly and annual financial benefits</w:t>
      </w:r>
      <w:r w:rsidR="00CC005D">
        <w:rPr>
          <w:rFonts w:eastAsia="Times New Roman" w:cs="Times New Roman"/>
          <w:kern w:val="0"/>
          <w:szCs w:val="18"/>
          <w14:ligatures w14:val="none"/>
        </w:rPr>
        <w:t xml:space="preserve">, </w:t>
      </w:r>
      <w:r w:rsidR="00C70EAB">
        <w:rPr>
          <w:rFonts w:eastAsia="Times New Roman" w:cs="Times New Roman"/>
          <w:kern w:val="0"/>
          <w:szCs w:val="18"/>
          <w14:ligatures w14:val="none"/>
        </w:rPr>
        <w:t>and</w:t>
      </w:r>
    </w:p>
    <w:p w14:paraId="01163C13" w14:textId="4BCE9DC0" w:rsidR="00C70EAB" w:rsidRPr="000F4BB1" w:rsidRDefault="000F0378"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 xml:space="preserve">Rapid </w:t>
      </w:r>
      <w:r w:rsidR="00C70EAB">
        <w:rPr>
          <w:rFonts w:eastAsia="Times New Roman" w:cs="Times New Roman"/>
          <w:kern w:val="0"/>
          <w:szCs w:val="18"/>
          <w14:ligatures w14:val="none"/>
        </w:rPr>
        <w:t xml:space="preserve">subscription to the preferred CER/DER offerings supported by trusted in-field </w:t>
      </w:r>
      <w:r>
        <w:rPr>
          <w:rFonts w:eastAsia="Times New Roman" w:cs="Times New Roman"/>
          <w:kern w:val="0"/>
          <w:szCs w:val="18"/>
          <w14:ligatures w14:val="none"/>
        </w:rPr>
        <w:t>deployment</w:t>
      </w:r>
      <w:r w:rsidR="00C70EAB">
        <w:rPr>
          <w:rFonts w:eastAsia="Times New Roman" w:cs="Times New Roman"/>
          <w:kern w:val="0"/>
          <w:szCs w:val="18"/>
          <w14:ligatures w14:val="none"/>
        </w:rPr>
        <w:t xml:space="preserve"> and guaranteed minimum returns</w:t>
      </w:r>
      <w:r w:rsidR="00C70EAB" w:rsidRPr="000F4BB1">
        <w:rPr>
          <w:rFonts w:eastAsia="Times New Roman" w:cs="Times New Roman"/>
          <w:kern w:val="0"/>
          <w:szCs w:val="18"/>
          <w14:ligatures w14:val="none"/>
        </w:rPr>
        <w:t>.</w:t>
      </w:r>
    </w:p>
    <w:p w14:paraId="3AAB84B7" w14:textId="620E3AD4" w:rsidR="00DC16D2" w:rsidRDefault="0029036C" w:rsidP="00954BAC">
      <w:pPr>
        <w:pStyle w:val="ListParagraph"/>
        <w:numPr>
          <w:ilvl w:val="0"/>
          <w:numId w:val="31"/>
        </w:numPr>
        <w:spacing w:line="264" w:lineRule="auto"/>
        <w:rPr>
          <w:rFonts w:eastAsia="Times New Roman" w:cs="Times New Roman"/>
          <w:kern w:val="0"/>
          <w:szCs w:val="18"/>
          <w14:ligatures w14:val="none"/>
        </w:rPr>
      </w:pPr>
      <w:r>
        <w:rPr>
          <w:rFonts w:eastAsia="Times New Roman" w:cs="Times New Roman"/>
          <w:kern w:val="0"/>
          <w:szCs w:val="18"/>
          <w14:ligatures w14:val="none"/>
        </w:rPr>
        <w:t xml:space="preserve">Deploy a multi-year national campaign </w:t>
      </w:r>
      <w:r w:rsidR="008704C7">
        <w:rPr>
          <w:rFonts w:eastAsia="Times New Roman" w:cs="Times New Roman"/>
          <w:kern w:val="0"/>
          <w:szCs w:val="18"/>
          <w14:ligatures w14:val="none"/>
        </w:rPr>
        <w:t xml:space="preserve">aimed transitioning CER/DER orchestration from a relatively niche </w:t>
      </w:r>
      <w:r w:rsidR="00FA79DB">
        <w:rPr>
          <w:rFonts w:eastAsia="Times New Roman" w:cs="Times New Roman"/>
          <w:kern w:val="0"/>
          <w:szCs w:val="18"/>
          <w14:ligatures w14:val="none"/>
        </w:rPr>
        <w:t>option to a mainstreamed cultural norm</w:t>
      </w:r>
      <w:r w:rsidR="00374950">
        <w:rPr>
          <w:rFonts w:eastAsia="Times New Roman" w:cs="Times New Roman"/>
          <w:kern w:val="0"/>
          <w:szCs w:val="18"/>
          <w14:ligatures w14:val="none"/>
        </w:rPr>
        <w:t xml:space="preserve">. </w:t>
      </w:r>
      <w:r w:rsidR="00FA79DB">
        <w:rPr>
          <w:rFonts w:eastAsia="Times New Roman" w:cs="Times New Roman"/>
          <w:kern w:val="0"/>
          <w:szCs w:val="18"/>
          <w14:ligatures w14:val="none"/>
        </w:rPr>
        <w:t xml:space="preserve">This may include: </w:t>
      </w:r>
    </w:p>
    <w:p w14:paraId="0BA56423" w14:textId="3BD2DB53" w:rsidR="0087786E" w:rsidRDefault="00FA79DB" w:rsidP="00954BAC">
      <w:pPr>
        <w:numPr>
          <w:ilvl w:val="0"/>
          <w:numId w:val="79"/>
        </w:numPr>
        <w:spacing w:before="120" w:after="120" w:line="264" w:lineRule="auto"/>
        <w:rPr>
          <w:rFonts w:eastAsia="Times New Roman" w:cs="Times New Roman"/>
          <w:kern w:val="0"/>
          <w:szCs w:val="18"/>
          <w14:ligatures w14:val="none"/>
        </w:rPr>
      </w:pPr>
      <w:r w:rsidRPr="00FA79DB">
        <w:rPr>
          <w:rFonts w:eastAsia="Times New Roman" w:cs="Times New Roman"/>
          <w:kern w:val="0"/>
          <w:szCs w:val="18"/>
          <w14:ligatures w14:val="none"/>
        </w:rPr>
        <w:t xml:space="preserve">Energy </w:t>
      </w:r>
      <w:r>
        <w:rPr>
          <w:rFonts w:eastAsia="Times New Roman" w:cs="Times New Roman"/>
          <w:kern w:val="0"/>
          <w:szCs w:val="18"/>
          <w14:ligatures w14:val="none"/>
        </w:rPr>
        <w:t xml:space="preserve">literacy </w:t>
      </w:r>
      <w:r w:rsidR="00280041">
        <w:rPr>
          <w:rFonts w:eastAsia="Times New Roman" w:cs="Times New Roman"/>
          <w:kern w:val="0"/>
          <w:szCs w:val="18"/>
          <w14:ligatures w14:val="none"/>
        </w:rPr>
        <w:t>c</w:t>
      </w:r>
      <w:r w:rsidRPr="00FA79DB">
        <w:rPr>
          <w:rFonts w:eastAsia="Times New Roman" w:cs="Times New Roman"/>
          <w:kern w:val="0"/>
          <w:szCs w:val="18"/>
          <w14:ligatures w14:val="none"/>
        </w:rPr>
        <w:t>ampaigns</w:t>
      </w:r>
      <w:r w:rsidR="00280041">
        <w:rPr>
          <w:rFonts w:eastAsia="Times New Roman" w:cs="Times New Roman"/>
          <w:kern w:val="0"/>
          <w:szCs w:val="18"/>
          <w14:ligatures w14:val="none"/>
        </w:rPr>
        <w:t xml:space="preserve"> that inform customers on </w:t>
      </w:r>
      <w:r w:rsidR="0087786E">
        <w:rPr>
          <w:rFonts w:eastAsia="Times New Roman" w:cs="Times New Roman"/>
          <w:kern w:val="0"/>
          <w:szCs w:val="18"/>
          <w14:ligatures w14:val="none"/>
        </w:rPr>
        <w:t>the range of value-added, low-risk participation opportunities</w:t>
      </w:r>
    </w:p>
    <w:p w14:paraId="41F017FE" w14:textId="3E1652B4" w:rsidR="00E46175" w:rsidRDefault="00711FBD" w:rsidP="00954BAC">
      <w:pPr>
        <w:numPr>
          <w:ilvl w:val="0"/>
          <w:numId w:val="79"/>
        </w:numPr>
        <w:spacing w:before="120" w:after="120" w:line="264" w:lineRule="auto"/>
        <w:rPr>
          <w:rFonts w:eastAsia="Times New Roman" w:cs="Times New Roman"/>
          <w:kern w:val="0"/>
          <w:szCs w:val="18"/>
          <w14:ligatures w14:val="none"/>
        </w:rPr>
      </w:pPr>
      <w:r>
        <w:rPr>
          <w:rFonts w:eastAsia="Times New Roman" w:cs="Times New Roman"/>
          <w:kern w:val="0"/>
          <w:szCs w:val="18"/>
          <w14:ligatures w14:val="none"/>
        </w:rPr>
        <w:t>I</w:t>
      </w:r>
      <w:r w:rsidR="00E46175" w:rsidRPr="00FA79DB">
        <w:rPr>
          <w:rFonts w:eastAsia="Times New Roman" w:cs="Times New Roman"/>
          <w:kern w:val="0"/>
          <w:szCs w:val="18"/>
          <w14:ligatures w14:val="none"/>
        </w:rPr>
        <w:t>nclusion</w:t>
      </w:r>
      <w:r>
        <w:rPr>
          <w:rFonts w:eastAsia="Times New Roman" w:cs="Times New Roman"/>
          <w:kern w:val="0"/>
          <w:szCs w:val="18"/>
          <w14:ligatures w14:val="none"/>
        </w:rPr>
        <w:t xml:space="preserve"> p</w:t>
      </w:r>
      <w:r w:rsidR="00E46175" w:rsidRPr="00FA79DB">
        <w:rPr>
          <w:rFonts w:eastAsia="Times New Roman" w:cs="Times New Roman"/>
          <w:kern w:val="0"/>
          <w:szCs w:val="18"/>
          <w14:ligatures w14:val="none"/>
        </w:rPr>
        <w:t>rograms</w:t>
      </w:r>
      <w:r>
        <w:rPr>
          <w:rFonts w:eastAsia="Times New Roman" w:cs="Times New Roman"/>
          <w:kern w:val="0"/>
          <w:szCs w:val="18"/>
          <w14:ligatures w14:val="none"/>
        </w:rPr>
        <w:t xml:space="preserve"> that </w:t>
      </w:r>
      <w:r w:rsidR="008B61BE">
        <w:rPr>
          <w:rFonts w:eastAsia="Times New Roman" w:cs="Times New Roman"/>
          <w:kern w:val="0"/>
          <w:szCs w:val="18"/>
          <w14:ligatures w14:val="none"/>
        </w:rPr>
        <w:t>support</w:t>
      </w:r>
      <w:r w:rsidR="00E46175" w:rsidRPr="000F4BB1">
        <w:rPr>
          <w:rFonts w:eastAsia="Times New Roman" w:cs="Times New Roman"/>
          <w:kern w:val="0"/>
          <w:szCs w:val="18"/>
          <w14:ligatures w14:val="none"/>
        </w:rPr>
        <w:t xml:space="preserve"> equitable access across socioeconomic</w:t>
      </w:r>
      <w:r w:rsidR="0031706D">
        <w:rPr>
          <w:rFonts w:eastAsia="Times New Roman" w:cs="Times New Roman"/>
          <w:kern w:val="0"/>
          <w:szCs w:val="18"/>
          <w14:ligatures w14:val="none"/>
        </w:rPr>
        <w:t xml:space="preserve">, </w:t>
      </w:r>
      <w:r w:rsidR="00E46175" w:rsidRPr="000F4BB1">
        <w:rPr>
          <w:rFonts w:eastAsia="Times New Roman" w:cs="Times New Roman"/>
          <w:kern w:val="0"/>
          <w:szCs w:val="18"/>
          <w14:ligatures w14:val="none"/>
        </w:rPr>
        <w:t xml:space="preserve">regional </w:t>
      </w:r>
      <w:r w:rsidR="0031706D">
        <w:rPr>
          <w:rFonts w:eastAsia="Times New Roman" w:cs="Times New Roman"/>
          <w:kern w:val="0"/>
          <w:szCs w:val="18"/>
          <w14:ligatures w14:val="none"/>
        </w:rPr>
        <w:t xml:space="preserve">and property type and ownership </w:t>
      </w:r>
      <w:r w:rsidR="00E46175" w:rsidRPr="000F4BB1">
        <w:rPr>
          <w:rFonts w:eastAsia="Times New Roman" w:cs="Times New Roman"/>
          <w:kern w:val="0"/>
          <w:szCs w:val="18"/>
          <w14:ligatures w14:val="none"/>
        </w:rPr>
        <w:t>divide</w:t>
      </w:r>
      <w:r>
        <w:rPr>
          <w:rFonts w:eastAsia="Times New Roman" w:cs="Times New Roman"/>
          <w:kern w:val="0"/>
          <w:szCs w:val="18"/>
          <w14:ligatures w14:val="none"/>
        </w:rPr>
        <w:t>s</w:t>
      </w:r>
    </w:p>
    <w:p w14:paraId="4CF0CEF6" w14:textId="520EB802" w:rsidR="00F4677C" w:rsidRPr="006C6CE1" w:rsidRDefault="00F4677C" w:rsidP="00954BAC">
      <w:pPr>
        <w:numPr>
          <w:ilvl w:val="0"/>
          <w:numId w:val="79"/>
        </w:numPr>
        <w:spacing w:before="120" w:after="120" w:line="264" w:lineRule="auto"/>
        <w:rPr>
          <w:rFonts w:eastAsia="Times New Roman" w:cs="Times New Roman"/>
          <w:kern w:val="0"/>
          <w:szCs w:val="18"/>
          <w14:ligatures w14:val="none"/>
        </w:rPr>
      </w:pPr>
      <w:r w:rsidRPr="006C6CE1">
        <w:rPr>
          <w:rFonts w:eastAsia="Times New Roman" w:cs="Times New Roman"/>
          <w:kern w:val="0"/>
          <w:szCs w:val="18"/>
          <w14:ligatures w14:val="none"/>
        </w:rPr>
        <w:t xml:space="preserve">Financing mechanisms that support CER/DER </w:t>
      </w:r>
      <w:r w:rsidR="008B2BAC" w:rsidRPr="006C6CE1">
        <w:rPr>
          <w:rFonts w:eastAsia="Times New Roman" w:cs="Times New Roman"/>
          <w:kern w:val="0"/>
          <w:szCs w:val="18"/>
          <w14:ligatures w14:val="none"/>
        </w:rPr>
        <w:t>installation and participation</w:t>
      </w:r>
      <w:r w:rsidR="00CC005D">
        <w:rPr>
          <w:rFonts w:eastAsia="Times New Roman" w:cs="Times New Roman"/>
          <w:kern w:val="0"/>
          <w:szCs w:val="18"/>
          <w14:ligatures w14:val="none"/>
        </w:rPr>
        <w:t>,</w:t>
      </w:r>
      <w:r w:rsidR="008B2BAC" w:rsidRPr="006C6CE1">
        <w:rPr>
          <w:rFonts w:eastAsia="Times New Roman" w:cs="Times New Roman"/>
          <w:kern w:val="0"/>
          <w:szCs w:val="18"/>
          <w14:ligatures w14:val="none"/>
        </w:rPr>
        <w:t xml:space="preserve"> including </w:t>
      </w:r>
      <w:r w:rsidRPr="006C6CE1">
        <w:rPr>
          <w:rFonts w:eastAsia="Times New Roman" w:cs="Times New Roman"/>
          <w:kern w:val="0"/>
          <w:szCs w:val="18"/>
          <w14:ligatures w14:val="none"/>
        </w:rPr>
        <w:t xml:space="preserve">leasing models, </w:t>
      </w:r>
      <w:r w:rsidR="006C6CE1" w:rsidRPr="006C6CE1">
        <w:rPr>
          <w:rFonts w:eastAsia="Times New Roman" w:cs="Times New Roman"/>
          <w:kern w:val="0"/>
          <w:szCs w:val="18"/>
          <w14:ligatures w14:val="none"/>
        </w:rPr>
        <w:t xml:space="preserve">green loans, </w:t>
      </w:r>
      <w:r w:rsidRPr="006C6CE1">
        <w:rPr>
          <w:rFonts w:eastAsia="Times New Roman" w:cs="Times New Roman"/>
          <w:kern w:val="0"/>
          <w:szCs w:val="18"/>
          <w14:ligatures w14:val="none"/>
        </w:rPr>
        <w:t>energy-as-a-service</w:t>
      </w:r>
      <w:r w:rsidR="006C6CE1" w:rsidRPr="006C6CE1">
        <w:rPr>
          <w:rFonts w:eastAsia="Times New Roman" w:cs="Times New Roman"/>
          <w:kern w:val="0"/>
          <w:szCs w:val="18"/>
          <w14:ligatures w14:val="none"/>
        </w:rPr>
        <w:t xml:space="preserve"> offerings, etc</w:t>
      </w:r>
      <w:r w:rsidR="00CC005D">
        <w:rPr>
          <w:rFonts w:eastAsia="Times New Roman" w:cs="Times New Roman"/>
          <w:kern w:val="0"/>
          <w:szCs w:val="18"/>
          <w14:ligatures w14:val="none"/>
        </w:rPr>
        <w:t>,</w:t>
      </w:r>
      <w:r w:rsidR="006C6CE1" w:rsidRPr="006C6CE1">
        <w:rPr>
          <w:rFonts w:eastAsia="Times New Roman" w:cs="Times New Roman"/>
          <w:kern w:val="0"/>
          <w:szCs w:val="18"/>
          <w14:ligatures w14:val="none"/>
        </w:rPr>
        <w:t xml:space="preserve"> and </w:t>
      </w:r>
    </w:p>
    <w:p w14:paraId="3BCECF70" w14:textId="2AA32F48" w:rsidR="00E46175" w:rsidRPr="000F4BB1" w:rsidRDefault="00E46175" w:rsidP="00954BAC">
      <w:pPr>
        <w:numPr>
          <w:ilvl w:val="0"/>
          <w:numId w:val="79"/>
        </w:numPr>
        <w:spacing w:before="120" w:after="120" w:line="264" w:lineRule="auto"/>
        <w:rPr>
          <w:rFonts w:eastAsia="Times New Roman" w:cs="Times New Roman"/>
          <w:kern w:val="0"/>
          <w:szCs w:val="18"/>
          <w14:ligatures w14:val="none"/>
        </w:rPr>
      </w:pPr>
      <w:r w:rsidRPr="00FA79DB">
        <w:rPr>
          <w:rFonts w:eastAsia="Times New Roman" w:cs="Times New Roman"/>
          <w:kern w:val="0"/>
          <w:szCs w:val="18"/>
          <w14:ligatures w14:val="none"/>
        </w:rPr>
        <w:t xml:space="preserve">Incentives </w:t>
      </w:r>
      <w:r w:rsidR="006C6CE1">
        <w:rPr>
          <w:rFonts w:eastAsia="Times New Roman" w:cs="Times New Roman"/>
          <w:kern w:val="0"/>
          <w:szCs w:val="18"/>
          <w14:ligatures w14:val="none"/>
        </w:rPr>
        <w:t>and g</w:t>
      </w:r>
      <w:r w:rsidRPr="00FA79DB">
        <w:rPr>
          <w:rFonts w:eastAsia="Times New Roman" w:cs="Times New Roman"/>
          <w:kern w:val="0"/>
          <w:szCs w:val="18"/>
          <w14:ligatures w14:val="none"/>
        </w:rPr>
        <w:t>amification</w:t>
      </w:r>
      <w:r w:rsidR="006C6CE1">
        <w:rPr>
          <w:rFonts w:eastAsia="Times New Roman" w:cs="Times New Roman"/>
          <w:kern w:val="0"/>
          <w:szCs w:val="18"/>
          <w14:ligatures w14:val="none"/>
        </w:rPr>
        <w:t xml:space="preserve"> that </w:t>
      </w:r>
      <w:r w:rsidR="00FA2CA6">
        <w:rPr>
          <w:rFonts w:eastAsia="Times New Roman" w:cs="Times New Roman"/>
          <w:kern w:val="0"/>
          <w:szCs w:val="18"/>
          <w14:ligatures w14:val="none"/>
        </w:rPr>
        <w:t xml:space="preserve">engage, inform and support </w:t>
      </w:r>
      <w:r w:rsidR="002F4158">
        <w:rPr>
          <w:rFonts w:eastAsia="Times New Roman" w:cs="Times New Roman"/>
          <w:kern w:val="0"/>
          <w:szCs w:val="18"/>
          <w14:ligatures w14:val="none"/>
        </w:rPr>
        <w:t xml:space="preserve">mass </w:t>
      </w:r>
      <w:r w:rsidRPr="000F4BB1">
        <w:rPr>
          <w:rFonts w:eastAsia="Times New Roman" w:cs="Times New Roman"/>
          <w:kern w:val="0"/>
          <w:szCs w:val="18"/>
          <w14:ligatures w14:val="none"/>
        </w:rPr>
        <w:t>participation</w:t>
      </w:r>
      <w:r w:rsidR="00FA2CA6">
        <w:rPr>
          <w:rFonts w:eastAsia="Times New Roman" w:cs="Times New Roman"/>
          <w:kern w:val="0"/>
          <w:szCs w:val="18"/>
          <w14:ligatures w14:val="none"/>
        </w:rPr>
        <w:t xml:space="preserve">. </w:t>
      </w:r>
    </w:p>
    <w:tbl>
      <w:tblPr>
        <w:tblStyle w:val="GridTable4"/>
        <w:tblW w:w="8217" w:type="dxa"/>
        <w:tblLook w:val="04A0" w:firstRow="1" w:lastRow="0" w:firstColumn="1" w:lastColumn="0" w:noHBand="0" w:noVBand="1"/>
      </w:tblPr>
      <w:tblGrid>
        <w:gridCol w:w="8217"/>
      </w:tblGrid>
      <w:tr w:rsidR="0086205B" w:rsidRPr="004336B1" w14:paraId="483F30AA" w14:textId="77777777">
        <w:trPr>
          <w:cnfStyle w:val="100000000000" w:firstRow="1" w:lastRow="0" w:firstColumn="0" w:lastColumn="0" w:oddVBand="0" w:evenVBand="0" w:oddHBand="0" w:evenHBand="0" w:firstRowFirstColumn="0" w:firstRowLastColumn="0" w:lastRowFirstColumn="0" w:lastRowLastColumn="0"/>
          <w:trHeight w:val="8360"/>
        </w:trPr>
        <w:tc>
          <w:tcPr>
            <w:cnfStyle w:val="001000000000" w:firstRow="0" w:lastRow="0" w:firstColumn="1" w:lastColumn="0" w:oddVBand="0" w:evenVBand="0" w:oddHBand="0" w:evenHBand="0" w:firstRowFirstColumn="0" w:firstRowLastColumn="0" w:lastRowFirstColumn="0" w:lastRowLastColumn="0"/>
            <w:tcW w:w="8217" w:type="dxa"/>
          </w:tcPr>
          <w:p w14:paraId="11C87706" w14:textId="33D7FD62" w:rsidR="0086205B" w:rsidRPr="004336B1" w:rsidRDefault="0086205B" w:rsidP="00E52F89">
            <w:pPr>
              <w:spacing w:before="120" w:after="0" w:line="264" w:lineRule="auto"/>
              <w:ind w:left="175"/>
              <w:rPr>
                <w:rFonts w:ascii="PP Mori SemiBold" w:hAnsi="PP Mori SemiBold"/>
                <w:sz w:val="28"/>
              </w:rPr>
            </w:pPr>
            <w:r w:rsidRPr="002479B7">
              <w:rPr>
                <w:rFonts w:ascii="PP Mori SemiBold" w:hAnsi="PP Mori SemiBold"/>
                <w:b w:val="0"/>
                <w:bCs w:val="0"/>
                <w:sz w:val="28"/>
              </w:rPr>
              <w:t xml:space="preserve">Key Concepts </w:t>
            </w:r>
            <w:r w:rsidR="00EF166C" w:rsidRPr="002479B7">
              <w:rPr>
                <w:rFonts w:ascii="PP Mori SemiBold" w:hAnsi="PP Mori SemiBold"/>
                <w:b w:val="0"/>
                <w:bCs w:val="0"/>
                <w:sz w:val="28"/>
              </w:rPr>
              <w:t>N</w:t>
            </w:r>
            <w:r w:rsidRPr="002479B7">
              <w:rPr>
                <w:rFonts w:ascii="PP Mori SemiBold" w:hAnsi="PP Mori SemiBold"/>
                <w:b w:val="0"/>
                <w:bCs w:val="0"/>
                <w:sz w:val="28"/>
              </w:rPr>
              <w:t xml:space="preserve"> </w:t>
            </w:r>
            <w:r w:rsidRPr="002479B7">
              <w:rPr>
                <w:rFonts w:ascii="PP Mori SemiBold" w:hAnsi="PP Mori SemiBold"/>
                <w:noProof/>
                <w:sz w:val="20"/>
                <w:szCs w:val="20"/>
              </w:rPr>
              <w:drawing>
                <wp:inline distT="0" distB="0" distL="0" distR="0" wp14:anchorId="3B3AC1CD" wp14:editId="5829995B">
                  <wp:extent cx="272006" cy="272006"/>
                  <wp:effectExtent l="0" t="0" r="6350" b="6350"/>
                  <wp:docPr id="873413556" name="Graphic 9"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8306" name="Graphic 2140738306" descr="Lightbulb and gear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272006" cy="272006"/>
                          </a:xfrm>
                          <a:prstGeom prst="rect">
                            <a:avLst/>
                          </a:prstGeom>
                        </pic:spPr>
                      </pic:pic>
                    </a:graphicData>
                  </a:graphic>
                </wp:inline>
              </w:drawing>
            </w:r>
            <w:r w:rsidRPr="004336B1">
              <w:rPr>
                <w:rFonts w:ascii="PP Mori SemiBold" w:hAnsi="PP Mori SemiBold"/>
                <w:b w:val="0"/>
                <w:bCs w:val="0"/>
                <w:sz w:val="28"/>
              </w:rPr>
              <w:t xml:space="preserve"> </w:t>
            </w:r>
          </w:p>
          <w:p w14:paraId="528AE9EF" w14:textId="77777777" w:rsidR="0086205B" w:rsidRPr="004336B1" w:rsidRDefault="0086205B" w:rsidP="00E52F89">
            <w:pPr>
              <w:spacing w:after="80" w:line="264" w:lineRule="auto"/>
              <w:ind w:left="176" w:right="170"/>
              <w:rPr>
                <w:rFonts w:ascii="PP Mori SemiBold" w:hAnsi="PP Mori SemiBold"/>
                <w:i/>
                <w:iCs/>
                <w:sz w:val="24"/>
                <w:szCs w:val="40"/>
              </w:rPr>
            </w:pPr>
            <w:r>
              <w:rPr>
                <w:rFonts w:ascii="PP Mori SemiBold" w:hAnsi="PP Mori SemiBold"/>
                <w:i/>
                <w:iCs/>
                <w:sz w:val="24"/>
                <w:szCs w:val="40"/>
              </w:rPr>
              <w:t>Market Mechanism</w:t>
            </w:r>
          </w:p>
          <w:p w14:paraId="363D5DFA" w14:textId="77777777" w:rsidR="0086205B" w:rsidRPr="004336B1" w:rsidRDefault="0086205B" w:rsidP="00E52F89">
            <w:pPr>
              <w:spacing w:before="0" w:after="120" w:line="264" w:lineRule="auto"/>
              <w:ind w:left="176" w:right="170"/>
              <w:rPr>
                <w:b w:val="0"/>
                <w:lang w:eastAsia="en-US" w:bidi="ar-SA"/>
              </w:rPr>
            </w:pPr>
            <w:r w:rsidRPr="006A302D">
              <w:rPr>
                <w:b w:val="0"/>
                <w:lang w:eastAsia="en-US" w:bidi="ar-SA"/>
              </w:rPr>
              <w:t>Any form of exchange mechanism between buyers and sellers of electricity services that enables the monetisation and transaction of their economic value via a range of means, including tariffs, contracts, auctions and digital platforms.</w:t>
            </w:r>
          </w:p>
          <w:p w14:paraId="6B4B05BA" w14:textId="77777777" w:rsidR="0086205B" w:rsidRPr="004336B1" w:rsidRDefault="0086205B" w:rsidP="00E52F89">
            <w:pPr>
              <w:spacing w:before="180" w:after="80" w:line="264" w:lineRule="auto"/>
              <w:ind w:left="176" w:right="170"/>
              <w:rPr>
                <w:rFonts w:ascii="PP Mori SemiBold" w:hAnsi="PP Mori SemiBold"/>
                <w:i/>
                <w:iCs/>
                <w:sz w:val="24"/>
                <w:szCs w:val="40"/>
              </w:rPr>
            </w:pPr>
            <w:r>
              <w:rPr>
                <w:rFonts w:ascii="PP Mori SemiBold" w:hAnsi="PP Mori SemiBold"/>
                <w:i/>
                <w:iCs/>
                <w:sz w:val="24"/>
                <w:szCs w:val="40"/>
              </w:rPr>
              <w:t>Market-Control System</w:t>
            </w:r>
          </w:p>
          <w:p w14:paraId="38279C78" w14:textId="77777777" w:rsidR="0086205B" w:rsidRPr="004336B1" w:rsidRDefault="0086205B" w:rsidP="00E52F89">
            <w:pPr>
              <w:spacing w:before="0" w:after="120" w:line="264" w:lineRule="auto"/>
              <w:ind w:left="176" w:right="170"/>
              <w:rPr>
                <w:b w:val="0"/>
                <w:lang w:eastAsia="en-US" w:bidi="ar-SA"/>
              </w:rPr>
            </w:pPr>
            <w:r w:rsidRPr="003038DF">
              <w:rPr>
                <w:b w:val="0"/>
                <w:lang w:eastAsia="en-US" w:bidi="ar-SA"/>
              </w:rPr>
              <w:t>A market-control system in a power system is the integrated set of mechanisms, processes, and technologies that coordinate electricity market operations with real-time grid control. It enables efficient energy trading, ensures the balance of supply and demand, maintains system reliability, enforces regulatory compliance, and supports financial settlement. By aligning economic signals with operational needs, it facilitates transparent pricing, incentivises investment, and enables the integration of diverse energy resources into the grid.</w:t>
            </w:r>
          </w:p>
          <w:p w14:paraId="62AA70A6" w14:textId="77777777" w:rsidR="0086205B" w:rsidRPr="004336B1" w:rsidRDefault="0086205B" w:rsidP="00E52F89">
            <w:pPr>
              <w:spacing w:before="180" w:after="80" w:line="264" w:lineRule="auto"/>
              <w:ind w:left="176" w:right="170"/>
              <w:rPr>
                <w:rFonts w:ascii="PP Mori SemiBold" w:hAnsi="PP Mori SemiBold"/>
                <w:i/>
                <w:iCs/>
                <w:sz w:val="24"/>
                <w:szCs w:val="40"/>
              </w:rPr>
            </w:pPr>
            <w:r>
              <w:rPr>
                <w:rFonts w:ascii="PP Mori SemiBold" w:hAnsi="PP Mori SemiBold"/>
                <w:i/>
                <w:iCs/>
                <w:sz w:val="24"/>
                <w:szCs w:val="40"/>
              </w:rPr>
              <w:t>Value Stacking</w:t>
            </w:r>
          </w:p>
          <w:p w14:paraId="3FB06DF7" w14:textId="77777777" w:rsidR="0086205B" w:rsidRDefault="0086205B" w:rsidP="00E52F89">
            <w:pPr>
              <w:spacing w:before="0" w:after="120" w:line="264" w:lineRule="auto"/>
              <w:ind w:left="176" w:right="170"/>
              <w:rPr>
                <w:bCs w:val="0"/>
                <w:lang w:eastAsia="en-US" w:bidi="ar-SA"/>
              </w:rPr>
            </w:pPr>
            <w:r w:rsidRPr="004218A9">
              <w:rPr>
                <w:b w:val="0"/>
                <w:lang w:eastAsia="en-US" w:bidi="ar-SA"/>
              </w:rPr>
              <w:t>The process of providing valuable physics-based services to several vertical tiers/layers of the power system (e.g. bulk power system, transmission network, distribution network, etc) for the purpose of maximising the simultaneous value of providing these services in manner that does not create unintended negative impacts.</w:t>
            </w:r>
          </w:p>
          <w:p w14:paraId="6E777884" w14:textId="77777777" w:rsidR="0086205B" w:rsidRPr="004218A9" w:rsidRDefault="0086205B" w:rsidP="00E52F89">
            <w:pPr>
              <w:spacing w:before="180" w:after="80" w:line="264" w:lineRule="auto"/>
              <w:ind w:left="176" w:right="170"/>
              <w:rPr>
                <w:rFonts w:ascii="PP Mori SemiBold" w:hAnsi="PP Mori SemiBold"/>
                <w:i/>
                <w:iCs/>
                <w:sz w:val="24"/>
                <w:szCs w:val="40"/>
              </w:rPr>
            </w:pPr>
            <w:r w:rsidRPr="004218A9">
              <w:rPr>
                <w:rFonts w:ascii="PP Mori SemiBold" w:hAnsi="PP Mori SemiBold"/>
                <w:i/>
                <w:iCs/>
                <w:sz w:val="24"/>
                <w:szCs w:val="40"/>
              </w:rPr>
              <w:t>Co-optimisation</w:t>
            </w:r>
          </w:p>
          <w:p w14:paraId="78574D58" w14:textId="77777777" w:rsidR="0086205B" w:rsidRPr="004336B1" w:rsidRDefault="0086205B" w:rsidP="00E52F89">
            <w:pPr>
              <w:spacing w:before="0" w:after="120" w:line="264" w:lineRule="auto"/>
              <w:ind w:left="176" w:right="170"/>
              <w:rPr>
                <w:b w:val="0"/>
                <w:lang w:eastAsia="en-US" w:bidi="ar-SA"/>
              </w:rPr>
            </w:pPr>
            <w:r w:rsidRPr="00A32B5D">
              <w:rPr>
                <w:b w:val="0"/>
                <w:lang w:eastAsia="en-US" w:bidi="ar-SA"/>
              </w:rPr>
              <w:t>A structured approach to ensuring that energy resource services dispatched and/or financially incentivised in one vertical tier/layer of the power system are not driving unintended negative consequences in other tiers/layers of the system.</w:t>
            </w:r>
          </w:p>
        </w:tc>
      </w:tr>
    </w:tbl>
    <w:p w14:paraId="7F79AE2D" w14:textId="16B1B6AE" w:rsidR="00637449" w:rsidRPr="002C72C2" w:rsidRDefault="00637449" w:rsidP="00674C1E">
      <w:pPr>
        <w:pStyle w:val="Heading1"/>
        <w:spacing w:after="360" w:line="264" w:lineRule="auto"/>
        <w:ind w:left="431" w:hanging="431"/>
        <w:rPr>
          <w:lang w:eastAsia="en-US" w:bidi="ar-SA"/>
        </w:rPr>
      </w:pPr>
      <w:bookmarkStart w:id="101" w:name="S_5"/>
      <w:bookmarkStart w:id="102" w:name="_Toc205533978"/>
      <w:r w:rsidRPr="002C72C2">
        <w:rPr>
          <w:lang w:eastAsia="en-US" w:bidi="ar-SA"/>
        </w:rPr>
        <w:t>Conclusion</w:t>
      </w:r>
      <w:bookmarkEnd w:id="101"/>
      <w:bookmarkEnd w:id="102"/>
      <w:r w:rsidRPr="002C72C2">
        <w:rPr>
          <w:lang w:eastAsia="en-US" w:bidi="ar-SA"/>
        </w:rPr>
        <w:t xml:space="preserve"> </w:t>
      </w:r>
    </w:p>
    <w:p w14:paraId="0E7B36FC" w14:textId="1EAA56B8" w:rsidR="00B2393A" w:rsidRPr="00C60474" w:rsidRDefault="007F1661" w:rsidP="007F1661">
      <w:pPr>
        <w:spacing w:before="0" w:after="160" w:line="264" w:lineRule="auto"/>
        <w:rPr>
          <w:lang w:eastAsia="en-US" w:bidi="ar-SA"/>
        </w:rPr>
      </w:pPr>
      <w:r w:rsidRPr="00C60474">
        <w:rPr>
          <w:lang w:eastAsia="en-US" w:bidi="ar-SA"/>
        </w:rPr>
        <w:t xml:space="preserve">The transformation of Australia’s power systems </w:t>
      </w:r>
      <w:r w:rsidR="002479B7" w:rsidRPr="00C60474">
        <w:rPr>
          <w:lang w:eastAsia="en-US" w:bidi="ar-SA"/>
        </w:rPr>
        <w:t xml:space="preserve">involves a </w:t>
      </w:r>
      <w:r w:rsidRPr="00C60474">
        <w:rPr>
          <w:lang w:eastAsia="en-US" w:bidi="ar-SA"/>
        </w:rPr>
        <w:t>structural reconfiguration of</w:t>
      </w:r>
      <w:r w:rsidR="002479B7" w:rsidRPr="00C60474">
        <w:rPr>
          <w:lang w:eastAsia="en-US" w:bidi="ar-SA"/>
        </w:rPr>
        <w:t xml:space="preserve"> some</w:t>
      </w:r>
      <w:r w:rsidRPr="00C60474">
        <w:rPr>
          <w:lang w:eastAsia="en-US" w:bidi="ar-SA"/>
        </w:rPr>
        <w:t xml:space="preserve"> of the most complex systems developed by modern society. The legacy assumptions that underpinned the unidirectional</w:t>
      </w:r>
      <w:r w:rsidR="002479B7" w:rsidRPr="00C60474">
        <w:rPr>
          <w:lang w:eastAsia="en-US" w:bidi="ar-SA"/>
        </w:rPr>
        <w:t xml:space="preserve"> system </w:t>
      </w:r>
      <w:r w:rsidRPr="00C60474">
        <w:rPr>
          <w:lang w:eastAsia="en-US" w:bidi="ar-SA"/>
        </w:rPr>
        <w:t xml:space="preserve">architecture of the 20th century no longer hold </w:t>
      </w:r>
      <w:r w:rsidR="001E64C0" w:rsidRPr="00C60474">
        <w:rPr>
          <w:lang w:eastAsia="en-US" w:bidi="ar-SA"/>
        </w:rPr>
        <w:t>in</w:t>
      </w:r>
      <w:r w:rsidRPr="00C60474">
        <w:rPr>
          <w:lang w:eastAsia="en-US" w:bidi="ar-SA"/>
        </w:rPr>
        <w:t xml:space="preserve"> a context of </w:t>
      </w:r>
      <w:r w:rsidR="00D36CC6" w:rsidRPr="00C60474">
        <w:rPr>
          <w:lang w:eastAsia="en-US" w:bidi="ar-SA"/>
        </w:rPr>
        <w:t xml:space="preserve">a system that is becoming increasingly volatile and bidirectional. </w:t>
      </w:r>
    </w:p>
    <w:p w14:paraId="43C6A183" w14:textId="3EC4CB99" w:rsidR="007F1661" w:rsidRPr="00C60474" w:rsidRDefault="007F1661" w:rsidP="007F1661">
      <w:pPr>
        <w:spacing w:before="0" w:after="160" w:line="264" w:lineRule="auto"/>
        <w:rPr>
          <w:lang w:eastAsia="en-US" w:bidi="ar-SA"/>
        </w:rPr>
      </w:pPr>
      <w:r w:rsidRPr="00C60474">
        <w:rPr>
          <w:lang w:eastAsia="en-US" w:bidi="ar-SA"/>
        </w:rPr>
        <w:t xml:space="preserve">As </w:t>
      </w:r>
      <w:r w:rsidR="00D36CC6" w:rsidRPr="00C60474">
        <w:rPr>
          <w:lang w:eastAsia="en-US" w:bidi="ar-SA"/>
        </w:rPr>
        <w:t>illustrated</w:t>
      </w:r>
      <w:r w:rsidRPr="00C60474">
        <w:rPr>
          <w:lang w:eastAsia="en-US" w:bidi="ar-SA"/>
        </w:rPr>
        <w:t xml:space="preserve"> throughout this report, </w:t>
      </w:r>
      <w:r w:rsidR="00D36CC6" w:rsidRPr="00C60474">
        <w:rPr>
          <w:lang w:eastAsia="en-US" w:bidi="ar-SA"/>
        </w:rPr>
        <w:t xml:space="preserve">many of the key </w:t>
      </w:r>
      <w:r w:rsidRPr="00C60474">
        <w:rPr>
          <w:lang w:eastAsia="en-US" w:bidi="ar-SA"/>
        </w:rPr>
        <w:t xml:space="preserve">emerging challenges are </w:t>
      </w:r>
      <w:r w:rsidR="00D36CC6" w:rsidRPr="00C60474">
        <w:rPr>
          <w:lang w:eastAsia="en-US" w:bidi="ar-SA"/>
        </w:rPr>
        <w:t xml:space="preserve">cross-cutting and systemic </w:t>
      </w:r>
      <w:r w:rsidRPr="00C60474">
        <w:rPr>
          <w:lang w:eastAsia="en-US" w:bidi="ar-SA"/>
        </w:rPr>
        <w:t>in nature</w:t>
      </w:r>
      <w:r w:rsidR="00D36CC6" w:rsidRPr="00C60474">
        <w:rPr>
          <w:lang w:eastAsia="en-US" w:bidi="ar-SA"/>
        </w:rPr>
        <w:t>.  They cannot ultimately be resolved by any number of issue-in-isolation treatments</w:t>
      </w:r>
      <w:r w:rsidR="00956552" w:rsidRPr="00C60474">
        <w:rPr>
          <w:lang w:eastAsia="en-US" w:bidi="ar-SA"/>
        </w:rPr>
        <w:t xml:space="preserve">. </w:t>
      </w:r>
    </w:p>
    <w:p w14:paraId="228632DD" w14:textId="3EC78A5D" w:rsidR="00B82421" w:rsidRDefault="007F1661" w:rsidP="00232971">
      <w:pPr>
        <w:spacing w:before="0" w:after="160" w:line="264" w:lineRule="auto"/>
        <w:rPr>
          <w:lang w:eastAsia="en-US" w:bidi="ar-SA"/>
        </w:rPr>
      </w:pPr>
      <w:r w:rsidRPr="00C60474">
        <w:rPr>
          <w:lang w:eastAsia="en-US" w:bidi="ar-SA"/>
        </w:rPr>
        <w:t>Fifteen</w:t>
      </w:r>
      <w:r w:rsidR="00B2393A" w:rsidRPr="00C60474">
        <w:rPr>
          <w:lang w:eastAsia="en-US" w:bidi="ar-SA"/>
        </w:rPr>
        <w:t xml:space="preserve"> significant</w:t>
      </w:r>
      <w:r w:rsidRPr="00C60474">
        <w:rPr>
          <w:lang w:eastAsia="en-US" w:bidi="ar-SA"/>
        </w:rPr>
        <w:t xml:space="preserve"> systemic issues</w:t>
      </w:r>
      <w:r w:rsidR="00B2393A" w:rsidRPr="00C60474">
        <w:rPr>
          <w:lang w:eastAsia="en-US" w:bidi="ar-SA"/>
        </w:rPr>
        <w:t xml:space="preserve"> </w:t>
      </w:r>
      <w:r w:rsidRPr="00C60474">
        <w:rPr>
          <w:lang w:eastAsia="en-US" w:bidi="ar-SA"/>
        </w:rPr>
        <w:t>have been identified</w:t>
      </w:r>
      <w:r w:rsidR="007927CA" w:rsidRPr="00C60474">
        <w:rPr>
          <w:lang w:eastAsia="en-US" w:bidi="ar-SA"/>
        </w:rPr>
        <w:t xml:space="preserve">, many of which are </w:t>
      </w:r>
      <w:r w:rsidRPr="00C60474">
        <w:rPr>
          <w:lang w:eastAsia="en-US" w:bidi="ar-SA"/>
        </w:rPr>
        <w:t>structurally embedded</w:t>
      </w:r>
      <w:r w:rsidR="007927CA" w:rsidRPr="00C60474">
        <w:rPr>
          <w:lang w:eastAsia="en-US" w:bidi="ar-SA"/>
        </w:rPr>
        <w:t xml:space="preserve"> across </w:t>
      </w:r>
      <w:r w:rsidRPr="00C60474">
        <w:rPr>
          <w:lang w:eastAsia="en-US" w:bidi="ar-SA"/>
        </w:rPr>
        <w:t>multiple subsystems</w:t>
      </w:r>
      <w:r w:rsidR="007927CA" w:rsidRPr="00C60474">
        <w:rPr>
          <w:lang w:eastAsia="en-US" w:bidi="ar-SA"/>
        </w:rPr>
        <w:t>.</w:t>
      </w:r>
      <w:r w:rsidR="00232971">
        <w:rPr>
          <w:lang w:eastAsia="en-US" w:bidi="ar-SA"/>
        </w:rPr>
        <w:t xml:space="preserve">  </w:t>
      </w:r>
      <w:r w:rsidR="00AE17FC">
        <w:rPr>
          <w:lang w:eastAsia="en-US" w:bidi="ar-SA"/>
        </w:rPr>
        <w:t xml:space="preserve">The findings of this report function as invaluable inputs into the consideration of both Distribution System Operator (DSO) and Transmission-Distribution Coordination (TDC) models.  </w:t>
      </w:r>
      <w:r w:rsidR="00C60474">
        <w:rPr>
          <w:lang w:eastAsia="en-US" w:bidi="ar-SA"/>
        </w:rPr>
        <w:t>It is arguable that the consideration of scalable and future-ready DSO and TDC models is simply not possible without the input provided by this report.</w:t>
      </w:r>
    </w:p>
    <w:p w14:paraId="47C54F5A" w14:textId="77777777" w:rsidR="00B82421" w:rsidRDefault="00B82421" w:rsidP="00B82421">
      <w:pPr>
        <w:spacing w:before="0" w:after="160" w:line="264" w:lineRule="auto"/>
        <w:rPr>
          <w:lang w:eastAsia="en-US" w:bidi="ar-SA"/>
        </w:rPr>
      </w:pPr>
    </w:p>
    <w:p w14:paraId="46E2036F" w14:textId="77777777" w:rsidR="007F1661" w:rsidRDefault="007F1661" w:rsidP="00B82421">
      <w:pPr>
        <w:spacing w:before="0" w:after="160" w:line="264" w:lineRule="auto"/>
        <w:rPr>
          <w:lang w:eastAsia="en-US" w:bidi="ar-SA"/>
        </w:rPr>
      </w:pPr>
    </w:p>
    <w:p w14:paraId="1604C21F" w14:textId="77777777" w:rsidR="007F1661" w:rsidRDefault="007F1661" w:rsidP="00B82421">
      <w:pPr>
        <w:spacing w:before="0" w:after="160" w:line="264" w:lineRule="auto"/>
        <w:rPr>
          <w:lang w:eastAsia="en-US" w:bidi="ar-SA"/>
        </w:rPr>
      </w:pPr>
    </w:p>
    <w:p w14:paraId="11454E43" w14:textId="77777777" w:rsidR="007F1661" w:rsidRDefault="007F1661" w:rsidP="00B82421">
      <w:pPr>
        <w:spacing w:before="0" w:after="160" w:line="264" w:lineRule="auto"/>
        <w:rPr>
          <w:lang w:eastAsia="en-US" w:bidi="ar-SA"/>
        </w:rPr>
      </w:pPr>
    </w:p>
    <w:p w14:paraId="407CB394" w14:textId="77777777" w:rsidR="007F1661" w:rsidRDefault="007F1661" w:rsidP="00B82421">
      <w:pPr>
        <w:spacing w:before="0" w:after="160" w:line="264" w:lineRule="auto"/>
        <w:rPr>
          <w:lang w:eastAsia="en-US" w:bidi="ar-SA"/>
        </w:rPr>
      </w:pPr>
    </w:p>
    <w:p w14:paraId="6833AAC6" w14:textId="77777777" w:rsidR="007F1661" w:rsidRDefault="007F1661" w:rsidP="00B82421">
      <w:pPr>
        <w:spacing w:before="0" w:after="160" w:line="264" w:lineRule="auto"/>
        <w:rPr>
          <w:lang w:eastAsia="en-US" w:bidi="ar-SA"/>
        </w:rPr>
      </w:pPr>
    </w:p>
    <w:p w14:paraId="161C4ED8" w14:textId="77777777" w:rsidR="007F1661" w:rsidRDefault="007F1661" w:rsidP="00B82421">
      <w:pPr>
        <w:spacing w:before="0" w:after="160" w:line="264" w:lineRule="auto"/>
        <w:rPr>
          <w:lang w:eastAsia="en-US" w:bidi="ar-SA"/>
        </w:rPr>
      </w:pPr>
    </w:p>
    <w:p w14:paraId="60CA560D" w14:textId="77777777" w:rsidR="007F1661" w:rsidRDefault="007F1661" w:rsidP="00B82421">
      <w:pPr>
        <w:spacing w:before="0" w:after="160" w:line="264" w:lineRule="auto"/>
        <w:rPr>
          <w:lang w:eastAsia="en-US" w:bidi="ar-SA"/>
        </w:rPr>
      </w:pPr>
    </w:p>
    <w:p w14:paraId="2FAF7F3F" w14:textId="77777777" w:rsidR="007F1661" w:rsidRDefault="007F1661" w:rsidP="00B82421">
      <w:pPr>
        <w:spacing w:before="0" w:after="160" w:line="264" w:lineRule="auto"/>
        <w:rPr>
          <w:lang w:eastAsia="en-US" w:bidi="ar-SA"/>
        </w:rPr>
      </w:pPr>
    </w:p>
    <w:p w14:paraId="7FA2AFB7" w14:textId="77777777" w:rsidR="007F1661" w:rsidRDefault="007F1661" w:rsidP="00B82421">
      <w:pPr>
        <w:spacing w:before="0" w:after="160" w:line="264" w:lineRule="auto"/>
        <w:rPr>
          <w:lang w:eastAsia="en-US" w:bidi="ar-SA"/>
        </w:rPr>
      </w:pPr>
    </w:p>
    <w:p w14:paraId="201E2EE3" w14:textId="77777777" w:rsidR="00C60474" w:rsidRDefault="00C60474">
      <w:pPr>
        <w:spacing w:before="0" w:after="160" w:line="259" w:lineRule="auto"/>
        <w:rPr>
          <w:rFonts w:ascii="PP Mori SemiBold" w:eastAsiaTheme="majorEastAsia" w:hAnsi="PP Mori SemiBold" w:cstheme="majorBidi"/>
          <w:color w:val="013C4C" w:themeColor="text1"/>
          <w:sz w:val="32"/>
          <w:szCs w:val="40"/>
        </w:rPr>
      </w:pPr>
      <w:r>
        <w:br w:type="page"/>
      </w:r>
    </w:p>
    <w:p w14:paraId="3A2A90E6" w14:textId="00E4B92D" w:rsidR="000C3873" w:rsidRPr="008224CA" w:rsidRDefault="00ED5E6A" w:rsidP="00B82421">
      <w:pPr>
        <w:pStyle w:val="Heading1"/>
        <w:numPr>
          <w:ilvl w:val="0"/>
          <w:numId w:val="0"/>
        </w:numPr>
        <w:ind w:left="432" w:hanging="432"/>
        <w:rPr>
          <w:lang w:eastAsia="en-US" w:bidi="ar-SA"/>
        </w:rPr>
      </w:pPr>
      <w:bookmarkStart w:id="103" w:name="_Toc205533979"/>
      <w:r>
        <w:t>6</w:t>
      </w:r>
      <w:r>
        <w:tab/>
      </w:r>
      <w:r w:rsidR="00637449" w:rsidRPr="008224CA">
        <w:t>References</w:t>
      </w:r>
      <w:bookmarkEnd w:id="103"/>
      <w:r w:rsidR="00637449" w:rsidRPr="008224CA">
        <w:t xml:space="preserve"> </w:t>
      </w:r>
    </w:p>
    <w:p w14:paraId="74DF6DA1" w14:textId="77777777" w:rsidR="006937D9" w:rsidRPr="006937D9" w:rsidRDefault="0027414E" w:rsidP="006937D9">
      <w:pPr>
        <w:pStyle w:val="Bibliography"/>
      </w:pPr>
      <w:r w:rsidRPr="00B82421">
        <w:rPr>
          <w:lang w:eastAsia="en-US" w:bidi="ar-SA"/>
        </w:rPr>
        <w:fldChar w:fldCharType="begin"/>
      </w:r>
      <w:r>
        <w:rPr>
          <w:lang w:eastAsia="en-US" w:bidi="ar-SA"/>
        </w:rPr>
        <w:instrText xml:space="preserve"> ADDIN ZOTERO_BIBL {"uncited":[],"omitted":[],"custom":[]} CSL_BIBLIOGRAPHY </w:instrText>
      </w:r>
      <w:r w:rsidRPr="00B82421">
        <w:rPr>
          <w:lang w:eastAsia="en-US" w:bidi="ar-SA"/>
        </w:rPr>
        <w:fldChar w:fldCharType="separate"/>
      </w:r>
      <w:r w:rsidR="006937D9" w:rsidRPr="006937D9">
        <w:t>[1]</w:t>
      </w:r>
      <w:r w:rsidR="006937D9" w:rsidRPr="006937D9">
        <w:tab/>
      </w:r>
      <w:bookmarkStart w:id="104" w:name="Ref_1"/>
      <w:r w:rsidR="006937D9" w:rsidRPr="006937D9">
        <w:t>Australian Energy Market Operator (AEMO), ‘2024 Integrated System Plan (ISP)’, AEMO, Version 1.0, Jun. 2024. [Online]. Available: https://aemo.com.au/-/media/files/major-publications/isp/2024/2024-integrated-system-plan-isp.pd</w:t>
      </w:r>
      <w:bookmarkEnd w:id="104"/>
      <w:r w:rsidR="006937D9" w:rsidRPr="006937D9">
        <w:t>f</w:t>
      </w:r>
    </w:p>
    <w:p w14:paraId="3A7DB233" w14:textId="77777777" w:rsidR="006937D9" w:rsidRPr="006937D9" w:rsidRDefault="006937D9" w:rsidP="006937D9">
      <w:pPr>
        <w:pStyle w:val="Bibliography"/>
      </w:pPr>
      <w:bookmarkStart w:id="105" w:name="Ref_2"/>
      <w:r w:rsidRPr="006937D9">
        <w:t>[2]</w:t>
      </w:r>
      <w:r w:rsidRPr="006937D9">
        <w:tab/>
        <w:t>Australian Energy Market Operator (AEMO), ‘Engineering Roadmap - FY2025 Priority Actions Report’, Version 1.0, Aug. 2024. [Online]. Available: https://aemo.com.au/-/media/files/initiatives/engineering-framework/2024/nem-engineering-roadmap-fy2025-priority-actions.pdf?la=en&amp;hash=E934DFFF6D4544B9F117BAF6A6E4088D</w:t>
      </w:r>
    </w:p>
    <w:p w14:paraId="032A19FC" w14:textId="77777777" w:rsidR="006937D9" w:rsidRPr="006937D9" w:rsidRDefault="006937D9" w:rsidP="006937D9">
      <w:pPr>
        <w:pStyle w:val="Bibliography"/>
      </w:pPr>
      <w:bookmarkStart w:id="106" w:name="Ref_3"/>
      <w:bookmarkEnd w:id="105"/>
      <w:r w:rsidRPr="006937D9">
        <w:t>[3]</w:t>
      </w:r>
      <w:r w:rsidRPr="006937D9">
        <w:tab/>
        <w:t xml:space="preserve">E. F. Crawley, B. Cameron, and D. Selva, </w:t>
      </w:r>
      <w:r w:rsidRPr="006937D9">
        <w:rPr>
          <w:i/>
          <w:iCs/>
        </w:rPr>
        <w:t>System architecture: strategy and product development for complex systems</w:t>
      </w:r>
      <w:r w:rsidRPr="006937D9">
        <w:t>. Boston: Pearson, 2016.</w:t>
      </w:r>
    </w:p>
    <w:p w14:paraId="013388A8" w14:textId="77777777" w:rsidR="006937D9" w:rsidRPr="006937D9" w:rsidRDefault="006937D9" w:rsidP="006937D9">
      <w:pPr>
        <w:pStyle w:val="Bibliography"/>
      </w:pPr>
      <w:bookmarkStart w:id="107" w:name="Ref_4"/>
      <w:bookmarkEnd w:id="106"/>
      <w:r w:rsidRPr="006937D9">
        <w:t>[4]</w:t>
      </w:r>
      <w:r w:rsidRPr="006937D9">
        <w:tab/>
        <w:t>Australian Renewable Energy Agency (ARENA), ‘DER Market Integration Trails - Summary Report’, Sep. 2022. [Online]. Available: https://arena.gov.au/assets/2022/09/der-market-integration-trials-summary-report.pdf</w:t>
      </w:r>
    </w:p>
    <w:p w14:paraId="310E39AD" w14:textId="77777777" w:rsidR="006937D9" w:rsidRPr="006937D9" w:rsidRDefault="006937D9" w:rsidP="006937D9">
      <w:pPr>
        <w:pStyle w:val="Bibliography"/>
      </w:pPr>
      <w:bookmarkStart w:id="108" w:name="Ref_5"/>
      <w:bookmarkEnd w:id="107"/>
      <w:r w:rsidRPr="006937D9">
        <w:t>[5]</w:t>
      </w:r>
      <w:r w:rsidRPr="006937D9">
        <w:tab/>
        <w:t>Australian Energy Market Operator (AEMO), ‘Engineering Roadmap to 100% Renewables’, Version 1.0, Dec. 2022. [Online]. Available: https://aemo.com.au/-/media/files/initiatives/engineering-framework/2022/engineering-roadmap-to-100-per-cent-renewables.pdf</w:t>
      </w:r>
    </w:p>
    <w:p w14:paraId="09C76581" w14:textId="1DA9EBB1" w:rsidR="006937D9" w:rsidRPr="006937D9" w:rsidRDefault="006937D9" w:rsidP="006937D9">
      <w:pPr>
        <w:pStyle w:val="Bibliography"/>
      </w:pPr>
      <w:bookmarkStart w:id="109" w:name="Ref_6"/>
      <w:bookmarkEnd w:id="108"/>
      <w:r w:rsidRPr="006937D9">
        <w:t>[6]</w:t>
      </w:r>
      <w:r w:rsidRPr="006937D9">
        <w:tab/>
      </w:r>
      <w:r w:rsidR="008E5BC2">
        <w:t xml:space="preserve">Energy Catalyst &amp; </w:t>
      </w:r>
      <w:r w:rsidRPr="006937D9">
        <w:t>Strat</w:t>
      </w:r>
      <w:r w:rsidR="008E5BC2">
        <w:t>e</w:t>
      </w:r>
      <w:r w:rsidRPr="006937D9">
        <w:t>gen, ‘Topic 7: Power System Architecture’, Stage 2, May 2023. [Online]. Available: https://www.csiro.au/-/media/EF/Files/GPST-Roadmap/Final-Reports/Topic-7-GPST-Stage-2.pdf</w:t>
      </w:r>
    </w:p>
    <w:p w14:paraId="418DCD62" w14:textId="32B14E77" w:rsidR="006937D9" w:rsidRPr="006937D9" w:rsidRDefault="006937D9" w:rsidP="006937D9">
      <w:pPr>
        <w:pStyle w:val="Bibliography"/>
      </w:pPr>
      <w:bookmarkStart w:id="110" w:name="Ref_7"/>
      <w:bookmarkEnd w:id="109"/>
      <w:r w:rsidRPr="006937D9">
        <w:t>[7]</w:t>
      </w:r>
      <w:r w:rsidRPr="006937D9">
        <w:tab/>
        <w:t>Internet Engineering Task Force (IETF) and P. Resnick, ‘On Consensus and Humming in the IETF’. Jun. 2014. [Online]. Available: https://datatracker.ietf.org/doc/html/rfc7282</w:t>
      </w:r>
    </w:p>
    <w:p w14:paraId="780CFDAE" w14:textId="77777777" w:rsidR="006937D9" w:rsidRPr="006937D9" w:rsidRDefault="006937D9" w:rsidP="006937D9">
      <w:pPr>
        <w:pStyle w:val="Bibliography"/>
      </w:pPr>
      <w:bookmarkStart w:id="111" w:name="Ref_8"/>
      <w:bookmarkEnd w:id="110"/>
      <w:r w:rsidRPr="006937D9">
        <w:t>[8]</w:t>
      </w:r>
      <w:r w:rsidRPr="006937D9">
        <w:tab/>
        <w:t>International Renewable Energy Agency (IRENA), ‘System Operation: Innovation Landscape (collection)’, Jul. 2020. [Online]. Available: https://www.irena.org/-/media/Files/IRENA/Agency/Publication/2020/Jul/IRENA_System_Operation_Collection_2020.pdf</w:t>
      </w:r>
    </w:p>
    <w:p w14:paraId="256CF2E6" w14:textId="77777777" w:rsidR="006937D9" w:rsidRPr="006937D9" w:rsidRDefault="006937D9" w:rsidP="006937D9">
      <w:pPr>
        <w:pStyle w:val="Bibliography"/>
      </w:pPr>
      <w:bookmarkStart w:id="112" w:name="Ref_9"/>
      <w:bookmarkEnd w:id="111"/>
      <w:r w:rsidRPr="006937D9">
        <w:t>[9]</w:t>
      </w:r>
      <w:r w:rsidRPr="006937D9">
        <w:tab/>
        <w:t>Newport Consortium, ‘Coordination of Distributed Energy Resources; International System Architecture Insights for Future Market Design’, May 2018. [Online]. Available: https://energypedia.info/images/4/47/069_Coordination_of_Distributed_Energy_Resources%3B_International_System_Architecture_Insights_for_Future_.pdf</w:t>
      </w:r>
    </w:p>
    <w:p w14:paraId="5FAF309A" w14:textId="77777777" w:rsidR="006937D9" w:rsidRPr="006937D9" w:rsidRDefault="006937D9" w:rsidP="006937D9">
      <w:pPr>
        <w:pStyle w:val="Bibliography"/>
      </w:pPr>
      <w:bookmarkStart w:id="113" w:name="Ref_10"/>
      <w:bookmarkEnd w:id="112"/>
      <w:r w:rsidRPr="006937D9">
        <w:t>[10]</w:t>
      </w:r>
      <w:r w:rsidRPr="006937D9">
        <w:tab/>
        <w:t>CoordiNet Project, ‘Evaluation of Combinations of Coordination Schemes and Products for Grid Services (Deliverable D6.2, Chapter</w:t>
      </w:r>
      <w:r w:rsidRPr="006937D9">
        <w:rPr>
          <w:rFonts w:ascii="Cambria Math" w:hAnsi="Cambria Math" w:cs="Cambria Math"/>
        </w:rPr>
        <w:t> </w:t>
      </w:r>
      <w:r w:rsidRPr="006937D9">
        <w:t>4)</w:t>
      </w:r>
      <w:r w:rsidRPr="006937D9">
        <w:rPr>
          <w:rFonts w:cs="PP Mori"/>
        </w:rPr>
        <w:t>’</w:t>
      </w:r>
      <w:r w:rsidRPr="006937D9">
        <w:t>, 2022. [Online]. Available: https://zenodo.org/records/5871555</w:t>
      </w:r>
    </w:p>
    <w:p w14:paraId="5EE875FC" w14:textId="77777777" w:rsidR="006937D9" w:rsidRPr="006937D9" w:rsidRDefault="006937D9" w:rsidP="006937D9">
      <w:pPr>
        <w:pStyle w:val="Bibliography"/>
      </w:pPr>
      <w:bookmarkStart w:id="114" w:name="Ref_11"/>
      <w:bookmarkEnd w:id="113"/>
      <w:r w:rsidRPr="006937D9">
        <w:t>[11]</w:t>
      </w:r>
      <w:r w:rsidRPr="006937D9">
        <w:tab/>
        <w:t>I. Oleinikova and E. Hillberg, ‘Power Transmission &amp; Distribution Systems, micro vs MEGA: trends influencing the development of the power system. Discussion Paper.’ IEA - ISGAN, May 2020. [Online]. Available: https://www.iea-isgan.org/wp-content/uploads/2020/05/ISGAN_DiscussionPaper_Annex6_microVsMEGA_2020.pdf</w:t>
      </w:r>
    </w:p>
    <w:p w14:paraId="17032FEC" w14:textId="77777777" w:rsidR="006937D9" w:rsidRPr="006937D9" w:rsidRDefault="006937D9" w:rsidP="006937D9">
      <w:pPr>
        <w:pStyle w:val="Bibliography"/>
      </w:pPr>
      <w:bookmarkStart w:id="115" w:name="Ref_12"/>
      <w:bookmarkEnd w:id="114"/>
      <w:r w:rsidRPr="006937D9">
        <w:t>[12]</w:t>
      </w:r>
      <w:r w:rsidRPr="006937D9">
        <w:tab/>
        <w:t>SmartEN, ‘2030 Demand-Side Flexibility. Quantification of Benefits in the EU.’, Sep. 2022. [Online]. Available: https://smarten.eu/wp-content/uploads/2022/10/SmartEN-DSF-benefits-2030-Report_DIGITAL-1.pdf</w:t>
      </w:r>
    </w:p>
    <w:p w14:paraId="70522F5F" w14:textId="77777777" w:rsidR="006937D9" w:rsidRPr="006937D9" w:rsidRDefault="006937D9" w:rsidP="006937D9">
      <w:pPr>
        <w:pStyle w:val="Bibliography"/>
      </w:pPr>
      <w:bookmarkStart w:id="116" w:name="Ref_13"/>
      <w:bookmarkEnd w:id="115"/>
      <w:r w:rsidRPr="006937D9">
        <w:t>[13]</w:t>
      </w:r>
      <w:r w:rsidRPr="006937D9">
        <w:tab/>
        <w:t>Australian Renewable Energy Agency (ARENA), ‘Valuing Load Flexibility in the NEM’. 2022. [Online]. Available: https://arena.gov.au/knowledge-bank/valuing-load-flexibility-in-the-nem/</w:t>
      </w:r>
    </w:p>
    <w:p w14:paraId="1BF04A06" w14:textId="77777777" w:rsidR="006937D9" w:rsidRPr="006937D9" w:rsidRDefault="006937D9" w:rsidP="006937D9">
      <w:pPr>
        <w:pStyle w:val="Bibliography"/>
      </w:pPr>
      <w:bookmarkStart w:id="117" w:name="Ref_14"/>
      <w:bookmarkEnd w:id="116"/>
      <w:r w:rsidRPr="006937D9">
        <w:t>[14]</w:t>
      </w:r>
      <w:r w:rsidRPr="006937D9">
        <w:tab/>
        <w:t>Baringa Partners, ‘Potential network benefits from more efficient DER integration’, V.5 (Final Report), Jun. 2021. [Online]. Available: https://www.datocms-assets.com/32572/1629948077-baringaesbpublishable-reportconsolidatedfinal-reportv5-0.pdf</w:t>
      </w:r>
    </w:p>
    <w:p w14:paraId="6C547B0E" w14:textId="77777777" w:rsidR="006937D9" w:rsidRPr="006937D9" w:rsidRDefault="006937D9" w:rsidP="006937D9">
      <w:pPr>
        <w:pStyle w:val="Bibliography"/>
      </w:pPr>
      <w:bookmarkStart w:id="118" w:name="Ref_15"/>
      <w:bookmarkEnd w:id="117"/>
      <w:r w:rsidRPr="006937D9">
        <w:t>[15]</w:t>
      </w:r>
      <w:r w:rsidRPr="006937D9">
        <w:tab/>
        <w:t xml:space="preserve">J. Loonsk, ‘Architecture a must for interoperability - Six reasons why it’s imperative’, </w:t>
      </w:r>
      <w:r w:rsidRPr="006937D9">
        <w:rPr>
          <w:i/>
          <w:iCs/>
        </w:rPr>
        <w:t>Healthcare IT News</w:t>
      </w:r>
      <w:r w:rsidRPr="006937D9">
        <w:t>, Dec. 05, 2014. [Online]. Available: https://www.healthcareitnews.com/news/architecture-must-interoperability</w:t>
      </w:r>
    </w:p>
    <w:p w14:paraId="0001AEBE" w14:textId="77777777" w:rsidR="006937D9" w:rsidRPr="006937D9" w:rsidRDefault="006937D9" w:rsidP="006937D9">
      <w:pPr>
        <w:pStyle w:val="Bibliography"/>
      </w:pPr>
      <w:bookmarkStart w:id="119" w:name="Ref_16"/>
      <w:bookmarkEnd w:id="118"/>
      <w:r w:rsidRPr="006937D9">
        <w:t>[16]</w:t>
      </w:r>
      <w:r w:rsidRPr="006937D9">
        <w:tab/>
        <w:t xml:space="preserve">P. Feiler, B. Pollak, and Carnegie Mellon University, Eds., </w:t>
      </w:r>
      <w:r w:rsidRPr="006937D9">
        <w:rPr>
          <w:i/>
          <w:iCs/>
        </w:rPr>
        <w:t>Ultra-large-scale systems: the software challenge of the future</w:t>
      </w:r>
      <w:r w:rsidRPr="006937D9">
        <w:t>. Pittsburgh: Software Engineering Institute, Carnegie Mellon Univ, 2006.</w:t>
      </w:r>
    </w:p>
    <w:p w14:paraId="5B995CCE" w14:textId="77777777" w:rsidR="006937D9" w:rsidRPr="006937D9" w:rsidRDefault="006937D9" w:rsidP="006937D9">
      <w:pPr>
        <w:pStyle w:val="Bibliography"/>
      </w:pPr>
      <w:bookmarkStart w:id="120" w:name="Ref_17"/>
      <w:bookmarkEnd w:id="119"/>
      <w:r w:rsidRPr="006937D9">
        <w:t>[17]</w:t>
      </w:r>
      <w:r w:rsidRPr="006937D9">
        <w:tab/>
        <w:t>Pacific Northwest National Laboratory (PNNL), ‘The Network of Structures Grid Model Paradigm’. 2014. [Online]. Available: https://gridarchitecture.pnnl.gov/media/advanced/The%20Network%20of%20Structures.pdf</w:t>
      </w:r>
    </w:p>
    <w:p w14:paraId="258A2401" w14:textId="77777777" w:rsidR="006937D9" w:rsidRPr="006937D9" w:rsidRDefault="006937D9" w:rsidP="006937D9">
      <w:pPr>
        <w:pStyle w:val="Bibliography"/>
      </w:pPr>
      <w:bookmarkStart w:id="121" w:name="Ref_18"/>
      <w:bookmarkEnd w:id="120"/>
      <w:r w:rsidRPr="006937D9">
        <w:t>[18]</w:t>
      </w:r>
      <w:r w:rsidRPr="006937D9">
        <w:tab/>
        <w:t>Australian Energy Market Operator (AEMO), ‘Renewable Integration Study – Stage 1: Appendix A – High Penetrations of Distributed Solar PV’, Version 2.0, May 2020. [Online]. Available: https://aemo.com.au/-/media/files/major-publications/ris/2020/ris-stage-1-appendix-a.pdf</w:t>
      </w:r>
    </w:p>
    <w:p w14:paraId="3F94018C" w14:textId="77777777" w:rsidR="006937D9" w:rsidRPr="006937D9" w:rsidRDefault="006937D9" w:rsidP="006937D9">
      <w:pPr>
        <w:pStyle w:val="Bibliography"/>
      </w:pPr>
      <w:bookmarkStart w:id="122" w:name="Ref_19"/>
      <w:bookmarkEnd w:id="121"/>
      <w:r w:rsidRPr="006937D9">
        <w:t>[19]</w:t>
      </w:r>
      <w:r w:rsidRPr="006937D9">
        <w:tab/>
        <w:t>Australian Energy Market Operator (AEMO), ‘Power System Requirements’, v. 2, Jul. 2020. [Online]. Available: https://www.aemo.com.au/-/media/files/electricity/nem/security_and_reliability/power-system-requirements.pdf</w:t>
      </w:r>
    </w:p>
    <w:p w14:paraId="2C0C20C4" w14:textId="77777777" w:rsidR="006937D9" w:rsidRPr="006937D9" w:rsidRDefault="006937D9" w:rsidP="006937D9">
      <w:pPr>
        <w:pStyle w:val="Bibliography"/>
      </w:pPr>
      <w:bookmarkStart w:id="123" w:name="Ref_20"/>
      <w:bookmarkEnd w:id="122"/>
      <w:r w:rsidRPr="006937D9">
        <w:t>[20]</w:t>
      </w:r>
      <w:r w:rsidRPr="006937D9">
        <w:tab/>
        <w:t>Pacific Northwest National Laboratory (PNNL), ‘Electric Grid Market - Control Structure’, Richland, Washington 99352, Jun. 2017. [Online]. Available: https://gridarchitecture.pnnl.gov/media/advanced/Market_Control_Structure_v0.2.pdf</w:t>
      </w:r>
    </w:p>
    <w:p w14:paraId="6851CEED" w14:textId="77777777" w:rsidR="006937D9" w:rsidRPr="006937D9" w:rsidRDefault="006937D9" w:rsidP="006937D9">
      <w:pPr>
        <w:pStyle w:val="Bibliography"/>
      </w:pPr>
      <w:bookmarkStart w:id="124" w:name="Ref_21"/>
      <w:bookmarkEnd w:id="123"/>
      <w:r w:rsidRPr="006937D9">
        <w:t>[21]</w:t>
      </w:r>
      <w:r w:rsidRPr="006937D9">
        <w:tab/>
        <w:t>E. A. C. U.S. Department of Energy, ‘FERC Order 222 Recommendations’, U.S. Department of Energy, Apr. 2021. [Online]. Available: https://www.energy.gov/sites/default/files/2021-04/EAC%20FERC%20Order%202222%20Recommendations_Approved.pdf</w:t>
      </w:r>
    </w:p>
    <w:p w14:paraId="257C3E21" w14:textId="77777777" w:rsidR="006937D9" w:rsidRPr="006937D9" w:rsidRDefault="006937D9" w:rsidP="006937D9">
      <w:pPr>
        <w:pStyle w:val="Bibliography"/>
      </w:pPr>
      <w:bookmarkStart w:id="125" w:name="Ref_22"/>
      <w:bookmarkEnd w:id="124"/>
      <w:r w:rsidRPr="006937D9">
        <w:t>[22]</w:t>
      </w:r>
      <w:r w:rsidRPr="006937D9">
        <w:tab/>
        <w:t>Australian Energy Market Operator (AEMO), ‘NEM Engineering Framework - Initial Roadmap’. Dec. 2021. [Online]. Available: https://aemo.com.au/-/media/files/initiatives/engineering-framework/2021/nem-engineering-framework-initial-roadmap.pdf</w:t>
      </w:r>
    </w:p>
    <w:p w14:paraId="2A683E46" w14:textId="77777777" w:rsidR="006937D9" w:rsidRPr="006937D9" w:rsidRDefault="006937D9" w:rsidP="006937D9">
      <w:pPr>
        <w:pStyle w:val="Bibliography"/>
      </w:pPr>
      <w:bookmarkStart w:id="126" w:name="Ref_23"/>
      <w:bookmarkEnd w:id="125"/>
      <w:r w:rsidRPr="006937D9">
        <w:t>[23]</w:t>
      </w:r>
      <w:r w:rsidRPr="006937D9">
        <w:tab/>
        <w:t>J. Taft, ‘Control of Embedded Bulk Electric Storage Networks for Operational Flexibility and Grid Resilience’, Pacific Northwest National Laboratory (PNNL), Richland, Washington 99354, Jun. 2021. [Online]. Available: https://gridarchitecture.pnnl.gov/media/advanced/Control_of_Embedded_Grid_Storage_Networks_v0_3.pdf</w:t>
      </w:r>
    </w:p>
    <w:p w14:paraId="7C29C570" w14:textId="77777777" w:rsidR="006937D9" w:rsidRPr="006937D9" w:rsidRDefault="006937D9" w:rsidP="006937D9">
      <w:pPr>
        <w:pStyle w:val="Bibliography"/>
      </w:pPr>
      <w:bookmarkStart w:id="127" w:name="Ref_24"/>
      <w:bookmarkEnd w:id="126"/>
      <w:r w:rsidRPr="006937D9">
        <w:t>[24]</w:t>
      </w:r>
      <w:r w:rsidRPr="006937D9">
        <w:tab/>
        <w:t>S. Widergen, R. Melton, B. Kelley, A. Shankar, and J. Taft, ‘Toward a Practical Theory of Grid Resilience - A Grid Architectural Approach’, Pacific Northwest National Laboratory (PNNL), Apr. 2018. [Online]. Available: https://gridarchitecture.pnnl.gov/media/advanced/Theory_of_Grid_Resilience_final_GMLC.pdf</w:t>
      </w:r>
    </w:p>
    <w:p w14:paraId="69885ADD" w14:textId="77777777" w:rsidR="006937D9" w:rsidRPr="006937D9" w:rsidRDefault="006937D9" w:rsidP="006937D9">
      <w:pPr>
        <w:pStyle w:val="Bibliography"/>
      </w:pPr>
      <w:bookmarkStart w:id="128" w:name="Ref_25"/>
      <w:bookmarkEnd w:id="127"/>
      <w:r w:rsidRPr="006937D9">
        <w:t>[25]</w:t>
      </w:r>
      <w:r w:rsidRPr="006937D9">
        <w:tab/>
        <w:t>J. D. Taft, ‘Architectural Framework for Variable Structure Grids’, Pacific Northwest National Laboratory (PNNL), PNNL-32515, Dec. 2021. [Online]. Available: https://gridarchitecture.pnnl.gov/media/advanced/Architectural_Framework_for_Variable_Structure_Grids.pdf</w:t>
      </w:r>
    </w:p>
    <w:p w14:paraId="2F12AFD2" w14:textId="77777777" w:rsidR="006937D9" w:rsidRPr="006937D9" w:rsidRDefault="006937D9" w:rsidP="006937D9">
      <w:pPr>
        <w:pStyle w:val="Bibliography"/>
      </w:pPr>
      <w:bookmarkStart w:id="129" w:name="Ref_26"/>
      <w:bookmarkEnd w:id="128"/>
      <w:r w:rsidRPr="006937D9">
        <w:t>[26]</w:t>
      </w:r>
      <w:r w:rsidRPr="006937D9">
        <w:tab/>
        <w:t>J. D. Taft, ‘Fundamentals of Structural Analytic Resilience Quantification’, Pacific Northwest National Laboratory (PNNL), Richland, Washington 99354, PNNL-30423, Sep. 2020. [Online]. Available: https://gridarchitecture.pnnl.gov/media/advanced/Resilence_Algebra_Foundation_final.pdf</w:t>
      </w:r>
    </w:p>
    <w:p w14:paraId="7AEFD577" w14:textId="77777777" w:rsidR="006937D9" w:rsidRPr="006937D9" w:rsidRDefault="006937D9" w:rsidP="006937D9">
      <w:pPr>
        <w:pStyle w:val="Bibliography"/>
      </w:pPr>
      <w:bookmarkStart w:id="130" w:name="Ref_27"/>
      <w:bookmarkEnd w:id="129"/>
      <w:r w:rsidRPr="006937D9">
        <w:t>[27]</w:t>
      </w:r>
      <w:r w:rsidRPr="006937D9">
        <w:tab/>
        <w:t>Australian Energy Market Operator (AEMO), ‘Project EDGE - Lesson Learnt Report #2’, Version 1.0, Dec. 2022. [Online]. Available: https://aemo.com.au/-/media/files/initiatives/der/2022/project-edge-lessons-learnt-2--final.pdf</w:t>
      </w:r>
    </w:p>
    <w:p w14:paraId="5DDD2FB0" w14:textId="77777777" w:rsidR="006937D9" w:rsidRPr="006937D9" w:rsidRDefault="006937D9" w:rsidP="006937D9">
      <w:pPr>
        <w:pStyle w:val="Bibliography"/>
      </w:pPr>
      <w:bookmarkStart w:id="131" w:name="Ref_28"/>
      <w:bookmarkEnd w:id="130"/>
      <w:r w:rsidRPr="006937D9">
        <w:t>[28]</w:t>
      </w:r>
      <w:r w:rsidRPr="006937D9">
        <w:tab/>
        <w:t>Australian Renewable Energy Agency (ARENA), ‘Dynamic Operting Envelopes Working Group - Outcomes Report’, Mar. 2022.</w:t>
      </w:r>
    </w:p>
    <w:p w14:paraId="097B5DB7" w14:textId="77777777" w:rsidR="006937D9" w:rsidRPr="006937D9" w:rsidRDefault="006937D9" w:rsidP="006937D9">
      <w:pPr>
        <w:pStyle w:val="Bibliography"/>
      </w:pPr>
      <w:bookmarkStart w:id="132" w:name="Ref_29"/>
      <w:bookmarkEnd w:id="131"/>
      <w:r w:rsidRPr="006937D9">
        <w:t>[29]</w:t>
      </w:r>
      <w:r w:rsidRPr="006937D9">
        <w:tab/>
        <w:t xml:space="preserve">D. P. Palomar and M. Chiang, ‘Alternative Distributed Algorithms for Network Utility Maximization: Framework and Applications’, </w:t>
      </w:r>
      <w:r w:rsidRPr="006937D9">
        <w:rPr>
          <w:i/>
          <w:iCs/>
        </w:rPr>
        <w:t>IEEE Trans. Autom. Control</w:t>
      </w:r>
      <w:r w:rsidRPr="006937D9">
        <w:t>, vol. 52, no. 12, pp. 2254–2269, Dec. 2007, doi: 10.1109/TAC.2007.910665.</w:t>
      </w:r>
    </w:p>
    <w:p w14:paraId="5CC6E2BC" w14:textId="77777777" w:rsidR="006937D9" w:rsidRPr="006937D9" w:rsidRDefault="006937D9" w:rsidP="006937D9">
      <w:pPr>
        <w:pStyle w:val="Bibliography"/>
      </w:pPr>
      <w:bookmarkStart w:id="133" w:name="Ref_30"/>
      <w:bookmarkEnd w:id="132"/>
      <w:r w:rsidRPr="006937D9">
        <w:t>[30]</w:t>
      </w:r>
      <w:r w:rsidRPr="006937D9">
        <w:tab/>
        <w:t>Australian Energy Market Operator (AEMO), ‘AEMO Operations Technology Roadmap’. Jne 2022. [Online]. Available: https://aemo.com.au/-/media/files/initiatives/operations-technology-roadmap/executive-summary-report-for-the-otr.pdf</w:t>
      </w:r>
    </w:p>
    <w:p w14:paraId="54F53B69" w14:textId="6C3DE503" w:rsidR="006937D9" w:rsidRPr="006937D9" w:rsidRDefault="006937D9" w:rsidP="006937D9">
      <w:pPr>
        <w:pStyle w:val="Bibliography"/>
      </w:pPr>
      <w:bookmarkStart w:id="134" w:name="Ref_31"/>
      <w:bookmarkEnd w:id="133"/>
      <w:r w:rsidRPr="006937D9">
        <w:t>[31]</w:t>
      </w:r>
      <w:r w:rsidRPr="006937D9">
        <w:tab/>
        <w:t>FERC Order 2222</w:t>
      </w:r>
      <w:r w:rsidR="008200F3">
        <w:t>-A</w:t>
      </w:r>
      <w:r w:rsidRPr="006937D9">
        <w:t>, ‘Participation of Distributed Energy Resource Aggregations in Markets Operated by Regional Transmission Organizations and Independent System Operators’. Federal Register, Jun. 01, 2021. [Online]. Available: https://www.federalregister.gov/d/2021-06089</w:t>
      </w:r>
    </w:p>
    <w:p w14:paraId="5EF5014F" w14:textId="77777777" w:rsidR="006937D9" w:rsidRDefault="006937D9" w:rsidP="006937D9">
      <w:pPr>
        <w:pStyle w:val="Bibliography"/>
      </w:pPr>
      <w:bookmarkStart w:id="135" w:name="Ref_32"/>
      <w:bookmarkEnd w:id="134"/>
      <w:r w:rsidRPr="006937D9">
        <w:t>[32]</w:t>
      </w:r>
      <w:r w:rsidRPr="006937D9">
        <w:tab/>
        <w:t>A. Gopstein, C. Nguyen, C. O’Fallon, N. Hastings, and D. Wollman, ‘NIST framework and roadmap for smart grid interoperability standards, release 4.0’, National Institute of Standards and Technology, Gaithersburg, MD, NIST SP 1108r4, Feb. 2021. doi: 10.6028/NIST.SP.1108r4.</w:t>
      </w:r>
    </w:p>
    <w:p w14:paraId="7496D661" w14:textId="21828F89" w:rsidR="00A215CC" w:rsidRDefault="00450ACA" w:rsidP="00955F38">
      <w:pPr>
        <w:ind w:left="567" w:hanging="567"/>
      </w:pPr>
      <w:r>
        <w:t>[33]</w:t>
      </w:r>
      <w:r w:rsidR="00446921">
        <w:tab/>
      </w:r>
      <w:bookmarkStart w:id="136" w:name="Ref_33"/>
      <w:r w:rsidR="007C1AF1" w:rsidRPr="00F1251A">
        <w:t xml:space="preserve">Energy Catalyst, ‘Report </w:t>
      </w:r>
      <w:r w:rsidR="00446921">
        <w:t>4</w:t>
      </w:r>
      <w:r w:rsidR="007C1AF1" w:rsidRPr="00F1251A">
        <w:t xml:space="preserve"> of 5: Systemic Issues and Transformation Risks, AR-PST (Australian Research in Power Systems Transition) Stage 4 Topic 7’, Jul. 2025</w:t>
      </w:r>
      <w:bookmarkEnd w:id="136"/>
      <w:r w:rsidR="007C1AF1" w:rsidRPr="00F1251A">
        <w:t>.</w:t>
      </w:r>
    </w:p>
    <w:p w14:paraId="10B9DB56" w14:textId="0FDCE60E" w:rsidR="00A20698" w:rsidRDefault="00A20698" w:rsidP="00955F38">
      <w:pPr>
        <w:ind w:left="567" w:hanging="567"/>
        <w:rPr>
          <w:rFonts w:ascii="FreightSans Pro Book" w:hAnsi="FreightSans Pro Book"/>
          <w:sz w:val="22"/>
          <w:szCs w:val="22"/>
        </w:rPr>
      </w:pPr>
      <w:r>
        <w:t>[34]</w:t>
      </w:r>
      <w:r>
        <w:tab/>
      </w:r>
      <w:bookmarkStart w:id="137" w:name="R_133"/>
      <w:bookmarkStart w:id="138" w:name="R_34"/>
      <w:r w:rsidRPr="00955F38">
        <w:t>Energy Catalyst, ‘Report 5 of 5: Transmission-Distribution Coordination (TDC), AR-PST (Australian Research in Power Systems Transition) Stage 4 Topic 7’, Jul. 2025.</w:t>
      </w:r>
      <w:bookmarkEnd w:id="137"/>
      <w:bookmarkEnd w:id="138"/>
    </w:p>
    <w:p w14:paraId="61654BE6" w14:textId="74E8F4FF" w:rsidR="00955F38" w:rsidRPr="00A215CC" w:rsidRDefault="00955F38" w:rsidP="00955F38">
      <w:pPr>
        <w:ind w:left="567" w:hanging="567"/>
      </w:pPr>
      <w:r w:rsidRPr="00741EF5">
        <w:rPr>
          <w:szCs w:val="18"/>
        </w:rPr>
        <w:t>[35]</w:t>
      </w:r>
      <w:r>
        <w:rPr>
          <w:rFonts w:ascii="FreightSans Pro Book" w:hAnsi="FreightSans Pro Book"/>
          <w:sz w:val="22"/>
          <w:szCs w:val="22"/>
        </w:rPr>
        <w:tab/>
      </w:r>
      <w:bookmarkStart w:id="139" w:name="R_59"/>
      <w:bookmarkStart w:id="140" w:name="R_35"/>
      <w:r w:rsidRPr="00955F38">
        <w:t>J. Taft, ‘Assigning Roles and Responsibilities’, Substack Article, n.d. [Online]. Available: https://jeffreytaft.substack.com/p/assigning-roles-and-responsibilities?utm_source=publication-search</w:t>
      </w:r>
      <w:bookmarkEnd w:id="139"/>
      <w:bookmarkEnd w:id="140"/>
    </w:p>
    <w:bookmarkEnd w:id="135"/>
    <w:p w14:paraId="20482705" w14:textId="7D666633" w:rsidR="00F403F0" w:rsidRDefault="0027414E" w:rsidP="00EB2823">
      <w:pPr>
        <w:spacing w:after="160" w:line="264" w:lineRule="auto"/>
        <w:rPr>
          <w:rFonts w:eastAsiaTheme="majorEastAsia" w:cstheme="majorBidi"/>
          <w:color w:val="013C4C" w:themeColor="text1"/>
          <w:szCs w:val="18"/>
          <w:lang w:eastAsia="en-US" w:bidi="ar-SA"/>
        </w:rPr>
      </w:pPr>
      <w:r w:rsidRPr="00B82421">
        <w:rPr>
          <w:rFonts w:eastAsiaTheme="majorEastAsia" w:cstheme="majorBidi"/>
          <w:color w:val="013C4C" w:themeColor="text1"/>
          <w:szCs w:val="18"/>
          <w:lang w:eastAsia="en-US" w:bidi="ar-SA"/>
        </w:rPr>
        <w:fldChar w:fldCharType="end"/>
      </w:r>
    </w:p>
    <w:p w14:paraId="5C6B9C8D" w14:textId="77777777" w:rsidR="00F403F0" w:rsidRDefault="00F403F0">
      <w:pPr>
        <w:spacing w:before="0" w:after="160" w:line="259" w:lineRule="auto"/>
        <w:rPr>
          <w:rFonts w:eastAsiaTheme="majorEastAsia" w:cstheme="majorBidi"/>
          <w:color w:val="013C4C" w:themeColor="text1"/>
          <w:szCs w:val="18"/>
          <w:lang w:eastAsia="en-US" w:bidi="ar-SA"/>
        </w:rPr>
      </w:pPr>
      <w:r>
        <w:rPr>
          <w:rFonts w:eastAsiaTheme="majorEastAsia" w:cstheme="majorBidi"/>
          <w:color w:val="013C4C" w:themeColor="text1"/>
          <w:szCs w:val="18"/>
          <w:lang w:eastAsia="en-US" w:bidi="ar-SA"/>
        </w:rPr>
        <w:br w:type="page"/>
      </w:r>
    </w:p>
    <w:p w14:paraId="51F03EA9" w14:textId="77777777" w:rsidR="00455819" w:rsidRPr="00D84618" w:rsidRDefault="00455819" w:rsidP="00455819">
      <w:pPr>
        <w:keepNext/>
        <w:keepLines/>
        <w:spacing w:line="288" w:lineRule="auto"/>
        <w:ind w:hanging="6"/>
        <w:outlineLvl w:val="0"/>
        <w:rPr>
          <w:rFonts w:ascii="PP Mori SemiBold" w:eastAsiaTheme="majorEastAsia" w:hAnsi="PP Mori SemiBold" w:cstheme="majorBidi"/>
          <w:color w:val="013C4C" w:themeColor="text1"/>
          <w:sz w:val="32"/>
          <w:szCs w:val="40"/>
        </w:rPr>
      </w:pPr>
      <w:bookmarkStart w:id="141" w:name="_Toc205372234"/>
      <w:bookmarkStart w:id="142" w:name="_Toc205529039"/>
      <w:bookmarkStart w:id="143" w:name="_Toc205533980"/>
      <w:bookmarkStart w:id="144" w:name="Appendix_A"/>
      <w:r w:rsidRPr="00D84618">
        <w:rPr>
          <w:rFonts w:ascii="PP Mori SemiBold" w:eastAsiaTheme="majorEastAsia" w:hAnsi="PP Mori SemiBold" w:cstheme="majorBidi"/>
          <w:color w:val="013C4C" w:themeColor="text1"/>
          <w:sz w:val="32"/>
          <w:szCs w:val="40"/>
        </w:rPr>
        <w:t>Appendix A: Principles</w:t>
      </w:r>
      <w:bookmarkEnd w:id="141"/>
      <w:r w:rsidRPr="00D84618">
        <w:rPr>
          <w:rFonts w:ascii="PP Mori SemiBold" w:eastAsiaTheme="majorEastAsia" w:hAnsi="PP Mori SemiBold" w:cstheme="majorBidi"/>
          <w:color w:val="013C4C" w:themeColor="text1"/>
          <w:sz w:val="32"/>
          <w:szCs w:val="40"/>
        </w:rPr>
        <w:t>, Methodologies &amp; Acknowledgements</w:t>
      </w:r>
      <w:bookmarkEnd w:id="142"/>
      <w:bookmarkEnd w:id="143"/>
      <w:r w:rsidRPr="00D84618">
        <w:rPr>
          <w:rFonts w:ascii="PP Mori SemiBold" w:eastAsiaTheme="majorEastAsia" w:hAnsi="PP Mori SemiBold" w:cstheme="majorBidi"/>
          <w:color w:val="013C4C" w:themeColor="text1"/>
          <w:sz w:val="32"/>
          <w:szCs w:val="40"/>
        </w:rPr>
        <w:t xml:space="preserve"> </w:t>
      </w:r>
    </w:p>
    <w:p w14:paraId="08A0B6AF" w14:textId="77777777" w:rsidR="00455819" w:rsidRPr="00D84618" w:rsidRDefault="00455819" w:rsidP="00455819">
      <w:pPr>
        <w:spacing w:before="120" w:after="120" w:line="264" w:lineRule="auto"/>
        <w:rPr>
          <w:lang w:eastAsia="en-US" w:bidi="ar-SA"/>
        </w:rPr>
      </w:pPr>
      <w:bookmarkStart w:id="145" w:name="_Toc204765454"/>
      <w:r w:rsidRPr="00D84618">
        <w:rPr>
          <w:lang w:eastAsia="en-US" w:bidi="ar-SA"/>
        </w:rPr>
        <w:t xml:space="preserve">This section provides an overview of the guiding principles and integrated disciplines and tools employed in the development of this reference set. </w:t>
      </w:r>
    </w:p>
    <w:p w14:paraId="188D1086" w14:textId="77777777" w:rsidR="00455819" w:rsidRPr="00D84618" w:rsidRDefault="00455819" w:rsidP="00455819">
      <w:pPr>
        <w:keepNext/>
        <w:keepLines/>
        <w:numPr>
          <w:ilvl w:val="1"/>
          <w:numId w:val="0"/>
        </w:numPr>
        <w:spacing w:before="360" w:after="120" w:line="264" w:lineRule="auto"/>
        <w:ind w:left="578" w:hanging="578"/>
        <w:outlineLvl w:val="1"/>
        <w:rPr>
          <w:rFonts w:ascii="PP Mori SemiBold" w:eastAsiaTheme="majorEastAsia" w:hAnsi="PP Mori SemiBold" w:cstheme="majorBidi"/>
          <w:color w:val="002C38" w:themeColor="accent1" w:themeShade="BF"/>
          <w:sz w:val="26"/>
          <w:szCs w:val="33"/>
          <w:lang w:eastAsia="en-US" w:bidi="ar-SA"/>
        </w:rPr>
      </w:pPr>
      <w:bookmarkStart w:id="146" w:name="_Toc205372235"/>
      <w:bookmarkStart w:id="147" w:name="_Toc205529040"/>
      <w:bookmarkStart w:id="148" w:name="_Toc205533981"/>
      <w:r w:rsidRPr="00D84618">
        <w:rPr>
          <w:rFonts w:ascii="PP Mori SemiBold" w:eastAsiaTheme="majorEastAsia" w:hAnsi="PP Mori SemiBold" w:cstheme="majorBidi"/>
          <w:color w:val="002C38" w:themeColor="accent1" w:themeShade="BF"/>
          <w:sz w:val="26"/>
          <w:szCs w:val="33"/>
          <w:lang w:eastAsia="en-US" w:bidi="ar-SA"/>
        </w:rPr>
        <w:t>A1</w:t>
      </w:r>
      <w:r w:rsidRPr="00D84618">
        <w:rPr>
          <w:rFonts w:ascii="PP Mori SemiBold" w:eastAsiaTheme="majorEastAsia" w:hAnsi="PP Mori SemiBold" w:cstheme="majorBidi"/>
          <w:color w:val="002C38" w:themeColor="accent1" w:themeShade="BF"/>
          <w:sz w:val="26"/>
          <w:szCs w:val="33"/>
          <w:lang w:eastAsia="en-US" w:bidi="ar-SA"/>
        </w:rPr>
        <w:tab/>
        <w:t>Guiding Principles</w:t>
      </w:r>
      <w:bookmarkEnd w:id="145"/>
      <w:bookmarkEnd w:id="146"/>
      <w:bookmarkEnd w:id="147"/>
      <w:bookmarkEnd w:id="148"/>
    </w:p>
    <w:p w14:paraId="76BF99F3" w14:textId="77777777" w:rsidR="00455819" w:rsidRPr="00D84618" w:rsidRDefault="00455819" w:rsidP="00455819">
      <w:pPr>
        <w:spacing w:before="120" w:after="120" w:line="264" w:lineRule="auto"/>
        <w:rPr>
          <w:lang w:eastAsia="en-US" w:bidi="ar-SA"/>
        </w:rPr>
      </w:pPr>
      <w:r w:rsidRPr="00D84618">
        <w:rPr>
          <w:lang w:eastAsia="en-US" w:bidi="ar-SA"/>
        </w:rPr>
        <w:t xml:space="preserve">Following are a set of principles and characteristics embedded in the Power System Architecture discipline that have guided the development of this reference set. </w:t>
      </w:r>
    </w:p>
    <w:p w14:paraId="2F82051A" w14:textId="77777777" w:rsidR="00455819" w:rsidRPr="00D84618" w:rsidRDefault="00455819" w:rsidP="00455819">
      <w:pPr>
        <w:numPr>
          <w:ilvl w:val="0"/>
          <w:numId w:val="88"/>
        </w:numPr>
        <w:spacing w:before="120" w:after="120" w:line="264" w:lineRule="auto"/>
        <w:rPr>
          <w:lang w:eastAsia="en-US" w:bidi="ar-SA"/>
        </w:rPr>
      </w:pPr>
      <w:r w:rsidRPr="00D84618">
        <w:rPr>
          <w:rFonts w:ascii="PP Mori SemiBold" w:hAnsi="PP Mori SemiBold"/>
          <w:color w:val="013C4C" w:themeColor="text1"/>
          <w:lang w:eastAsia="en-US" w:bidi="ar-SA"/>
        </w:rPr>
        <w:t>Stakeholder / User-centric:</w:t>
      </w:r>
      <w:r w:rsidRPr="00D84618">
        <w:rPr>
          <w:color w:val="013C4C" w:themeColor="text1"/>
          <w:lang w:eastAsia="en-US" w:bidi="ar-SA"/>
        </w:rPr>
        <w:t xml:space="preserve"> </w:t>
      </w:r>
      <w:r w:rsidRPr="00D84618">
        <w:rPr>
          <w:lang w:eastAsia="en-US" w:bidi="ar-SA"/>
        </w:rPr>
        <w:t xml:space="preserve">Systems architecture methodologies are grounded in a detailed exploration of the </w:t>
      </w:r>
      <w:r w:rsidRPr="00D84618">
        <w:rPr>
          <w:i/>
          <w:iCs/>
          <w:lang w:eastAsia="en-US" w:bidi="ar-SA"/>
        </w:rPr>
        <w:t>Future Customer &amp; Societal Objectives (Report 1)</w:t>
      </w:r>
      <w:r w:rsidRPr="00D84618">
        <w:rPr>
          <w:lang w:eastAsia="en-US" w:bidi="ar-SA"/>
        </w:rPr>
        <w:t xml:space="preserve"> for the power system to ensure the grid can deliver a balanced scorecard of societal outcomes. </w:t>
      </w:r>
    </w:p>
    <w:p w14:paraId="2A0A79CF" w14:textId="77777777" w:rsidR="00455819" w:rsidRPr="00D84618" w:rsidRDefault="00455819" w:rsidP="00455819">
      <w:pPr>
        <w:numPr>
          <w:ilvl w:val="0"/>
          <w:numId w:val="88"/>
        </w:numPr>
        <w:spacing w:before="120" w:after="120" w:line="264" w:lineRule="auto"/>
        <w:rPr>
          <w:lang w:eastAsia="en-US" w:bidi="ar-SA"/>
        </w:rPr>
      </w:pPr>
      <w:r w:rsidRPr="00D84618">
        <w:rPr>
          <w:rFonts w:ascii="PP Mori SemiBold" w:hAnsi="PP Mori SemiBold"/>
          <w:color w:val="013C4C" w:themeColor="text1"/>
          <w:lang w:eastAsia="en-US" w:bidi="ar-SA"/>
        </w:rPr>
        <w:t xml:space="preserve">Contextually Informed: </w:t>
      </w:r>
      <w:r w:rsidRPr="00D84618">
        <w:rPr>
          <w:lang w:eastAsia="en-US" w:bidi="ar-SA"/>
        </w:rPr>
        <w:t xml:space="preserve">Systems architecture methodologies give priority to examining the full range of </w:t>
      </w:r>
      <w:r w:rsidRPr="00D84618">
        <w:rPr>
          <w:i/>
          <w:iCs/>
          <w:lang w:eastAsia="en-US" w:bidi="ar-SA"/>
        </w:rPr>
        <w:t>Emerging Trends Driving Transformation (Report 2)</w:t>
      </w:r>
      <w:r w:rsidRPr="00D84618">
        <w:rPr>
          <w:lang w:eastAsia="en-US" w:bidi="ar-SA"/>
        </w:rPr>
        <w:t xml:space="preserve"> that are driving significant change together with the resulting Systemic Issues that must be addressed if stakeholder expectations of the future system are to be made achievable. </w:t>
      </w:r>
    </w:p>
    <w:p w14:paraId="6EEFB8FD" w14:textId="77777777" w:rsidR="00455819" w:rsidRPr="00D84618" w:rsidRDefault="00455819" w:rsidP="00455819">
      <w:pPr>
        <w:numPr>
          <w:ilvl w:val="0"/>
          <w:numId w:val="88"/>
        </w:numPr>
        <w:spacing w:before="120" w:after="120" w:line="264" w:lineRule="auto"/>
        <w:rPr>
          <w:lang w:eastAsia="en-US" w:bidi="ar-SA"/>
        </w:rPr>
      </w:pPr>
      <w:r w:rsidRPr="00D84618">
        <w:rPr>
          <w:rFonts w:ascii="PP Mori SemiBold" w:hAnsi="PP Mori SemiBold"/>
          <w:color w:val="013C4C" w:themeColor="text1"/>
          <w:lang w:eastAsia="en-US" w:bidi="ar-SA"/>
        </w:rPr>
        <w:t>Structural Focus:</w:t>
      </w:r>
      <w:r w:rsidRPr="00D84618">
        <w:rPr>
          <w:color w:val="013C4C" w:themeColor="text1"/>
          <w:lang w:eastAsia="en-US" w:bidi="ar-SA"/>
        </w:rPr>
        <w:t xml:space="preserve"> </w:t>
      </w:r>
      <w:r w:rsidRPr="00D84618">
        <w:rPr>
          <w:lang w:eastAsia="en-US" w:bidi="ar-SA"/>
        </w:rPr>
        <w:t xml:space="preserve">Systems architecture methodologies give particular attention to examining the underpinning legacy structure or ‘architecture’ of a complex system due to the disproportionate influence it has on what the system can safely, reliably and cost-efficiently do (i.e. the ‘performance envelope’ of the system). </w:t>
      </w:r>
    </w:p>
    <w:p w14:paraId="7D98A3FD" w14:textId="77777777" w:rsidR="00455819" w:rsidRPr="00D84618" w:rsidRDefault="00455819" w:rsidP="00455819">
      <w:pPr>
        <w:numPr>
          <w:ilvl w:val="0"/>
          <w:numId w:val="88"/>
        </w:numPr>
        <w:spacing w:before="120" w:after="120" w:line="264" w:lineRule="auto"/>
        <w:rPr>
          <w:lang w:eastAsia="en-US" w:bidi="ar-SA"/>
        </w:rPr>
      </w:pPr>
      <w:r w:rsidRPr="00D84618">
        <w:rPr>
          <w:rFonts w:ascii="PP Mori SemiBold" w:hAnsi="PP Mori SemiBold"/>
          <w:color w:val="013C4C" w:themeColor="text1"/>
          <w:lang w:eastAsia="en-US" w:bidi="ar-SA"/>
        </w:rPr>
        <w:t>Principles-based:</w:t>
      </w:r>
      <w:r w:rsidRPr="00D84618">
        <w:rPr>
          <w:color w:val="013C4C" w:themeColor="text1"/>
          <w:lang w:eastAsia="en-US" w:bidi="ar-SA"/>
        </w:rPr>
        <w:t xml:space="preserve"> </w:t>
      </w:r>
      <w:r w:rsidRPr="00D84618">
        <w:rPr>
          <w:lang w:eastAsia="en-US" w:bidi="ar-SA"/>
        </w:rPr>
        <w:t xml:space="preserve">Systems architecture methodologies are grounded in established principles and formal bases, ensuring conceptual integrity through consistent, traceable and verifiable processes, that enhance multi-stakeholder trust, and minimise the potential for unintended consequences. </w:t>
      </w:r>
    </w:p>
    <w:p w14:paraId="63D81845" w14:textId="77777777" w:rsidR="00455819" w:rsidRPr="00D84618" w:rsidRDefault="00455819" w:rsidP="00455819">
      <w:pPr>
        <w:numPr>
          <w:ilvl w:val="0"/>
          <w:numId w:val="88"/>
        </w:numPr>
        <w:spacing w:before="120" w:after="120" w:line="264" w:lineRule="auto"/>
        <w:rPr>
          <w:lang w:eastAsia="en-US" w:bidi="ar-SA"/>
        </w:rPr>
      </w:pPr>
      <w:r w:rsidRPr="00D84618">
        <w:rPr>
          <w:rFonts w:ascii="PP Mori SemiBold" w:hAnsi="PP Mori SemiBold"/>
          <w:color w:val="013C4C" w:themeColor="text1"/>
          <w:lang w:eastAsia="en-US" w:bidi="ar-SA"/>
        </w:rPr>
        <w:t>Whole-system Perspective:</w:t>
      </w:r>
      <w:r w:rsidRPr="00D84618">
        <w:rPr>
          <w:color w:val="013C4C" w:themeColor="text1"/>
          <w:lang w:eastAsia="en-US" w:bidi="ar-SA"/>
        </w:rPr>
        <w:t xml:space="preserve"> </w:t>
      </w:r>
      <w:r w:rsidRPr="00D84618">
        <w:rPr>
          <w:lang w:eastAsia="en-US" w:bidi="ar-SA"/>
        </w:rPr>
        <w:t>Systems architecture methodologies provide a holistic view of the entire system as the primary basis for considering the interdependencies between its many tiers/layers, subsystems and components.</w:t>
      </w:r>
    </w:p>
    <w:p w14:paraId="7427F68A" w14:textId="77777777" w:rsidR="00455819" w:rsidRPr="00D84618" w:rsidRDefault="00455819" w:rsidP="00455819">
      <w:pPr>
        <w:numPr>
          <w:ilvl w:val="0"/>
          <w:numId w:val="88"/>
        </w:numPr>
        <w:spacing w:before="120" w:after="120" w:line="264" w:lineRule="auto"/>
        <w:rPr>
          <w:lang w:eastAsia="en-US" w:bidi="ar-SA"/>
        </w:rPr>
      </w:pPr>
      <w:r w:rsidRPr="00D84618">
        <w:rPr>
          <w:rFonts w:ascii="PP Mori SemiBold" w:hAnsi="PP Mori SemiBold"/>
          <w:color w:val="013C4C" w:themeColor="text1"/>
          <w:lang w:eastAsia="en-US" w:bidi="ar-SA"/>
        </w:rPr>
        <w:t>Decadal Time Horizon</w:t>
      </w:r>
      <w:r w:rsidRPr="00D84618">
        <w:rPr>
          <w:color w:val="013C4C" w:themeColor="text1"/>
          <w:lang w:eastAsia="en-US" w:bidi="ar-SA"/>
        </w:rPr>
        <w:t xml:space="preserve">: </w:t>
      </w:r>
      <w:r w:rsidRPr="00D84618">
        <w:rPr>
          <w:lang w:eastAsia="en-US" w:bidi="ar-SA"/>
        </w:rPr>
        <w:t xml:space="preserve">By identifying structural options that enhance (rather than constrain) multi-year optionality, systems architecture methodologies ensure the system is robust, adaptable, scalable and extensible across a range of alternate future scenarios and maximise the ‘future-proofing’ of investments. </w:t>
      </w:r>
    </w:p>
    <w:p w14:paraId="3C2A066B" w14:textId="77777777" w:rsidR="00455819" w:rsidRPr="00D84618" w:rsidRDefault="00455819" w:rsidP="00455819">
      <w:pPr>
        <w:numPr>
          <w:ilvl w:val="0"/>
          <w:numId w:val="88"/>
        </w:numPr>
        <w:spacing w:before="120" w:after="120" w:line="264" w:lineRule="auto"/>
        <w:rPr>
          <w:lang w:eastAsia="en-US" w:bidi="ar-SA"/>
        </w:rPr>
      </w:pPr>
      <w:r w:rsidRPr="00D84618">
        <w:rPr>
          <w:rFonts w:ascii="PP Mori SemiBold" w:hAnsi="PP Mori SemiBold"/>
          <w:color w:val="013C4C" w:themeColor="text1"/>
          <w:lang w:eastAsia="en-US" w:bidi="ar-SA"/>
        </w:rPr>
        <w:t xml:space="preserve">Technology &amp; Business Model Agnostic: </w:t>
      </w:r>
      <w:r w:rsidRPr="00D84618">
        <w:rPr>
          <w:lang w:eastAsia="en-US" w:bidi="ar-SA"/>
        </w:rPr>
        <w:t xml:space="preserve">By focusing on the required outcomes of the current and future system, systems architecture actively identifies alternative implementation pathways, supports technology innovation and avoids dependence on any one proprietary solution or commercial model. </w:t>
      </w:r>
    </w:p>
    <w:p w14:paraId="3344FB22" w14:textId="77777777" w:rsidR="00455819" w:rsidRPr="00D84618" w:rsidRDefault="00455819" w:rsidP="00455819">
      <w:pPr>
        <w:numPr>
          <w:ilvl w:val="0"/>
          <w:numId w:val="88"/>
        </w:numPr>
        <w:spacing w:before="120" w:after="120" w:line="264" w:lineRule="auto"/>
        <w:rPr>
          <w:lang w:eastAsia="en-US" w:bidi="ar-SA"/>
        </w:rPr>
      </w:pPr>
      <w:r w:rsidRPr="00D84618">
        <w:rPr>
          <w:rFonts w:ascii="PP Mori SemiBold" w:hAnsi="PP Mori SemiBold"/>
          <w:color w:val="013C4C" w:themeColor="text1"/>
          <w:lang w:eastAsia="en-US" w:bidi="ar-SA"/>
        </w:rPr>
        <w:t xml:space="preserve">Complexity Management: </w:t>
      </w:r>
      <w:r w:rsidRPr="00D84618">
        <w:rPr>
          <w:lang w:eastAsia="en-US" w:bidi="ar-SA"/>
        </w:rPr>
        <w:t xml:space="preserve">By making the underpinning structures of a legacy system explicitly articulated, systems architecture enables the decomposition of inherent complexity, identification of legacy structural constraints, and proposed changes to be accurately targeted and avoid complexity escalation. </w:t>
      </w:r>
    </w:p>
    <w:p w14:paraId="78630D08" w14:textId="77777777" w:rsidR="00455819" w:rsidRPr="00D84618" w:rsidRDefault="00455819" w:rsidP="00455819">
      <w:pPr>
        <w:numPr>
          <w:ilvl w:val="0"/>
          <w:numId w:val="88"/>
        </w:numPr>
        <w:spacing w:before="120" w:after="120" w:line="264" w:lineRule="auto"/>
        <w:rPr>
          <w:lang w:eastAsia="en-US" w:bidi="ar-SA"/>
        </w:rPr>
      </w:pPr>
      <w:r w:rsidRPr="00D84618">
        <w:rPr>
          <w:rFonts w:ascii="PP Mori SemiBold" w:hAnsi="PP Mori SemiBold"/>
          <w:color w:val="013C4C" w:themeColor="text1"/>
          <w:lang w:eastAsia="en-US" w:bidi="ar-SA"/>
        </w:rPr>
        <w:t>Subsystem Analysis:</w:t>
      </w:r>
      <w:r w:rsidRPr="00D84618">
        <w:rPr>
          <w:color w:val="013C4C" w:themeColor="text1"/>
          <w:lang w:eastAsia="en-US" w:bidi="ar-SA"/>
        </w:rPr>
        <w:t xml:space="preserve"> </w:t>
      </w:r>
      <w:r w:rsidRPr="00D84618">
        <w:rPr>
          <w:lang w:eastAsia="en-US" w:bidi="ar-SA"/>
        </w:rPr>
        <w:t xml:space="preserve">By providing formal analytical tools, systems architecture enables the detailed interrogation of all current Subsystems and Components, their individual form and function, boundaries, interfaces and functional interdependencies to holistically consider potential future enhancements in the context of the whole system. </w:t>
      </w:r>
    </w:p>
    <w:p w14:paraId="0AF7E944" w14:textId="77777777" w:rsidR="00455819" w:rsidRPr="00D84618" w:rsidRDefault="00455819" w:rsidP="00455819">
      <w:pPr>
        <w:numPr>
          <w:ilvl w:val="0"/>
          <w:numId w:val="88"/>
        </w:numPr>
        <w:spacing w:before="120" w:after="120" w:line="264" w:lineRule="auto"/>
        <w:rPr>
          <w:lang w:eastAsia="en-US" w:bidi="ar-SA"/>
        </w:rPr>
      </w:pPr>
      <w:r w:rsidRPr="00D84618">
        <w:rPr>
          <w:rFonts w:ascii="PP Mori SemiBold" w:hAnsi="PP Mori SemiBold"/>
          <w:color w:val="013C4C" w:themeColor="text1"/>
          <w:lang w:eastAsia="en-US" w:bidi="ar-SA"/>
        </w:rPr>
        <w:t>Stakeholder Empowerment:</w:t>
      </w:r>
      <w:r w:rsidRPr="00D84618">
        <w:rPr>
          <w:color w:val="013C4C" w:themeColor="text1"/>
          <w:lang w:eastAsia="en-US" w:bidi="ar-SA"/>
        </w:rPr>
        <w:t xml:space="preserve"> </w:t>
      </w:r>
      <w:r w:rsidRPr="00D84618">
        <w:rPr>
          <w:lang w:eastAsia="en-US" w:bidi="ar-SA"/>
        </w:rPr>
        <w:t>By providing an objective and evidence-based set of tools that can be learned, systems architecture empowers diverse stakeholders – both technical and non-technical – to collectively reason about current and future options and better contribute to key trade-off decisions.</w:t>
      </w:r>
    </w:p>
    <w:p w14:paraId="63BC84D5" w14:textId="77777777" w:rsidR="00455819" w:rsidRPr="00D84618" w:rsidRDefault="00455819" w:rsidP="00455819">
      <w:pPr>
        <w:keepNext/>
        <w:keepLines/>
        <w:spacing w:before="360" w:line="264" w:lineRule="auto"/>
        <w:outlineLvl w:val="1"/>
        <w:rPr>
          <w:rFonts w:ascii="PP Mori SemiBold" w:eastAsiaTheme="majorEastAsia" w:hAnsi="PP Mori SemiBold" w:cstheme="majorBidi"/>
          <w:color w:val="002C38" w:themeColor="accent1" w:themeShade="BF"/>
          <w:sz w:val="26"/>
          <w:szCs w:val="33"/>
          <w:lang w:eastAsia="en-US" w:bidi="ar-SA"/>
        </w:rPr>
      </w:pPr>
      <w:bookmarkStart w:id="149" w:name="_Toc205372236"/>
      <w:bookmarkStart w:id="150" w:name="_Toc205529041"/>
      <w:bookmarkStart w:id="151" w:name="_Toc205533982"/>
      <w:r w:rsidRPr="00D84618">
        <w:rPr>
          <w:rFonts w:ascii="PP Mori SemiBold" w:eastAsiaTheme="majorEastAsia" w:hAnsi="PP Mori SemiBold" w:cstheme="majorBidi"/>
          <w:color w:val="002C38" w:themeColor="accent1" w:themeShade="BF"/>
          <w:sz w:val="26"/>
          <w:szCs w:val="33"/>
          <w:lang w:eastAsia="en-US" w:bidi="ar-SA"/>
        </w:rPr>
        <w:t>A2</w:t>
      </w:r>
      <w:r w:rsidRPr="00D84618">
        <w:rPr>
          <w:rFonts w:ascii="PP Mori SemiBold" w:eastAsiaTheme="majorEastAsia" w:hAnsi="PP Mori SemiBold" w:cstheme="majorBidi"/>
          <w:color w:val="002C38" w:themeColor="accent1" w:themeShade="BF"/>
          <w:sz w:val="26"/>
          <w:szCs w:val="33"/>
          <w:lang w:eastAsia="en-US" w:bidi="ar-SA"/>
        </w:rPr>
        <w:tab/>
        <w:t>Integrated Disciplines &amp; Tools</w:t>
      </w:r>
      <w:bookmarkEnd w:id="149"/>
      <w:bookmarkEnd w:id="150"/>
      <w:bookmarkEnd w:id="151"/>
    </w:p>
    <w:p w14:paraId="5240C2E2" w14:textId="77777777" w:rsidR="00455819" w:rsidRPr="00D84618" w:rsidRDefault="00455819" w:rsidP="00455819">
      <w:pPr>
        <w:spacing w:line="264" w:lineRule="auto"/>
        <w:rPr>
          <w:lang w:eastAsia="en-US" w:bidi="ar-SA"/>
        </w:rPr>
      </w:pPr>
      <w:r w:rsidRPr="00D84618">
        <w:rPr>
          <w:lang w:eastAsia="en-US" w:bidi="ar-SA"/>
        </w:rPr>
        <w:t xml:space="preserve">Following are a set of disciplines and tools that have informed and enabled the development of this reference set. </w:t>
      </w:r>
    </w:p>
    <w:tbl>
      <w:tblPr>
        <w:tblStyle w:val="TableGrid1"/>
        <w:tblW w:w="8505" w:type="dxa"/>
        <w:tblInd w:w="-5" w:type="dxa"/>
        <w:tblLook w:val="04A0" w:firstRow="1" w:lastRow="0" w:firstColumn="1" w:lastColumn="0" w:noHBand="0" w:noVBand="1"/>
      </w:tblPr>
      <w:tblGrid>
        <w:gridCol w:w="2127"/>
        <w:gridCol w:w="6378"/>
      </w:tblGrid>
      <w:tr w:rsidR="00455819" w:rsidRPr="00D84618" w14:paraId="74C103D9" w14:textId="77777777" w:rsidTr="009B2757">
        <w:tc>
          <w:tcPr>
            <w:tcW w:w="2127" w:type="dxa"/>
            <w:shd w:val="clear" w:color="auto" w:fill="067296" w:themeFill="text2"/>
          </w:tcPr>
          <w:p w14:paraId="19813A56" w14:textId="77777777" w:rsidR="00455819" w:rsidRPr="00D84618" w:rsidRDefault="00455819" w:rsidP="009B2757">
            <w:pPr>
              <w:spacing w:before="120" w:after="120" w:line="288" w:lineRule="auto"/>
              <w:jc w:val="center"/>
              <w:rPr>
                <w:rFonts w:ascii="PP Mori SemiBold" w:eastAsia="Segoe UI" w:hAnsi="PP Mori SemiBold"/>
                <w:color w:val="FAFAFA" w:themeColor="background1"/>
                <w:szCs w:val="18"/>
              </w:rPr>
            </w:pPr>
            <w:r w:rsidRPr="00D84618">
              <w:rPr>
                <w:rFonts w:ascii="PP Mori SemiBold" w:eastAsia="Segoe UI" w:hAnsi="PP Mori SemiBold"/>
                <w:color w:val="FAFAFA" w:themeColor="background1"/>
                <w:szCs w:val="18"/>
              </w:rPr>
              <w:t>Design Thinking</w:t>
            </w:r>
          </w:p>
        </w:tc>
        <w:tc>
          <w:tcPr>
            <w:tcW w:w="6378" w:type="dxa"/>
          </w:tcPr>
          <w:p w14:paraId="0DA7ADBE" w14:textId="77777777" w:rsidR="00455819" w:rsidRPr="00D84618" w:rsidRDefault="00455819" w:rsidP="009B2757">
            <w:pPr>
              <w:spacing w:before="120" w:after="120" w:line="288" w:lineRule="auto"/>
              <w:ind w:left="176" w:right="176"/>
              <w:rPr>
                <w:szCs w:val="18"/>
                <w:lang w:eastAsia="en-US" w:bidi="ar-SA"/>
              </w:rPr>
            </w:pPr>
            <w:r w:rsidRPr="00D84618">
              <w:rPr>
                <w:szCs w:val="18"/>
                <w:lang w:eastAsia="en-US" w:bidi="ar-SA"/>
              </w:rPr>
              <w:t>A human-centered, iterative methodology for solving complex problems through empathetic understanding, creative ideation, and rapid experimentation.  The purpose of Design Thinking is to foster innovation by prioritising human needs, reframing challenges as opportunities, and developing actionable solutions that balance desirability (user appeal), feasibility (technical viability), and viability (economic sustainability). It functions as a non-linear process that bridges creative exploration with practical implementation, enabling teams across disciplines to navigate ambiguity and deliver user-centric outcomes.</w:t>
            </w:r>
          </w:p>
        </w:tc>
      </w:tr>
      <w:tr w:rsidR="00455819" w:rsidRPr="00D84618" w14:paraId="384E4C90" w14:textId="77777777" w:rsidTr="009B2757">
        <w:tc>
          <w:tcPr>
            <w:tcW w:w="2127" w:type="dxa"/>
            <w:shd w:val="clear" w:color="auto" w:fill="067296" w:themeFill="text2"/>
          </w:tcPr>
          <w:p w14:paraId="2BBD9405" w14:textId="77777777" w:rsidR="00455819" w:rsidRPr="00D84618" w:rsidRDefault="00455819" w:rsidP="009B2757">
            <w:pPr>
              <w:spacing w:before="120" w:after="120" w:line="288" w:lineRule="auto"/>
              <w:jc w:val="center"/>
              <w:rPr>
                <w:rFonts w:ascii="PP Mori SemiBold" w:hAnsi="PP Mori SemiBold"/>
                <w:color w:val="FAFAFA" w:themeColor="background1"/>
                <w:szCs w:val="18"/>
              </w:rPr>
            </w:pPr>
            <w:r w:rsidRPr="00D84618">
              <w:rPr>
                <w:rFonts w:ascii="PP Mori SemiBold" w:eastAsia="Segoe UI" w:hAnsi="PP Mori SemiBold"/>
                <w:color w:val="FAFAFA" w:themeColor="background1"/>
                <w:szCs w:val="18"/>
              </w:rPr>
              <w:t>Model-Based Systems Engineering (MBSE)</w:t>
            </w:r>
          </w:p>
          <w:p w14:paraId="22E444C8" w14:textId="77777777" w:rsidR="00455819" w:rsidRPr="00D84618" w:rsidRDefault="00455819" w:rsidP="009B2757">
            <w:pPr>
              <w:spacing w:before="120" w:after="120" w:line="288" w:lineRule="auto"/>
              <w:ind w:left="174" w:right="172"/>
              <w:jc w:val="center"/>
              <w:rPr>
                <w:rFonts w:ascii="PP Mori SemiBold" w:hAnsi="PP Mori SemiBold"/>
                <w:iCs/>
                <w:color w:val="FAFAFA" w:themeColor="background1"/>
                <w:szCs w:val="18"/>
              </w:rPr>
            </w:pPr>
          </w:p>
        </w:tc>
        <w:tc>
          <w:tcPr>
            <w:tcW w:w="6378" w:type="dxa"/>
          </w:tcPr>
          <w:p w14:paraId="2A2F72A4" w14:textId="77777777" w:rsidR="00455819" w:rsidRPr="00D84618" w:rsidRDefault="00455819" w:rsidP="009B2757">
            <w:pPr>
              <w:spacing w:before="120" w:after="120" w:line="288" w:lineRule="auto"/>
              <w:ind w:left="176" w:right="176"/>
              <w:rPr>
                <w:lang w:bidi="ar-SA"/>
              </w:rPr>
            </w:pPr>
            <w:r w:rsidRPr="00D84618">
              <w:rPr>
                <w:szCs w:val="18"/>
                <w:lang w:eastAsia="en-US" w:bidi="ar-SA"/>
              </w:rPr>
              <w:t xml:space="preserve">An approach to Systems Engineering that uses software-based models to represent various aspects and behaviours of a complex System. It provides dynamic modelling of System requirements, design, analysis, verification and validation activities in a manner that ensures requirements traceability, reduced errors and enhances multi-stakeholder collaboration in near real-time. </w:t>
            </w:r>
          </w:p>
          <w:p w14:paraId="794DCA14" w14:textId="77777777" w:rsidR="00455819" w:rsidRPr="00D84618" w:rsidRDefault="00455819" w:rsidP="009B2757">
            <w:pPr>
              <w:spacing w:before="120" w:after="120" w:line="288" w:lineRule="auto"/>
              <w:ind w:left="176" w:right="176"/>
              <w:rPr>
                <w:lang w:eastAsia="en-US" w:bidi="ar-SA"/>
              </w:rPr>
            </w:pPr>
            <w:r w:rsidRPr="00D84618">
              <w:rPr>
                <w:szCs w:val="18"/>
                <w:lang w:eastAsia="en-US" w:bidi="ar-SA"/>
              </w:rPr>
              <w:t>MBSE leverages graphical and textual representations to capture, analyse, simulate, and communicate the requirements, designs, and behaviours of the System. Applied from the conceptual design phase and continuing throughout development and later life cycle phases, it enhances traditional Systems Engineering processes by providing a more structured, integrated, and visual representation of the</w:t>
            </w:r>
            <w:r w:rsidRPr="00D84618">
              <w:rPr>
                <w:rFonts w:ascii="Calibri" w:hAnsi="Calibri" w:cs="Calibri"/>
                <w:szCs w:val="18"/>
                <w:lang w:eastAsia="en-US" w:bidi="ar-SA"/>
              </w:rPr>
              <w:t> </w:t>
            </w:r>
            <w:r w:rsidRPr="00D84618">
              <w:rPr>
                <w:szCs w:val="18"/>
                <w:lang w:eastAsia="en-US" w:bidi="ar-SA"/>
              </w:rPr>
              <w:t>Architecture and Functions of a System.</w:t>
            </w:r>
            <w:r w:rsidRPr="00D84618">
              <w:rPr>
                <w:rFonts w:ascii="Calibri" w:hAnsi="Calibri" w:cs="Calibri"/>
                <w:szCs w:val="18"/>
                <w:lang w:eastAsia="en-US" w:bidi="ar-SA"/>
              </w:rPr>
              <w:t> </w:t>
            </w:r>
          </w:p>
        </w:tc>
      </w:tr>
      <w:bookmarkEnd w:id="144"/>
    </w:tbl>
    <w:p w14:paraId="2EDC0E59" w14:textId="77777777" w:rsidR="00455819" w:rsidRPr="00D84618" w:rsidRDefault="00455819" w:rsidP="00455819">
      <w:pPr>
        <w:rPr>
          <w:sz w:val="22"/>
          <w:szCs w:val="22"/>
        </w:rPr>
      </w:pPr>
      <w:r w:rsidRPr="00D84618">
        <w:rPr>
          <w:sz w:val="22"/>
          <w:szCs w:val="22"/>
        </w:rPr>
        <w:br w:type="page"/>
      </w:r>
    </w:p>
    <w:tbl>
      <w:tblPr>
        <w:tblStyle w:val="TableGrid1"/>
        <w:tblW w:w="8505" w:type="dxa"/>
        <w:tblInd w:w="-5" w:type="dxa"/>
        <w:tblLook w:val="04A0" w:firstRow="1" w:lastRow="0" w:firstColumn="1" w:lastColumn="0" w:noHBand="0" w:noVBand="1"/>
      </w:tblPr>
      <w:tblGrid>
        <w:gridCol w:w="2127"/>
        <w:gridCol w:w="6378"/>
      </w:tblGrid>
      <w:tr w:rsidR="00455819" w:rsidRPr="00D84618" w14:paraId="37DE963C" w14:textId="77777777" w:rsidTr="009B2757">
        <w:trPr>
          <w:trHeight w:val="747"/>
        </w:trPr>
        <w:tc>
          <w:tcPr>
            <w:tcW w:w="2127" w:type="dxa"/>
            <w:shd w:val="clear" w:color="auto" w:fill="067296" w:themeFill="text2"/>
          </w:tcPr>
          <w:p w14:paraId="4B1F4499" w14:textId="77777777" w:rsidR="00455819" w:rsidRPr="00D84618" w:rsidRDefault="00455819" w:rsidP="009B2757">
            <w:pPr>
              <w:spacing w:before="120" w:after="120" w:line="288" w:lineRule="auto"/>
              <w:ind w:left="176" w:right="170"/>
              <w:jc w:val="center"/>
              <w:rPr>
                <w:rFonts w:ascii="PP Mori SemiBold" w:hAnsi="PP Mori SemiBold"/>
                <w:bCs/>
                <w:color w:val="FAFAFA" w:themeColor="background1"/>
                <w:szCs w:val="18"/>
              </w:rPr>
            </w:pPr>
            <w:r w:rsidRPr="00D84618">
              <w:rPr>
                <w:rFonts w:ascii="PP Mori SemiBold" w:hAnsi="PP Mori SemiBold"/>
                <w:bCs/>
                <w:color w:val="FAFAFA" w:themeColor="background1"/>
                <w:szCs w:val="18"/>
              </w:rPr>
              <w:t>Power Systems Architecture (PSA)</w:t>
            </w:r>
          </w:p>
        </w:tc>
        <w:tc>
          <w:tcPr>
            <w:tcW w:w="6378" w:type="dxa"/>
          </w:tcPr>
          <w:p w14:paraId="09977A60" w14:textId="77777777" w:rsidR="00455819" w:rsidRPr="00D84618" w:rsidRDefault="00455819" w:rsidP="009B2757">
            <w:pPr>
              <w:spacing w:before="120" w:after="120" w:line="288" w:lineRule="auto"/>
              <w:ind w:left="176" w:right="176"/>
              <w:rPr>
                <w:szCs w:val="18"/>
                <w:lang w:bidi="ar-SA"/>
              </w:rPr>
            </w:pPr>
            <w:r w:rsidRPr="00D84618">
              <w:rPr>
                <w:szCs w:val="18"/>
                <w:lang w:bidi="ar-SA"/>
              </w:rPr>
              <w:t xml:space="preserve">An integrated set of disciplines that support the structural transformation of legacy power systems, enabling them to more effectively serve evolving customer and societal objectives.  </w:t>
            </w:r>
          </w:p>
          <w:p w14:paraId="133E71B8" w14:textId="77777777" w:rsidR="00455819" w:rsidRPr="00D84618" w:rsidRDefault="00455819" w:rsidP="009B2757">
            <w:pPr>
              <w:spacing w:before="120" w:after="120" w:line="288" w:lineRule="auto"/>
              <w:ind w:left="176" w:right="176"/>
              <w:rPr>
                <w:szCs w:val="18"/>
                <w:lang w:bidi="ar-SA"/>
              </w:rPr>
            </w:pPr>
            <w:r w:rsidRPr="00D84618">
              <w:rPr>
                <w:szCs w:val="18"/>
                <w:lang w:bidi="ar-SA"/>
              </w:rPr>
              <w:t>At its most fundamental, PSA reflects the application of systems engineering to the transformation of the power system.  In recognising each power system as a complex Network of Structures, the PSA methodologies are uniquely designed to provide:</w:t>
            </w:r>
            <w:r w:rsidRPr="00D84618">
              <w:rPr>
                <w:rFonts w:ascii="Calibri" w:hAnsi="Calibri" w:cs="Calibri"/>
                <w:szCs w:val="18"/>
                <w:lang w:bidi="ar-SA"/>
              </w:rPr>
              <w:t> </w:t>
            </w:r>
          </w:p>
          <w:p w14:paraId="5D9D6633" w14:textId="77777777" w:rsidR="00455819" w:rsidRPr="00D84618" w:rsidRDefault="00455819" w:rsidP="00455819">
            <w:pPr>
              <w:numPr>
                <w:ilvl w:val="0"/>
                <w:numId w:val="84"/>
              </w:numPr>
              <w:tabs>
                <w:tab w:val="num" w:pos="720"/>
              </w:tabs>
              <w:spacing w:before="60" w:after="60" w:line="288" w:lineRule="auto"/>
              <w:ind w:left="714" w:hanging="357"/>
              <w:rPr>
                <w:rFonts w:eastAsia="Segoe UI"/>
                <w:bCs/>
                <w:color w:val="252423"/>
                <w:szCs w:val="18"/>
              </w:rPr>
            </w:pPr>
            <w:r w:rsidRPr="00D84618">
              <w:rPr>
                <w:rFonts w:eastAsia="Segoe UI"/>
                <w:color w:val="252423"/>
                <w:szCs w:val="18"/>
              </w:rPr>
              <w:t xml:space="preserve">Whole-system insight over 5, 10 and 20-year time horizons, enabling the interrogation and mapping of current, emerging and future </w:t>
            </w:r>
            <w:r w:rsidRPr="00D84618">
              <w:rPr>
                <w:rFonts w:eastAsia="Segoe UI"/>
                <w:bCs/>
                <w:color w:val="252423"/>
                <w:szCs w:val="18"/>
              </w:rPr>
              <w:t>system</w:t>
            </w:r>
            <w:r w:rsidRPr="00D84618">
              <w:rPr>
                <w:rFonts w:eastAsia="Segoe UI"/>
                <w:color w:val="252423"/>
                <w:szCs w:val="18"/>
              </w:rPr>
              <w:t xml:space="preserve"> priorities and objectives including the </w:t>
            </w:r>
            <w:r w:rsidRPr="00D84618">
              <w:rPr>
                <w:rFonts w:eastAsia="Segoe UI"/>
                <w:bCs/>
                <w:color w:val="252423"/>
                <w:szCs w:val="18"/>
              </w:rPr>
              <w:t>role</w:t>
            </w:r>
            <w:r w:rsidRPr="00D84618">
              <w:rPr>
                <w:rFonts w:eastAsia="Segoe UI"/>
                <w:color w:val="252423"/>
                <w:szCs w:val="18"/>
              </w:rPr>
              <w:t xml:space="preserve"> and </w:t>
            </w:r>
            <w:r w:rsidRPr="00D84618">
              <w:rPr>
                <w:rFonts w:eastAsia="Segoe UI"/>
                <w:bCs/>
                <w:color w:val="252423"/>
                <w:szCs w:val="18"/>
              </w:rPr>
              <w:t>responsibilities, operational coordination and co</w:t>
            </w:r>
            <w:r w:rsidRPr="00D84618">
              <w:rPr>
                <w:rFonts w:eastAsia="Segoe UI"/>
                <w:color w:val="252423"/>
                <w:szCs w:val="18"/>
              </w:rPr>
              <w:t xml:space="preserve">-optimisation across all vertical </w:t>
            </w:r>
            <w:r w:rsidRPr="00D84618">
              <w:rPr>
                <w:rFonts w:eastAsia="Segoe UI"/>
                <w:bCs/>
                <w:color w:val="252423"/>
                <w:szCs w:val="18"/>
              </w:rPr>
              <w:t xml:space="preserve">tiers/layers. </w:t>
            </w:r>
          </w:p>
          <w:p w14:paraId="7A66A1DE" w14:textId="77777777" w:rsidR="00455819" w:rsidRPr="00D84618" w:rsidRDefault="00455819" w:rsidP="00455819">
            <w:pPr>
              <w:numPr>
                <w:ilvl w:val="0"/>
                <w:numId w:val="84"/>
              </w:numPr>
              <w:tabs>
                <w:tab w:val="num" w:pos="720"/>
              </w:tabs>
              <w:spacing w:before="60" w:after="60" w:line="288" w:lineRule="auto"/>
              <w:ind w:left="714" w:hanging="357"/>
              <w:rPr>
                <w:rFonts w:eastAsia="Segoe UI"/>
                <w:bCs/>
                <w:color w:val="252423"/>
                <w:szCs w:val="18"/>
              </w:rPr>
            </w:pPr>
            <w:r w:rsidRPr="00D84618">
              <w:rPr>
                <w:rFonts w:eastAsia="Segoe UI"/>
                <w:bCs/>
                <w:color w:val="252423"/>
                <w:szCs w:val="18"/>
              </w:rPr>
              <w:t xml:space="preserve">Evidence-based tools to identify, analyse and shortlist key transformational options through the combination of systems architecture, network theory, control theory, systems science and Model-based Systems Engineering (MBSE). </w:t>
            </w:r>
          </w:p>
          <w:p w14:paraId="4E5CBEB4" w14:textId="77777777" w:rsidR="00455819" w:rsidRPr="00D84618" w:rsidRDefault="00455819" w:rsidP="00455819">
            <w:pPr>
              <w:numPr>
                <w:ilvl w:val="0"/>
                <w:numId w:val="84"/>
              </w:numPr>
              <w:tabs>
                <w:tab w:val="num" w:pos="720"/>
              </w:tabs>
              <w:spacing w:before="60" w:after="60" w:line="288" w:lineRule="auto"/>
              <w:ind w:left="714" w:hanging="357"/>
              <w:rPr>
                <w:rFonts w:eastAsia="Segoe UI"/>
                <w:color w:val="252423"/>
                <w:szCs w:val="18"/>
              </w:rPr>
            </w:pPr>
            <w:r w:rsidRPr="00D84618">
              <w:rPr>
                <w:rFonts w:eastAsia="Segoe UI"/>
                <w:color w:val="252423"/>
                <w:szCs w:val="18"/>
              </w:rPr>
              <w:t xml:space="preserve">Future-resilient decision making by surfacing hidden structural constraints early which may otherwise propagate a range of </w:t>
            </w:r>
            <w:r w:rsidRPr="00D84618">
              <w:rPr>
                <w:rFonts w:eastAsia="Segoe UI"/>
                <w:bCs/>
                <w:color w:val="252423"/>
                <w:szCs w:val="18"/>
              </w:rPr>
              <w:t>architectural</w:t>
            </w:r>
            <w:r w:rsidRPr="00D84618">
              <w:rPr>
                <w:rFonts w:eastAsia="Segoe UI"/>
                <w:color w:val="252423"/>
                <w:szCs w:val="18"/>
              </w:rPr>
              <w:t xml:space="preserve"> Issues including computational constraints, latency cascading and cyber-security vulnerabilities, providing greater assurance that new investments will be </w:t>
            </w:r>
            <w:r w:rsidRPr="00D84618">
              <w:rPr>
                <w:rFonts w:eastAsia="Segoe UI"/>
                <w:bCs/>
                <w:color w:val="252423"/>
                <w:szCs w:val="18"/>
              </w:rPr>
              <w:t>scalable and extensible</w:t>
            </w:r>
            <w:r w:rsidRPr="00D84618">
              <w:rPr>
                <w:rFonts w:eastAsia="Segoe UI"/>
                <w:color w:val="252423"/>
                <w:szCs w:val="18"/>
              </w:rPr>
              <w:t xml:space="preserve"> under all plausible futures.</w:t>
            </w:r>
          </w:p>
          <w:p w14:paraId="570CDF5F" w14:textId="77777777" w:rsidR="00455819" w:rsidRPr="00D84618" w:rsidRDefault="00455819" w:rsidP="009B2757">
            <w:pPr>
              <w:spacing w:before="120" w:after="120" w:line="288" w:lineRule="auto"/>
              <w:ind w:left="176" w:right="176"/>
              <w:rPr>
                <w:szCs w:val="18"/>
                <w:lang w:bidi="ar-SA"/>
              </w:rPr>
            </w:pPr>
            <w:r w:rsidRPr="00D84618">
              <w:rPr>
                <w:szCs w:val="18"/>
                <w:lang w:bidi="ar-SA"/>
              </w:rPr>
              <w:t xml:space="preserve">PSA provides a formalised toolkit for decomposing and ‘taming’ the massive complexity inherent to a transforming power system. The PSA toolkit empowers more informed, multi-stakeholder participation by making critical content explicit and tractable that would otherwise remain opaque and intractable. </w:t>
            </w:r>
          </w:p>
          <w:p w14:paraId="23E23381" w14:textId="77777777" w:rsidR="00455819" w:rsidRPr="00D84618" w:rsidRDefault="00455819" w:rsidP="009B2757">
            <w:pPr>
              <w:spacing w:before="120" w:after="120" w:line="288" w:lineRule="auto"/>
              <w:ind w:left="176" w:right="176"/>
              <w:rPr>
                <w:bCs/>
                <w:szCs w:val="18"/>
                <w:lang w:eastAsia="en-US" w:bidi="ar-SA"/>
              </w:rPr>
            </w:pPr>
            <w:r w:rsidRPr="00D84618">
              <w:rPr>
                <w:szCs w:val="18"/>
                <w:lang w:bidi="ar-SA"/>
              </w:rPr>
              <w:t>It is designed to enhance decision quality, timeliness and traceability to support full benefits-realisation and avoid the propagation of unintended consequences.</w:t>
            </w:r>
          </w:p>
        </w:tc>
      </w:tr>
    </w:tbl>
    <w:p w14:paraId="71364260" w14:textId="77777777" w:rsidR="00455819" w:rsidRPr="00D84618" w:rsidRDefault="00455819" w:rsidP="00455819">
      <w:pPr>
        <w:rPr>
          <w:sz w:val="22"/>
          <w:szCs w:val="22"/>
        </w:rPr>
      </w:pPr>
      <w:r w:rsidRPr="00D84618">
        <w:rPr>
          <w:sz w:val="22"/>
          <w:szCs w:val="22"/>
        </w:rPr>
        <w:br w:type="page"/>
      </w:r>
    </w:p>
    <w:tbl>
      <w:tblPr>
        <w:tblStyle w:val="TableGrid1"/>
        <w:tblW w:w="8505" w:type="dxa"/>
        <w:tblInd w:w="-5" w:type="dxa"/>
        <w:tblLook w:val="04A0" w:firstRow="1" w:lastRow="0" w:firstColumn="1" w:lastColumn="0" w:noHBand="0" w:noVBand="1"/>
      </w:tblPr>
      <w:tblGrid>
        <w:gridCol w:w="2127"/>
        <w:gridCol w:w="6378"/>
      </w:tblGrid>
      <w:tr w:rsidR="00455819" w:rsidRPr="00D84618" w14:paraId="7FFA1627" w14:textId="77777777" w:rsidTr="009B2757">
        <w:tc>
          <w:tcPr>
            <w:tcW w:w="2127" w:type="dxa"/>
            <w:shd w:val="clear" w:color="auto" w:fill="067296" w:themeFill="text2"/>
          </w:tcPr>
          <w:p w14:paraId="499D6120" w14:textId="77777777" w:rsidR="00455819" w:rsidRPr="00D84618" w:rsidRDefault="00455819" w:rsidP="009B2757">
            <w:pPr>
              <w:spacing w:before="120" w:after="120" w:line="288" w:lineRule="auto"/>
              <w:jc w:val="center"/>
              <w:rPr>
                <w:rFonts w:ascii="PP Mori SemiBold" w:hAnsi="PP Mori SemiBold"/>
                <w:color w:val="FAFAFA" w:themeColor="background1"/>
                <w:szCs w:val="18"/>
              </w:rPr>
            </w:pPr>
            <w:r w:rsidRPr="00D84618">
              <w:rPr>
                <w:rFonts w:ascii="PP Mori SemiBold" w:hAnsi="PP Mori SemiBold"/>
                <w:color w:val="FAFAFA" w:themeColor="background1"/>
                <w:szCs w:val="18"/>
              </w:rPr>
              <w:t>Strategic Foresighting</w:t>
            </w:r>
          </w:p>
        </w:tc>
        <w:tc>
          <w:tcPr>
            <w:tcW w:w="6378" w:type="dxa"/>
          </w:tcPr>
          <w:p w14:paraId="35A3D308" w14:textId="77777777" w:rsidR="00455819" w:rsidRPr="00D84618" w:rsidRDefault="00455819" w:rsidP="009B2757">
            <w:pPr>
              <w:spacing w:before="120" w:after="120" w:line="264" w:lineRule="auto"/>
              <w:ind w:left="176" w:right="176"/>
              <w:rPr>
                <w:szCs w:val="18"/>
                <w:lang w:bidi="ar-SA"/>
              </w:rPr>
            </w:pPr>
            <w:r w:rsidRPr="00D84618">
              <w:rPr>
                <w:szCs w:val="18"/>
                <w:lang w:bidi="ar-SA"/>
              </w:rPr>
              <w:t xml:space="preserve">A systematic, collaborative process for exploring plausible futures, identifying emerging trends, disruptions, and opportunities to inform resilient long-term strategies. </w:t>
            </w:r>
          </w:p>
          <w:p w14:paraId="68E39B8B" w14:textId="77777777" w:rsidR="00455819" w:rsidRPr="00D84618" w:rsidRDefault="00455819" w:rsidP="009B2757">
            <w:pPr>
              <w:spacing w:before="120" w:after="120" w:line="264" w:lineRule="auto"/>
              <w:ind w:left="176" w:right="176"/>
              <w:rPr>
                <w:szCs w:val="18"/>
                <w:lang w:bidi="ar-SA"/>
              </w:rPr>
            </w:pPr>
            <w:r w:rsidRPr="00D84618">
              <w:rPr>
                <w:szCs w:val="18"/>
                <w:lang w:bidi="ar-SA"/>
              </w:rPr>
              <w:t>The purpose of Strategic Foresighting is to enable organisations to proactively shape or adapt to future environments by reducing uncertainty, challenging assumptions, and aligning decisions with potential scenarios. It ensures that systems, architectures, and investments remain viable amid evolving technological, societal, economic, and regulatory landscapes.</w:t>
            </w:r>
          </w:p>
          <w:p w14:paraId="7ED301D4" w14:textId="77777777" w:rsidR="00455819" w:rsidRPr="00D84618" w:rsidRDefault="00455819" w:rsidP="009B2757">
            <w:pPr>
              <w:spacing w:before="120" w:after="120" w:line="264" w:lineRule="auto"/>
              <w:ind w:left="176" w:right="176"/>
              <w:rPr>
                <w:szCs w:val="18"/>
                <w:lang w:bidi="ar-SA"/>
              </w:rPr>
            </w:pPr>
            <w:r w:rsidRPr="00D84618">
              <w:rPr>
                <w:szCs w:val="18"/>
                <w:lang w:bidi="ar-SA"/>
              </w:rPr>
              <w:t>Strategic Foresighting functions as an</w:t>
            </w:r>
            <w:r w:rsidRPr="00D84618">
              <w:rPr>
                <w:rFonts w:ascii="Calibri" w:hAnsi="Calibri" w:cs="Calibri"/>
                <w:szCs w:val="18"/>
                <w:lang w:bidi="ar-SA"/>
              </w:rPr>
              <w:t> </w:t>
            </w:r>
            <w:r w:rsidRPr="00D84618">
              <w:rPr>
                <w:szCs w:val="18"/>
                <w:lang w:bidi="ar-SA"/>
              </w:rPr>
              <w:t>upstream enabler</w:t>
            </w:r>
            <w:r w:rsidRPr="00D84618">
              <w:rPr>
                <w:rFonts w:ascii="Calibri" w:hAnsi="Calibri" w:cs="Calibri"/>
                <w:szCs w:val="18"/>
                <w:lang w:bidi="ar-SA"/>
              </w:rPr>
              <w:t> </w:t>
            </w:r>
            <w:r w:rsidRPr="00D84618">
              <w:rPr>
                <w:szCs w:val="18"/>
                <w:lang w:bidi="ar-SA"/>
              </w:rPr>
              <w:t>of the Systems Architecture process. It facilitates cross-disciplinary dialogue to anticipate future needs, risks, and innovations</w:t>
            </w:r>
            <w:r w:rsidRPr="00D84618">
              <w:rPr>
                <w:rFonts w:ascii="Calibri" w:hAnsi="Calibri" w:cs="Calibri"/>
                <w:szCs w:val="18"/>
                <w:lang w:bidi="ar-SA"/>
              </w:rPr>
              <w:t> </w:t>
            </w:r>
            <w:r w:rsidRPr="00D84618">
              <w:rPr>
                <w:szCs w:val="18"/>
                <w:lang w:bidi="ar-SA"/>
              </w:rPr>
              <w:t>before</w:t>
            </w:r>
            <w:r w:rsidRPr="00D84618">
              <w:rPr>
                <w:rFonts w:ascii="Calibri" w:hAnsi="Calibri" w:cs="Calibri"/>
                <w:szCs w:val="18"/>
                <w:lang w:bidi="ar-SA"/>
              </w:rPr>
              <w:t> </w:t>
            </w:r>
            <w:r w:rsidRPr="00D84618">
              <w:rPr>
                <w:szCs w:val="18"/>
                <w:lang w:bidi="ar-SA"/>
              </w:rPr>
              <w:t>architectural decisions are formalised. By analysing weak signals, drivers of change, and systemic interdependencies, it provides context for defining robust requirements in the Reference Architecture phase and ensures Detailed Architecture designs embed adaptability.</w:t>
            </w:r>
          </w:p>
        </w:tc>
      </w:tr>
      <w:tr w:rsidR="00455819" w:rsidRPr="00D84618" w14:paraId="374CD459" w14:textId="77777777" w:rsidTr="009B2757">
        <w:tc>
          <w:tcPr>
            <w:tcW w:w="2127" w:type="dxa"/>
            <w:shd w:val="clear" w:color="auto" w:fill="067296" w:themeFill="text2"/>
          </w:tcPr>
          <w:p w14:paraId="3830C4FD" w14:textId="77777777" w:rsidR="00455819" w:rsidRPr="00D84618" w:rsidRDefault="00455819" w:rsidP="009B2757">
            <w:pPr>
              <w:spacing w:before="120" w:after="120" w:line="288" w:lineRule="auto"/>
              <w:jc w:val="center"/>
              <w:rPr>
                <w:rFonts w:ascii="PP Mori SemiBold" w:hAnsi="PP Mori SemiBold"/>
                <w:color w:val="FAFAFA" w:themeColor="background1"/>
                <w:szCs w:val="18"/>
              </w:rPr>
            </w:pPr>
            <w:r w:rsidRPr="00D84618">
              <w:rPr>
                <w:rFonts w:ascii="PP Mori SemiBold" w:hAnsi="PP Mori SemiBold"/>
                <w:color w:val="FAFAFA" w:themeColor="background1"/>
                <w:szCs w:val="18"/>
              </w:rPr>
              <w:t xml:space="preserve">Structural Analysis </w:t>
            </w:r>
          </w:p>
          <w:p w14:paraId="4201EA43" w14:textId="77777777" w:rsidR="00455819" w:rsidRPr="00D84618" w:rsidRDefault="00455819" w:rsidP="009B2757">
            <w:pPr>
              <w:spacing w:before="120" w:after="120" w:line="288" w:lineRule="auto"/>
              <w:jc w:val="center"/>
              <w:rPr>
                <w:rFonts w:ascii="PP Mori SemiBold" w:hAnsi="PP Mori SemiBold"/>
                <w:color w:val="FAFAFA" w:themeColor="background1"/>
                <w:szCs w:val="18"/>
              </w:rPr>
            </w:pPr>
          </w:p>
        </w:tc>
        <w:tc>
          <w:tcPr>
            <w:tcW w:w="6378" w:type="dxa"/>
          </w:tcPr>
          <w:p w14:paraId="5E84E9B3" w14:textId="77777777" w:rsidR="00455819" w:rsidRPr="00D84618" w:rsidRDefault="00455819" w:rsidP="009B2757">
            <w:pPr>
              <w:spacing w:before="120" w:after="120" w:line="264" w:lineRule="auto"/>
              <w:ind w:left="176" w:right="169"/>
              <w:rPr>
                <w:szCs w:val="18"/>
                <w:lang w:eastAsia="en-US" w:bidi="ar-SA"/>
              </w:rPr>
            </w:pPr>
            <w:r w:rsidRPr="00D84618">
              <w:rPr>
                <w:szCs w:val="18"/>
                <w:lang w:eastAsia="en-US" w:bidi="ar-SA"/>
              </w:rPr>
              <w:t>In the context of electricity system transformation, structural analysis refers to the systematic evaluation of the physical, operational, and organisational structures of the power system to determine the changes necessary to transition from a conventional, fossil-fuel-based, unidirectional grid to a decarbonised, distributed, and bidirectional grid.</w:t>
            </w:r>
          </w:p>
          <w:p w14:paraId="2C065E4E" w14:textId="77777777" w:rsidR="00455819" w:rsidRPr="00D84618" w:rsidRDefault="00455819" w:rsidP="009B2757">
            <w:pPr>
              <w:spacing w:before="120" w:after="120" w:line="264" w:lineRule="auto"/>
              <w:ind w:left="176" w:right="169"/>
              <w:rPr>
                <w:szCs w:val="18"/>
                <w:lang w:eastAsia="en-US" w:bidi="ar-SA"/>
              </w:rPr>
            </w:pPr>
            <w:r w:rsidRPr="00D84618">
              <w:rPr>
                <w:szCs w:val="18"/>
                <w:lang w:eastAsia="en-US" w:bidi="ar-SA"/>
              </w:rPr>
              <w:t xml:space="preserve">This process involves assessing how new technologies (such as distributed energy resources, storage, and electric vehicles), market mechanisms, and control strategies will alter the system’s topology, power flows, stability characteristics, and resilience requirements. The goal is to ensure that the restructured grid can accommodate variable renewable energy sources, enable two-way energy and information flows, and maintain security, reliability, and affordability under future scenarios.  </w:t>
            </w:r>
          </w:p>
          <w:p w14:paraId="0B5CADDB" w14:textId="77777777" w:rsidR="00455819" w:rsidRPr="00D84618" w:rsidRDefault="00455819" w:rsidP="009B2757">
            <w:pPr>
              <w:spacing w:before="120" w:after="120" w:line="264" w:lineRule="auto"/>
              <w:ind w:left="176" w:right="169"/>
              <w:rPr>
                <w:szCs w:val="18"/>
                <w:lang w:eastAsia="en-US" w:bidi="ar-SA"/>
              </w:rPr>
            </w:pPr>
            <w:r w:rsidRPr="00D84618">
              <w:rPr>
                <w:szCs w:val="18"/>
                <w:lang w:eastAsia="en-US" w:bidi="ar-SA"/>
              </w:rPr>
              <w:t xml:space="preserve">Key components of structural analysis include: </w:t>
            </w:r>
          </w:p>
          <w:p w14:paraId="7D866406" w14:textId="77777777" w:rsidR="00455819" w:rsidRPr="00D84618" w:rsidRDefault="00455819" w:rsidP="00455819">
            <w:pPr>
              <w:numPr>
                <w:ilvl w:val="0"/>
                <w:numId w:val="87"/>
              </w:numPr>
              <w:spacing w:before="60" w:after="60" w:line="264" w:lineRule="auto"/>
              <w:ind w:left="714" w:hanging="357"/>
              <w:rPr>
                <w:rFonts w:eastAsia="Segoe UI"/>
                <w:color w:val="252423"/>
                <w:szCs w:val="18"/>
              </w:rPr>
            </w:pPr>
            <w:r w:rsidRPr="00D84618">
              <w:rPr>
                <w:rFonts w:eastAsia="Segoe UI"/>
                <w:color w:val="252423"/>
                <w:szCs w:val="18"/>
              </w:rPr>
              <w:t>Physical Structure: Reconfiguration of transmission and distribution networks for bidirectional flows.</w:t>
            </w:r>
          </w:p>
          <w:p w14:paraId="27B84699" w14:textId="77777777" w:rsidR="00455819" w:rsidRPr="00D84618" w:rsidRDefault="00455819" w:rsidP="00455819">
            <w:pPr>
              <w:numPr>
                <w:ilvl w:val="0"/>
                <w:numId w:val="87"/>
              </w:numPr>
              <w:spacing w:before="60" w:after="60" w:line="264" w:lineRule="auto"/>
              <w:ind w:left="714" w:hanging="357"/>
              <w:rPr>
                <w:rFonts w:eastAsia="Segoe UI"/>
                <w:color w:val="252423"/>
                <w:szCs w:val="18"/>
              </w:rPr>
            </w:pPr>
            <w:r w:rsidRPr="00D84618">
              <w:rPr>
                <w:rFonts w:eastAsia="Segoe UI"/>
                <w:color w:val="252423"/>
                <w:szCs w:val="18"/>
              </w:rPr>
              <w:t>Operational Structure: Adaptation of protection systems, frequency control, and flexibility measures.</w:t>
            </w:r>
          </w:p>
          <w:p w14:paraId="63791E57" w14:textId="77777777" w:rsidR="00455819" w:rsidRPr="00D84618" w:rsidRDefault="00455819" w:rsidP="00455819">
            <w:pPr>
              <w:numPr>
                <w:ilvl w:val="0"/>
                <w:numId w:val="87"/>
              </w:numPr>
              <w:spacing w:before="60" w:after="60" w:line="264" w:lineRule="auto"/>
              <w:ind w:left="714" w:hanging="357"/>
              <w:rPr>
                <w:rFonts w:eastAsia="Segoe UI"/>
                <w:color w:val="252423"/>
                <w:szCs w:val="18"/>
              </w:rPr>
            </w:pPr>
            <w:r w:rsidRPr="00D84618">
              <w:rPr>
                <w:rFonts w:eastAsia="Segoe UI"/>
                <w:color w:val="252423"/>
                <w:szCs w:val="18"/>
              </w:rPr>
              <w:t>Institutional/Market Structure: Integration of distributed generation, demand-side participation, and new pricing models.</w:t>
            </w:r>
          </w:p>
          <w:p w14:paraId="388DE9BD" w14:textId="77777777" w:rsidR="00455819" w:rsidRPr="00D84618" w:rsidRDefault="00455819" w:rsidP="00455819">
            <w:pPr>
              <w:numPr>
                <w:ilvl w:val="0"/>
                <w:numId w:val="87"/>
              </w:numPr>
              <w:spacing w:before="60" w:after="60" w:line="264" w:lineRule="auto"/>
              <w:ind w:left="714" w:hanging="357"/>
              <w:rPr>
                <w:szCs w:val="18"/>
              </w:rPr>
            </w:pPr>
            <w:r w:rsidRPr="00D84618">
              <w:rPr>
                <w:rFonts w:eastAsia="Segoe UI"/>
                <w:color w:val="252423"/>
                <w:szCs w:val="18"/>
              </w:rPr>
              <w:t>Resilience and Stability: Ensuring robust system performance under uncertainty and high penetration of renewables.</w:t>
            </w:r>
          </w:p>
        </w:tc>
      </w:tr>
      <w:tr w:rsidR="00455819" w:rsidRPr="00D84618" w14:paraId="1920039E" w14:textId="77777777" w:rsidTr="009B2757">
        <w:tc>
          <w:tcPr>
            <w:tcW w:w="2127" w:type="dxa"/>
            <w:shd w:val="clear" w:color="auto" w:fill="067296" w:themeFill="text2"/>
          </w:tcPr>
          <w:p w14:paraId="197B2843" w14:textId="77777777" w:rsidR="00455819" w:rsidRPr="00D84618" w:rsidRDefault="00455819" w:rsidP="009B2757">
            <w:pPr>
              <w:spacing w:before="120" w:after="120" w:line="288" w:lineRule="auto"/>
              <w:jc w:val="center"/>
              <w:rPr>
                <w:rFonts w:ascii="PP Mori SemiBold" w:hAnsi="PP Mori SemiBold"/>
                <w:color w:val="FAFAFA" w:themeColor="background1"/>
                <w:szCs w:val="18"/>
              </w:rPr>
            </w:pPr>
            <w:r w:rsidRPr="00D84618">
              <w:rPr>
                <w:rFonts w:ascii="PP Mori SemiBold" w:hAnsi="PP Mori SemiBold"/>
                <w:color w:val="FAFAFA" w:themeColor="background1"/>
                <w:szCs w:val="18"/>
              </w:rPr>
              <w:t>Systems Architecture</w:t>
            </w:r>
          </w:p>
        </w:tc>
        <w:tc>
          <w:tcPr>
            <w:tcW w:w="6378" w:type="dxa"/>
          </w:tcPr>
          <w:p w14:paraId="24C44239" w14:textId="77777777" w:rsidR="00455819" w:rsidRPr="00D84618" w:rsidRDefault="00455819" w:rsidP="009B2757">
            <w:pPr>
              <w:spacing w:before="120" w:after="120" w:line="288" w:lineRule="auto"/>
              <w:ind w:left="176" w:right="169"/>
              <w:rPr>
                <w:szCs w:val="18"/>
                <w:lang w:eastAsia="en-US" w:bidi="ar-SA"/>
              </w:rPr>
            </w:pPr>
            <w:r w:rsidRPr="00D84618">
              <w:rPr>
                <w:szCs w:val="18"/>
                <w:lang w:eastAsia="en-US" w:bidi="ar-SA"/>
              </w:rPr>
              <w:t>A formal discipline within Systems Engineering that supports objective and collective reasoning about the foundational structure and organisation of a complex system. This includes its components, interfaces, feedback loops, and other critical behaviours.</w:t>
            </w:r>
          </w:p>
          <w:p w14:paraId="182D3ACF" w14:textId="77777777" w:rsidR="00455819" w:rsidRPr="00D84618" w:rsidRDefault="00455819" w:rsidP="009B2757">
            <w:pPr>
              <w:spacing w:before="120" w:after="120" w:line="288" w:lineRule="auto"/>
              <w:ind w:left="176" w:right="169"/>
              <w:rPr>
                <w:szCs w:val="18"/>
                <w:lang w:eastAsia="en-US" w:bidi="ar-SA"/>
              </w:rPr>
            </w:pPr>
            <w:r w:rsidRPr="00D84618">
              <w:rPr>
                <w:szCs w:val="18"/>
                <w:lang w:eastAsia="en-US" w:bidi="ar-SA"/>
              </w:rPr>
              <w:t>The architecture of a system exerts a disproportionate influence on what the system can reliably and efficiently accomplish. Accordingly, a system should not be viewed merely as the sum of its parts, but rather as the product of the interactions among those parts—interactions that are enabled and constrained by the underlying architectural design.</w:t>
            </w:r>
          </w:p>
          <w:p w14:paraId="1A35D039" w14:textId="77777777" w:rsidR="00455819" w:rsidRPr="00D84618" w:rsidRDefault="00455819" w:rsidP="009B2757">
            <w:pPr>
              <w:spacing w:before="120" w:after="120" w:line="288" w:lineRule="auto"/>
              <w:ind w:left="176" w:right="169"/>
              <w:rPr>
                <w:szCs w:val="18"/>
                <w:lang w:eastAsia="en-US" w:bidi="ar-SA"/>
              </w:rPr>
            </w:pPr>
            <w:r w:rsidRPr="00D84618">
              <w:rPr>
                <w:szCs w:val="18"/>
                <w:lang w:eastAsia="en-US" w:bidi="ar-SA"/>
              </w:rPr>
              <w:t>Although architecture plays a pivotal role in shaping system performance, it is often less tangible and more difficult to discern than the system’s individual components. The discipline of Systems Architecture, therefore, provides formal methods and tools to analyse how system components are interconnected, to identify emergent behaviours that arise from these interactions, and to explore robust options for modification and improvement.</w:t>
            </w:r>
          </w:p>
          <w:p w14:paraId="1D81D6F4" w14:textId="77777777" w:rsidR="00455819" w:rsidRPr="00D84618" w:rsidRDefault="00455819" w:rsidP="009B2757">
            <w:pPr>
              <w:spacing w:before="120" w:after="120" w:line="288" w:lineRule="auto"/>
              <w:ind w:left="176" w:right="169"/>
              <w:rPr>
                <w:szCs w:val="18"/>
                <w:lang w:bidi="ar-SA"/>
              </w:rPr>
            </w:pPr>
            <w:r w:rsidRPr="00D84618">
              <w:rPr>
                <w:szCs w:val="18"/>
                <w:lang w:eastAsia="en-US" w:bidi="ar-SA"/>
              </w:rPr>
              <w:t>By enabling a deeper understanding of how legacy systems function and how their structures can evolve, Systems Architecture empowers stakeholders to visualise relationships, evaluate trade-offs, and make informed decisions that enhance the system’s capacity to meet current and future demands.</w:t>
            </w:r>
          </w:p>
        </w:tc>
      </w:tr>
      <w:tr w:rsidR="00455819" w:rsidRPr="00D84618" w14:paraId="2BA3CE84" w14:textId="77777777" w:rsidTr="009B2757">
        <w:tc>
          <w:tcPr>
            <w:tcW w:w="2127" w:type="dxa"/>
            <w:shd w:val="clear" w:color="auto" w:fill="067296" w:themeFill="text2"/>
          </w:tcPr>
          <w:p w14:paraId="7C3787FB" w14:textId="77777777" w:rsidR="00455819" w:rsidRPr="00D84618" w:rsidRDefault="00455819" w:rsidP="009B2757">
            <w:pPr>
              <w:spacing w:before="120" w:after="120" w:line="288" w:lineRule="auto"/>
              <w:jc w:val="center"/>
              <w:rPr>
                <w:rFonts w:ascii="PP Mori SemiBold" w:hAnsi="PP Mori SemiBold"/>
                <w:color w:val="FAFAFA" w:themeColor="background1"/>
                <w:szCs w:val="18"/>
              </w:rPr>
            </w:pPr>
            <w:r w:rsidRPr="00D84618">
              <w:rPr>
                <w:rFonts w:ascii="PP Mori SemiBold" w:hAnsi="PP Mori SemiBold"/>
                <w:color w:val="FAFAFA" w:themeColor="background1"/>
                <w:szCs w:val="18"/>
              </w:rPr>
              <w:t>Systems Engineering</w:t>
            </w:r>
          </w:p>
        </w:tc>
        <w:tc>
          <w:tcPr>
            <w:tcW w:w="6378" w:type="dxa"/>
          </w:tcPr>
          <w:p w14:paraId="7968A23D" w14:textId="77777777" w:rsidR="00455819" w:rsidRPr="00D84618" w:rsidRDefault="00455819" w:rsidP="009B2757">
            <w:pPr>
              <w:spacing w:before="120" w:after="120" w:line="288" w:lineRule="auto"/>
              <w:ind w:left="176" w:right="169"/>
              <w:rPr>
                <w:lang w:bidi="ar-SA"/>
              </w:rPr>
            </w:pPr>
            <w:r w:rsidRPr="00D84618">
              <w:rPr>
                <w:szCs w:val="18"/>
                <w:lang w:eastAsia="en-US" w:bidi="ar-SA"/>
              </w:rPr>
              <w:t>An established engineering discipline applied in numerous sectors focused on the development and operation of ultra-complex Systems including aerospace, military, manufacturing, energy and electronics sectors.</w:t>
            </w:r>
          </w:p>
          <w:p w14:paraId="3E24FA51" w14:textId="77777777" w:rsidR="00455819" w:rsidRPr="00D84618" w:rsidRDefault="00455819" w:rsidP="009B2757">
            <w:pPr>
              <w:spacing w:before="120" w:after="120" w:line="288" w:lineRule="auto"/>
              <w:ind w:left="176" w:right="169"/>
              <w:rPr>
                <w:lang w:bidi="ar-SA"/>
              </w:rPr>
            </w:pPr>
            <w:r w:rsidRPr="00D84618">
              <w:rPr>
                <w:szCs w:val="18"/>
                <w:lang w:eastAsia="en-US" w:bidi="ar-SA"/>
              </w:rPr>
              <w:t>While many engineering disciplines are oriented toward individual Component technologies or sub-systems, Systems Engineering is a transdisciplinary approach that brings a holistic or whole-system approach to the realisation of successful Systems which consistently satisfy the needs of their customers, users and other stakeholders.</w:t>
            </w:r>
          </w:p>
        </w:tc>
      </w:tr>
      <w:tr w:rsidR="00455819" w:rsidRPr="00D84618" w14:paraId="51AC7786" w14:textId="77777777" w:rsidTr="009B2757">
        <w:tc>
          <w:tcPr>
            <w:tcW w:w="2127" w:type="dxa"/>
            <w:shd w:val="clear" w:color="auto" w:fill="067296" w:themeFill="text2"/>
          </w:tcPr>
          <w:p w14:paraId="463676AB" w14:textId="77777777" w:rsidR="00455819" w:rsidRPr="00D84618" w:rsidRDefault="00455819" w:rsidP="009B2757">
            <w:pPr>
              <w:spacing w:before="120" w:after="120" w:line="288" w:lineRule="auto"/>
              <w:jc w:val="center"/>
              <w:rPr>
                <w:rFonts w:ascii="PP Mori SemiBold" w:hAnsi="PP Mori SemiBold"/>
                <w:color w:val="FAFAFA" w:themeColor="background1"/>
                <w:szCs w:val="18"/>
              </w:rPr>
            </w:pPr>
            <w:r w:rsidRPr="00D84618">
              <w:rPr>
                <w:rFonts w:ascii="PP Mori SemiBold" w:hAnsi="PP Mori SemiBold"/>
                <w:color w:val="FAFAFA" w:themeColor="background1"/>
                <w:szCs w:val="18"/>
              </w:rPr>
              <w:t>Systems Science</w:t>
            </w:r>
          </w:p>
          <w:p w14:paraId="32735A5C" w14:textId="77777777" w:rsidR="00455819" w:rsidRPr="00D84618" w:rsidRDefault="00455819" w:rsidP="009B2757">
            <w:pPr>
              <w:spacing w:before="120" w:after="120" w:line="288" w:lineRule="auto"/>
              <w:jc w:val="center"/>
              <w:rPr>
                <w:rFonts w:ascii="PP Mori SemiBold" w:hAnsi="PP Mori SemiBold"/>
                <w:color w:val="FAFAFA" w:themeColor="background1"/>
                <w:szCs w:val="18"/>
              </w:rPr>
            </w:pPr>
          </w:p>
        </w:tc>
        <w:tc>
          <w:tcPr>
            <w:tcW w:w="6378" w:type="dxa"/>
          </w:tcPr>
          <w:p w14:paraId="0E5E45E7" w14:textId="77777777" w:rsidR="00455819" w:rsidRPr="00D84618" w:rsidRDefault="00455819" w:rsidP="009B2757">
            <w:pPr>
              <w:spacing w:before="120" w:after="120" w:line="288" w:lineRule="auto"/>
              <w:ind w:left="176" w:right="169"/>
              <w:rPr>
                <w:szCs w:val="18"/>
                <w:lang w:bidi="ar-SA"/>
              </w:rPr>
            </w:pPr>
            <w:r w:rsidRPr="00D84618">
              <w:rPr>
                <w:szCs w:val="18"/>
                <w:lang w:bidi="ar-SA"/>
              </w:rPr>
              <w:t>A multi-domain, integrative discipline that brings together research into all aspects of complex</w:t>
            </w:r>
            <w:r w:rsidRPr="00D84618">
              <w:rPr>
                <w:rFonts w:ascii="Calibri" w:hAnsi="Calibri" w:cs="Calibri"/>
                <w:szCs w:val="18"/>
                <w:lang w:bidi="ar-SA"/>
              </w:rPr>
              <w:t> </w:t>
            </w:r>
            <w:hyperlink r:id="rId38" w:history="1">
              <w:r w:rsidRPr="00D84618">
                <w:rPr>
                  <w:szCs w:val="18"/>
                  <w:lang w:bidi="ar-SA"/>
                </w:rPr>
                <w:t>systems</w:t>
              </w:r>
            </w:hyperlink>
            <w:r w:rsidRPr="00D84618">
              <w:rPr>
                <w:rFonts w:ascii="Calibri" w:hAnsi="Calibri" w:cs="Calibri"/>
                <w:szCs w:val="18"/>
                <w:lang w:bidi="ar-SA"/>
              </w:rPr>
              <w:t> </w:t>
            </w:r>
            <w:r w:rsidRPr="00D84618">
              <w:rPr>
                <w:szCs w:val="18"/>
                <w:lang w:bidi="ar-SA"/>
              </w:rPr>
              <w:t>with a focus on identifying, exploring and understanding the universal patterns and behaviours of</w:t>
            </w:r>
            <w:r w:rsidRPr="00D84618">
              <w:rPr>
                <w:rFonts w:ascii="Calibri" w:hAnsi="Calibri" w:cs="Calibri"/>
                <w:szCs w:val="18"/>
                <w:lang w:bidi="ar-SA"/>
              </w:rPr>
              <w:t> </w:t>
            </w:r>
            <w:hyperlink r:id="rId39" w:history="1">
              <w:r w:rsidRPr="00D84618">
                <w:rPr>
                  <w:szCs w:val="18"/>
                  <w:lang w:bidi="ar-SA"/>
                </w:rPr>
                <w:t>complexity</w:t>
              </w:r>
            </w:hyperlink>
            <w:r w:rsidRPr="00D84618">
              <w:rPr>
                <w:rFonts w:ascii="Calibri" w:hAnsi="Calibri" w:cs="Calibri"/>
                <w:szCs w:val="18"/>
                <w:lang w:bidi="ar-SA"/>
              </w:rPr>
              <w:t> </w:t>
            </w:r>
            <w:r w:rsidRPr="00D84618">
              <w:rPr>
                <w:szCs w:val="18"/>
                <w:lang w:bidi="ar-SA"/>
              </w:rPr>
              <w:t>and</w:t>
            </w:r>
            <w:r w:rsidRPr="00D84618">
              <w:rPr>
                <w:rFonts w:ascii="Calibri" w:hAnsi="Calibri" w:cs="Calibri"/>
                <w:szCs w:val="18"/>
                <w:lang w:bidi="ar-SA"/>
              </w:rPr>
              <w:t> </w:t>
            </w:r>
            <w:hyperlink r:id="rId40" w:history="1">
              <w:r w:rsidRPr="00D84618">
                <w:rPr>
                  <w:szCs w:val="18"/>
                  <w:lang w:bidi="ar-SA"/>
                </w:rPr>
                <w:t>emergence</w:t>
              </w:r>
            </w:hyperlink>
            <w:r w:rsidRPr="00D84618">
              <w:rPr>
                <w:szCs w:val="18"/>
                <w:lang w:bidi="ar-SA"/>
              </w:rPr>
              <w:t>.</w:t>
            </w:r>
          </w:p>
        </w:tc>
      </w:tr>
    </w:tbl>
    <w:p w14:paraId="607229E4" w14:textId="77777777" w:rsidR="00455819" w:rsidRPr="00D84618" w:rsidRDefault="00455819" w:rsidP="00455819">
      <w:pPr>
        <w:spacing w:before="0" w:after="160" w:line="259" w:lineRule="auto"/>
        <w:rPr>
          <w:rFonts w:ascii="PP Mori SemiBold" w:eastAsiaTheme="majorEastAsia" w:hAnsi="PP Mori SemiBold" w:cstheme="majorBidi"/>
          <w:color w:val="002C38" w:themeColor="accent1" w:themeShade="BF"/>
          <w:sz w:val="26"/>
          <w:szCs w:val="33"/>
        </w:rPr>
      </w:pPr>
    </w:p>
    <w:p w14:paraId="16BE0458" w14:textId="77777777" w:rsidR="00455819" w:rsidRPr="00D84618" w:rsidRDefault="00455819" w:rsidP="00455819">
      <w:pPr>
        <w:keepNext/>
        <w:keepLines/>
        <w:spacing w:before="360" w:after="120"/>
        <w:outlineLvl w:val="1"/>
        <w:rPr>
          <w:rFonts w:ascii="PP Mori SemiBold" w:eastAsiaTheme="majorEastAsia" w:hAnsi="PP Mori SemiBold" w:cstheme="majorBidi"/>
          <w:color w:val="002C38" w:themeColor="accent1" w:themeShade="BF"/>
          <w:sz w:val="26"/>
          <w:szCs w:val="33"/>
        </w:rPr>
      </w:pPr>
      <w:bookmarkStart w:id="152" w:name="_Toc205372237"/>
      <w:bookmarkStart w:id="153" w:name="_Toc205529042"/>
      <w:bookmarkStart w:id="154" w:name="_Toc205533983"/>
      <w:r w:rsidRPr="00D84618">
        <w:rPr>
          <w:rFonts w:ascii="PP Mori SemiBold" w:eastAsiaTheme="majorEastAsia" w:hAnsi="PP Mori SemiBold" w:cstheme="majorBidi"/>
          <w:color w:val="002C38" w:themeColor="accent1" w:themeShade="BF"/>
          <w:sz w:val="26"/>
          <w:szCs w:val="33"/>
        </w:rPr>
        <w:t>A3</w:t>
      </w:r>
      <w:r w:rsidRPr="00D84618">
        <w:rPr>
          <w:rFonts w:ascii="PP Mori SemiBold" w:eastAsiaTheme="majorEastAsia" w:hAnsi="PP Mori SemiBold" w:cstheme="majorBidi"/>
          <w:color w:val="002C38" w:themeColor="accent1" w:themeShade="BF"/>
          <w:sz w:val="26"/>
          <w:szCs w:val="33"/>
        </w:rPr>
        <w:tab/>
      </w:r>
      <w:bookmarkStart w:id="155" w:name="Appendix_A_3_Foundation_Sources"/>
      <w:r w:rsidRPr="00D84618">
        <w:rPr>
          <w:rFonts w:ascii="PP Mori SemiBold" w:eastAsiaTheme="majorEastAsia" w:hAnsi="PP Mori SemiBold" w:cstheme="majorBidi"/>
          <w:color w:val="002C38" w:themeColor="accent1" w:themeShade="BF"/>
          <w:sz w:val="26"/>
          <w:szCs w:val="33"/>
        </w:rPr>
        <w:t>Acknowledgements &amp; Foundational Sources</w:t>
      </w:r>
      <w:bookmarkEnd w:id="152"/>
      <w:bookmarkEnd w:id="153"/>
      <w:bookmarkEnd w:id="154"/>
      <w:bookmarkEnd w:id="155"/>
    </w:p>
    <w:p w14:paraId="12B968C2" w14:textId="77777777" w:rsidR="00455819" w:rsidRPr="00D84618" w:rsidRDefault="00455819" w:rsidP="00455819">
      <w:pPr>
        <w:spacing w:line="264" w:lineRule="auto"/>
        <w:rPr>
          <w:lang w:eastAsia="en-US" w:bidi="ar-SA"/>
        </w:rPr>
      </w:pPr>
      <w:r w:rsidRPr="00D84618">
        <w:rPr>
          <w:lang w:eastAsia="en-US" w:bidi="ar-SA"/>
        </w:rPr>
        <w:t xml:space="preserve">The Energy Catalyst team has benefited from the expertise of and privilege of collaborating with many global organisations and experts. While it would be impossible to exhaustively recognise all relevant entities, individuals and sources, the following are particularly relevant to the development of this reference set, noting that any errors are those of Energy Catalyst alone. </w:t>
      </w:r>
    </w:p>
    <w:p w14:paraId="6DF48436" w14:textId="77777777" w:rsidR="00455819" w:rsidRPr="00D84618" w:rsidRDefault="00455819" w:rsidP="00455819">
      <w:pPr>
        <w:spacing w:before="120" w:after="120" w:line="264" w:lineRule="auto"/>
        <w:rPr>
          <w:i/>
          <w:iCs/>
          <w:color w:val="013C4C" w:themeColor="text1"/>
          <w:lang w:eastAsia="en-US" w:bidi="ar-SA"/>
        </w:rPr>
      </w:pPr>
      <w:r w:rsidRPr="00D84618">
        <w:rPr>
          <w:i/>
          <w:iCs/>
          <w:color w:val="013C4C" w:themeColor="text1"/>
          <w:lang w:eastAsia="en-US" w:bidi="ar-SA"/>
        </w:rPr>
        <w:t xml:space="preserve">Entities </w:t>
      </w:r>
    </w:p>
    <w:p w14:paraId="5880EC20" w14:textId="77777777" w:rsidR="00455819" w:rsidRPr="00D84618" w:rsidRDefault="00455819" w:rsidP="00455819">
      <w:pPr>
        <w:numPr>
          <w:ilvl w:val="0"/>
          <w:numId w:val="89"/>
        </w:numPr>
        <w:spacing w:before="120" w:after="120"/>
      </w:pPr>
      <w:r w:rsidRPr="00D84618">
        <w:t>Australian Energy Market Operator (AEMO)</w:t>
      </w:r>
    </w:p>
    <w:p w14:paraId="64EF5FAA" w14:textId="77777777" w:rsidR="00455819" w:rsidRPr="00D84618" w:rsidRDefault="00455819" w:rsidP="00455819">
      <w:pPr>
        <w:numPr>
          <w:ilvl w:val="0"/>
          <w:numId w:val="89"/>
        </w:numPr>
        <w:spacing w:before="120" w:after="120"/>
      </w:pPr>
      <w:r w:rsidRPr="00D84618">
        <w:t>Commonwealth Scientific Industrial Research Organisation (CSIRO)</w:t>
      </w:r>
    </w:p>
    <w:p w14:paraId="4E35E701" w14:textId="77777777" w:rsidR="00455819" w:rsidRPr="00D84618" w:rsidRDefault="00455819" w:rsidP="00455819">
      <w:pPr>
        <w:numPr>
          <w:ilvl w:val="0"/>
          <w:numId w:val="89"/>
        </w:numPr>
        <w:spacing w:before="120" w:after="120"/>
      </w:pPr>
      <w:r w:rsidRPr="00D84618">
        <w:t>Energy Systems Catapult (ESC)</w:t>
      </w:r>
    </w:p>
    <w:p w14:paraId="04EC00EF" w14:textId="77777777" w:rsidR="00455819" w:rsidRPr="00D84618" w:rsidRDefault="00455819" w:rsidP="00455819">
      <w:pPr>
        <w:numPr>
          <w:ilvl w:val="0"/>
          <w:numId w:val="89"/>
        </w:numPr>
        <w:spacing w:before="120" w:after="120"/>
      </w:pPr>
      <w:r w:rsidRPr="00D84618">
        <w:t>Massachusetts Institute of Technology (MIT)</w:t>
      </w:r>
    </w:p>
    <w:p w14:paraId="6CEC960E" w14:textId="77777777" w:rsidR="00455819" w:rsidRPr="00D84618" w:rsidRDefault="00455819" w:rsidP="00455819">
      <w:pPr>
        <w:numPr>
          <w:ilvl w:val="0"/>
          <w:numId w:val="89"/>
        </w:numPr>
        <w:spacing w:before="120" w:after="120"/>
      </w:pPr>
      <w:r w:rsidRPr="00D84618">
        <w:t>Pacific Northwest National Laboratory (PNNL)</w:t>
      </w:r>
    </w:p>
    <w:p w14:paraId="4B4590FE" w14:textId="77777777" w:rsidR="00455819" w:rsidRPr="00D84618" w:rsidRDefault="00455819" w:rsidP="00455819">
      <w:pPr>
        <w:numPr>
          <w:ilvl w:val="0"/>
          <w:numId w:val="89"/>
        </w:numPr>
        <w:spacing w:before="120" w:after="120"/>
      </w:pPr>
      <w:r w:rsidRPr="00D84618">
        <w:t>Rocky Mountains Institute (RMI)</w:t>
      </w:r>
    </w:p>
    <w:p w14:paraId="46D84E7E" w14:textId="77777777" w:rsidR="00455819" w:rsidRPr="00D84618" w:rsidRDefault="00455819" w:rsidP="00455819">
      <w:pPr>
        <w:numPr>
          <w:ilvl w:val="0"/>
          <w:numId w:val="89"/>
        </w:numPr>
        <w:spacing w:before="120" w:after="120"/>
      </w:pPr>
      <w:r w:rsidRPr="00D84618">
        <w:t>United States Department of Energy, Office of Electricity (DOE)</w:t>
      </w:r>
    </w:p>
    <w:p w14:paraId="73481907" w14:textId="77777777" w:rsidR="00455819" w:rsidRPr="00D84618" w:rsidRDefault="00455819" w:rsidP="00455819">
      <w:pPr>
        <w:spacing w:line="264" w:lineRule="auto"/>
        <w:rPr>
          <w:i/>
          <w:iCs/>
          <w:color w:val="013C4C" w:themeColor="text1"/>
          <w:lang w:eastAsia="en-US" w:bidi="ar-SA"/>
        </w:rPr>
      </w:pPr>
      <w:r w:rsidRPr="00D84618">
        <w:rPr>
          <w:i/>
          <w:iCs/>
          <w:color w:val="013C4C" w:themeColor="text1"/>
          <w:lang w:eastAsia="en-US" w:bidi="ar-SA"/>
        </w:rPr>
        <w:t xml:space="preserve">Individuals </w:t>
      </w:r>
    </w:p>
    <w:p w14:paraId="2FF518E8" w14:textId="77777777" w:rsidR="00455819" w:rsidRPr="00D84618" w:rsidRDefault="00455819" w:rsidP="00455819">
      <w:pPr>
        <w:numPr>
          <w:ilvl w:val="0"/>
          <w:numId w:val="89"/>
        </w:numPr>
        <w:spacing w:before="120" w:after="120"/>
      </w:pPr>
      <w:r w:rsidRPr="00D84618">
        <w:t>Dr Thomas Brinsmead</w:t>
      </w:r>
    </w:p>
    <w:p w14:paraId="68C93D64" w14:textId="77777777" w:rsidR="00455819" w:rsidRPr="00D84618" w:rsidRDefault="00455819" w:rsidP="00455819">
      <w:pPr>
        <w:numPr>
          <w:ilvl w:val="0"/>
          <w:numId w:val="89"/>
        </w:numPr>
        <w:spacing w:before="120" w:after="120"/>
      </w:pPr>
      <w:r w:rsidRPr="00D84618">
        <w:t xml:space="preserve">Pablo Campillos </w:t>
      </w:r>
    </w:p>
    <w:p w14:paraId="0B451F9D" w14:textId="77777777" w:rsidR="00455819" w:rsidRPr="00D84618" w:rsidRDefault="00455819" w:rsidP="00455819">
      <w:pPr>
        <w:numPr>
          <w:ilvl w:val="0"/>
          <w:numId w:val="89"/>
        </w:numPr>
        <w:spacing w:before="120" w:after="120"/>
      </w:pPr>
      <w:r w:rsidRPr="00D84618">
        <w:t>Paul De Martini</w:t>
      </w:r>
    </w:p>
    <w:p w14:paraId="75DA8E4B" w14:textId="77777777" w:rsidR="00455819" w:rsidRPr="00D84618" w:rsidRDefault="00455819" w:rsidP="00455819">
      <w:pPr>
        <w:numPr>
          <w:ilvl w:val="0"/>
          <w:numId w:val="89"/>
        </w:numPr>
        <w:spacing w:before="120" w:after="120"/>
      </w:pPr>
      <w:r w:rsidRPr="00D84618">
        <w:t>Prof. Lynne Kiesling</w:t>
      </w:r>
    </w:p>
    <w:p w14:paraId="5C91BF4B" w14:textId="77777777" w:rsidR="00455819" w:rsidRPr="00D84618" w:rsidRDefault="00455819" w:rsidP="00455819">
      <w:pPr>
        <w:numPr>
          <w:ilvl w:val="0"/>
          <w:numId w:val="89"/>
        </w:numPr>
        <w:spacing w:before="120" w:after="120"/>
      </w:pPr>
      <w:r w:rsidRPr="00D84618">
        <w:t>Dr Lorenzo Kristov</w:t>
      </w:r>
    </w:p>
    <w:p w14:paraId="5E647763" w14:textId="77777777" w:rsidR="00455819" w:rsidRPr="00D84618" w:rsidRDefault="00455819" w:rsidP="00455819">
      <w:pPr>
        <w:numPr>
          <w:ilvl w:val="0"/>
          <w:numId w:val="89"/>
        </w:numPr>
        <w:spacing w:before="120" w:after="120"/>
      </w:pPr>
      <w:r w:rsidRPr="00D84618">
        <w:t>Rama Ganguli</w:t>
      </w:r>
    </w:p>
    <w:p w14:paraId="4F44F452" w14:textId="77777777" w:rsidR="00455819" w:rsidRPr="00D84618" w:rsidRDefault="00455819" w:rsidP="00455819">
      <w:pPr>
        <w:numPr>
          <w:ilvl w:val="0"/>
          <w:numId w:val="89"/>
        </w:numPr>
        <w:spacing w:before="120" w:after="120"/>
      </w:pPr>
      <w:r w:rsidRPr="00D84618">
        <w:t xml:space="preserve">Eamonn McCormick </w:t>
      </w:r>
    </w:p>
    <w:p w14:paraId="235DC216" w14:textId="77777777" w:rsidR="00455819" w:rsidRPr="00D84618" w:rsidRDefault="00455819" w:rsidP="00455819">
      <w:pPr>
        <w:numPr>
          <w:ilvl w:val="0"/>
          <w:numId w:val="89"/>
        </w:numPr>
        <w:spacing w:before="120" w:after="120"/>
      </w:pPr>
      <w:r w:rsidRPr="00D84618">
        <w:t>Dr Ron Melton</w:t>
      </w:r>
    </w:p>
    <w:p w14:paraId="5EEB86BB" w14:textId="77777777" w:rsidR="00455819" w:rsidRPr="00D84618" w:rsidRDefault="00455819" w:rsidP="00455819">
      <w:pPr>
        <w:numPr>
          <w:ilvl w:val="0"/>
          <w:numId w:val="89"/>
        </w:numPr>
        <w:spacing w:before="120" w:after="120"/>
      </w:pPr>
      <w:r w:rsidRPr="00D84618">
        <w:t>Peter Senge</w:t>
      </w:r>
    </w:p>
    <w:p w14:paraId="0C9C8B61" w14:textId="77777777" w:rsidR="00455819" w:rsidRPr="00D84618" w:rsidRDefault="00455819" w:rsidP="00455819">
      <w:pPr>
        <w:numPr>
          <w:ilvl w:val="0"/>
          <w:numId w:val="89"/>
        </w:numPr>
        <w:spacing w:before="120" w:after="120"/>
      </w:pPr>
      <w:r w:rsidRPr="00D84618">
        <w:t>Dr Jeffrey Taft</w:t>
      </w:r>
    </w:p>
    <w:p w14:paraId="6C9BBABD" w14:textId="77777777" w:rsidR="00455819" w:rsidRPr="00D84618" w:rsidRDefault="00455819" w:rsidP="00455819">
      <w:pPr>
        <w:numPr>
          <w:ilvl w:val="0"/>
          <w:numId w:val="89"/>
        </w:numPr>
        <w:spacing w:before="120" w:after="120"/>
      </w:pPr>
      <w:r w:rsidRPr="00D84618">
        <w:t>Dr John Ward</w:t>
      </w:r>
    </w:p>
    <w:p w14:paraId="2D57CED6" w14:textId="77777777" w:rsidR="00455819" w:rsidRPr="00D84618" w:rsidRDefault="00455819" w:rsidP="00455819">
      <w:pPr>
        <w:spacing w:line="264" w:lineRule="auto"/>
        <w:rPr>
          <w:i/>
          <w:iCs/>
          <w:color w:val="013C4C" w:themeColor="text1"/>
          <w:lang w:eastAsia="en-US" w:bidi="ar-SA"/>
        </w:rPr>
      </w:pPr>
      <w:r w:rsidRPr="00D84618">
        <w:rPr>
          <w:i/>
          <w:iCs/>
          <w:color w:val="013C4C" w:themeColor="text1"/>
          <w:lang w:eastAsia="en-US" w:bidi="ar-SA"/>
        </w:rPr>
        <w:t>Foundational Sources</w:t>
      </w:r>
    </w:p>
    <w:p w14:paraId="1CA6AA0E" w14:textId="77777777" w:rsidR="00455819" w:rsidRPr="00D84618" w:rsidRDefault="00455819" w:rsidP="00455819">
      <w:pPr>
        <w:spacing w:line="264" w:lineRule="auto"/>
        <w:rPr>
          <w:lang w:eastAsia="en-US" w:bidi="ar-SA"/>
        </w:rPr>
      </w:pPr>
      <w:r w:rsidRPr="00D84618">
        <w:rPr>
          <w:lang w:eastAsia="en-US" w:bidi="ar-SA"/>
        </w:rPr>
        <w:t xml:space="preserve">The following sources provide key principles and bases for the application of the disciplines and tools employed in developing this reference set.  </w:t>
      </w:r>
    </w:p>
    <w:p w14:paraId="40D6AB69" w14:textId="77777777" w:rsidR="00455819" w:rsidRPr="00D84618" w:rsidRDefault="00455819" w:rsidP="00455819">
      <w:pPr>
        <w:numPr>
          <w:ilvl w:val="0"/>
          <w:numId w:val="89"/>
        </w:numPr>
        <w:spacing w:before="120" w:after="120"/>
      </w:pPr>
      <w:r w:rsidRPr="00D84618">
        <w:t>International Council on Systems Engineering (INCOSE), INCOSE Systems Engineering Handbook: A Guide for System Life Cycle Processes and Activities, 4th ed. San Diego, CA, USA: INCOSE, 2015.</w:t>
      </w:r>
    </w:p>
    <w:p w14:paraId="067AAA33" w14:textId="77777777" w:rsidR="00455819" w:rsidRPr="00D84618" w:rsidRDefault="00455819" w:rsidP="00455819">
      <w:pPr>
        <w:numPr>
          <w:ilvl w:val="0"/>
          <w:numId w:val="89"/>
        </w:numPr>
        <w:spacing w:before="120" w:after="120"/>
      </w:pPr>
      <w:r w:rsidRPr="00D84618">
        <w:t>R.</w:t>
      </w:r>
      <w:r w:rsidRPr="00D84618">
        <w:rPr>
          <w:rFonts w:ascii="Cambria Math" w:hAnsi="Cambria Math" w:cs="Cambria Math"/>
        </w:rPr>
        <w:t> </w:t>
      </w:r>
      <w:r w:rsidRPr="00D84618">
        <w:t>D.</w:t>
      </w:r>
      <w:r w:rsidRPr="00D84618">
        <w:rPr>
          <w:rFonts w:ascii="Cambria Math" w:hAnsi="Cambria Math" w:cs="Cambria Math"/>
        </w:rPr>
        <w:t> </w:t>
      </w:r>
      <w:r w:rsidRPr="00D84618">
        <w:t>Adcock, S.</w:t>
      </w:r>
      <w:r w:rsidRPr="00D84618">
        <w:rPr>
          <w:rFonts w:ascii="Cambria Math" w:hAnsi="Cambria Math" w:cs="Cambria Math"/>
        </w:rPr>
        <w:t> </w:t>
      </w:r>
      <w:r w:rsidRPr="00D84618">
        <w:t>Friedenthal, D.</w:t>
      </w:r>
      <w:r w:rsidRPr="00D84618">
        <w:rPr>
          <w:rFonts w:ascii="Cambria Math" w:hAnsi="Cambria Math" w:cs="Cambria Math"/>
        </w:rPr>
        <w:t> </w:t>
      </w:r>
      <w:r w:rsidRPr="00D84618">
        <w:t>Dori, R.</w:t>
      </w:r>
      <w:r w:rsidRPr="00D84618">
        <w:rPr>
          <w:rFonts w:ascii="Cambria Math" w:hAnsi="Cambria Math" w:cs="Cambria Math"/>
        </w:rPr>
        <w:t> </w:t>
      </w:r>
      <w:r w:rsidRPr="00D84618">
        <w:t>Walden, and D.</w:t>
      </w:r>
      <w:r w:rsidRPr="00D84618">
        <w:rPr>
          <w:rFonts w:ascii="Cambria Math" w:hAnsi="Cambria Math" w:cs="Cambria Math"/>
        </w:rPr>
        <w:t> </w:t>
      </w:r>
      <w:r w:rsidRPr="00D84618">
        <w:t xml:space="preserve">Giammarco, </w:t>
      </w:r>
      <w:r w:rsidRPr="00D84618">
        <w:rPr>
          <w:rFonts w:cs="PP Mori SemiBold"/>
        </w:rPr>
        <w:t>“</w:t>
      </w:r>
      <w:r w:rsidRPr="00D84618">
        <w:t>Guide to the Systems Engineering Body of Knowledge (SEBoK),</w:t>
      </w:r>
      <w:r w:rsidRPr="00D84618">
        <w:rPr>
          <w:rFonts w:cs="PP Mori SemiBold"/>
        </w:rPr>
        <w:t>”</w:t>
      </w:r>
      <w:r w:rsidRPr="00D84618">
        <w:t xml:space="preserve"> ver. 2.9, The Systems Engineering Research Center, Hoboken, NJ, USA, May 2023. [Online]. Available: https://sebokwiki.org/wiki/Guide_to_the_Systems_Engineering_Body_of_Knowledge_(SEBoK)</w:t>
      </w:r>
    </w:p>
    <w:p w14:paraId="2AE00BD8" w14:textId="77777777" w:rsidR="00455819" w:rsidRPr="00D84618" w:rsidRDefault="00455819" w:rsidP="00455819">
      <w:pPr>
        <w:numPr>
          <w:ilvl w:val="0"/>
          <w:numId w:val="89"/>
        </w:numPr>
        <w:spacing w:before="120" w:after="120"/>
      </w:pPr>
      <w:r w:rsidRPr="00D84618">
        <w:t>Bruce Cameron,</w:t>
      </w:r>
      <w:r w:rsidRPr="00D84618">
        <w:rPr>
          <w:rFonts w:ascii="Cambria Math" w:hAnsi="Cambria Math" w:cs="Cambria Math"/>
        </w:rPr>
        <w:t> </w:t>
      </w:r>
      <w:r w:rsidRPr="00D84618">
        <w:t>Edward</w:t>
      </w:r>
      <w:r w:rsidRPr="00D84618">
        <w:rPr>
          <w:rFonts w:ascii="Cambria Math" w:hAnsi="Cambria Math" w:cs="Cambria Math"/>
        </w:rPr>
        <w:t> </w:t>
      </w:r>
      <w:r w:rsidRPr="00D84618">
        <w:t>F. Crawley, and</w:t>
      </w:r>
      <w:r w:rsidRPr="00D84618">
        <w:rPr>
          <w:rFonts w:ascii="Cambria Math" w:hAnsi="Cambria Math" w:cs="Cambria Math"/>
        </w:rPr>
        <w:t> </w:t>
      </w:r>
      <w:r w:rsidRPr="00D84618">
        <w:t>Daniel</w:t>
      </w:r>
      <w:r w:rsidRPr="00D84618">
        <w:rPr>
          <w:rFonts w:ascii="Cambria Math" w:hAnsi="Cambria Math" w:cs="Cambria Math"/>
        </w:rPr>
        <w:t> </w:t>
      </w:r>
      <w:r w:rsidRPr="00D84618">
        <w:t>Selva, Systems Architecture, Global Edition, 1st</w:t>
      </w:r>
      <w:r w:rsidRPr="00D84618">
        <w:rPr>
          <w:rFonts w:ascii="Cambria Math" w:hAnsi="Cambria Math" w:cs="Cambria Math"/>
        </w:rPr>
        <w:t> </w:t>
      </w:r>
      <w:r w:rsidRPr="00D84618">
        <w:t>ed., Pearson Education, 2015.</w:t>
      </w:r>
    </w:p>
    <w:p w14:paraId="7033227A" w14:textId="77777777" w:rsidR="00455819" w:rsidRPr="00D84618" w:rsidRDefault="00455819" w:rsidP="00455819">
      <w:pPr>
        <w:numPr>
          <w:ilvl w:val="0"/>
          <w:numId w:val="89"/>
        </w:numPr>
        <w:spacing w:before="120" w:after="120"/>
      </w:pPr>
      <w:r w:rsidRPr="00D84618">
        <w:t>J.</w:t>
      </w:r>
      <w:r w:rsidRPr="00D84618">
        <w:rPr>
          <w:rFonts w:ascii="Cambria Math" w:hAnsi="Cambria Math" w:cs="Cambria Math"/>
        </w:rPr>
        <w:t> </w:t>
      </w:r>
      <w:r w:rsidRPr="00D84618">
        <w:t>D. Taft, S.</w:t>
      </w:r>
      <w:r w:rsidRPr="00D84618">
        <w:rPr>
          <w:rFonts w:ascii="Cambria Math" w:hAnsi="Cambria Math" w:cs="Cambria Math"/>
        </w:rPr>
        <w:t> </w:t>
      </w:r>
      <w:r w:rsidRPr="00D84618">
        <w:t>Widergren, A.</w:t>
      </w:r>
      <w:r w:rsidRPr="00D84618">
        <w:rPr>
          <w:rFonts w:ascii="Cambria Math" w:hAnsi="Cambria Math" w:cs="Cambria Math"/>
        </w:rPr>
        <w:t> </w:t>
      </w:r>
      <w:r w:rsidRPr="00D84618">
        <w:t>Shankar, R.</w:t>
      </w:r>
      <w:r w:rsidRPr="00D84618">
        <w:rPr>
          <w:rFonts w:ascii="Cambria Math" w:hAnsi="Cambria Math" w:cs="Cambria Math"/>
        </w:rPr>
        <w:t> </w:t>
      </w:r>
      <w:r w:rsidRPr="00D84618">
        <w:t>Melton, and B.</w:t>
      </w:r>
      <w:r w:rsidRPr="00D84618">
        <w:rPr>
          <w:rFonts w:ascii="Cambria Math" w:hAnsi="Cambria Math" w:cs="Cambria Math"/>
        </w:rPr>
        <w:t> </w:t>
      </w:r>
      <w:r w:rsidRPr="00D84618">
        <w:t>Kelley, Grid Architecture Specification: High DER/DA/STO Reference Architecture (GMLC</w:t>
      </w:r>
      <w:r w:rsidRPr="00D84618">
        <w:rPr>
          <w:rFonts w:ascii="Cambria Math" w:hAnsi="Cambria Math" w:cs="Cambria Math"/>
        </w:rPr>
        <w:t> </w:t>
      </w:r>
      <w:r w:rsidRPr="00D84618">
        <w:t>1.2.1</w:t>
      </w:r>
      <w:r w:rsidRPr="00D84618">
        <w:rPr>
          <w:rFonts w:ascii="Cambria Math" w:hAnsi="Cambria Math" w:cs="Cambria Math"/>
        </w:rPr>
        <w:t> </w:t>
      </w:r>
      <w:r w:rsidRPr="00D84618">
        <w:t>v0.3), Pacific Northwest National Laboratory, Richland, WA, USA, Dec. 2019.</w:t>
      </w:r>
    </w:p>
    <w:p w14:paraId="74BE8752" w14:textId="77777777" w:rsidR="00455819" w:rsidRPr="00D84618" w:rsidRDefault="00455819" w:rsidP="00455819">
      <w:pPr>
        <w:numPr>
          <w:ilvl w:val="0"/>
          <w:numId w:val="89"/>
        </w:numPr>
        <w:spacing w:before="120" w:after="120"/>
      </w:pPr>
      <w:r w:rsidRPr="00D84618">
        <w:t>J.</w:t>
      </w:r>
      <w:r w:rsidRPr="00D84618">
        <w:rPr>
          <w:rFonts w:ascii="Cambria Math" w:hAnsi="Cambria Math" w:cs="Cambria Math"/>
        </w:rPr>
        <w:t> </w:t>
      </w:r>
      <w:r w:rsidRPr="00D84618">
        <w:t>D. Taft and A. Becker-Dippmann, Grid Architecture, Pacific Northwest National Laboratory (PNNL), Richland, WA, USA, Jan.</w:t>
      </w:r>
      <w:r w:rsidRPr="00D84618">
        <w:rPr>
          <w:rFonts w:ascii="Calibri" w:hAnsi="Calibri" w:cs="Calibri"/>
        </w:rPr>
        <w:t> </w:t>
      </w:r>
      <w:r w:rsidRPr="00D84618">
        <w:t>2015, Report No.</w:t>
      </w:r>
      <w:r w:rsidRPr="00D84618">
        <w:rPr>
          <w:rFonts w:ascii="Calibri" w:hAnsi="Calibri" w:cs="Calibri"/>
        </w:rPr>
        <w:t> </w:t>
      </w:r>
      <w:r w:rsidRPr="00D84618">
        <w:t>PNNL</w:t>
      </w:r>
      <w:r w:rsidRPr="00D84618">
        <w:rPr>
          <w:rFonts w:ascii="Cambria Math" w:hAnsi="Cambria Math" w:cs="Cambria Math"/>
        </w:rPr>
        <w:t>‑</w:t>
      </w:r>
      <w:r w:rsidRPr="00D84618">
        <w:t>24044. [Online]. Available: https://gridarchitecture.pnnl.gov/media/white-papers/Grid%20Architecture%20%20-%20DOE%20QER.pdf</w:t>
      </w:r>
    </w:p>
    <w:p w14:paraId="4C5A4F4C" w14:textId="77777777" w:rsidR="00455819" w:rsidRPr="00D84618" w:rsidRDefault="00455819" w:rsidP="00455819">
      <w:pPr>
        <w:numPr>
          <w:ilvl w:val="0"/>
          <w:numId w:val="89"/>
        </w:numPr>
        <w:spacing w:before="120" w:after="120"/>
      </w:pPr>
      <w:r w:rsidRPr="00D84618">
        <w:t>J.</w:t>
      </w:r>
      <w:r w:rsidRPr="00D84618">
        <w:rPr>
          <w:rFonts w:ascii="Cambria Math" w:hAnsi="Cambria Math" w:cs="Cambria Math"/>
        </w:rPr>
        <w:t> </w:t>
      </w:r>
      <w:r w:rsidRPr="00D84618">
        <w:t>D. Taft, Grid Architecture 2, Pacific Northwest National Laboratory (PNNL), Richland, WA, USA, Jan.</w:t>
      </w:r>
      <w:r w:rsidRPr="00D84618">
        <w:rPr>
          <w:rFonts w:ascii="Calibri" w:hAnsi="Calibri" w:cs="Calibri"/>
        </w:rPr>
        <w:t> </w:t>
      </w:r>
      <w:r w:rsidRPr="00D84618">
        <w:t>2016, Report No.</w:t>
      </w:r>
      <w:r w:rsidRPr="00D84618">
        <w:rPr>
          <w:rFonts w:ascii="Calibri" w:hAnsi="Calibri" w:cs="Calibri"/>
        </w:rPr>
        <w:t> </w:t>
      </w:r>
      <w:r w:rsidRPr="00D84618">
        <w:t>PNNL</w:t>
      </w:r>
      <w:r w:rsidRPr="00D84618">
        <w:rPr>
          <w:rFonts w:ascii="Cambria Math" w:hAnsi="Cambria Math" w:cs="Cambria Math"/>
        </w:rPr>
        <w:t>‑</w:t>
      </w:r>
      <w:r w:rsidRPr="00D84618">
        <w:t>24044</w:t>
      </w:r>
      <w:r w:rsidRPr="00D84618">
        <w:rPr>
          <w:rFonts w:ascii="Cambria Math" w:hAnsi="Cambria Math" w:cs="Cambria Math"/>
        </w:rPr>
        <w:t> </w:t>
      </w:r>
      <w:r w:rsidRPr="00D84618">
        <w:t>2. [Online]. Available: https://gridarchitecture.pnnl.gov/media/white-papers/GridArchitecture2final.pdf</w:t>
      </w:r>
    </w:p>
    <w:p w14:paraId="3FA0EFD9" w14:textId="77777777" w:rsidR="00455819" w:rsidRPr="00D84618" w:rsidRDefault="00455819" w:rsidP="00455819">
      <w:pPr>
        <w:numPr>
          <w:ilvl w:val="0"/>
          <w:numId w:val="89"/>
        </w:numPr>
        <w:spacing w:before="120" w:after="120"/>
      </w:pPr>
      <w:r w:rsidRPr="00D84618">
        <w:t>J.</w:t>
      </w:r>
      <w:r w:rsidRPr="00D84618">
        <w:rPr>
          <w:rFonts w:ascii="Cambria Math" w:hAnsi="Cambria Math" w:cs="Cambria Math"/>
        </w:rPr>
        <w:t> </w:t>
      </w:r>
      <w:r w:rsidRPr="00D84618">
        <w:t>D. Taft, Comparative Architecture Analysis: Using Laminar Structure to Unify Multiple Grid Architectures, Pacific Northwest National Laboratory (PNNL), Richland, WA, USA, Nov.</w:t>
      </w:r>
      <w:r w:rsidRPr="00D84618">
        <w:rPr>
          <w:rFonts w:ascii="Calibri" w:hAnsi="Calibri" w:cs="Calibri"/>
        </w:rPr>
        <w:t> </w:t>
      </w:r>
      <w:r w:rsidRPr="00D84618">
        <w:t>2016, Report No.</w:t>
      </w:r>
      <w:r w:rsidRPr="00D84618">
        <w:rPr>
          <w:rFonts w:ascii="Calibri" w:hAnsi="Calibri" w:cs="Calibri"/>
        </w:rPr>
        <w:t> </w:t>
      </w:r>
      <w:r w:rsidRPr="00D84618">
        <w:t>PNNL</w:t>
      </w:r>
      <w:r w:rsidRPr="00D84618">
        <w:rPr>
          <w:rFonts w:ascii="Cambria Math" w:hAnsi="Cambria Math" w:cs="Cambria Math"/>
        </w:rPr>
        <w:t>‑</w:t>
      </w:r>
      <w:r w:rsidRPr="00D84618">
        <w:t xml:space="preserve">26089. [Online]. Available: </w:t>
      </w:r>
      <w:hyperlink r:id="rId41" w:history="1">
        <w:r w:rsidRPr="00D84618">
          <w:t>https://gridarchitecture.pnnl.gov/media/advanced/Comparative%20Architecture%20Analysis-Final.pdf</w:t>
        </w:r>
      </w:hyperlink>
    </w:p>
    <w:p w14:paraId="5CB5F7ED" w14:textId="77777777" w:rsidR="00F403F0" w:rsidRPr="00F403F0" w:rsidRDefault="00F403F0" w:rsidP="00F403F0">
      <w:pPr>
        <w:spacing w:before="0" w:after="160" w:line="259" w:lineRule="auto"/>
        <w:rPr>
          <w:rFonts w:ascii="PP Mori SemiBold" w:eastAsiaTheme="majorEastAsia" w:hAnsi="PP Mori SemiBold" w:cstheme="majorBidi"/>
          <w:color w:val="013C4C" w:themeColor="text1"/>
          <w:sz w:val="32"/>
          <w:szCs w:val="40"/>
          <w:highlight w:val="yellow"/>
        </w:rPr>
      </w:pPr>
      <w:r w:rsidRPr="00F403F0">
        <w:rPr>
          <w:rFonts w:ascii="PP Mori SemiBold" w:eastAsiaTheme="majorEastAsia" w:hAnsi="PP Mori SemiBold" w:cstheme="majorBidi"/>
          <w:color w:val="013C4C" w:themeColor="text1"/>
          <w:sz w:val="32"/>
          <w:szCs w:val="40"/>
          <w:highlight w:val="yellow"/>
        </w:rPr>
        <w:br w:type="page"/>
      </w:r>
    </w:p>
    <w:p w14:paraId="078EDBF3" w14:textId="769BA609" w:rsidR="00C660D4" w:rsidRPr="00C660D4" w:rsidRDefault="00C660D4" w:rsidP="00C660D4">
      <w:pPr>
        <w:keepNext/>
        <w:keepLines/>
        <w:spacing w:line="288" w:lineRule="auto"/>
        <w:ind w:hanging="6"/>
        <w:outlineLvl w:val="0"/>
        <w:rPr>
          <w:rFonts w:ascii="PP Mori SemiBold" w:eastAsiaTheme="majorEastAsia" w:hAnsi="PP Mori SemiBold" w:cstheme="majorBidi"/>
          <w:color w:val="013C4C" w:themeColor="text1"/>
          <w:sz w:val="32"/>
          <w:szCs w:val="40"/>
        </w:rPr>
      </w:pPr>
      <w:bookmarkStart w:id="156" w:name="_Toc205533984"/>
      <w:bookmarkStart w:id="157" w:name="Appendix_B"/>
      <w:r w:rsidRPr="00C660D4">
        <w:rPr>
          <w:rFonts w:ascii="PP Mori SemiBold" w:eastAsiaTheme="majorEastAsia" w:hAnsi="PP Mori SemiBold" w:cstheme="majorBidi"/>
          <w:color w:val="013C4C" w:themeColor="text1"/>
          <w:sz w:val="32"/>
          <w:szCs w:val="40"/>
        </w:rPr>
        <w:t xml:space="preserve">Appendix </w:t>
      </w:r>
      <w:r w:rsidR="009E6D2F">
        <w:rPr>
          <w:rFonts w:ascii="PP Mori SemiBold" w:eastAsiaTheme="majorEastAsia" w:hAnsi="PP Mori SemiBold" w:cstheme="majorBidi"/>
          <w:color w:val="013C4C" w:themeColor="text1"/>
          <w:sz w:val="32"/>
          <w:szCs w:val="40"/>
        </w:rPr>
        <w:t>B</w:t>
      </w:r>
      <w:r w:rsidRPr="00C660D4">
        <w:rPr>
          <w:rFonts w:ascii="PP Mori SemiBold" w:eastAsiaTheme="majorEastAsia" w:hAnsi="PP Mori SemiBold" w:cstheme="majorBidi"/>
          <w:color w:val="013C4C" w:themeColor="text1"/>
          <w:sz w:val="32"/>
          <w:szCs w:val="40"/>
        </w:rPr>
        <w:t>: Glossary of Terms</w:t>
      </w:r>
      <w:bookmarkEnd w:id="156"/>
    </w:p>
    <w:tbl>
      <w:tblPr>
        <w:tblStyle w:val="TableGrid"/>
        <w:tblW w:w="8505" w:type="dxa"/>
        <w:tblInd w:w="-5" w:type="dxa"/>
        <w:tblLook w:val="04A0" w:firstRow="1" w:lastRow="0" w:firstColumn="1" w:lastColumn="0" w:noHBand="0" w:noVBand="1"/>
      </w:tblPr>
      <w:tblGrid>
        <w:gridCol w:w="2127"/>
        <w:gridCol w:w="6378"/>
      </w:tblGrid>
      <w:tr w:rsidR="00C660D4" w:rsidRPr="00C660D4" w14:paraId="088C46FB" w14:textId="77777777" w:rsidTr="00E52F89">
        <w:trPr>
          <w:trHeight w:val="529"/>
        </w:trPr>
        <w:tc>
          <w:tcPr>
            <w:tcW w:w="2127" w:type="dxa"/>
            <w:shd w:val="clear" w:color="auto" w:fill="013C4C" w:themeFill="accent1"/>
            <w:vAlign w:val="center"/>
          </w:tcPr>
          <w:bookmarkEnd w:id="157"/>
          <w:p w14:paraId="0E98B6A6" w14:textId="77777777" w:rsidR="00C660D4" w:rsidRPr="00C660D4" w:rsidRDefault="00C660D4" w:rsidP="00C660D4">
            <w:pPr>
              <w:keepNext/>
              <w:keepLines/>
              <w:spacing w:before="40" w:after="0" w:line="276" w:lineRule="auto"/>
              <w:jc w:val="center"/>
              <w:outlineLvl w:val="4"/>
              <w:rPr>
                <w:rFonts w:ascii="PP Mori SemiBold" w:eastAsiaTheme="majorEastAsia" w:hAnsi="PP Mori SemiBold" w:cstheme="majorBidi"/>
                <w:color w:val="E7E6E6" w:themeColor="background2"/>
                <w:szCs w:val="18"/>
              </w:rPr>
            </w:pPr>
            <w:r w:rsidRPr="00C660D4">
              <w:rPr>
                <w:rFonts w:ascii="PP Mori SemiBold" w:eastAsiaTheme="majorEastAsia" w:hAnsi="PP Mori SemiBold" w:cstheme="majorBidi"/>
                <w:color w:val="090909"/>
                <w:szCs w:val="18"/>
              </w:rPr>
              <w:t xml:space="preserve"> </w:t>
            </w:r>
            <w:r w:rsidRPr="00C660D4">
              <w:rPr>
                <w:rFonts w:ascii="PP Mori SemiBold" w:eastAsiaTheme="majorEastAsia" w:hAnsi="PP Mori SemiBold" w:cstheme="majorBidi"/>
                <w:color w:val="E7E6E6" w:themeColor="background2"/>
                <w:szCs w:val="18"/>
              </w:rPr>
              <w:t>Term</w:t>
            </w:r>
          </w:p>
        </w:tc>
        <w:tc>
          <w:tcPr>
            <w:tcW w:w="6378" w:type="dxa"/>
            <w:shd w:val="clear" w:color="auto" w:fill="013C4C" w:themeFill="accent1"/>
            <w:vAlign w:val="center"/>
          </w:tcPr>
          <w:p w14:paraId="13A3A8B8" w14:textId="77777777" w:rsidR="00C660D4" w:rsidRPr="00C660D4" w:rsidRDefault="00C660D4" w:rsidP="00C660D4">
            <w:pPr>
              <w:keepNext/>
              <w:keepLines/>
              <w:spacing w:before="40" w:after="0" w:line="276" w:lineRule="auto"/>
              <w:jc w:val="center"/>
              <w:outlineLvl w:val="4"/>
              <w:rPr>
                <w:rFonts w:ascii="PP Mori SemiBold" w:eastAsiaTheme="majorEastAsia" w:hAnsi="PP Mori SemiBold" w:cstheme="majorBidi"/>
                <w:color w:val="E7E6E6" w:themeColor="background2"/>
                <w:szCs w:val="18"/>
              </w:rPr>
            </w:pPr>
            <w:r w:rsidRPr="00C660D4">
              <w:rPr>
                <w:rFonts w:ascii="PP Mori SemiBold" w:eastAsiaTheme="majorEastAsia" w:hAnsi="PP Mori SemiBold" w:cstheme="majorBidi"/>
                <w:iCs/>
                <w:color w:val="E7E6E6" w:themeColor="background2"/>
                <w:szCs w:val="18"/>
              </w:rPr>
              <w:t>Definition</w:t>
            </w:r>
          </w:p>
        </w:tc>
      </w:tr>
      <w:tr w:rsidR="00C660D4" w:rsidRPr="00C660D4" w:rsidDel="004725D6" w14:paraId="2810CBA2" w14:textId="77777777" w:rsidTr="00E52F89">
        <w:tc>
          <w:tcPr>
            <w:tcW w:w="2127" w:type="dxa"/>
            <w:shd w:val="clear" w:color="auto" w:fill="067296" w:themeFill="text2"/>
          </w:tcPr>
          <w:p w14:paraId="088BBE23"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Active CER/DER</w:t>
            </w:r>
          </w:p>
        </w:tc>
        <w:tc>
          <w:tcPr>
            <w:tcW w:w="6378" w:type="dxa"/>
          </w:tcPr>
          <w:p w14:paraId="740A0BF8" w14:textId="77777777" w:rsidR="00C660D4" w:rsidRPr="00C660D4" w:rsidRDefault="00C660D4" w:rsidP="00C660D4">
            <w:pPr>
              <w:spacing w:before="120" w:after="120" w:line="288" w:lineRule="auto"/>
              <w:rPr>
                <w:szCs w:val="18"/>
              </w:rPr>
            </w:pPr>
            <w:r w:rsidRPr="00C660D4">
              <w:rPr>
                <w:szCs w:val="18"/>
              </w:rPr>
              <w:t>Consumer Energy Resources (CER/DER) that are capable of automatically altering their operating behaviour in response the needs of the wider power system. This may be in response to changes in the price of energy, the operating conditions of the local distribution network and/or upon receipt of instructions, control inputs or data feeds from authorised external entities.</w:t>
            </w:r>
          </w:p>
          <w:p w14:paraId="407A1F55" w14:textId="77777777" w:rsidR="00C660D4" w:rsidRPr="00C660D4" w:rsidDel="004725D6" w:rsidRDefault="00C660D4" w:rsidP="00C660D4">
            <w:pPr>
              <w:spacing w:before="120" w:after="120" w:line="288" w:lineRule="auto"/>
              <w:rPr>
                <w:szCs w:val="18"/>
              </w:rPr>
            </w:pPr>
            <w:r w:rsidRPr="00C660D4">
              <w:rPr>
                <w:szCs w:val="18"/>
              </w:rPr>
              <w:t>Active CER/DER are significantly more valuable to the power system than Passive CER/DER as they can provide specific Electric Products in a manner that is highly correlated with the time, location and physics-based needs of the power system.</w:t>
            </w:r>
          </w:p>
        </w:tc>
      </w:tr>
      <w:tr w:rsidR="00C660D4" w:rsidRPr="00C660D4" w14:paraId="7F644E0C" w14:textId="77777777" w:rsidTr="00E52F89">
        <w:tc>
          <w:tcPr>
            <w:tcW w:w="2127" w:type="dxa"/>
            <w:shd w:val="clear" w:color="auto" w:fill="067296" w:themeFill="text2"/>
          </w:tcPr>
          <w:p w14:paraId="2760D1D5" w14:textId="77777777" w:rsidR="00C660D4" w:rsidRPr="00C660D4" w:rsidRDefault="00C660D4" w:rsidP="00C660D4">
            <w:pPr>
              <w:spacing w:before="120" w:after="120" w:line="288" w:lineRule="auto"/>
              <w:jc w:val="center"/>
              <w:rPr>
                <w:rFonts w:ascii="PP Mori SemiBold" w:eastAsia="Segoe UI" w:hAnsi="PP Mori SemiBold"/>
                <w:color w:val="FAFAFA" w:themeColor="background1"/>
                <w:szCs w:val="18"/>
              </w:rPr>
            </w:pPr>
            <w:r w:rsidRPr="00C660D4">
              <w:rPr>
                <w:rFonts w:ascii="PP Mori SemiBold" w:eastAsia="Segoe UI" w:hAnsi="PP Mori SemiBold"/>
                <w:color w:val="FAFAFA" w:themeColor="background1"/>
                <w:szCs w:val="18"/>
              </w:rPr>
              <w:t>Active Network Management (ANM)</w:t>
            </w:r>
          </w:p>
          <w:p w14:paraId="485E92E6"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6F365612" w14:textId="77777777" w:rsidR="00C660D4" w:rsidRPr="00C660D4" w:rsidRDefault="00C660D4" w:rsidP="00C660D4">
            <w:pPr>
              <w:spacing w:before="120" w:after="120" w:line="288" w:lineRule="auto"/>
              <w:rPr>
                <w:rFonts w:eastAsia="Segoe UI"/>
                <w:color w:val="252423"/>
                <w:szCs w:val="18"/>
              </w:rPr>
            </w:pPr>
            <w:r w:rsidRPr="00C660D4">
              <w:rPr>
                <w:rFonts w:eastAsia="Segoe UI"/>
                <w:color w:val="252423"/>
                <w:szCs w:val="18"/>
              </w:rPr>
              <w:t xml:space="preserve">The coordinated, real-time management of network assets, consumer demand, customer-owned CER and large community or third-party DER to optimise the performance of the distribution network. </w:t>
            </w:r>
          </w:p>
          <w:p w14:paraId="1290EC8C" w14:textId="77777777" w:rsidR="00C660D4" w:rsidRPr="00C660D4" w:rsidRDefault="00C660D4" w:rsidP="00C660D4">
            <w:pPr>
              <w:spacing w:before="120" w:after="120" w:line="288" w:lineRule="auto"/>
              <w:rPr>
                <w:rFonts w:eastAsia="Segoe UI"/>
                <w:color w:val="252423"/>
                <w:szCs w:val="18"/>
              </w:rPr>
            </w:pPr>
            <w:r w:rsidRPr="00C660D4">
              <w:rPr>
                <w:rFonts w:eastAsia="Segoe UI"/>
                <w:color w:val="252423"/>
                <w:szCs w:val="18"/>
              </w:rPr>
              <w:t>ANM uses digital technologies, data analytics, and automated control systems to actively manage network issues such as voltage fluctuations, congestion and fault levels. Supported by advanced network models and situational awareness, ANM allows more efficient use of existing network assets and facilitates the integration of high levels of renewable energy, electric vehicles, and flexible loads.</w:t>
            </w:r>
          </w:p>
          <w:p w14:paraId="5CCF8203" w14:textId="77777777" w:rsidR="00C660D4" w:rsidRPr="00C660D4" w:rsidRDefault="00C660D4" w:rsidP="00C660D4">
            <w:pPr>
              <w:spacing w:before="120" w:after="120" w:line="288" w:lineRule="auto"/>
              <w:rPr>
                <w:rFonts w:eastAsia="Times New Roman" w:cs="Segoe UI"/>
                <w:kern w:val="0"/>
                <w:szCs w:val="18"/>
                <w14:ligatures w14:val="none"/>
              </w:rPr>
            </w:pPr>
            <w:r w:rsidRPr="00C660D4">
              <w:rPr>
                <w:rFonts w:eastAsia="Times New Roman" w:cs="Segoe UI"/>
                <w:kern w:val="0"/>
                <w:szCs w:val="18"/>
                <w14:ligatures w14:val="none"/>
              </w:rPr>
              <w:t>Key capabilities of ANM typically include:</w:t>
            </w:r>
          </w:p>
          <w:p w14:paraId="1FBB8E0D" w14:textId="77777777" w:rsidR="00C660D4" w:rsidRPr="00C660D4" w:rsidRDefault="00C660D4" w:rsidP="00954BAC">
            <w:pPr>
              <w:numPr>
                <w:ilvl w:val="0"/>
                <w:numId w:val="96"/>
              </w:numPr>
              <w:spacing w:before="60" w:after="60" w:line="288" w:lineRule="auto"/>
              <w:ind w:left="714" w:hanging="357"/>
              <w:rPr>
                <w:rFonts w:eastAsia="Times New Roman" w:cs="Segoe UI"/>
                <w:kern w:val="0"/>
                <w:szCs w:val="18"/>
                <w14:ligatures w14:val="none"/>
              </w:rPr>
            </w:pPr>
            <w:r w:rsidRPr="00C660D4">
              <w:rPr>
                <w:rFonts w:eastAsia="Times New Roman" w:cs="Segoe UI"/>
                <w:kern w:val="0"/>
                <w:szCs w:val="18"/>
                <w14:ligatures w14:val="none"/>
              </w:rPr>
              <w:t xml:space="preserve">Dynamic control of generation/export/import; </w:t>
            </w:r>
          </w:p>
          <w:p w14:paraId="79453DD8" w14:textId="77777777" w:rsidR="00C660D4" w:rsidRPr="00C660D4" w:rsidRDefault="00C660D4" w:rsidP="00954BAC">
            <w:pPr>
              <w:numPr>
                <w:ilvl w:val="0"/>
                <w:numId w:val="96"/>
              </w:numPr>
              <w:spacing w:before="60" w:after="60" w:line="288" w:lineRule="auto"/>
              <w:ind w:left="714" w:hanging="357"/>
              <w:rPr>
                <w:rFonts w:eastAsia="Times New Roman" w:cs="Segoe UI"/>
                <w:kern w:val="0"/>
                <w:szCs w:val="18"/>
                <w14:ligatures w14:val="none"/>
              </w:rPr>
            </w:pPr>
            <w:r w:rsidRPr="00C660D4">
              <w:rPr>
                <w:rFonts w:eastAsia="Times New Roman" w:cs="Segoe UI"/>
                <w:kern w:val="0"/>
                <w:szCs w:val="18"/>
                <w14:ligatures w14:val="none"/>
              </w:rPr>
              <w:t>Voltage regulation through reactive power support;</w:t>
            </w:r>
          </w:p>
          <w:p w14:paraId="70627F5A" w14:textId="77777777" w:rsidR="00C660D4" w:rsidRPr="00C660D4" w:rsidRDefault="00C660D4" w:rsidP="00954BAC">
            <w:pPr>
              <w:numPr>
                <w:ilvl w:val="0"/>
                <w:numId w:val="96"/>
              </w:numPr>
              <w:spacing w:before="60" w:after="60" w:line="288" w:lineRule="auto"/>
              <w:ind w:left="714" w:hanging="357"/>
              <w:rPr>
                <w:rFonts w:eastAsia="Times New Roman" w:cs="Segoe UI"/>
                <w:kern w:val="0"/>
                <w:szCs w:val="18"/>
                <w14:ligatures w14:val="none"/>
              </w:rPr>
            </w:pPr>
            <w:r w:rsidRPr="00C660D4">
              <w:rPr>
                <w:rFonts w:eastAsia="Times New Roman" w:cs="Segoe UI"/>
                <w:kern w:val="0"/>
                <w:szCs w:val="18"/>
                <w14:ligatures w14:val="none"/>
              </w:rPr>
              <w:t xml:space="preserve">Real-time monitoring and forecasting of network conditions; and, </w:t>
            </w:r>
          </w:p>
          <w:p w14:paraId="0DBC9184" w14:textId="77777777" w:rsidR="00C660D4" w:rsidRPr="00C660D4" w:rsidRDefault="00C660D4" w:rsidP="00954BAC">
            <w:pPr>
              <w:numPr>
                <w:ilvl w:val="0"/>
                <w:numId w:val="96"/>
              </w:numPr>
              <w:spacing w:before="60" w:after="60" w:line="288" w:lineRule="auto"/>
              <w:ind w:left="714" w:hanging="357"/>
              <w:rPr>
                <w:rFonts w:eastAsia="Times New Roman" w:cs="Segoe UI"/>
                <w:kern w:val="0"/>
                <w:szCs w:val="18"/>
                <w14:ligatures w14:val="none"/>
              </w:rPr>
            </w:pPr>
            <w:r w:rsidRPr="00C660D4">
              <w:rPr>
                <w:rFonts w:eastAsia="Times New Roman" w:cs="Segoe UI"/>
                <w:kern w:val="0"/>
                <w:szCs w:val="18"/>
                <w14:ligatures w14:val="none"/>
              </w:rPr>
              <w:t xml:space="preserve">Coordination with flexibility markets and CER/DER aggregators. </w:t>
            </w:r>
          </w:p>
          <w:p w14:paraId="16272523" w14:textId="77777777" w:rsidR="00C660D4" w:rsidRPr="00C660D4" w:rsidRDefault="00C660D4" w:rsidP="00C660D4">
            <w:pPr>
              <w:spacing w:before="120" w:after="120" w:line="288" w:lineRule="auto"/>
              <w:rPr>
                <w:rFonts w:eastAsia="Times New Roman" w:cs="Segoe UI"/>
                <w:kern w:val="0"/>
                <w:szCs w:val="18"/>
                <w14:ligatures w14:val="none"/>
              </w:rPr>
            </w:pPr>
            <w:r w:rsidRPr="00C660D4">
              <w:rPr>
                <w:rFonts w:eastAsia="Times New Roman" w:cs="Segoe UI"/>
                <w:kern w:val="0"/>
                <w:szCs w:val="18"/>
                <w14:ligatures w14:val="none"/>
              </w:rPr>
              <w:t>Observability is foundational to ANM as it relies on accurate, real-time knowledge of the network state to make dynamic decisions about network operation (e.g., voltage control, curtailment, dispatch of flexibility resources).</w:t>
            </w:r>
          </w:p>
          <w:p w14:paraId="76C85B52" w14:textId="77777777" w:rsidR="00C660D4" w:rsidRPr="00C660D4" w:rsidRDefault="00C660D4" w:rsidP="00C660D4">
            <w:pPr>
              <w:spacing w:before="120" w:after="120" w:line="288" w:lineRule="auto"/>
              <w:rPr>
                <w:rFonts w:eastAsia="Times New Roman" w:cs="Segoe UI"/>
                <w:kern w:val="0"/>
                <w:szCs w:val="18"/>
                <w14:ligatures w14:val="none"/>
              </w:rPr>
            </w:pPr>
            <w:r w:rsidRPr="00C660D4">
              <w:rPr>
                <w:rFonts w:eastAsia="Times New Roman" w:cs="Segoe UI"/>
                <w:kern w:val="0"/>
                <w:szCs w:val="18"/>
                <w14:ligatures w14:val="none"/>
              </w:rPr>
              <w:t>ANM is distinct from traditional, passive network management, which relies primarily on static planning and reinforcement to manage system limits.</w:t>
            </w:r>
          </w:p>
        </w:tc>
      </w:tr>
      <w:tr w:rsidR="00C660D4" w:rsidRPr="00C660D4" w14:paraId="66159CC6" w14:textId="77777777" w:rsidTr="00E52F89">
        <w:tc>
          <w:tcPr>
            <w:tcW w:w="2127" w:type="dxa"/>
            <w:shd w:val="clear" w:color="auto" w:fill="067296" w:themeFill="text2"/>
          </w:tcPr>
          <w:p w14:paraId="46132CE7"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Architecture</w:t>
            </w:r>
          </w:p>
        </w:tc>
        <w:tc>
          <w:tcPr>
            <w:tcW w:w="6378" w:type="dxa"/>
          </w:tcPr>
          <w:p w14:paraId="68AE6E36"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A holistic conceptual framework that defines how diverse components within a system—spanning physical, informational, operational, and transactional domains—are interconnected through foundational structural relationships. This architecture enables the entire system to operate cohesively in pursuit of specific, often complex, objectives.</w:t>
            </w:r>
          </w:p>
          <w:p w14:paraId="06C6F4B9"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At its core, a systems architecture articulates the structural linkages, interdependencies, and interactions among components, capturing the essential logic that binds them into an integrated whole. In simplified terms, while the boxes of a block diagram represent the system’s constituent elements, it is the connecting lines—the architecture—that illustrate how these elements cooperate to achieve functionality.</w:t>
            </w:r>
          </w:p>
          <w:p w14:paraId="19A70E4A"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A primary function of systems architecture is to expose and support collective reasoning about how all components interact to deliver intended capabilities. This includes identifying non-scalable legacy structures that may hinder future performance. While individual components are often more visible, it is the underlying architecture—those hidden yet critical relationships—that exerts disproportionate influence over system-wide capabilities, resilience, and limitations.</w:t>
            </w:r>
          </w:p>
          <w:p w14:paraId="38DBDF63" w14:textId="77777777" w:rsidR="00C660D4" w:rsidRPr="00C660D4" w:rsidRDefault="00C660D4" w:rsidP="00C660D4">
            <w:pPr>
              <w:spacing w:before="120" w:after="120" w:line="288" w:lineRule="auto"/>
              <w:ind w:left="176" w:right="169"/>
              <w:rPr>
                <w:szCs w:val="18"/>
                <w:lang w:bidi="ar-SA"/>
              </w:rPr>
            </w:pPr>
            <w:r w:rsidRPr="00C660D4">
              <w:rPr>
                <w:szCs w:val="18"/>
                <w:lang w:eastAsia="en-US" w:bidi="ar-SA"/>
              </w:rPr>
              <w:t>In times of rapid change or transformation, ensuring that legacy structural relationships can adapt and scale is vital. This adaptability is crucial to maintaining secure, reliable, and cost-efficient operation in the face of evolving requirements and technological disruption.</w:t>
            </w:r>
          </w:p>
        </w:tc>
      </w:tr>
      <w:tr w:rsidR="00C660D4" w:rsidRPr="00C660D4" w:rsidDel="004725D6" w14:paraId="4C6A596B" w14:textId="77777777" w:rsidTr="00E52F89">
        <w:tc>
          <w:tcPr>
            <w:tcW w:w="2127" w:type="dxa"/>
            <w:shd w:val="clear" w:color="auto" w:fill="067296" w:themeFill="text2"/>
          </w:tcPr>
          <w:p w14:paraId="662C4087"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Architectural Issues</w:t>
            </w:r>
          </w:p>
        </w:tc>
        <w:tc>
          <w:tcPr>
            <w:tcW w:w="6378" w:type="dxa"/>
          </w:tcPr>
          <w:p w14:paraId="4AB46AC3"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 xml:space="preserve">Following are eight important structural issues that the Power Systems Architecture disciplines address that will otherwise negatively impact the operability and resilience of decarbonising power systems:   </w:t>
            </w:r>
          </w:p>
          <w:p w14:paraId="06708E04" w14:textId="77777777" w:rsidR="00C660D4" w:rsidRPr="00C660D4" w:rsidRDefault="00C660D4" w:rsidP="00F05949">
            <w:pPr>
              <w:numPr>
                <w:ilvl w:val="0"/>
                <w:numId w:val="96"/>
              </w:numPr>
              <w:spacing w:before="60" w:after="60" w:line="288" w:lineRule="auto"/>
              <w:rPr>
                <w:rFonts w:eastAsia="Times New Roman" w:cs="Segoe UI"/>
                <w:kern w:val="0"/>
                <w:szCs w:val="18"/>
                <w14:ligatures w14:val="none"/>
              </w:rPr>
            </w:pPr>
            <w:r w:rsidRPr="00C660D4">
              <w:rPr>
                <w:rFonts w:eastAsia="Times New Roman" w:cs="Segoe UI"/>
                <w:kern w:val="0"/>
                <w:szCs w:val="18"/>
                <w14:ligatures w14:val="none"/>
              </w:rPr>
              <w:t xml:space="preserve">Tier/Layer Bypassing:  The creation of information flows or coordination signals that ‘leapfrog’ a vertical tier/layer of the power system’s operational hierarchy. </w:t>
            </w:r>
          </w:p>
          <w:p w14:paraId="2704D465" w14:textId="77777777" w:rsidR="00C660D4" w:rsidRPr="00C660D4" w:rsidRDefault="00C660D4" w:rsidP="00F05949">
            <w:pPr>
              <w:numPr>
                <w:ilvl w:val="0"/>
                <w:numId w:val="96"/>
              </w:numPr>
              <w:spacing w:before="60" w:after="60" w:line="288" w:lineRule="auto"/>
              <w:rPr>
                <w:rFonts w:eastAsia="Times New Roman" w:cs="Segoe UI"/>
                <w:kern w:val="0"/>
                <w:szCs w:val="18"/>
                <w14:ligatures w14:val="none"/>
              </w:rPr>
            </w:pPr>
            <w:r w:rsidRPr="00C660D4">
              <w:rPr>
                <w:rFonts w:eastAsia="Times New Roman" w:cs="Segoe UI"/>
                <w:kern w:val="0"/>
                <w:szCs w:val="18"/>
                <w14:ligatures w14:val="none"/>
              </w:rPr>
              <w:t>Coordination Gapping: An element of the power system does not receive an explicit flow of coordination signals from any higher tier/layer of the system and therefore operates in isolation.</w:t>
            </w:r>
          </w:p>
          <w:p w14:paraId="7F54EF38" w14:textId="77777777" w:rsidR="00C660D4" w:rsidRPr="00C660D4" w:rsidRDefault="00C660D4" w:rsidP="00F05949">
            <w:pPr>
              <w:numPr>
                <w:ilvl w:val="0"/>
                <w:numId w:val="96"/>
              </w:numPr>
              <w:spacing w:before="60" w:after="60" w:line="288" w:lineRule="auto"/>
              <w:rPr>
                <w:rFonts w:eastAsia="Times New Roman" w:cs="Segoe UI"/>
                <w:kern w:val="0"/>
                <w:szCs w:val="18"/>
                <w14:ligatures w14:val="none"/>
              </w:rPr>
            </w:pPr>
            <w:r w:rsidRPr="00C660D4">
              <w:rPr>
                <w:rFonts w:eastAsia="Times New Roman" w:cs="Segoe UI"/>
                <w:kern w:val="0"/>
                <w:szCs w:val="18"/>
                <w14:ligatures w14:val="none"/>
              </w:rPr>
              <w:t xml:space="preserve">Hidden Coupling: Two or more control entities with partial views of system state issue simultaneous but conflicting coordination signals to a CER/DER or component of the power system. </w:t>
            </w:r>
          </w:p>
          <w:p w14:paraId="786A30F3" w14:textId="77777777" w:rsidR="00C660D4" w:rsidRPr="00C660D4" w:rsidRDefault="00C660D4" w:rsidP="00F05949">
            <w:pPr>
              <w:numPr>
                <w:ilvl w:val="0"/>
                <w:numId w:val="96"/>
              </w:numPr>
              <w:spacing w:before="60" w:after="60" w:line="288" w:lineRule="auto"/>
              <w:rPr>
                <w:rFonts w:eastAsia="Times New Roman" w:cs="Segoe UI"/>
                <w:kern w:val="0"/>
                <w:szCs w:val="18"/>
                <w14:ligatures w14:val="none"/>
              </w:rPr>
            </w:pPr>
            <w:r w:rsidRPr="00C660D4">
              <w:rPr>
                <w:rFonts w:eastAsia="Times New Roman" w:cs="Segoe UI"/>
                <w:kern w:val="0"/>
                <w:szCs w:val="18"/>
                <w14:ligatures w14:val="none"/>
              </w:rPr>
              <w:t xml:space="preserve">Cluster Coupling:  Where CER/DER are addressed in groups that do not allow for separation of edge device commands by specific criterion: location, device type, device service provision, etc. </w:t>
            </w:r>
          </w:p>
          <w:p w14:paraId="240BD7D6" w14:textId="77777777" w:rsidR="00F05949" w:rsidRDefault="00C660D4" w:rsidP="00F05949">
            <w:pPr>
              <w:numPr>
                <w:ilvl w:val="0"/>
                <w:numId w:val="96"/>
              </w:numPr>
              <w:spacing w:before="60" w:after="60" w:line="288" w:lineRule="auto"/>
              <w:rPr>
                <w:rFonts w:eastAsia="Times New Roman" w:cs="Segoe UI"/>
                <w:kern w:val="0"/>
                <w:szCs w:val="18"/>
                <w14:ligatures w14:val="none"/>
              </w:rPr>
            </w:pPr>
            <w:r w:rsidRPr="00C660D4">
              <w:rPr>
                <w:rFonts w:eastAsia="Times New Roman" w:cs="Segoe UI"/>
                <w:kern w:val="0"/>
                <w:szCs w:val="18"/>
                <w14:ligatures w14:val="none"/>
              </w:rPr>
              <w:t>Latency Cascading: Creation of compounding latencies in information flows due to the serial routing of data through various computational systems, processes and organisations.</w:t>
            </w:r>
          </w:p>
          <w:p w14:paraId="31F56301" w14:textId="235C3938" w:rsidR="00F05949" w:rsidRPr="00F05949" w:rsidRDefault="00F05949" w:rsidP="00F05949">
            <w:pPr>
              <w:numPr>
                <w:ilvl w:val="0"/>
                <w:numId w:val="96"/>
              </w:numPr>
              <w:spacing w:before="60" w:after="60" w:line="288" w:lineRule="auto"/>
              <w:rPr>
                <w:rFonts w:eastAsia="Times New Roman" w:cs="Segoe UI"/>
                <w:kern w:val="0"/>
                <w:szCs w:val="18"/>
                <w14:ligatures w14:val="none"/>
              </w:rPr>
            </w:pPr>
            <w:r w:rsidRPr="00F05949">
              <w:rPr>
                <w:rFonts w:eastAsia="Times New Roman" w:cs="Segoe UI"/>
                <w:kern w:val="0"/>
                <w:szCs w:val="18"/>
                <w14:ligatures w14:val="none"/>
              </w:rPr>
              <w:t>Computational Time &amp; Cost Excursions: Where massive data volumes, latencies and processing ‘bottlenecks’ occur, compounded by unresolved structural issues, optimisation engines risk hitting a computational ‘time wall’ where no amount of computing resource will be adequate to solve the optimisation problems in an acceptable time and at an efficient cost</w:t>
            </w:r>
            <w:r w:rsidRPr="00F05949">
              <w:rPr>
                <w:b/>
                <w:lang w:eastAsia="en-US" w:bidi="ar-SA"/>
              </w:rPr>
              <w:t>.</w:t>
            </w:r>
            <w:r w:rsidRPr="00986F53">
              <w:rPr>
                <w:rStyle w:val="FootnoteReference"/>
                <w:bCs/>
                <w:sz w:val="20"/>
                <w:szCs w:val="25"/>
              </w:rPr>
              <w:footnoteReference w:id="16"/>
            </w:r>
          </w:p>
          <w:p w14:paraId="50176940" w14:textId="77777777" w:rsidR="00C660D4" w:rsidRPr="00C660D4" w:rsidRDefault="00C660D4" w:rsidP="00F05949">
            <w:pPr>
              <w:numPr>
                <w:ilvl w:val="0"/>
                <w:numId w:val="96"/>
              </w:numPr>
              <w:spacing w:before="60" w:after="60" w:line="288" w:lineRule="auto"/>
              <w:rPr>
                <w:rFonts w:eastAsia="Times New Roman" w:cs="Segoe UI"/>
                <w:kern w:val="0"/>
                <w:szCs w:val="18"/>
                <w14:ligatures w14:val="none"/>
              </w:rPr>
            </w:pPr>
            <w:r w:rsidRPr="00C660D4">
              <w:rPr>
                <w:rFonts w:eastAsia="Times New Roman" w:cs="Segoe UI"/>
                <w:kern w:val="0"/>
                <w:szCs w:val="18"/>
                <w14:ligatures w14:val="none"/>
              </w:rPr>
              <w:t xml:space="preserve">Cybersecurity Structural Vulnerabilities: Ill-informed and often unnecessary structural choices result in communication and routings that create non-cyber vulnerabilities to system penetration. </w:t>
            </w:r>
          </w:p>
          <w:p w14:paraId="2D2DAD9E" w14:textId="77777777" w:rsidR="00C660D4" w:rsidRPr="00C660D4" w:rsidDel="004725D6" w:rsidRDefault="00C660D4" w:rsidP="00F05949">
            <w:pPr>
              <w:numPr>
                <w:ilvl w:val="0"/>
                <w:numId w:val="96"/>
              </w:numPr>
              <w:spacing w:before="60" w:after="60" w:line="288" w:lineRule="auto"/>
              <w:rPr>
                <w:rFonts w:eastAsia="Times New Roman" w:cs="Segoe UI"/>
                <w:kern w:val="0"/>
                <w:szCs w:val="18"/>
                <w14:ligatures w14:val="none"/>
              </w:rPr>
            </w:pPr>
            <w:r w:rsidRPr="00C660D4">
              <w:rPr>
                <w:rFonts w:eastAsia="Times New Roman" w:cs="Segoe UI"/>
                <w:kern w:val="0"/>
                <w:szCs w:val="18"/>
                <w14:ligatures w14:val="none"/>
              </w:rPr>
              <w:t xml:space="preserve">Back-end Integration Constraints:  Multiple vertical silo structures found in many supply-chain organisations drive significant back-end integration costs, anti-resilience and are anti-extensible due to the coupling of applications in which where failure in one can ripple through to degrade others. </w:t>
            </w:r>
          </w:p>
        </w:tc>
      </w:tr>
    </w:tbl>
    <w:p w14:paraId="166C35B0" w14:textId="77777777" w:rsidR="00F05949" w:rsidRDefault="00F05949">
      <w:r>
        <w:br w:type="page"/>
      </w:r>
    </w:p>
    <w:tbl>
      <w:tblPr>
        <w:tblStyle w:val="TableGrid"/>
        <w:tblW w:w="8505" w:type="dxa"/>
        <w:tblInd w:w="-5" w:type="dxa"/>
        <w:tblLook w:val="04A0" w:firstRow="1" w:lastRow="0" w:firstColumn="1" w:lastColumn="0" w:noHBand="0" w:noVBand="1"/>
      </w:tblPr>
      <w:tblGrid>
        <w:gridCol w:w="2127"/>
        <w:gridCol w:w="6378"/>
      </w:tblGrid>
      <w:tr w:rsidR="00C660D4" w:rsidRPr="00C660D4" w14:paraId="6D541342" w14:textId="77777777" w:rsidTr="00E52F89">
        <w:tc>
          <w:tcPr>
            <w:tcW w:w="2127" w:type="dxa"/>
            <w:shd w:val="clear" w:color="auto" w:fill="067296" w:themeFill="text2"/>
          </w:tcPr>
          <w:p w14:paraId="26F5419A" w14:textId="77777777" w:rsidR="00C660D4" w:rsidRPr="00C660D4" w:rsidRDefault="00C660D4" w:rsidP="00C660D4">
            <w:pPr>
              <w:spacing w:before="120" w:after="120" w:line="288" w:lineRule="auto"/>
              <w:ind w:left="176" w:right="176"/>
              <w:jc w:val="center"/>
              <w:rPr>
                <w:rFonts w:ascii="PP Mori SemiBold" w:hAnsi="PP Mori SemiBold"/>
                <w:iCs/>
                <w:color w:val="FAFAFA" w:themeColor="background1"/>
                <w:szCs w:val="18"/>
              </w:rPr>
            </w:pPr>
            <w:r w:rsidRPr="00C660D4">
              <w:rPr>
                <w:rFonts w:ascii="PP Mori SemiBold" w:hAnsi="PP Mori SemiBold"/>
                <w:iCs/>
                <w:color w:val="FAFAFA" w:themeColor="background1"/>
                <w:szCs w:val="18"/>
              </w:rPr>
              <w:t>Bidirectional</w:t>
            </w:r>
          </w:p>
          <w:p w14:paraId="29E281B8"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71974256" w14:textId="77777777" w:rsidR="00C660D4" w:rsidRPr="00C660D4" w:rsidRDefault="00C660D4" w:rsidP="00C660D4">
            <w:pPr>
              <w:spacing w:before="120" w:after="120" w:line="288" w:lineRule="auto"/>
              <w:ind w:left="176" w:right="176"/>
              <w:rPr>
                <w:szCs w:val="18"/>
                <w:lang w:eastAsia="en-US" w:bidi="ar-SA"/>
              </w:rPr>
            </w:pPr>
            <w:r w:rsidRPr="00C660D4">
              <w:rPr>
                <w:lang w:eastAsia="en-US" w:bidi="ar-SA"/>
              </w:rPr>
              <w:t xml:space="preserve">In the context of a decarbonising power system served by high levels of both Variable Renewable Energy (VRE) and Consumer Energy Resources (CER/DER), conventional one-way system operations progressively transform to become increasingly two-directional. </w:t>
            </w:r>
          </w:p>
          <w:p w14:paraId="52D8DCEB" w14:textId="77777777" w:rsidR="00C660D4" w:rsidRPr="00C660D4" w:rsidRDefault="00C660D4" w:rsidP="00C660D4">
            <w:pPr>
              <w:spacing w:before="120" w:after="120" w:line="288" w:lineRule="auto"/>
              <w:ind w:left="176" w:right="176"/>
              <w:rPr>
                <w:szCs w:val="18"/>
                <w:lang w:eastAsia="en-US" w:bidi="ar-SA"/>
              </w:rPr>
            </w:pPr>
            <w:r w:rsidRPr="00C660D4">
              <w:rPr>
                <w:lang w:eastAsia="en-US" w:bidi="ar-SA"/>
              </w:rPr>
              <w:t xml:space="preserve">As a significant departure from traditional system operations, this drives a profound structural shift toward two-way flows of power, information and market services as follows:   </w:t>
            </w:r>
          </w:p>
          <w:p w14:paraId="64A010FD" w14:textId="77777777" w:rsidR="00C660D4" w:rsidRPr="00C660D4" w:rsidRDefault="00C660D4" w:rsidP="00954BAC">
            <w:pPr>
              <w:numPr>
                <w:ilvl w:val="0"/>
                <w:numId w:val="96"/>
              </w:numPr>
              <w:spacing w:before="60" w:after="60" w:line="288" w:lineRule="auto"/>
              <w:ind w:left="714" w:hanging="357"/>
              <w:rPr>
                <w:rFonts w:eastAsia="Times New Roman" w:cs="Segoe UI"/>
                <w:kern w:val="0"/>
                <w:szCs w:val="18"/>
                <w14:ligatures w14:val="none"/>
              </w:rPr>
            </w:pPr>
            <w:r w:rsidRPr="00C660D4">
              <w:rPr>
                <w:rFonts w:eastAsia="Times New Roman" w:cs="Segoe UI"/>
                <w:kern w:val="0"/>
                <w:szCs w:val="18"/>
                <w14:ligatures w14:val="none"/>
              </w:rPr>
              <w:t xml:space="preserve">Bidirectional power flows: Where the output of CER/DER periodically exceeds local demand, with surplus capacity being fed upstream to the wider system. </w:t>
            </w:r>
          </w:p>
          <w:p w14:paraId="6BB8B025" w14:textId="77777777" w:rsidR="00C660D4" w:rsidRPr="00C660D4" w:rsidRDefault="00C660D4" w:rsidP="00954BAC">
            <w:pPr>
              <w:numPr>
                <w:ilvl w:val="0"/>
                <w:numId w:val="96"/>
              </w:numPr>
              <w:spacing w:before="60" w:after="60" w:line="288" w:lineRule="auto"/>
              <w:ind w:left="714" w:hanging="357"/>
              <w:rPr>
                <w:rFonts w:eastAsia="Times New Roman" w:cs="Segoe UI"/>
                <w:kern w:val="0"/>
                <w:szCs w:val="18"/>
                <w14:ligatures w14:val="none"/>
              </w:rPr>
            </w:pPr>
            <w:r w:rsidRPr="00C660D4">
              <w:rPr>
                <w:rFonts w:eastAsia="Times New Roman" w:cs="Segoe UI"/>
                <w:kern w:val="0"/>
                <w:szCs w:val="18"/>
                <w14:ligatures w14:val="none"/>
              </w:rPr>
              <w:t xml:space="preserve">Bidirectional information flows: Two-way data flows between upstream and downstream actors and resources become essential, spanning System Operator, TNSPs, DSOs, VPPs, CER/DER, etc. </w:t>
            </w:r>
          </w:p>
          <w:p w14:paraId="274A6D69" w14:textId="77777777" w:rsidR="00C660D4" w:rsidRPr="00C660D4" w:rsidRDefault="00C660D4" w:rsidP="00954BAC">
            <w:pPr>
              <w:numPr>
                <w:ilvl w:val="0"/>
                <w:numId w:val="96"/>
              </w:numPr>
              <w:spacing w:before="60" w:after="60" w:line="288" w:lineRule="auto"/>
              <w:ind w:left="714" w:hanging="357"/>
              <w:rPr>
                <w:rFonts w:eastAsia="Times New Roman" w:cs="Segoe UI"/>
                <w:kern w:val="0"/>
                <w:szCs w:val="18"/>
                <w14:ligatures w14:val="none"/>
              </w:rPr>
            </w:pPr>
            <w:r w:rsidRPr="00C660D4">
              <w:rPr>
                <w:rFonts w:eastAsia="Times New Roman" w:cs="Segoe UI"/>
                <w:kern w:val="0"/>
                <w:szCs w:val="18"/>
                <w14:ligatures w14:val="none"/>
              </w:rPr>
              <w:t>Bidirectional market participation: Millions of customers become both producers and consumers and may provide services to energy markets and the wider system.</w:t>
            </w:r>
          </w:p>
        </w:tc>
      </w:tr>
      <w:tr w:rsidR="00C660D4" w:rsidRPr="00C660D4" w14:paraId="02EF1B81" w14:textId="77777777" w:rsidTr="00E52F89">
        <w:tc>
          <w:tcPr>
            <w:tcW w:w="2127" w:type="dxa"/>
            <w:shd w:val="clear" w:color="auto" w:fill="067296" w:themeFill="text2"/>
          </w:tcPr>
          <w:p w14:paraId="4D73BB12" w14:textId="77777777" w:rsidR="00C660D4" w:rsidRPr="00C660D4" w:rsidRDefault="00C660D4" w:rsidP="00C660D4">
            <w:pPr>
              <w:spacing w:before="120" w:after="120" w:line="288" w:lineRule="auto"/>
              <w:ind w:left="176" w:right="170"/>
              <w:jc w:val="center"/>
              <w:rPr>
                <w:rFonts w:ascii="PP Mori SemiBold" w:hAnsi="PP Mori SemiBold"/>
                <w:color w:val="FAFAFA" w:themeColor="background1"/>
                <w:szCs w:val="18"/>
              </w:rPr>
            </w:pPr>
            <w:r w:rsidRPr="00C660D4">
              <w:rPr>
                <w:rFonts w:ascii="PP Mori SemiBold" w:hAnsi="PP Mori SemiBold"/>
                <w:color w:val="FAFAFA" w:themeColor="background1"/>
                <w:szCs w:val="18"/>
              </w:rPr>
              <w:t>Capability</w:t>
            </w:r>
          </w:p>
        </w:tc>
        <w:tc>
          <w:tcPr>
            <w:tcW w:w="6378" w:type="dxa"/>
          </w:tcPr>
          <w:p w14:paraId="6BDC712F" w14:textId="77777777" w:rsidR="00C660D4" w:rsidRPr="00C660D4" w:rsidRDefault="00C660D4" w:rsidP="00C660D4">
            <w:pPr>
              <w:spacing w:before="120" w:after="120" w:line="288" w:lineRule="auto"/>
              <w:ind w:left="176" w:right="170"/>
              <w:rPr>
                <w:lang w:eastAsia="en-US" w:bidi="ar-SA"/>
              </w:rPr>
            </w:pPr>
            <w:r w:rsidRPr="00C660D4">
              <w:rPr>
                <w:szCs w:val="18"/>
                <w:lang w:eastAsia="en-US" w:bidi="ar-SA"/>
              </w:rPr>
              <w:t>The ability to perform certain actions or achieve specific outcomes.</w:t>
            </w:r>
          </w:p>
        </w:tc>
      </w:tr>
      <w:tr w:rsidR="00C660D4" w:rsidRPr="00C660D4" w14:paraId="26AB7AF6" w14:textId="77777777" w:rsidTr="00E52F89">
        <w:tc>
          <w:tcPr>
            <w:tcW w:w="2127" w:type="dxa"/>
            <w:shd w:val="clear" w:color="auto" w:fill="067296" w:themeFill="text2"/>
          </w:tcPr>
          <w:p w14:paraId="29FEC80E" w14:textId="77777777" w:rsidR="00C660D4" w:rsidRPr="00C660D4" w:rsidRDefault="00C660D4" w:rsidP="00C660D4">
            <w:pPr>
              <w:spacing w:before="120" w:after="120" w:line="288" w:lineRule="auto"/>
              <w:ind w:left="176" w:right="170"/>
              <w:jc w:val="center"/>
              <w:rPr>
                <w:rFonts w:ascii="PP Mori SemiBold" w:hAnsi="PP Mori SemiBold"/>
                <w:bCs/>
                <w:color w:val="FAFAFA" w:themeColor="background1"/>
                <w:szCs w:val="18"/>
              </w:rPr>
            </w:pPr>
            <w:r w:rsidRPr="00C660D4">
              <w:rPr>
                <w:rFonts w:ascii="PP Mori SemiBold" w:hAnsi="PP Mori SemiBold"/>
                <w:bCs/>
                <w:color w:val="FAFAFA" w:themeColor="background1"/>
                <w:szCs w:val="18"/>
              </w:rPr>
              <w:t>Complexity</w:t>
            </w:r>
          </w:p>
          <w:p w14:paraId="2E4D90AA" w14:textId="77777777" w:rsidR="00C660D4" w:rsidRPr="00C660D4" w:rsidRDefault="00C660D4" w:rsidP="00C660D4">
            <w:pPr>
              <w:spacing w:before="120" w:after="120" w:line="288" w:lineRule="auto"/>
              <w:ind w:left="176" w:right="170"/>
              <w:jc w:val="center"/>
              <w:rPr>
                <w:rFonts w:ascii="PP Mori SemiBold" w:hAnsi="PP Mori SemiBold"/>
                <w:bCs/>
                <w:color w:val="FAFAFA" w:themeColor="background1"/>
                <w:szCs w:val="18"/>
              </w:rPr>
            </w:pPr>
          </w:p>
        </w:tc>
        <w:tc>
          <w:tcPr>
            <w:tcW w:w="6378" w:type="dxa"/>
          </w:tcPr>
          <w:p w14:paraId="70B3907D" w14:textId="77777777" w:rsidR="00C660D4" w:rsidRPr="00C660D4" w:rsidRDefault="00C660D4" w:rsidP="00C660D4">
            <w:pPr>
              <w:spacing w:before="120" w:after="120" w:line="264" w:lineRule="auto"/>
              <w:ind w:left="176"/>
              <w:rPr>
                <w:b/>
                <w:lang w:eastAsia="en-US" w:bidi="ar-SA"/>
              </w:rPr>
            </w:pPr>
            <w:r w:rsidRPr="00C660D4">
              <w:rPr>
                <w:lang w:eastAsia="en-US" w:bidi="ar-SA"/>
              </w:rPr>
              <w:t xml:space="preserve">A system is complex if it has many interrelated, interconnected, or interdependent entities and relationships. A high-level indicator of the complexity of any system is the amount of information required to describe its full range of functions and behaviours (i.e. words, formulae, lines of code, etc.). </w:t>
            </w:r>
          </w:p>
          <w:p w14:paraId="33BAF73C" w14:textId="77777777" w:rsidR="00C660D4" w:rsidRPr="00C660D4" w:rsidRDefault="00C660D4" w:rsidP="00C660D4">
            <w:pPr>
              <w:spacing w:before="120" w:after="120" w:line="264" w:lineRule="auto"/>
              <w:ind w:left="176"/>
              <w:rPr>
                <w:b/>
                <w:lang w:eastAsia="en-US" w:bidi="ar-SA"/>
              </w:rPr>
            </w:pPr>
            <w:r w:rsidRPr="00C660D4">
              <w:rPr>
                <w:lang w:eastAsia="en-US" w:bidi="ar-SA"/>
              </w:rPr>
              <w:t xml:space="preserve">It is important to note that additional complexity is driven into a legacy system by ‘asking more’ of it: more functions, more interdependencies, more robustness, more flexibility, etc. This expansion of complexity is always exacerbated by the addition of new components and may ultimately require targeted modifications to the structure through the application of Systems Architecture disciplines. </w:t>
            </w:r>
          </w:p>
        </w:tc>
      </w:tr>
      <w:tr w:rsidR="00C660D4" w:rsidRPr="00C660D4" w14:paraId="5971D378" w14:textId="77777777" w:rsidTr="00E52F89">
        <w:tc>
          <w:tcPr>
            <w:tcW w:w="2127" w:type="dxa"/>
            <w:shd w:val="clear" w:color="auto" w:fill="067296" w:themeFill="text2"/>
          </w:tcPr>
          <w:p w14:paraId="1B98F1C2" w14:textId="77777777" w:rsidR="00C660D4" w:rsidRPr="00C660D4" w:rsidRDefault="00C660D4" w:rsidP="00C660D4">
            <w:pPr>
              <w:spacing w:before="120" w:after="120" w:line="288" w:lineRule="auto"/>
              <w:ind w:left="176" w:right="170"/>
              <w:jc w:val="center"/>
              <w:rPr>
                <w:rFonts w:ascii="PP Mori SemiBold" w:hAnsi="PP Mori SemiBold"/>
                <w:color w:val="FAFAFA" w:themeColor="background1"/>
                <w:szCs w:val="18"/>
              </w:rPr>
            </w:pPr>
            <w:r w:rsidRPr="00C660D4">
              <w:rPr>
                <w:rFonts w:ascii="PP Mori SemiBold" w:hAnsi="PP Mori SemiBold"/>
                <w:color w:val="FAFAFA" w:themeColor="background1"/>
                <w:szCs w:val="18"/>
              </w:rPr>
              <w:t>Component</w:t>
            </w:r>
          </w:p>
          <w:p w14:paraId="557F5067" w14:textId="77777777" w:rsidR="00C660D4" w:rsidRPr="00C660D4" w:rsidRDefault="00C660D4" w:rsidP="00C660D4">
            <w:pPr>
              <w:spacing w:before="120" w:after="120" w:line="288" w:lineRule="auto"/>
              <w:ind w:left="176" w:right="170"/>
              <w:jc w:val="center"/>
              <w:rPr>
                <w:rFonts w:ascii="PP Mori SemiBold" w:hAnsi="PP Mori SemiBold"/>
                <w:color w:val="FAFAFA" w:themeColor="background1"/>
                <w:szCs w:val="18"/>
              </w:rPr>
            </w:pPr>
          </w:p>
        </w:tc>
        <w:tc>
          <w:tcPr>
            <w:tcW w:w="6378" w:type="dxa"/>
          </w:tcPr>
          <w:p w14:paraId="103C70B6" w14:textId="77777777" w:rsidR="00C660D4" w:rsidRPr="00C660D4" w:rsidRDefault="00C660D4" w:rsidP="00C660D4">
            <w:pPr>
              <w:spacing w:before="120" w:after="120" w:line="288" w:lineRule="auto"/>
              <w:ind w:left="176" w:right="170"/>
              <w:rPr>
                <w:szCs w:val="18"/>
                <w:lang w:eastAsia="en-US" w:bidi="ar-SA"/>
              </w:rPr>
            </w:pPr>
            <w:r w:rsidRPr="00C660D4">
              <w:rPr>
                <w:szCs w:val="18"/>
                <w:lang w:eastAsia="en-US" w:bidi="ar-SA"/>
              </w:rPr>
              <w:t>A generic term for the uniquely identifiable elements, building blocks, organisations, devices and applications which are related together by a structure to enable the purposes of the system to be achieved.</w:t>
            </w:r>
            <w:r w:rsidRPr="00C660D4">
              <w:rPr>
                <w:rFonts w:ascii="Cambria Math" w:hAnsi="Cambria Math" w:cs="Cambria Math"/>
                <w:szCs w:val="18"/>
                <w:lang w:eastAsia="en-US" w:bidi="ar-SA"/>
              </w:rPr>
              <w:t> </w:t>
            </w:r>
            <w:r w:rsidRPr="00C660D4">
              <w:rPr>
                <w:rFonts w:ascii="Calibri" w:hAnsi="Calibri" w:cs="Calibri"/>
                <w:szCs w:val="18"/>
                <w:lang w:eastAsia="en-US" w:bidi="ar-SA"/>
              </w:rPr>
              <w:t> </w:t>
            </w:r>
          </w:p>
          <w:p w14:paraId="79BCC22B" w14:textId="77777777" w:rsidR="00C660D4" w:rsidRPr="00C660D4" w:rsidRDefault="00C660D4" w:rsidP="00C660D4">
            <w:pPr>
              <w:spacing w:before="120" w:after="120" w:line="288" w:lineRule="auto"/>
              <w:ind w:left="176" w:right="170"/>
              <w:rPr>
                <w:szCs w:val="18"/>
                <w:lang w:eastAsia="en-US" w:bidi="ar-SA"/>
              </w:rPr>
            </w:pPr>
            <w:r w:rsidRPr="00C660D4">
              <w:rPr>
                <w:szCs w:val="18"/>
                <w:lang w:eastAsia="en-US" w:bidi="ar-SA"/>
              </w:rPr>
              <w:t>The term also includes mechanisms intrinsic to the functioning of the system that are both tangible and intangible, such as policy instruments, regulatory mechanisms, rate or tariff structures, etc.</w:t>
            </w:r>
            <w:r w:rsidRPr="00C660D4">
              <w:rPr>
                <w:rFonts w:ascii="Calibri" w:hAnsi="Calibri" w:cs="Calibri"/>
                <w:szCs w:val="18"/>
                <w:lang w:eastAsia="en-US" w:bidi="ar-SA"/>
              </w:rPr>
              <w:t> </w:t>
            </w:r>
          </w:p>
        </w:tc>
      </w:tr>
      <w:tr w:rsidR="00C660D4" w:rsidRPr="00C660D4" w14:paraId="116BAB13" w14:textId="77777777" w:rsidTr="00E52F89">
        <w:tc>
          <w:tcPr>
            <w:tcW w:w="2127" w:type="dxa"/>
            <w:shd w:val="clear" w:color="auto" w:fill="067296" w:themeFill="text2"/>
          </w:tcPr>
          <w:p w14:paraId="7ECA9980"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Consumer Energy Resources (CER/DER)</w:t>
            </w:r>
          </w:p>
          <w:p w14:paraId="3D6FCDD1"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0537B0C2" w14:textId="77777777" w:rsidR="00C660D4" w:rsidRPr="00C660D4" w:rsidRDefault="00C660D4" w:rsidP="00C660D4">
            <w:pPr>
              <w:spacing w:before="120" w:after="120" w:line="288" w:lineRule="auto"/>
              <w:ind w:left="175" w:right="169"/>
              <w:rPr>
                <w:szCs w:val="18"/>
                <w:lang w:eastAsia="en-US" w:bidi="ar-SA"/>
              </w:rPr>
            </w:pPr>
            <w:r w:rsidRPr="00C660D4">
              <w:rPr>
                <w:lang w:eastAsia="en-US" w:bidi="ar-SA"/>
              </w:rPr>
              <w:t>A diverse range of small to medium scale energy resources that are located behind-the-meter at residential, commercial and industrial premises and are owned and operated by the customer. CER/DER are a multi-application resource that include the following types of technologies:</w:t>
            </w:r>
          </w:p>
          <w:p w14:paraId="4484B02F" w14:textId="77777777" w:rsidR="00C660D4" w:rsidRPr="00C660D4" w:rsidRDefault="00C660D4" w:rsidP="00954BAC">
            <w:pPr>
              <w:numPr>
                <w:ilvl w:val="0"/>
                <w:numId w:val="65"/>
              </w:numPr>
              <w:spacing w:before="120" w:after="120" w:line="288" w:lineRule="auto"/>
              <w:ind w:left="743" w:right="170" w:hanging="284"/>
              <w:rPr>
                <w:szCs w:val="18"/>
                <w:lang w:eastAsia="en-US" w:bidi="ar-SA"/>
              </w:rPr>
            </w:pPr>
            <w:r w:rsidRPr="00C660D4">
              <w:rPr>
                <w:lang w:eastAsia="en-US" w:bidi="ar-SA"/>
              </w:rPr>
              <w:t>Distributed Photovoltaics (DPV) and embedded generators</w:t>
            </w:r>
          </w:p>
          <w:p w14:paraId="3167CD46" w14:textId="77777777" w:rsidR="00C660D4" w:rsidRPr="00C660D4" w:rsidRDefault="00C660D4" w:rsidP="00954BAC">
            <w:pPr>
              <w:numPr>
                <w:ilvl w:val="0"/>
                <w:numId w:val="65"/>
              </w:numPr>
              <w:spacing w:before="120" w:after="120" w:line="288" w:lineRule="auto"/>
              <w:ind w:left="743" w:right="170" w:hanging="284"/>
              <w:rPr>
                <w:szCs w:val="18"/>
                <w:lang w:eastAsia="en-US" w:bidi="ar-SA"/>
              </w:rPr>
            </w:pPr>
            <w:r w:rsidRPr="00C660D4">
              <w:rPr>
                <w:lang w:eastAsia="en-US" w:bidi="ar-SA"/>
              </w:rPr>
              <w:t>Battery Energy Storage Systems (BESS), including small and medium-scale batteries</w:t>
            </w:r>
          </w:p>
          <w:p w14:paraId="763AB3DE" w14:textId="77777777" w:rsidR="00C660D4" w:rsidRPr="00C660D4" w:rsidRDefault="00C660D4" w:rsidP="00954BAC">
            <w:pPr>
              <w:numPr>
                <w:ilvl w:val="0"/>
                <w:numId w:val="65"/>
              </w:numPr>
              <w:spacing w:before="120" w:after="120" w:line="288" w:lineRule="auto"/>
              <w:ind w:left="743" w:right="170" w:hanging="284"/>
              <w:rPr>
                <w:szCs w:val="18"/>
                <w:lang w:eastAsia="en-US" w:bidi="ar-SA"/>
              </w:rPr>
            </w:pPr>
            <w:r w:rsidRPr="00C660D4">
              <w:rPr>
                <w:lang w:eastAsia="en-US" w:bidi="ar-SA"/>
              </w:rPr>
              <w:t>Electric Vehicles (EV)</w:t>
            </w:r>
          </w:p>
          <w:p w14:paraId="451349C1" w14:textId="77777777" w:rsidR="00C660D4" w:rsidRPr="00C660D4" w:rsidRDefault="00C660D4" w:rsidP="00954BAC">
            <w:pPr>
              <w:numPr>
                <w:ilvl w:val="0"/>
                <w:numId w:val="65"/>
              </w:numPr>
              <w:spacing w:before="120" w:after="120" w:line="288" w:lineRule="auto"/>
              <w:ind w:left="743" w:right="170" w:hanging="284"/>
              <w:rPr>
                <w:szCs w:val="18"/>
                <w:lang w:eastAsia="en-US" w:bidi="ar-SA"/>
              </w:rPr>
            </w:pPr>
            <w:r w:rsidRPr="00C660D4">
              <w:rPr>
                <w:lang w:eastAsia="en-US" w:bidi="ar-SA"/>
              </w:rPr>
              <w:t>Smart Inverters, and</w:t>
            </w:r>
          </w:p>
          <w:p w14:paraId="10013F91" w14:textId="77777777" w:rsidR="00C660D4" w:rsidRPr="00C660D4" w:rsidRDefault="00C660D4" w:rsidP="00954BAC">
            <w:pPr>
              <w:numPr>
                <w:ilvl w:val="0"/>
                <w:numId w:val="65"/>
              </w:numPr>
              <w:spacing w:before="120" w:after="120" w:line="288" w:lineRule="auto"/>
              <w:ind w:left="743" w:right="170" w:hanging="284"/>
              <w:rPr>
                <w:szCs w:val="18"/>
                <w:lang w:eastAsia="en-US" w:bidi="ar-SA"/>
              </w:rPr>
            </w:pPr>
            <w:r w:rsidRPr="00C660D4">
              <w:rPr>
                <w:lang w:eastAsia="en-US" w:bidi="ar-SA"/>
              </w:rPr>
              <w:t xml:space="preserve">Flexible Resources (Distributed). </w:t>
            </w:r>
          </w:p>
          <w:p w14:paraId="1AF057F9" w14:textId="77777777" w:rsidR="00C660D4" w:rsidRPr="00C660D4" w:rsidRDefault="00C660D4" w:rsidP="00C660D4">
            <w:pPr>
              <w:spacing w:before="120" w:after="120" w:line="288" w:lineRule="auto"/>
              <w:ind w:left="176" w:right="176"/>
              <w:rPr>
                <w:szCs w:val="18"/>
                <w:lang w:bidi="ar-SA"/>
              </w:rPr>
            </w:pPr>
            <w:r w:rsidRPr="00C660D4">
              <w:rPr>
                <w:lang w:eastAsia="en-US" w:bidi="ar-SA"/>
              </w:rPr>
              <w:t>The term Distributed Energy Resources (DER) is appropriately used of these technologies where they connected directly to the distribution system (i.e. front-of-meter).</w:t>
            </w:r>
          </w:p>
        </w:tc>
      </w:tr>
      <w:tr w:rsidR="00C660D4" w:rsidRPr="00C660D4" w14:paraId="0AB9CF1F" w14:textId="77777777" w:rsidTr="00E52F89">
        <w:tc>
          <w:tcPr>
            <w:tcW w:w="2127" w:type="dxa"/>
            <w:shd w:val="clear" w:color="auto" w:fill="067296" w:themeFill="text2"/>
          </w:tcPr>
          <w:p w14:paraId="6A8EB38B"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Consumption</w:t>
            </w:r>
          </w:p>
        </w:tc>
        <w:tc>
          <w:tcPr>
            <w:tcW w:w="6378" w:type="dxa"/>
          </w:tcPr>
          <w:p w14:paraId="7F8ACBCF" w14:textId="77777777" w:rsidR="00C660D4" w:rsidRPr="00C660D4" w:rsidRDefault="00C660D4" w:rsidP="00C660D4">
            <w:pPr>
              <w:spacing w:before="120" w:after="120" w:line="288" w:lineRule="auto"/>
              <w:ind w:left="176" w:right="176"/>
              <w:rPr>
                <w:szCs w:val="18"/>
                <w:lang w:bidi="ar-SA"/>
              </w:rPr>
            </w:pPr>
            <w:r w:rsidRPr="00C660D4">
              <w:rPr>
                <w:szCs w:val="18"/>
                <w:lang w:bidi="ar-SA"/>
              </w:rPr>
              <w:t>The total electricity used over a duration of time, expressed as kilowatt hours (kWh), megawatt hours (MWh), gigawatt hours (GWh) and terawatt hours (TWh).</w:t>
            </w:r>
          </w:p>
        </w:tc>
      </w:tr>
      <w:tr w:rsidR="00C660D4" w:rsidRPr="00C660D4" w14:paraId="16512A64" w14:textId="77777777" w:rsidTr="00E52F89">
        <w:tc>
          <w:tcPr>
            <w:tcW w:w="2127" w:type="dxa"/>
            <w:shd w:val="clear" w:color="auto" w:fill="067296" w:themeFill="text2"/>
          </w:tcPr>
          <w:p w14:paraId="154B82C0"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Co-optimisation</w:t>
            </w:r>
          </w:p>
        </w:tc>
        <w:tc>
          <w:tcPr>
            <w:tcW w:w="6378" w:type="dxa"/>
          </w:tcPr>
          <w:p w14:paraId="0CE3B2DB" w14:textId="77777777" w:rsidR="00C660D4" w:rsidRPr="00C660D4" w:rsidRDefault="00C660D4" w:rsidP="00C660D4">
            <w:pPr>
              <w:spacing w:before="120" w:after="120" w:line="264" w:lineRule="auto"/>
              <w:ind w:left="175"/>
              <w:rPr>
                <w:szCs w:val="18"/>
                <w:lang w:bidi="ar-SA"/>
              </w:rPr>
            </w:pPr>
            <w:r w:rsidRPr="00C660D4">
              <w:rPr>
                <w:szCs w:val="18"/>
                <w:lang w:bidi="ar-SA"/>
              </w:rPr>
              <w:t xml:space="preserve">A structured approach to ensuring that </w:t>
            </w:r>
            <w:r w:rsidRPr="00C660D4">
              <w:rPr>
                <w:lang w:eastAsia="en-US" w:bidi="ar-SA"/>
              </w:rPr>
              <w:t>energy resource</w:t>
            </w:r>
            <w:r w:rsidRPr="00C660D4">
              <w:rPr>
                <w:szCs w:val="18"/>
                <w:lang w:bidi="ar-SA"/>
              </w:rPr>
              <w:t xml:space="preserve"> services dispatched and/or financially incentivised in one vertical </w:t>
            </w:r>
            <w:r w:rsidRPr="00C660D4">
              <w:rPr>
                <w:lang w:eastAsia="en-US" w:bidi="ar-SA"/>
              </w:rPr>
              <w:t>tier/layer</w:t>
            </w:r>
            <w:r w:rsidRPr="00C660D4">
              <w:rPr>
                <w:szCs w:val="18"/>
                <w:lang w:bidi="ar-SA"/>
              </w:rPr>
              <w:t xml:space="preserve"> of the </w:t>
            </w:r>
            <w:r w:rsidRPr="00C660D4">
              <w:rPr>
                <w:lang w:eastAsia="en-US" w:bidi="ar-SA"/>
              </w:rPr>
              <w:t>power system</w:t>
            </w:r>
            <w:r w:rsidRPr="00C660D4">
              <w:rPr>
                <w:szCs w:val="18"/>
                <w:lang w:bidi="ar-SA"/>
              </w:rPr>
              <w:t xml:space="preserve"> (e.g. </w:t>
            </w:r>
            <w:r w:rsidRPr="00C660D4">
              <w:rPr>
                <w:lang w:eastAsia="en-US" w:bidi="ar-SA"/>
              </w:rPr>
              <w:t>bulk power, transmission</w:t>
            </w:r>
            <w:r w:rsidRPr="00C660D4">
              <w:rPr>
                <w:szCs w:val="18"/>
                <w:lang w:bidi="ar-SA"/>
              </w:rPr>
              <w:t xml:space="preserve"> or </w:t>
            </w:r>
            <w:r w:rsidRPr="00C660D4">
              <w:rPr>
                <w:lang w:eastAsia="en-US" w:bidi="ar-SA"/>
              </w:rPr>
              <w:t>distribution system</w:t>
            </w:r>
            <w:r w:rsidRPr="00C660D4">
              <w:rPr>
                <w:szCs w:val="18"/>
                <w:lang w:bidi="ar-SA"/>
              </w:rPr>
              <w:t xml:space="preserve">) are not driving unintended negative consequences in other </w:t>
            </w:r>
            <w:r w:rsidRPr="00C660D4">
              <w:rPr>
                <w:lang w:eastAsia="en-US" w:bidi="ar-SA"/>
              </w:rPr>
              <w:t>tiers/layers</w:t>
            </w:r>
            <w:r w:rsidRPr="00C660D4">
              <w:rPr>
                <w:szCs w:val="18"/>
                <w:lang w:bidi="ar-SA"/>
              </w:rPr>
              <w:t xml:space="preserve"> of the </w:t>
            </w:r>
            <w:r w:rsidRPr="00C660D4">
              <w:rPr>
                <w:lang w:eastAsia="en-US" w:bidi="ar-SA"/>
              </w:rPr>
              <w:t>system</w:t>
            </w:r>
            <w:r w:rsidRPr="00C660D4">
              <w:rPr>
                <w:szCs w:val="18"/>
                <w:lang w:bidi="ar-SA"/>
              </w:rPr>
              <w:t>.</w:t>
            </w:r>
          </w:p>
        </w:tc>
      </w:tr>
      <w:tr w:rsidR="00C660D4" w:rsidRPr="00C660D4" w14:paraId="25342B2B" w14:textId="77777777" w:rsidTr="00E52F89">
        <w:tc>
          <w:tcPr>
            <w:tcW w:w="2127" w:type="dxa"/>
            <w:shd w:val="clear" w:color="auto" w:fill="067296" w:themeFill="text2"/>
          </w:tcPr>
          <w:p w14:paraId="42D405F6"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Customers</w:t>
            </w:r>
          </w:p>
        </w:tc>
        <w:tc>
          <w:tcPr>
            <w:tcW w:w="6378" w:type="dxa"/>
          </w:tcPr>
          <w:p w14:paraId="5AF57AB8" w14:textId="77777777" w:rsidR="00C660D4" w:rsidRPr="00C660D4" w:rsidRDefault="00C660D4" w:rsidP="00C660D4">
            <w:pPr>
              <w:spacing w:before="120" w:after="120" w:line="288" w:lineRule="auto"/>
              <w:ind w:left="176" w:right="176"/>
              <w:rPr>
                <w:szCs w:val="18"/>
                <w:lang w:bidi="ar-SA"/>
              </w:rPr>
            </w:pPr>
            <w:r w:rsidRPr="00C660D4">
              <w:rPr>
                <w:szCs w:val="18"/>
                <w:lang w:bidi="ar-SA"/>
              </w:rPr>
              <w:t>The human individuals, families, organisations, institutions and whole societies served by the power system and that are the fundamental reason it exists.</w:t>
            </w:r>
          </w:p>
          <w:p w14:paraId="1671C235" w14:textId="77777777" w:rsidR="00C660D4" w:rsidRPr="00C660D4" w:rsidRDefault="00C660D4" w:rsidP="00C660D4">
            <w:pPr>
              <w:spacing w:before="120" w:after="120" w:line="288" w:lineRule="auto"/>
              <w:ind w:left="176" w:right="176"/>
              <w:rPr>
                <w:szCs w:val="18"/>
                <w:lang w:bidi="ar-SA"/>
              </w:rPr>
            </w:pPr>
            <w:r w:rsidRPr="00C660D4">
              <w:rPr>
                <w:szCs w:val="18"/>
                <w:lang w:bidi="ar-SA"/>
              </w:rPr>
              <w:t>Customers may choose only to receive, consume and pay for services from the power system.</w:t>
            </w:r>
            <w:r w:rsidRPr="00C660D4">
              <w:rPr>
                <w:rFonts w:ascii="Calibri" w:hAnsi="Calibri" w:cs="Calibri"/>
                <w:szCs w:val="18"/>
                <w:lang w:bidi="ar-SA"/>
              </w:rPr>
              <w:t> </w:t>
            </w:r>
            <w:r w:rsidRPr="00C660D4">
              <w:rPr>
                <w:szCs w:val="18"/>
                <w:lang w:bidi="ar-SA"/>
              </w:rPr>
              <w:t xml:space="preserve"> They may also elect to provide services to the power system, in the form of valuable</w:t>
            </w:r>
            <w:r w:rsidRPr="00C660D4">
              <w:rPr>
                <w:rFonts w:ascii="Calibri" w:hAnsi="Calibri" w:cs="Calibri"/>
                <w:szCs w:val="18"/>
                <w:lang w:bidi="ar-SA"/>
              </w:rPr>
              <w:t> </w:t>
            </w:r>
            <w:r w:rsidRPr="00C660D4">
              <w:rPr>
                <w:szCs w:val="18"/>
                <w:lang w:bidi="ar-SA"/>
              </w:rPr>
              <w:t xml:space="preserve">Electric Products consistent with technical requirements, in exchange for some form of value or additional benefit. </w:t>
            </w:r>
            <w:r w:rsidRPr="00C660D4">
              <w:rPr>
                <w:rFonts w:ascii="Calibri" w:hAnsi="Calibri" w:cs="Calibri"/>
                <w:szCs w:val="18"/>
                <w:lang w:bidi="ar-SA"/>
              </w:rPr>
              <w:t> </w:t>
            </w:r>
          </w:p>
        </w:tc>
      </w:tr>
      <w:tr w:rsidR="00C660D4" w:rsidRPr="00C660D4" w14:paraId="016A49A0" w14:textId="77777777" w:rsidTr="00E52F89">
        <w:tc>
          <w:tcPr>
            <w:tcW w:w="2127" w:type="dxa"/>
            <w:shd w:val="clear" w:color="auto" w:fill="067296" w:themeFill="text2"/>
          </w:tcPr>
          <w:p w14:paraId="5D68E823"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Cyber-physical</w:t>
            </w:r>
          </w:p>
          <w:p w14:paraId="1C9E668D"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03D0EEEA" w14:textId="77777777" w:rsidR="00C660D4" w:rsidRPr="00C660D4" w:rsidRDefault="00C660D4" w:rsidP="00C660D4">
            <w:pPr>
              <w:spacing w:before="120" w:after="120" w:line="288" w:lineRule="auto"/>
              <w:ind w:left="176" w:right="176"/>
              <w:rPr>
                <w:szCs w:val="18"/>
                <w:lang w:bidi="ar-SA"/>
              </w:rPr>
            </w:pPr>
            <w:r w:rsidRPr="00C660D4">
              <w:rPr>
                <w:szCs w:val="18"/>
                <w:lang w:bidi="ar-SA"/>
              </w:rPr>
              <w:t>Tightly integrated computational and physical/engineered elements that create a close coupling between the virtual and physical. In cyber-physical systems, computer-based algorithms and capabilities are embedded in, and interact with physical/engineered processes, often in real or near real-time.</w:t>
            </w:r>
          </w:p>
        </w:tc>
      </w:tr>
      <w:tr w:rsidR="00C660D4" w:rsidRPr="00C660D4" w14:paraId="795C9471" w14:textId="77777777" w:rsidTr="00E52F89">
        <w:tc>
          <w:tcPr>
            <w:tcW w:w="2127" w:type="dxa"/>
            <w:shd w:val="clear" w:color="auto" w:fill="067296" w:themeFill="text2"/>
          </w:tcPr>
          <w:p w14:paraId="65971E98"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Decentralisation Ratio</w:t>
            </w:r>
          </w:p>
        </w:tc>
        <w:tc>
          <w:tcPr>
            <w:tcW w:w="6378" w:type="dxa"/>
          </w:tcPr>
          <w:p w14:paraId="717D9225" w14:textId="77777777" w:rsidR="00C660D4" w:rsidRPr="00C660D4" w:rsidRDefault="00C660D4" w:rsidP="00C660D4">
            <w:pPr>
              <w:spacing w:before="120" w:after="120" w:line="288" w:lineRule="auto"/>
              <w:ind w:left="176" w:right="176"/>
              <w:rPr>
                <w:szCs w:val="18"/>
                <w:lang w:bidi="ar-SA"/>
              </w:rPr>
            </w:pPr>
            <w:r w:rsidRPr="00C660D4">
              <w:rPr>
                <w:szCs w:val="18"/>
                <w:lang w:bidi="ar-SA"/>
              </w:rPr>
              <w:t xml:space="preserve">The ratio of CER/DER capacity to total installed capacity. </w:t>
            </w:r>
          </w:p>
        </w:tc>
      </w:tr>
      <w:tr w:rsidR="00C660D4" w:rsidRPr="00C660D4" w14:paraId="42EFED97" w14:textId="77777777" w:rsidTr="00E52F89">
        <w:tc>
          <w:tcPr>
            <w:tcW w:w="2127" w:type="dxa"/>
            <w:shd w:val="clear" w:color="auto" w:fill="067296" w:themeFill="text2"/>
          </w:tcPr>
          <w:p w14:paraId="6FB7AEC1"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eastAsia="Segoe UI" w:hAnsi="PP Mori SemiBold"/>
                <w:color w:val="FAFAFA" w:themeColor="background1"/>
                <w:szCs w:val="18"/>
              </w:rPr>
              <w:t>Decentralised System</w:t>
            </w:r>
          </w:p>
          <w:p w14:paraId="74B81E1E"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5668566A" w14:textId="77777777" w:rsidR="00C660D4" w:rsidRPr="00C660D4" w:rsidRDefault="00C660D4" w:rsidP="00C660D4">
            <w:pPr>
              <w:spacing w:before="120" w:after="120" w:line="288" w:lineRule="auto"/>
              <w:ind w:left="176" w:right="176"/>
              <w:rPr>
                <w:lang w:bidi="ar-SA"/>
              </w:rPr>
            </w:pPr>
            <w:r w:rsidRPr="00C660D4">
              <w:rPr>
                <w:szCs w:val="18"/>
                <w:lang w:eastAsia="en-US" w:bidi="ar-SA"/>
              </w:rPr>
              <w:t>Multiple separate Components and Energy Resources operating independently and in a manner that is solely focused on local or ‘selfish’ optimisation, with either very limited or no Orchestration or Operational Coordination.</w:t>
            </w:r>
          </w:p>
          <w:p w14:paraId="7BC80189"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It is important to understand the difference between Decentralised Systems and Distributed Systems.</w:t>
            </w:r>
          </w:p>
        </w:tc>
      </w:tr>
      <w:tr w:rsidR="00C660D4" w:rsidRPr="00C660D4" w14:paraId="4CCF1790" w14:textId="77777777" w:rsidTr="00E52F89">
        <w:tc>
          <w:tcPr>
            <w:tcW w:w="2127" w:type="dxa"/>
            <w:shd w:val="clear" w:color="auto" w:fill="067296" w:themeFill="text2"/>
          </w:tcPr>
          <w:p w14:paraId="097A8769"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Demand</w:t>
            </w:r>
          </w:p>
        </w:tc>
        <w:tc>
          <w:tcPr>
            <w:tcW w:w="6378" w:type="dxa"/>
          </w:tcPr>
          <w:p w14:paraId="3CA97A8C" w14:textId="77777777" w:rsidR="00C660D4" w:rsidRPr="00C660D4" w:rsidRDefault="00C660D4" w:rsidP="00C660D4">
            <w:pPr>
              <w:spacing w:before="120" w:after="120" w:line="288" w:lineRule="auto"/>
              <w:ind w:left="176" w:right="176"/>
              <w:rPr>
                <w:szCs w:val="18"/>
                <w:lang w:bidi="ar-SA"/>
              </w:rPr>
            </w:pPr>
            <w:r w:rsidRPr="00C660D4">
              <w:rPr>
                <w:szCs w:val="18"/>
                <w:lang w:bidi="ar-SA"/>
              </w:rPr>
              <w:t>The electricity needed at a point in time, expressed as kilowatts (kW), megawatts (MW), gigawatts (GW) and terawatts (TW).</w:t>
            </w:r>
          </w:p>
        </w:tc>
      </w:tr>
      <w:tr w:rsidR="00C660D4" w:rsidRPr="00C660D4" w14:paraId="398D315C" w14:textId="77777777" w:rsidTr="00E52F89">
        <w:tc>
          <w:tcPr>
            <w:tcW w:w="2127" w:type="dxa"/>
            <w:shd w:val="clear" w:color="auto" w:fill="067296" w:themeFill="text2"/>
          </w:tcPr>
          <w:p w14:paraId="6F098880"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Detailed Architecture</w:t>
            </w:r>
          </w:p>
        </w:tc>
        <w:tc>
          <w:tcPr>
            <w:tcW w:w="6378" w:type="dxa"/>
          </w:tcPr>
          <w:p w14:paraId="5BC68C23"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Based on a prior Reference Architecture process, a Detailed Architecture process provides unambiguous technical direction for system realisation, ensuring all structural elements, data flows, protocols, and performance criteria are fully specified to meet stakeholder requirements. It translates the high-level vision of the Reference Architecture into a buildable blueprint.</w:t>
            </w:r>
          </w:p>
          <w:p w14:paraId="6AFAFB72"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The development of a Detailed Architecture functions as the second major phase of the Systems Architecture process. It necessitates deep technical rigor and multi-stakeholder collaboration to progressively identify and resolve dependencies and define exact interfaces. It eliminates abstraction by specifying quantifiable attributes (e.g. throughput, latency, scalability targets) and implementation choices (e.g., software frameworks, hardware models, network topologies). This creates a foundation for the development of a Detailed Engineering Design.</w:t>
            </w:r>
          </w:p>
        </w:tc>
      </w:tr>
      <w:tr w:rsidR="00C660D4" w:rsidRPr="00C660D4" w14:paraId="6011DAD7" w14:textId="77777777" w:rsidTr="00E52F89">
        <w:tc>
          <w:tcPr>
            <w:tcW w:w="2127" w:type="dxa"/>
            <w:shd w:val="clear" w:color="auto" w:fill="067296" w:themeFill="text2"/>
          </w:tcPr>
          <w:p w14:paraId="78AB7474"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Distributed Energy Resources (DER)</w:t>
            </w:r>
          </w:p>
          <w:p w14:paraId="649F84C4"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56B55281" w14:textId="77777777" w:rsidR="00C660D4" w:rsidRPr="00C660D4" w:rsidRDefault="00C660D4" w:rsidP="00C660D4">
            <w:pPr>
              <w:spacing w:before="120" w:after="120" w:line="288" w:lineRule="auto"/>
              <w:ind w:left="176" w:right="176"/>
              <w:rPr>
                <w:szCs w:val="18"/>
                <w:lang w:bidi="ar-SA"/>
              </w:rPr>
            </w:pPr>
            <w:r w:rsidRPr="00C660D4">
              <w:rPr>
                <w:szCs w:val="18"/>
                <w:lang w:bidi="ar-SA"/>
              </w:rPr>
              <w:t>A diverse range of small to medium scale energy resources that are connected directly to the distribution system (i.e. front-of-meter).</w:t>
            </w:r>
          </w:p>
          <w:p w14:paraId="052B1002" w14:textId="77777777" w:rsidR="00C660D4" w:rsidRPr="00C660D4" w:rsidRDefault="00C660D4" w:rsidP="00C660D4">
            <w:pPr>
              <w:spacing w:before="120" w:after="120" w:line="288" w:lineRule="auto"/>
              <w:ind w:left="176" w:right="176"/>
              <w:rPr>
                <w:szCs w:val="18"/>
                <w:lang w:bidi="ar-SA"/>
              </w:rPr>
            </w:pPr>
            <w:r w:rsidRPr="00C660D4">
              <w:rPr>
                <w:szCs w:val="18"/>
                <w:lang w:bidi="ar-SA"/>
              </w:rPr>
              <w:t>Refer to Consumer Energy Resources (CER/DER).</w:t>
            </w:r>
          </w:p>
        </w:tc>
      </w:tr>
      <w:tr w:rsidR="00C660D4" w:rsidRPr="00C660D4" w14:paraId="42D6C19A" w14:textId="77777777" w:rsidTr="00E52F89">
        <w:tc>
          <w:tcPr>
            <w:tcW w:w="2127" w:type="dxa"/>
            <w:shd w:val="clear" w:color="auto" w:fill="067296" w:themeFill="text2"/>
          </w:tcPr>
          <w:p w14:paraId="28055A33"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eastAsia="Segoe UI" w:hAnsi="PP Mori SemiBold"/>
                <w:color w:val="FAFAFA" w:themeColor="background1"/>
                <w:szCs w:val="18"/>
              </w:rPr>
              <w:t>Distributed System</w:t>
            </w:r>
          </w:p>
          <w:p w14:paraId="7062262C"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005F696A" w14:textId="77777777" w:rsidR="00C660D4" w:rsidRPr="00C660D4" w:rsidRDefault="00C660D4" w:rsidP="00C660D4">
            <w:pPr>
              <w:spacing w:before="120" w:after="120" w:line="288" w:lineRule="auto"/>
              <w:ind w:left="176" w:right="176"/>
              <w:rPr>
                <w:lang w:bidi="ar-SA"/>
              </w:rPr>
            </w:pPr>
            <w:r w:rsidRPr="00C660D4">
              <w:rPr>
                <w:szCs w:val="18"/>
                <w:lang w:eastAsia="en-US" w:bidi="ar-SA"/>
              </w:rPr>
              <w:t>A network of independent Components that are federated or interconnected in a manner which respects their autonomy but also enable them to work together to achieve a common goal.</w:t>
            </w:r>
          </w:p>
          <w:p w14:paraId="675BABB2"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It is important to understand the difference between Distributed Systems and Decentralised Systems.</w:t>
            </w:r>
            <w:r w:rsidRPr="00C660D4">
              <w:rPr>
                <w:szCs w:val="18"/>
                <w:lang w:bidi="ar-SA"/>
              </w:rPr>
              <w:tab/>
            </w:r>
          </w:p>
        </w:tc>
      </w:tr>
      <w:tr w:rsidR="00C660D4" w:rsidRPr="00C660D4" w14:paraId="5497262A" w14:textId="77777777" w:rsidTr="00E52F89">
        <w:tc>
          <w:tcPr>
            <w:tcW w:w="2127" w:type="dxa"/>
            <w:shd w:val="clear" w:color="auto" w:fill="067296" w:themeFill="text2"/>
          </w:tcPr>
          <w:p w14:paraId="43CE156D"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Distributed Photovoltaics (DPV)</w:t>
            </w:r>
          </w:p>
        </w:tc>
        <w:tc>
          <w:tcPr>
            <w:tcW w:w="6378" w:type="dxa"/>
          </w:tcPr>
          <w:p w14:paraId="5418C054" w14:textId="77777777" w:rsidR="00C660D4" w:rsidRPr="00C660D4" w:rsidRDefault="00C660D4" w:rsidP="00C660D4">
            <w:pPr>
              <w:spacing w:before="120" w:after="120" w:line="288" w:lineRule="auto"/>
              <w:ind w:left="176" w:right="176"/>
              <w:rPr>
                <w:szCs w:val="18"/>
                <w:lang w:bidi="ar-SA"/>
              </w:rPr>
            </w:pPr>
            <w:r w:rsidRPr="00C660D4">
              <w:rPr>
                <w:szCs w:val="18"/>
                <w:lang w:bidi="ar-SA"/>
              </w:rPr>
              <w:t>Solar photovoltaic panel installations connected to the distribution network.  In many cases, these resources are located behind-the-meter at residential and commercial customer properties.</w:t>
            </w:r>
          </w:p>
        </w:tc>
      </w:tr>
      <w:tr w:rsidR="00C660D4" w:rsidRPr="00C660D4" w14:paraId="3FA4FBCF" w14:textId="77777777" w:rsidTr="00E52F89">
        <w:tc>
          <w:tcPr>
            <w:tcW w:w="2127" w:type="dxa"/>
            <w:shd w:val="clear" w:color="auto" w:fill="067296" w:themeFill="text2"/>
          </w:tcPr>
          <w:p w14:paraId="459FF652"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Distribution Market Mechanisms</w:t>
            </w:r>
          </w:p>
          <w:p w14:paraId="24B97232"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795EA9CC"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A general term reflecting </w:t>
            </w:r>
            <w:r w:rsidRPr="00C660D4">
              <w:rPr>
                <w:szCs w:val="24"/>
                <w:lang w:bidi="ar-SA"/>
              </w:rPr>
              <w:t xml:space="preserve">a spectrum of approaches and mechanisms to value, incentivise, procure and operationally coordinate energy, flexibility and other system services from CER/DER and flexible loads.  In its most basic form, this may include tariff-based incentives and/or bilateral contracts. In more advanced forms, it may include distribution-level markets for the procurement of temporally and spatially dynamic system services, providing clear dispatch signals of the time, location and type of services required and enabling 'value stacking' of services in a manner co-optimised with bulk power markets. </w:t>
            </w:r>
          </w:p>
        </w:tc>
      </w:tr>
      <w:tr w:rsidR="00C660D4" w:rsidRPr="00C660D4" w14:paraId="20D36910" w14:textId="77777777" w:rsidTr="00E52F89">
        <w:tc>
          <w:tcPr>
            <w:tcW w:w="2127" w:type="dxa"/>
            <w:shd w:val="clear" w:color="auto" w:fill="067296" w:themeFill="text2"/>
          </w:tcPr>
          <w:p w14:paraId="375D020D" w14:textId="77777777" w:rsidR="00C660D4" w:rsidRPr="00C660D4" w:rsidRDefault="00C660D4" w:rsidP="00C660D4">
            <w:pPr>
              <w:spacing w:before="120" w:after="120" w:line="288" w:lineRule="auto"/>
              <w:jc w:val="center"/>
              <w:rPr>
                <w:rFonts w:ascii="PP Mori SemiBold" w:eastAsia="Segoe UI" w:hAnsi="PP Mori SemiBold"/>
                <w:color w:val="FAFAFA" w:themeColor="background1"/>
                <w:szCs w:val="18"/>
              </w:rPr>
            </w:pPr>
            <w:r w:rsidRPr="00C660D4">
              <w:rPr>
                <w:rFonts w:ascii="PP Mori SemiBold" w:eastAsia="Segoe UI" w:hAnsi="PP Mori SemiBold"/>
                <w:color w:val="FAFAFA" w:themeColor="background1"/>
                <w:szCs w:val="18"/>
              </w:rPr>
              <w:t>Distribution Network Model</w:t>
            </w:r>
          </w:p>
          <w:p w14:paraId="06247C00"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40B5C638"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A structured digital representation of the physical and operational characteristics of </w:t>
            </w:r>
            <w:r w:rsidRPr="00C660D4">
              <w:rPr>
                <w:bCs/>
                <w:szCs w:val="18"/>
                <w:lang w:eastAsia="en-US" w:bidi="ar-SA"/>
              </w:rPr>
              <w:t>a</w:t>
            </w:r>
            <w:r w:rsidRPr="00C660D4">
              <w:rPr>
                <w:szCs w:val="18"/>
                <w:lang w:eastAsia="en-US" w:bidi="ar-SA"/>
              </w:rPr>
              <w:t xml:space="preserve"> distribution system. It typically includes:</w:t>
            </w:r>
          </w:p>
          <w:p w14:paraId="1882315B" w14:textId="77777777" w:rsidR="00C660D4" w:rsidRPr="00C660D4" w:rsidRDefault="00C660D4" w:rsidP="00954BAC">
            <w:pPr>
              <w:numPr>
                <w:ilvl w:val="0"/>
                <w:numId w:val="65"/>
              </w:numPr>
              <w:tabs>
                <w:tab w:val="num" w:pos="720"/>
              </w:tabs>
              <w:spacing w:before="120" w:after="120" w:line="288" w:lineRule="auto"/>
              <w:ind w:left="743" w:right="170" w:hanging="284"/>
              <w:rPr>
                <w:szCs w:val="18"/>
                <w:lang w:eastAsia="en-US" w:bidi="ar-SA"/>
              </w:rPr>
            </w:pPr>
            <w:r w:rsidRPr="00C660D4">
              <w:rPr>
                <w:szCs w:val="18"/>
                <w:lang w:eastAsia="en-US" w:bidi="ar-SA"/>
              </w:rPr>
              <w:t>Topology: Nodes/buses, transformers, feeders, etc.;</w:t>
            </w:r>
          </w:p>
          <w:p w14:paraId="55AC2FD2" w14:textId="77777777" w:rsidR="00C660D4" w:rsidRPr="00C660D4" w:rsidRDefault="00C660D4" w:rsidP="00954BAC">
            <w:pPr>
              <w:numPr>
                <w:ilvl w:val="0"/>
                <w:numId w:val="65"/>
              </w:numPr>
              <w:tabs>
                <w:tab w:val="num" w:pos="720"/>
              </w:tabs>
              <w:spacing w:before="120" w:after="120" w:line="288" w:lineRule="auto"/>
              <w:ind w:left="743" w:right="170" w:hanging="284"/>
              <w:rPr>
                <w:szCs w:val="18"/>
                <w:lang w:eastAsia="en-US" w:bidi="ar-SA"/>
              </w:rPr>
            </w:pPr>
            <w:r w:rsidRPr="00C660D4">
              <w:rPr>
                <w:szCs w:val="18"/>
                <w:lang w:eastAsia="en-US" w:bidi="ar-SA"/>
              </w:rPr>
              <w:t>Parameters: Impedance, line capacities, switch status, etc.;</w:t>
            </w:r>
          </w:p>
          <w:p w14:paraId="49B37B3B" w14:textId="77777777" w:rsidR="00C660D4" w:rsidRPr="00C660D4" w:rsidRDefault="00C660D4" w:rsidP="00954BAC">
            <w:pPr>
              <w:numPr>
                <w:ilvl w:val="0"/>
                <w:numId w:val="65"/>
              </w:numPr>
              <w:tabs>
                <w:tab w:val="num" w:pos="720"/>
              </w:tabs>
              <w:spacing w:before="120" w:after="120" w:line="288" w:lineRule="auto"/>
              <w:ind w:left="743" w:right="170" w:hanging="284"/>
              <w:rPr>
                <w:szCs w:val="18"/>
                <w:lang w:eastAsia="en-US" w:bidi="ar-SA"/>
              </w:rPr>
            </w:pPr>
            <w:r w:rsidRPr="00C660D4">
              <w:rPr>
                <w:szCs w:val="18"/>
                <w:lang w:eastAsia="en-US" w:bidi="ar-SA"/>
              </w:rPr>
              <w:t xml:space="preserve">Asset data: Load and generation types, ratings, etc.; and, </w:t>
            </w:r>
          </w:p>
          <w:p w14:paraId="058B6E83" w14:textId="77777777" w:rsidR="00C660D4" w:rsidRPr="00C660D4" w:rsidRDefault="00C660D4" w:rsidP="00954BAC">
            <w:pPr>
              <w:numPr>
                <w:ilvl w:val="0"/>
                <w:numId w:val="65"/>
              </w:numPr>
              <w:tabs>
                <w:tab w:val="num" w:pos="720"/>
              </w:tabs>
              <w:spacing w:before="120" w:after="120" w:line="288" w:lineRule="auto"/>
              <w:ind w:left="743" w:right="170" w:hanging="284"/>
              <w:rPr>
                <w:szCs w:val="18"/>
                <w:lang w:eastAsia="en-US" w:bidi="ar-SA"/>
              </w:rPr>
            </w:pPr>
            <w:r w:rsidRPr="00C660D4">
              <w:rPr>
                <w:szCs w:val="18"/>
                <w:lang w:eastAsia="en-US" w:bidi="ar-SA"/>
              </w:rPr>
              <w:t xml:space="preserve">Geographic data and schematic layouts. </w:t>
            </w:r>
          </w:p>
          <w:p w14:paraId="511B5687"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These models support power flow analysis, fault location, load forecasting, and control applications in distribution system operation and planning.</w:t>
            </w:r>
          </w:p>
        </w:tc>
      </w:tr>
      <w:tr w:rsidR="00C660D4" w:rsidRPr="00C660D4" w14:paraId="1A6CEC6E" w14:textId="77777777" w:rsidTr="00E52F89">
        <w:tc>
          <w:tcPr>
            <w:tcW w:w="2127" w:type="dxa"/>
            <w:shd w:val="clear" w:color="auto" w:fill="067296" w:themeFill="text2"/>
          </w:tcPr>
          <w:p w14:paraId="6972537E"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Distribution System Operator (DSO)</w:t>
            </w:r>
          </w:p>
        </w:tc>
        <w:tc>
          <w:tcPr>
            <w:tcW w:w="6378" w:type="dxa"/>
          </w:tcPr>
          <w:p w14:paraId="61F9E9F4"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The entity responsible for both the active management and optimisation of a high-CER/DER distribution system, and its two-way interoperation with the bulk power system, as the decarbonised grid becomes more volatile and bidirectional. In this more dynamic context, distribution system operation involves real-time coordination of the ‘system’ of network assets, flexible and inflexible demand, customer-owned CER and large-scale DER to deliver enhanced technical and economic outcomes not possible by managing network assets alone. </w:t>
            </w:r>
          </w:p>
          <w:p w14:paraId="4B912608" w14:textId="77777777" w:rsidR="00C660D4" w:rsidRPr="00C660D4" w:rsidRDefault="00C660D4" w:rsidP="00C660D4">
            <w:pPr>
              <w:spacing w:before="120" w:after="120" w:line="288" w:lineRule="auto"/>
              <w:ind w:left="176" w:right="176"/>
              <w:rPr>
                <w:rFonts w:eastAsia="DengXian" w:cs="Cordia New"/>
                <w:szCs w:val="18"/>
                <w:lang w:eastAsia="en-US" w:bidi="ar-SA"/>
              </w:rPr>
            </w:pPr>
            <w:r w:rsidRPr="00C660D4">
              <w:rPr>
                <w:szCs w:val="18"/>
                <w:lang w:eastAsia="en-US" w:bidi="ar-SA"/>
              </w:rPr>
              <w:t>Somewhat analogous to a conventional bulk power system operator, distribution system operation requires both advanced controls and market mechanisms to ensure firm response and incentivise mutually beneficial participation, underpinned by transparency and neutrality. As distribution systems continue transforming to become an increasingly complex energy ecosystem, the active engagement of customers, CER/DER aggregators and third-party service providers, supported by advanced digital infrastructure and engagement tools, also becomes a critical focus of the DSO.</w:t>
            </w:r>
          </w:p>
        </w:tc>
      </w:tr>
      <w:tr w:rsidR="00C660D4" w:rsidRPr="00C660D4" w14:paraId="3ADC48B7" w14:textId="77777777" w:rsidTr="00E52F89">
        <w:tc>
          <w:tcPr>
            <w:tcW w:w="2127" w:type="dxa"/>
            <w:shd w:val="clear" w:color="auto" w:fill="067296" w:themeFill="text2"/>
          </w:tcPr>
          <w:p w14:paraId="5FB70489"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eastAsia="Segoe UI" w:hAnsi="PP Mori SemiBold"/>
                <w:color w:val="FAFAFA" w:themeColor="background1"/>
                <w:szCs w:val="18"/>
              </w:rPr>
              <w:t>Dynamic Operating Envelope (DOE)</w:t>
            </w:r>
          </w:p>
          <w:p w14:paraId="0B35EE0A"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2EF9A92F" w14:textId="77777777" w:rsidR="00C660D4" w:rsidRPr="00C660D4" w:rsidRDefault="00C660D4" w:rsidP="00C660D4">
            <w:pPr>
              <w:spacing w:before="120" w:after="120" w:line="288" w:lineRule="auto"/>
              <w:ind w:left="176" w:right="176"/>
              <w:rPr>
                <w:szCs w:val="18"/>
              </w:rPr>
            </w:pPr>
            <w:r w:rsidRPr="00C660D4">
              <w:rPr>
                <w:szCs w:val="18"/>
                <w:lang w:eastAsia="en-US" w:bidi="ar-SA"/>
              </w:rPr>
              <w:t>Distinct from Static Operating Envelopes, DOE’s provide Dynamic Export Management from DER/CER to the Power System, based on the operating characteristics of the Distribution Network or wider Bulk Power System, in a manner that varies over time and location.</w:t>
            </w:r>
          </w:p>
        </w:tc>
      </w:tr>
      <w:tr w:rsidR="00C660D4" w:rsidRPr="00C660D4" w14:paraId="2547A144" w14:textId="77777777" w:rsidTr="00E52F89">
        <w:tc>
          <w:tcPr>
            <w:tcW w:w="2127" w:type="dxa"/>
            <w:shd w:val="clear" w:color="auto" w:fill="067296" w:themeFill="text2"/>
          </w:tcPr>
          <w:p w14:paraId="028BB95B"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Electric Products</w:t>
            </w:r>
          </w:p>
        </w:tc>
        <w:tc>
          <w:tcPr>
            <w:tcW w:w="6378" w:type="dxa"/>
          </w:tcPr>
          <w:p w14:paraId="455279ED" w14:textId="77777777" w:rsidR="00C660D4" w:rsidRPr="00C660D4" w:rsidRDefault="00C660D4" w:rsidP="00C660D4">
            <w:pPr>
              <w:spacing w:before="120" w:after="120" w:line="288" w:lineRule="auto"/>
              <w:ind w:left="176" w:right="176"/>
              <w:rPr>
                <w:szCs w:val="18"/>
                <w:lang w:bidi="ar-SA"/>
              </w:rPr>
            </w:pPr>
            <w:r w:rsidRPr="00C660D4">
              <w:rPr>
                <w:szCs w:val="18"/>
                <w:lang w:bidi="ar-SA"/>
              </w:rPr>
              <w:t>The valuable physics-based services that may be provided to the power system by</w:t>
            </w:r>
            <w:r w:rsidRPr="00C660D4">
              <w:rPr>
                <w:rFonts w:ascii="Calibri" w:hAnsi="Calibri" w:cs="Calibri"/>
                <w:szCs w:val="18"/>
                <w:lang w:bidi="ar-SA"/>
              </w:rPr>
              <w:t> </w:t>
            </w:r>
            <w:r w:rsidRPr="00C660D4">
              <w:rPr>
                <w:szCs w:val="18"/>
                <w:lang w:bidi="ar-SA"/>
              </w:rPr>
              <w:t xml:space="preserve">CER/DER in exchange for some form of value or additional benefit. </w:t>
            </w:r>
            <w:r w:rsidRPr="00C660D4">
              <w:rPr>
                <w:rFonts w:ascii="Calibri" w:hAnsi="Calibri" w:cs="Calibri"/>
                <w:szCs w:val="18"/>
                <w:lang w:bidi="ar-SA"/>
              </w:rPr>
              <w:t> </w:t>
            </w:r>
            <w:r w:rsidRPr="00C660D4">
              <w:rPr>
                <w:szCs w:val="18"/>
                <w:lang w:bidi="ar-SA"/>
              </w:rPr>
              <w:t>All beneficial grid services are derivatives of the following ‘3Rs’:</w:t>
            </w:r>
          </w:p>
          <w:p w14:paraId="081C56D7" w14:textId="77777777" w:rsidR="00C660D4" w:rsidRPr="00C660D4" w:rsidRDefault="00C660D4" w:rsidP="00954BAC">
            <w:pPr>
              <w:numPr>
                <w:ilvl w:val="0"/>
                <w:numId w:val="97"/>
              </w:numPr>
              <w:tabs>
                <w:tab w:val="num" w:pos="720"/>
              </w:tabs>
              <w:spacing w:before="120" w:after="120" w:line="288" w:lineRule="auto"/>
              <w:ind w:left="714" w:hanging="357"/>
              <w:rPr>
                <w:rFonts w:eastAsia="Segoe UI"/>
                <w:color w:val="252423"/>
                <w:szCs w:val="18"/>
              </w:rPr>
            </w:pPr>
            <w:hyperlink r:id="rId42" w:history="1">
              <w:r w:rsidRPr="00C660D4">
                <w:rPr>
                  <w:rFonts w:eastAsia="Segoe UI"/>
                  <w:color w:val="252423"/>
                  <w:szCs w:val="18"/>
                </w:rPr>
                <w:t>Real Power</w:t>
              </w:r>
            </w:hyperlink>
            <w:r w:rsidRPr="00C660D4">
              <w:rPr>
                <w:rFonts w:eastAsia="Segoe UI"/>
                <w:color w:val="252423"/>
                <w:szCs w:val="18"/>
              </w:rPr>
              <w:t>: measured in MW, is the instantaneous rate at which electrical</w:t>
            </w:r>
            <w:r w:rsidRPr="00C660D4">
              <w:rPr>
                <w:rFonts w:ascii="Calibri" w:eastAsia="Segoe UI" w:hAnsi="Calibri" w:cs="Calibri"/>
                <w:color w:val="252423"/>
                <w:szCs w:val="18"/>
              </w:rPr>
              <w:t> </w:t>
            </w:r>
            <w:hyperlink r:id="rId43" w:history="1">
              <w:r w:rsidRPr="00C660D4">
                <w:rPr>
                  <w:rFonts w:eastAsia="Segoe UI"/>
                  <w:color w:val="252423"/>
                  <w:szCs w:val="18"/>
                </w:rPr>
                <w:t>energy</w:t>
              </w:r>
            </w:hyperlink>
            <w:r w:rsidRPr="00C660D4">
              <w:rPr>
                <w:rFonts w:ascii="Calibri" w:eastAsia="Segoe UI" w:hAnsi="Calibri" w:cs="Calibri"/>
                <w:color w:val="252423"/>
                <w:szCs w:val="18"/>
              </w:rPr>
              <w:t> </w:t>
            </w:r>
            <w:r w:rsidRPr="00C660D4">
              <w:rPr>
                <w:rFonts w:eastAsia="Segoe UI"/>
                <w:color w:val="252423"/>
                <w:szCs w:val="18"/>
              </w:rPr>
              <w:t>is generated, transmitted or consumed;</w:t>
            </w:r>
          </w:p>
          <w:p w14:paraId="423C2323" w14:textId="77777777" w:rsidR="00C660D4" w:rsidRPr="00C660D4" w:rsidRDefault="00C660D4" w:rsidP="00954BAC">
            <w:pPr>
              <w:numPr>
                <w:ilvl w:val="0"/>
                <w:numId w:val="97"/>
              </w:numPr>
              <w:tabs>
                <w:tab w:val="num" w:pos="720"/>
              </w:tabs>
              <w:spacing w:before="120" w:after="120" w:line="288" w:lineRule="auto"/>
              <w:ind w:left="714" w:hanging="357"/>
              <w:rPr>
                <w:rFonts w:eastAsia="Segoe UI"/>
                <w:color w:val="252423"/>
                <w:szCs w:val="18"/>
              </w:rPr>
            </w:pPr>
            <w:hyperlink r:id="rId44" w:history="1">
              <w:r w:rsidRPr="00C660D4">
                <w:rPr>
                  <w:rFonts w:eastAsia="Segoe UI"/>
                  <w:color w:val="252423"/>
                  <w:szCs w:val="18"/>
                </w:rPr>
                <w:t>Reactive Power</w:t>
              </w:r>
            </w:hyperlink>
            <w:r w:rsidRPr="00C660D4">
              <w:rPr>
                <w:rFonts w:eastAsia="Segoe UI"/>
                <w:color w:val="252423"/>
                <w:szCs w:val="18"/>
              </w:rPr>
              <w:t>: measured in MVAR, sustains the electrical field in AC systems while maintain voltage within the limits specified for safe operation (source or sink); and,</w:t>
            </w:r>
          </w:p>
          <w:p w14:paraId="181CD5ED" w14:textId="77777777" w:rsidR="00C660D4" w:rsidRPr="00C660D4" w:rsidRDefault="00C660D4" w:rsidP="00954BAC">
            <w:pPr>
              <w:numPr>
                <w:ilvl w:val="0"/>
                <w:numId w:val="97"/>
              </w:numPr>
              <w:tabs>
                <w:tab w:val="num" w:pos="720"/>
              </w:tabs>
              <w:spacing w:before="120" w:after="120" w:line="288" w:lineRule="auto"/>
              <w:ind w:left="714" w:hanging="357"/>
              <w:rPr>
                <w:szCs w:val="18"/>
              </w:rPr>
            </w:pPr>
            <w:hyperlink r:id="rId45" w:history="1">
              <w:r w:rsidRPr="00C660D4">
                <w:rPr>
                  <w:rFonts w:eastAsia="Segoe UI"/>
                  <w:color w:val="252423"/>
                  <w:szCs w:val="18"/>
                </w:rPr>
                <w:t>Reserves</w:t>
              </w:r>
            </w:hyperlink>
            <w:r w:rsidRPr="00C660D4">
              <w:rPr>
                <w:rFonts w:eastAsia="Segoe UI"/>
                <w:color w:val="252423"/>
                <w:szCs w:val="18"/>
              </w:rPr>
              <w:t>: measured in MW, represent contracted commitments to deliver or reduce real power (MW) or energy (MWh) at a point of time in the future.</w:t>
            </w:r>
          </w:p>
        </w:tc>
      </w:tr>
      <w:tr w:rsidR="00C660D4" w:rsidRPr="00C660D4" w14:paraId="238365FF" w14:textId="77777777" w:rsidTr="00E52F89">
        <w:tc>
          <w:tcPr>
            <w:tcW w:w="2127" w:type="dxa"/>
            <w:shd w:val="clear" w:color="auto" w:fill="067296" w:themeFill="text2"/>
          </w:tcPr>
          <w:p w14:paraId="48028212"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Energy Resources</w:t>
            </w:r>
          </w:p>
        </w:tc>
        <w:tc>
          <w:tcPr>
            <w:tcW w:w="6378" w:type="dxa"/>
          </w:tcPr>
          <w:p w14:paraId="2344DA9C"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A universal term for all technologies that provide one or several of the electric products required by the power system. It includes conventional synchronous generation, utility-scale Variable Renewable Energy (VRE), Consumer Energy Resources (CER/DER) and various forms of energy storage and firming resources. </w:t>
            </w:r>
          </w:p>
        </w:tc>
      </w:tr>
      <w:tr w:rsidR="00C660D4" w:rsidRPr="00C660D4" w14:paraId="2E7359B8" w14:textId="77777777" w:rsidTr="00E52F89">
        <w:tc>
          <w:tcPr>
            <w:tcW w:w="2127" w:type="dxa"/>
            <w:tcBorders>
              <w:bottom w:val="nil"/>
            </w:tcBorders>
            <w:shd w:val="clear" w:color="auto" w:fill="067296" w:themeFill="text2"/>
          </w:tcPr>
          <w:p w14:paraId="02EC9A84" w14:textId="77777777" w:rsidR="00C660D4" w:rsidRPr="00C660D4" w:rsidRDefault="00C660D4" w:rsidP="00C660D4">
            <w:pPr>
              <w:spacing w:before="120" w:after="120" w:line="288" w:lineRule="auto"/>
              <w:ind w:left="175" w:right="176"/>
              <w:jc w:val="center"/>
              <w:rPr>
                <w:rFonts w:ascii="PP Mori SemiBold" w:hAnsi="PP Mori SemiBold"/>
                <w:iCs/>
                <w:color w:val="FAFAFA" w:themeColor="background1"/>
                <w:szCs w:val="18"/>
              </w:rPr>
            </w:pPr>
            <w:r w:rsidRPr="00C660D4">
              <w:rPr>
                <w:rFonts w:ascii="PP Mori SemiBold" w:hAnsi="PP Mori SemiBold"/>
                <w:iCs/>
                <w:color w:val="FAFAFA" w:themeColor="background1"/>
                <w:szCs w:val="18"/>
              </w:rPr>
              <w:t>Flexible</w:t>
            </w:r>
          </w:p>
          <w:p w14:paraId="49F07A3E"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298E7086"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The capacity of a decarbonising power system to anticipate, adapt to and manage the variability and volatility of supply and demand across all relevant time scales – from seconds to seasons – while maintaining reliability, affordability and system stability. </w:t>
            </w:r>
          </w:p>
          <w:p w14:paraId="587F808C"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Flexibility is recognised as foundational to power system decarbonisation, sometimes being equated to being ‘the new baseload’. A key indicator of power system flexibility is the ability to integrate very high levels of both centralised and distributed Variable Renewable Energy (VRE) sources with minimal curtailment. </w:t>
            </w:r>
          </w:p>
        </w:tc>
      </w:tr>
      <w:tr w:rsidR="00C660D4" w:rsidRPr="00C660D4" w14:paraId="470CD44A" w14:textId="77777777" w:rsidTr="00E52F89">
        <w:tc>
          <w:tcPr>
            <w:tcW w:w="2127" w:type="dxa"/>
            <w:tcBorders>
              <w:top w:val="nil"/>
              <w:left w:val="nil"/>
              <w:bottom w:val="nil"/>
              <w:right w:val="nil"/>
            </w:tcBorders>
            <w:shd w:val="clear" w:color="auto" w:fill="067296" w:themeFill="text2"/>
          </w:tcPr>
          <w:p w14:paraId="1A45C009"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Flexible Resources – Distributed</w:t>
            </w:r>
          </w:p>
        </w:tc>
        <w:tc>
          <w:tcPr>
            <w:tcW w:w="6378" w:type="dxa"/>
            <w:tcBorders>
              <w:left w:val="nil"/>
            </w:tcBorders>
          </w:tcPr>
          <w:p w14:paraId="00E4EB18" w14:textId="77777777" w:rsidR="00C660D4" w:rsidRPr="00C660D4" w:rsidRDefault="00C660D4" w:rsidP="00C660D4">
            <w:pPr>
              <w:spacing w:before="120" w:after="120" w:line="288" w:lineRule="auto"/>
              <w:ind w:left="176" w:right="176"/>
              <w:rPr>
                <w:szCs w:val="18"/>
                <w:lang w:bidi="ar-SA"/>
              </w:rPr>
            </w:pPr>
            <w:r w:rsidRPr="00C660D4">
              <w:rPr>
                <w:szCs w:val="18"/>
                <w:lang w:bidi="ar-SA"/>
              </w:rPr>
              <w:t>Certain categories of CER/DER that can, in a reliable and firm manner, modify their operational behaviour in response to</w:t>
            </w:r>
            <w:r w:rsidRPr="00C660D4">
              <w:rPr>
                <w:rFonts w:ascii="Calibri" w:hAnsi="Calibri" w:cs="Calibri"/>
                <w:szCs w:val="18"/>
                <w:lang w:bidi="ar-SA"/>
              </w:rPr>
              <w:t> </w:t>
            </w:r>
            <w:hyperlink r:id="rId46" w:history="1">
              <w:r w:rsidRPr="00C660D4">
                <w:rPr>
                  <w:szCs w:val="18"/>
                  <w:lang w:bidi="ar-SA"/>
                </w:rPr>
                <w:t>bulk power system</w:t>
              </w:r>
            </w:hyperlink>
            <w:r w:rsidRPr="00C660D4">
              <w:rPr>
                <w:szCs w:val="18"/>
                <w:lang w:bidi="ar-SA"/>
              </w:rPr>
              <w:t>,</w:t>
            </w:r>
            <w:r w:rsidRPr="00C660D4">
              <w:rPr>
                <w:rFonts w:ascii="Calibri" w:hAnsi="Calibri" w:cs="Calibri"/>
                <w:szCs w:val="18"/>
                <w:lang w:bidi="ar-SA"/>
              </w:rPr>
              <w:t> </w:t>
            </w:r>
            <w:hyperlink r:id="rId47" w:history="1">
              <w:r w:rsidRPr="00C660D4">
                <w:rPr>
                  <w:szCs w:val="18"/>
                  <w:lang w:bidi="ar-SA"/>
                </w:rPr>
                <w:t>transmission network</w:t>
              </w:r>
            </w:hyperlink>
            <w:r w:rsidRPr="00C660D4">
              <w:rPr>
                <w:rFonts w:ascii="Calibri" w:hAnsi="Calibri" w:cs="Calibri"/>
                <w:szCs w:val="18"/>
                <w:lang w:bidi="ar-SA"/>
              </w:rPr>
              <w:t> </w:t>
            </w:r>
            <w:r w:rsidRPr="00C660D4">
              <w:rPr>
                <w:szCs w:val="18"/>
                <w:lang w:bidi="ar-SA"/>
              </w:rPr>
              <w:t>and/or local distribution network needs in a manner acceptable to the</w:t>
            </w:r>
            <w:r w:rsidRPr="00C660D4">
              <w:rPr>
                <w:rFonts w:ascii="Calibri" w:hAnsi="Calibri" w:cs="Calibri"/>
                <w:szCs w:val="18"/>
                <w:lang w:bidi="ar-SA"/>
              </w:rPr>
              <w:t> </w:t>
            </w:r>
            <w:hyperlink r:id="rId48" w:history="1">
              <w:r w:rsidRPr="00C660D4">
                <w:rPr>
                  <w:szCs w:val="18"/>
                  <w:lang w:bidi="ar-SA"/>
                </w:rPr>
                <w:t>customer</w:t>
              </w:r>
            </w:hyperlink>
            <w:r w:rsidRPr="00C660D4">
              <w:rPr>
                <w:rFonts w:ascii="Calibri" w:hAnsi="Calibri" w:cs="Calibri"/>
                <w:szCs w:val="18"/>
                <w:lang w:bidi="ar-SA"/>
              </w:rPr>
              <w:t> </w:t>
            </w:r>
            <w:r w:rsidRPr="00C660D4">
              <w:rPr>
                <w:szCs w:val="18"/>
                <w:lang w:bidi="ar-SA"/>
              </w:rPr>
              <w:t>or owner/investor.</w:t>
            </w:r>
          </w:p>
          <w:p w14:paraId="691BB8AE" w14:textId="77777777" w:rsidR="00C660D4" w:rsidRPr="00C660D4" w:rsidRDefault="00C660D4" w:rsidP="00C660D4">
            <w:pPr>
              <w:spacing w:before="120" w:after="120" w:line="288" w:lineRule="auto"/>
              <w:ind w:left="176" w:right="176"/>
              <w:rPr>
                <w:szCs w:val="18"/>
                <w:lang w:bidi="ar-SA"/>
              </w:rPr>
            </w:pPr>
            <w:r w:rsidRPr="00C660D4">
              <w:rPr>
                <w:szCs w:val="18"/>
                <w:lang w:bidi="ar-SA"/>
              </w:rPr>
              <w:t>Enabled by advanced approaches to</w:t>
            </w:r>
            <w:r w:rsidRPr="00C660D4">
              <w:rPr>
                <w:rFonts w:ascii="Calibri" w:hAnsi="Calibri" w:cs="Calibri"/>
                <w:szCs w:val="18"/>
                <w:lang w:bidi="ar-SA"/>
              </w:rPr>
              <w:t> </w:t>
            </w:r>
            <w:hyperlink r:id="rId49" w:history="1">
              <w:r w:rsidRPr="00C660D4">
                <w:rPr>
                  <w:szCs w:val="18"/>
                  <w:lang w:bidi="ar-SA"/>
                </w:rPr>
                <w:t>Operational Coordination</w:t>
              </w:r>
            </w:hyperlink>
            <w:r w:rsidRPr="00C660D4">
              <w:rPr>
                <w:szCs w:val="18"/>
                <w:lang w:bidi="ar-SA"/>
              </w:rPr>
              <w:t>, large fleets of</w:t>
            </w:r>
            <w:r w:rsidRPr="00C660D4">
              <w:rPr>
                <w:rFonts w:ascii="Calibri" w:hAnsi="Calibri" w:cs="Calibri"/>
                <w:szCs w:val="18"/>
                <w:lang w:bidi="ar-SA"/>
              </w:rPr>
              <w:t> </w:t>
            </w:r>
            <w:r w:rsidRPr="00C660D4">
              <w:rPr>
                <w:szCs w:val="18"/>
                <w:lang w:bidi="ar-SA"/>
              </w:rPr>
              <w:t>these resources can beneficially alter the</w:t>
            </w:r>
            <w:r w:rsidRPr="00C660D4">
              <w:rPr>
                <w:rFonts w:ascii="Calibri" w:hAnsi="Calibri" w:cs="Calibri"/>
                <w:szCs w:val="18"/>
                <w:lang w:bidi="ar-SA"/>
              </w:rPr>
              <w:t> </w:t>
            </w:r>
            <w:hyperlink r:id="rId50" w:history="1">
              <w:r w:rsidRPr="00C660D4">
                <w:rPr>
                  <w:szCs w:val="18"/>
                  <w:lang w:bidi="ar-SA"/>
                </w:rPr>
                <w:t>demand</w:t>
              </w:r>
            </w:hyperlink>
            <w:r w:rsidRPr="00C660D4">
              <w:rPr>
                <w:rFonts w:ascii="Calibri" w:hAnsi="Calibri" w:cs="Calibri"/>
                <w:szCs w:val="18"/>
                <w:lang w:bidi="ar-SA"/>
              </w:rPr>
              <w:t> </w:t>
            </w:r>
            <w:r w:rsidRPr="00C660D4">
              <w:rPr>
                <w:szCs w:val="18"/>
                <w:lang w:bidi="ar-SA"/>
              </w:rPr>
              <w:t>profile of a</w:t>
            </w:r>
            <w:r w:rsidRPr="00C660D4">
              <w:rPr>
                <w:rFonts w:ascii="Calibri" w:hAnsi="Calibri" w:cs="Calibri"/>
                <w:szCs w:val="18"/>
                <w:lang w:bidi="ar-SA"/>
              </w:rPr>
              <w:t> </w:t>
            </w:r>
            <w:hyperlink r:id="rId51" w:history="1">
              <w:r w:rsidRPr="00C660D4">
                <w:rPr>
                  <w:szCs w:val="18"/>
                  <w:lang w:bidi="ar-SA"/>
                </w:rPr>
                <w:t>feeder</w:t>
              </w:r>
            </w:hyperlink>
            <w:r w:rsidRPr="00C660D4">
              <w:rPr>
                <w:szCs w:val="18"/>
                <w:lang w:bidi="ar-SA"/>
              </w:rPr>
              <w:t>,</w:t>
            </w:r>
            <w:r w:rsidRPr="00C660D4">
              <w:rPr>
                <w:rFonts w:ascii="Calibri" w:hAnsi="Calibri" w:cs="Calibri"/>
                <w:szCs w:val="18"/>
                <w:lang w:bidi="ar-SA"/>
              </w:rPr>
              <w:t> </w:t>
            </w:r>
            <w:hyperlink r:id="rId52" w:history="1">
              <w:r w:rsidRPr="00C660D4">
                <w:rPr>
                  <w:szCs w:val="18"/>
                  <w:lang w:bidi="ar-SA"/>
                </w:rPr>
                <w:t>substation</w:t>
              </w:r>
            </w:hyperlink>
            <w:r w:rsidRPr="00C660D4">
              <w:rPr>
                <w:szCs w:val="18"/>
                <w:lang w:bidi="ar-SA"/>
              </w:rPr>
              <w:t>, distribution network, transmission network and/or the bulk power system.</w:t>
            </w:r>
            <w:r w:rsidRPr="00C660D4">
              <w:rPr>
                <w:rFonts w:ascii="Calibri" w:hAnsi="Calibri" w:cs="Calibri"/>
                <w:szCs w:val="18"/>
                <w:lang w:bidi="ar-SA"/>
              </w:rPr>
              <w:t> </w:t>
            </w:r>
            <w:r w:rsidRPr="00C660D4">
              <w:rPr>
                <w:szCs w:val="18"/>
                <w:lang w:bidi="ar-SA"/>
              </w:rPr>
              <w:t xml:space="preserve"> </w:t>
            </w:r>
          </w:p>
          <w:p w14:paraId="6788D78E" w14:textId="77777777" w:rsidR="00C660D4" w:rsidRPr="00C660D4" w:rsidRDefault="00C660D4" w:rsidP="00C660D4">
            <w:pPr>
              <w:spacing w:before="120" w:after="120" w:line="288" w:lineRule="auto"/>
              <w:ind w:left="176" w:right="176"/>
              <w:rPr>
                <w:szCs w:val="18"/>
                <w:lang w:bidi="ar-SA"/>
              </w:rPr>
            </w:pPr>
            <w:r w:rsidRPr="00C660D4">
              <w:rPr>
                <w:szCs w:val="18"/>
                <w:lang w:bidi="ar-SA"/>
              </w:rPr>
              <w:t xml:space="preserve">Examples include various types of responsive loads such as water pumping, industrial process loads, battery charging, EV charging, heating loads, cooling loads, etc. </w:t>
            </w:r>
          </w:p>
          <w:p w14:paraId="07C260EB" w14:textId="77777777" w:rsidR="00C660D4" w:rsidRPr="00C660D4" w:rsidRDefault="00C660D4" w:rsidP="00C660D4">
            <w:pPr>
              <w:spacing w:before="120" w:after="120" w:line="288" w:lineRule="auto"/>
              <w:ind w:left="176" w:right="176"/>
              <w:rPr>
                <w:szCs w:val="18"/>
                <w:lang w:bidi="ar-SA"/>
              </w:rPr>
            </w:pPr>
            <w:r w:rsidRPr="00C660D4">
              <w:rPr>
                <w:szCs w:val="18"/>
                <w:lang w:bidi="ar-SA"/>
              </w:rPr>
              <w:t>(Note: The terms</w:t>
            </w:r>
            <w:r w:rsidRPr="00C660D4">
              <w:rPr>
                <w:rFonts w:ascii="Calibri" w:hAnsi="Calibri" w:cs="Calibri"/>
                <w:szCs w:val="18"/>
                <w:lang w:bidi="ar-SA"/>
              </w:rPr>
              <w:t> </w:t>
            </w:r>
            <w:hyperlink r:id="rId53" w:history="1">
              <w:r w:rsidRPr="00C660D4">
                <w:rPr>
                  <w:szCs w:val="18"/>
                  <w:lang w:bidi="ar-SA"/>
                </w:rPr>
                <w:t>demand management</w:t>
              </w:r>
            </w:hyperlink>
            <w:r w:rsidRPr="00C660D4">
              <w:rPr>
                <w:szCs w:val="18"/>
                <w:lang w:bidi="ar-SA"/>
              </w:rPr>
              <w:t>,</w:t>
            </w:r>
            <w:r w:rsidRPr="00C660D4">
              <w:rPr>
                <w:rFonts w:ascii="Calibri" w:hAnsi="Calibri" w:cs="Calibri"/>
                <w:szCs w:val="18"/>
                <w:lang w:bidi="ar-SA"/>
              </w:rPr>
              <w:t> </w:t>
            </w:r>
            <w:hyperlink r:id="rId54" w:history="1">
              <w:r w:rsidRPr="00C660D4">
                <w:rPr>
                  <w:szCs w:val="18"/>
                  <w:lang w:bidi="ar-SA"/>
                </w:rPr>
                <w:t>demand response</w:t>
              </w:r>
            </w:hyperlink>
            <w:r w:rsidRPr="00C660D4">
              <w:rPr>
                <w:szCs w:val="18"/>
                <w:lang w:bidi="ar-SA"/>
              </w:rPr>
              <w:t>,</w:t>
            </w:r>
            <w:r w:rsidRPr="00C660D4">
              <w:rPr>
                <w:rFonts w:ascii="Calibri" w:hAnsi="Calibri" w:cs="Calibri"/>
                <w:szCs w:val="18"/>
                <w:lang w:bidi="ar-SA"/>
              </w:rPr>
              <w:t> </w:t>
            </w:r>
            <w:hyperlink r:id="rId55" w:history="1">
              <w:r w:rsidRPr="00C660D4">
                <w:rPr>
                  <w:szCs w:val="18"/>
                  <w:lang w:bidi="ar-SA"/>
                </w:rPr>
                <w:t>load shifting</w:t>
              </w:r>
            </w:hyperlink>
            <w:r w:rsidRPr="00C660D4">
              <w:rPr>
                <w:szCs w:val="18"/>
                <w:lang w:bidi="ar-SA"/>
              </w:rPr>
              <w:t>,</w:t>
            </w:r>
            <w:r w:rsidRPr="00C660D4">
              <w:rPr>
                <w:rFonts w:ascii="Calibri" w:hAnsi="Calibri" w:cs="Calibri"/>
                <w:szCs w:val="18"/>
                <w:lang w:bidi="ar-SA"/>
              </w:rPr>
              <w:t> </w:t>
            </w:r>
            <w:hyperlink r:id="rId56" w:history="1">
              <w:r w:rsidRPr="00C660D4">
                <w:rPr>
                  <w:szCs w:val="18"/>
                  <w:lang w:bidi="ar-SA"/>
                </w:rPr>
                <w:t>controllable load</w:t>
              </w:r>
            </w:hyperlink>
            <w:r w:rsidRPr="00C660D4">
              <w:rPr>
                <w:rFonts w:ascii="Calibri" w:hAnsi="Calibri" w:cs="Calibri"/>
                <w:szCs w:val="18"/>
                <w:lang w:bidi="ar-SA"/>
              </w:rPr>
              <w:t> </w:t>
            </w:r>
            <w:r w:rsidRPr="00C660D4">
              <w:rPr>
                <w:szCs w:val="18"/>
                <w:lang w:bidi="ar-SA"/>
              </w:rPr>
              <w:t>and</w:t>
            </w:r>
            <w:r w:rsidRPr="00C660D4">
              <w:rPr>
                <w:rFonts w:ascii="Calibri" w:hAnsi="Calibri" w:cs="Calibri"/>
                <w:szCs w:val="18"/>
                <w:lang w:bidi="ar-SA"/>
              </w:rPr>
              <w:t> </w:t>
            </w:r>
            <w:hyperlink r:id="rId57" w:history="1">
              <w:r w:rsidRPr="00C660D4">
                <w:rPr>
                  <w:szCs w:val="18"/>
                  <w:lang w:bidi="ar-SA"/>
                </w:rPr>
                <w:t>interruptible load</w:t>
              </w:r>
            </w:hyperlink>
            <w:r w:rsidRPr="00C660D4">
              <w:rPr>
                <w:rFonts w:ascii="Calibri" w:hAnsi="Calibri" w:cs="Calibri"/>
                <w:szCs w:val="18"/>
                <w:lang w:bidi="ar-SA"/>
              </w:rPr>
              <w:t> </w:t>
            </w:r>
            <w:r w:rsidRPr="00C660D4">
              <w:rPr>
                <w:szCs w:val="18"/>
                <w:lang w:bidi="ar-SA"/>
              </w:rPr>
              <w:t xml:space="preserve">are generally synonymous with this concept). </w:t>
            </w:r>
          </w:p>
        </w:tc>
      </w:tr>
      <w:tr w:rsidR="00C660D4" w:rsidRPr="00C660D4" w14:paraId="2A2D3981" w14:textId="77777777" w:rsidTr="00E52F89">
        <w:trPr>
          <w:trHeight w:val="944"/>
        </w:trPr>
        <w:tc>
          <w:tcPr>
            <w:tcW w:w="2127" w:type="dxa"/>
            <w:tcBorders>
              <w:top w:val="nil"/>
              <w:left w:val="nil"/>
              <w:bottom w:val="nil"/>
              <w:right w:val="nil"/>
            </w:tcBorders>
            <w:shd w:val="clear" w:color="auto" w:fill="067296" w:themeFill="text2"/>
          </w:tcPr>
          <w:p w14:paraId="5238E835" w14:textId="77777777" w:rsidR="00C660D4" w:rsidRPr="00C660D4" w:rsidRDefault="00C660D4" w:rsidP="00C660D4">
            <w:pPr>
              <w:spacing w:before="120" w:after="120" w:line="288" w:lineRule="auto"/>
              <w:ind w:left="176" w:right="170"/>
              <w:jc w:val="center"/>
              <w:rPr>
                <w:rFonts w:ascii="PP Mori SemiBold" w:hAnsi="PP Mori SemiBold"/>
                <w:color w:val="FAFAFA" w:themeColor="background1"/>
                <w:szCs w:val="18"/>
              </w:rPr>
            </w:pPr>
            <w:r w:rsidRPr="00C660D4">
              <w:rPr>
                <w:rFonts w:ascii="PP Mori SemiBold" w:hAnsi="PP Mori SemiBold"/>
                <w:color w:val="FAFAFA" w:themeColor="background1"/>
                <w:szCs w:val="18"/>
              </w:rPr>
              <w:t>Function</w:t>
            </w:r>
          </w:p>
          <w:p w14:paraId="6C312479" w14:textId="77777777" w:rsidR="00C660D4" w:rsidRPr="00C660D4" w:rsidRDefault="00C660D4" w:rsidP="00C660D4">
            <w:pPr>
              <w:spacing w:before="120" w:after="120" w:line="288" w:lineRule="auto"/>
              <w:ind w:left="175" w:right="176"/>
              <w:jc w:val="center"/>
              <w:rPr>
                <w:rFonts w:ascii="PP Mori SemiBold" w:hAnsi="PP Mori SemiBold"/>
                <w:iCs/>
                <w:color w:val="FAFAFA" w:themeColor="background1"/>
                <w:szCs w:val="18"/>
              </w:rPr>
            </w:pPr>
          </w:p>
        </w:tc>
        <w:tc>
          <w:tcPr>
            <w:tcW w:w="6378" w:type="dxa"/>
            <w:tcBorders>
              <w:left w:val="nil"/>
            </w:tcBorders>
          </w:tcPr>
          <w:p w14:paraId="34513363" w14:textId="77777777" w:rsidR="00C660D4" w:rsidRPr="00C660D4" w:rsidRDefault="00C660D4" w:rsidP="00C660D4">
            <w:pPr>
              <w:spacing w:before="120" w:after="120" w:line="288" w:lineRule="auto"/>
              <w:ind w:left="176" w:right="176"/>
              <w:rPr>
                <w:lang w:eastAsia="en-US" w:bidi="ar-SA"/>
              </w:rPr>
            </w:pPr>
            <w:r w:rsidRPr="00C660D4">
              <w:rPr>
                <w:szCs w:val="18"/>
                <w:lang w:eastAsia="en-US" w:bidi="ar-SA"/>
              </w:rPr>
              <w:t>Any of a set of related actions contributing to a larger action; a task, operation, or service. Functions combine to implement capabilities.</w:t>
            </w:r>
          </w:p>
        </w:tc>
      </w:tr>
      <w:tr w:rsidR="00C660D4" w:rsidRPr="00C660D4" w14:paraId="76B5C7EC" w14:textId="77777777" w:rsidTr="00E52F89">
        <w:trPr>
          <w:trHeight w:val="944"/>
        </w:trPr>
        <w:tc>
          <w:tcPr>
            <w:tcW w:w="2127" w:type="dxa"/>
            <w:tcBorders>
              <w:top w:val="nil"/>
            </w:tcBorders>
            <w:shd w:val="clear" w:color="auto" w:fill="067296" w:themeFill="text2"/>
          </w:tcPr>
          <w:p w14:paraId="2403C9DB" w14:textId="77777777" w:rsidR="00C660D4" w:rsidRPr="00C660D4" w:rsidRDefault="00C660D4" w:rsidP="00C660D4">
            <w:pPr>
              <w:spacing w:before="120" w:after="120" w:line="288" w:lineRule="auto"/>
              <w:ind w:left="175" w:right="176"/>
              <w:jc w:val="center"/>
              <w:rPr>
                <w:rFonts w:ascii="PP Mori SemiBold" w:hAnsi="PP Mori SemiBold"/>
                <w:iCs/>
                <w:color w:val="FAFAFA" w:themeColor="background1"/>
                <w:szCs w:val="18"/>
              </w:rPr>
            </w:pPr>
            <w:r w:rsidRPr="00C660D4">
              <w:rPr>
                <w:rFonts w:ascii="PP Mori SemiBold" w:hAnsi="PP Mori SemiBold"/>
                <w:iCs/>
                <w:color w:val="FAFAFA" w:themeColor="background1"/>
                <w:szCs w:val="18"/>
              </w:rPr>
              <w:t>Interdependent Grid</w:t>
            </w:r>
          </w:p>
          <w:p w14:paraId="40638EAE"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466584EC" w14:textId="77777777" w:rsidR="00C660D4" w:rsidRPr="00C660D4" w:rsidRDefault="00C660D4" w:rsidP="00C660D4">
            <w:pPr>
              <w:spacing w:before="120" w:after="120" w:line="288" w:lineRule="auto"/>
              <w:ind w:left="176" w:right="176"/>
              <w:rPr>
                <w:szCs w:val="18"/>
                <w:lang w:eastAsia="en-US" w:bidi="ar-SA"/>
              </w:rPr>
            </w:pPr>
            <w:r w:rsidRPr="00C660D4">
              <w:rPr>
                <w:lang w:eastAsia="en-US" w:bidi="ar-SA"/>
              </w:rPr>
              <w:t xml:space="preserve">A set of structural and functional arrangements that formalise how the combination of centralised and distributed system management jointly underpins the secure and affordable operation of a decarbonising power system as operational volatility and bidirectional power flows increase. </w:t>
            </w:r>
          </w:p>
          <w:p w14:paraId="3FA93829" w14:textId="77777777" w:rsidR="00C660D4" w:rsidRPr="00C660D4" w:rsidRDefault="00C660D4" w:rsidP="00C660D4">
            <w:pPr>
              <w:spacing w:before="120" w:after="120" w:line="288" w:lineRule="auto"/>
              <w:ind w:left="176" w:right="176"/>
              <w:rPr>
                <w:szCs w:val="18"/>
                <w:lang w:eastAsia="en-US" w:bidi="ar-SA"/>
              </w:rPr>
            </w:pPr>
            <w:r w:rsidRPr="00C660D4">
              <w:rPr>
                <w:lang w:eastAsia="en-US" w:bidi="ar-SA"/>
              </w:rPr>
              <w:t xml:space="preserve">In a conventional grid, most generation was located upstream, connected to the transmission network and system operations were comparatively hierarchical and ‘top-down’. By contrast, as millions of diverse, participating energy resources emerge across all tiers/layers of the grid, a more interdependent power system enables coordination and dynamic decision-making across all supply chain entities in near real-time. </w:t>
            </w:r>
          </w:p>
          <w:p w14:paraId="59DC6259" w14:textId="77777777" w:rsidR="00C660D4" w:rsidRPr="00C660D4" w:rsidRDefault="00C660D4" w:rsidP="00C660D4">
            <w:pPr>
              <w:spacing w:before="120" w:after="120" w:line="288" w:lineRule="auto"/>
              <w:ind w:left="176" w:right="176"/>
              <w:rPr>
                <w:szCs w:val="18"/>
                <w:lang w:bidi="ar-SA"/>
              </w:rPr>
            </w:pPr>
            <w:r w:rsidRPr="00C660D4">
              <w:rPr>
                <w:lang w:eastAsia="en-US" w:bidi="ar-SA"/>
              </w:rPr>
              <w:t xml:space="preserve">Supported by an architecturally informed digital infrastructure, the system operator, transmission networks, DSOs, aggregators and market platforms are capable of operating with greater levels of visibility, predictability and alignment. This provides the scalable foundation for both whole-system operational coordination and supply-demand balancing as a decarbonising, high-CER/DER grid becomes more volatile and bidirectional. </w:t>
            </w:r>
          </w:p>
        </w:tc>
      </w:tr>
      <w:tr w:rsidR="00C660D4" w:rsidRPr="00C660D4" w14:paraId="7CFF2860" w14:textId="77777777" w:rsidTr="00E52F89">
        <w:trPr>
          <w:trHeight w:val="944"/>
        </w:trPr>
        <w:tc>
          <w:tcPr>
            <w:tcW w:w="2127" w:type="dxa"/>
            <w:shd w:val="clear" w:color="auto" w:fill="067296" w:themeFill="text2"/>
          </w:tcPr>
          <w:p w14:paraId="36C38F89"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Interface</w:t>
            </w:r>
          </w:p>
        </w:tc>
        <w:tc>
          <w:tcPr>
            <w:tcW w:w="6378" w:type="dxa"/>
          </w:tcPr>
          <w:p w14:paraId="07665CB4" w14:textId="77777777" w:rsidR="00C660D4" w:rsidRPr="00C660D4" w:rsidRDefault="00C660D4" w:rsidP="00C660D4">
            <w:pPr>
              <w:spacing w:before="120" w:after="120" w:line="288" w:lineRule="auto"/>
              <w:ind w:left="176" w:right="176"/>
              <w:rPr>
                <w:szCs w:val="18"/>
                <w:lang w:bidi="ar-SA"/>
              </w:rPr>
            </w:pPr>
            <w:r w:rsidRPr="00C660D4">
              <w:rPr>
                <w:szCs w:val="18"/>
                <w:lang w:bidi="ar-SA"/>
              </w:rPr>
              <w:t>A point of interaction or boundary where different subsystems, components, or modules communicate and exchange information or energy. It defines the protocols, standards, and methods through which these interactions occur, ensuring compatibility and coordination among the interconnected parts of the system. Interfaces are crucial for the integration and functionality of complex systems, allowing diverse elements to work together effectively.</w:t>
            </w:r>
          </w:p>
        </w:tc>
      </w:tr>
      <w:tr w:rsidR="00C660D4" w:rsidRPr="00C660D4" w14:paraId="04AF0D6C" w14:textId="77777777" w:rsidTr="00E52F89">
        <w:tc>
          <w:tcPr>
            <w:tcW w:w="2127" w:type="dxa"/>
            <w:shd w:val="clear" w:color="auto" w:fill="067296" w:themeFill="text2"/>
          </w:tcPr>
          <w:p w14:paraId="5E0C989F"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Interoperability</w:t>
            </w:r>
          </w:p>
          <w:p w14:paraId="2447E1C8"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74AD7D36" w14:textId="77777777" w:rsidR="00C660D4" w:rsidRPr="00C660D4" w:rsidRDefault="00C660D4" w:rsidP="00C660D4">
            <w:pPr>
              <w:spacing w:before="120" w:after="120" w:line="288" w:lineRule="auto"/>
              <w:ind w:left="176" w:right="176"/>
              <w:rPr>
                <w:szCs w:val="18"/>
                <w:lang w:bidi="ar-SA"/>
              </w:rPr>
            </w:pPr>
            <w:r w:rsidRPr="00C660D4">
              <w:rPr>
                <w:szCs w:val="18"/>
                <w:lang w:bidi="ar-SA"/>
              </w:rPr>
              <w:t>The capability of two or more s</w:t>
            </w:r>
            <w:hyperlink r:id="rId58" w:history="1">
              <w:r w:rsidRPr="00C660D4">
                <w:rPr>
                  <w:szCs w:val="18"/>
                  <w:lang w:bidi="ar-SA"/>
                </w:rPr>
                <w:t>ystems,</w:t>
              </w:r>
            </w:hyperlink>
            <w:r w:rsidRPr="00C660D4">
              <w:rPr>
                <w:szCs w:val="18"/>
                <w:lang w:bidi="ar-SA"/>
              </w:rPr>
              <w:t xml:space="preserve"> components or applications</w:t>
            </w:r>
            <w:r w:rsidRPr="00C660D4">
              <w:rPr>
                <w:rFonts w:ascii="Calibri" w:hAnsi="Calibri" w:cs="Calibri"/>
                <w:szCs w:val="18"/>
                <w:lang w:bidi="ar-SA"/>
              </w:rPr>
              <w:t> </w:t>
            </w:r>
            <w:r w:rsidRPr="00C660D4">
              <w:rPr>
                <w:szCs w:val="18"/>
                <w:lang w:bidi="ar-SA"/>
              </w:rPr>
              <w:t>to share, transfer, and readily use energy, power, information and services securely and effectively with little or no inconvenience to the user.</w:t>
            </w:r>
          </w:p>
          <w:p w14:paraId="3EA96C5D" w14:textId="77777777" w:rsidR="00C660D4" w:rsidRPr="00C660D4" w:rsidRDefault="00C660D4" w:rsidP="00C660D4">
            <w:pPr>
              <w:spacing w:before="120" w:after="120" w:line="288" w:lineRule="auto"/>
              <w:ind w:left="176" w:right="176"/>
              <w:rPr>
                <w:szCs w:val="18"/>
                <w:lang w:bidi="ar-SA"/>
              </w:rPr>
            </w:pPr>
            <w:r w:rsidRPr="00C660D4">
              <w:rPr>
                <w:szCs w:val="18"/>
                <w:lang w:bidi="ar-SA"/>
              </w:rPr>
              <w:t xml:space="preserve">Future-ready approaches to Interoperability recognise that is has an intrinsic relationship to the underpinning </w:t>
            </w:r>
            <w:hyperlink r:id="rId59" w:history="1">
              <w:r w:rsidRPr="00C660D4">
                <w:rPr>
                  <w:szCs w:val="18"/>
                  <w:lang w:bidi="ar-SA"/>
                </w:rPr>
                <w:t>Structure</w:t>
              </w:r>
            </w:hyperlink>
            <w:r w:rsidRPr="00C660D4">
              <w:rPr>
                <w:szCs w:val="18"/>
                <w:lang w:bidi="ar-SA"/>
              </w:rPr>
              <w:t xml:space="preserve"> and Roles &amp; Responsibilities of the wider system, both in their current state form and as they will plausibly need to evolve to enable an increasingly decarbonised future system. </w:t>
            </w:r>
          </w:p>
        </w:tc>
      </w:tr>
      <w:tr w:rsidR="00C660D4" w:rsidRPr="00C660D4" w14:paraId="23DDECD1" w14:textId="77777777" w:rsidTr="00E52F89">
        <w:tc>
          <w:tcPr>
            <w:tcW w:w="2127" w:type="dxa"/>
            <w:shd w:val="clear" w:color="auto" w:fill="067296" w:themeFill="text2"/>
          </w:tcPr>
          <w:p w14:paraId="4AA28F59"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Inverter-Based Resource</w:t>
            </w:r>
          </w:p>
        </w:tc>
        <w:tc>
          <w:tcPr>
            <w:tcW w:w="6378" w:type="dxa"/>
          </w:tcPr>
          <w:p w14:paraId="59621C20" w14:textId="77777777" w:rsidR="00C660D4" w:rsidRPr="00C660D4" w:rsidRDefault="00C660D4" w:rsidP="00C660D4">
            <w:pPr>
              <w:spacing w:before="120" w:after="120" w:line="288" w:lineRule="auto"/>
              <w:ind w:left="176" w:right="176"/>
              <w:rPr>
                <w:szCs w:val="18"/>
                <w:lang w:bidi="ar-SA"/>
              </w:rPr>
            </w:pPr>
            <w:r w:rsidRPr="00C660D4">
              <w:rPr>
                <w:szCs w:val="18"/>
                <w:lang w:bidi="ar-SA"/>
              </w:rPr>
              <w:t>A diverse range of energy resources that, unlike many conventional resources, do not have moving components that rotate synchronised with the frequency of the power system.  In contrast, resources such as wind turbines, solar photovoltaics (solar PV) and battery energy storage systems (BESS) are interfaced with the power system via power electronic converters known as inverters, which electronically replicate the standard operating frequency of the grid.</w:t>
            </w:r>
          </w:p>
        </w:tc>
      </w:tr>
      <w:tr w:rsidR="00C660D4" w:rsidRPr="00C660D4" w14:paraId="0E9FA21B" w14:textId="77777777" w:rsidTr="00E52F89">
        <w:tc>
          <w:tcPr>
            <w:tcW w:w="2127" w:type="dxa"/>
            <w:shd w:val="clear" w:color="auto" w:fill="067296" w:themeFill="text2"/>
          </w:tcPr>
          <w:p w14:paraId="13D2C4B4" w14:textId="77777777" w:rsidR="00C660D4" w:rsidRPr="00C660D4" w:rsidRDefault="00C660D4" w:rsidP="00C660D4">
            <w:pPr>
              <w:spacing w:before="120" w:after="120" w:line="288" w:lineRule="auto"/>
              <w:ind w:left="175" w:right="176"/>
              <w:jc w:val="center"/>
              <w:rPr>
                <w:rFonts w:ascii="PP Mori SemiBold" w:hAnsi="PP Mori SemiBold"/>
                <w:iCs/>
                <w:color w:val="FAFAFA" w:themeColor="background1"/>
                <w:szCs w:val="18"/>
              </w:rPr>
            </w:pPr>
            <w:r w:rsidRPr="00C660D4">
              <w:rPr>
                <w:rFonts w:ascii="PP Mori SemiBold" w:hAnsi="PP Mori SemiBold"/>
                <w:iCs/>
                <w:color w:val="FAFAFA" w:themeColor="background1"/>
                <w:szCs w:val="18"/>
              </w:rPr>
              <w:t>Layered Decomposition</w:t>
            </w:r>
          </w:p>
          <w:p w14:paraId="17D0D867"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420AA4EF"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A foundational strategy for managing complexity in large, complex systems by breaking them into semi-independent, logically structured layers, each of which provides services to the layer above and uses services from the layer below. </w:t>
            </w:r>
          </w:p>
          <w:p w14:paraId="2D664389"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Based on formally established mathematical techniques, it is employed in many sectors, such as aerospace, internet and communications protocols, cloud computing and autonomous vehicles, to solve Ultra Large Scale (ULS) optimisation problems. It reduces coupling, increases resilience and enables scaling, making it a hallmark of modern complex engineered systems.</w:t>
            </w:r>
          </w:p>
          <w:p w14:paraId="4739A906" w14:textId="77777777" w:rsidR="00C660D4" w:rsidRPr="00C660D4" w:rsidRDefault="00C660D4" w:rsidP="00C660D4">
            <w:pPr>
              <w:spacing w:before="120" w:after="120" w:line="288" w:lineRule="auto"/>
              <w:ind w:left="176" w:right="176"/>
              <w:rPr>
                <w:bCs/>
                <w:lang w:eastAsia="en-US" w:bidi="ar-SA"/>
              </w:rPr>
            </w:pPr>
            <w:r w:rsidRPr="00C660D4">
              <w:rPr>
                <w:szCs w:val="18"/>
                <w:lang w:eastAsia="en-US" w:bidi="ar-SA"/>
              </w:rPr>
              <w:t xml:space="preserve">As decarbonising power systems face growing levels of volatility and bidirectional power flows while transitioning from hundreds to millions of participating resources, layered decomposition provides an empirical basis for solving the many critical structural issues that impede whole-system visibility and the operational coordination of millions of diverse participating resources. </w:t>
            </w:r>
          </w:p>
          <w:p w14:paraId="0A16253F"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 xml:space="preserve">In contrast with more traditional ‘top-down’ hierarchical control, it enables highly complex problems to be decomposed multiple times into sub-problems, which then work in combination to solve the original problem. </w:t>
            </w:r>
          </w:p>
        </w:tc>
      </w:tr>
      <w:tr w:rsidR="00C660D4" w:rsidRPr="00C660D4" w14:paraId="745010E2" w14:textId="77777777" w:rsidTr="00E52F89">
        <w:tc>
          <w:tcPr>
            <w:tcW w:w="2127" w:type="dxa"/>
            <w:shd w:val="clear" w:color="auto" w:fill="067296" w:themeFill="text2"/>
          </w:tcPr>
          <w:p w14:paraId="1D1A8C79" w14:textId="77777777" w:rsidR="00C660D4" w:rsidRPr="00C660D4" w:rsidRDefault="00C660D4" w:rsidP="00C660D4">
            <w:pPr>
              <w:spacing w:before="120" w:after="120" w:line="288" w:lineRule="auto"/>
              <w:jc w:val="center"/>
              <w:rPr>
                <w:rFonts w:ascii="PP Mori SemiBold" w:eastAsia="Segoe UI" w:hAnsi="PP Mori SemiBold"/>
                <w:bCs/>
                <w:color w:val="FAFAFA" w:themeColor="background1"/>
                <w:szCs w:val="18"/>
              </w:rPr>
            </w:pPr>
            <w:r w:rsidRPr="00C660D4">
              <w:rPr>
                <w:rFonts w:ascii="PP Mori SemiBold" w:eastAsia="Segoe UI" w:hAnsi="PP Mori SemiBold"/>
                <w:bCs/>
                <w:color w:val="FAFAFA" w:themeColor="background1"/>
                <w:szCs w:val="18"/>
              </w:rPr>
              <w:t>Market Mechanism</w:t>
            </w:r>
          </w:p>
        </w:tc>
        <w:tc>
          <w:tcPr>
            <w:tcW w:w="6378" w:type="dxa"/>
          </w:tcPr>
          <w:p w14:paraId="1E8BCD4F" w14:textId="77777777" w:rsidR="00C660D4" w:rsidRPr="00C660D4" w:rsidRDefault="00C660D4" w:rsidP="00C660D4">
            <w:pPr>
              <w:spacing w:before="120" w:after="120" w:line="288" w:lineRule="auto"/>
              <w:ind w:left="176" w:right="176"/>
              <w:rPr>
                <w:bCs/>
                <w:szCs w:val="18"/>
                <w:lang w:eastAsia="en-US" w:bidi="ar-SA"/>
              </w:rPr>
            </w:pPr>
            <w:r w:rsidRPr="00C660D4">
              <w:rPr>
                <w:bCs/>
                <w:szCs w:val="18"/>
                <w:lang w:eastAsia="en-US" w:bidi="ar-SA"/>
              </w:rPr>
              <w:t>Any form of</w:t>
            </w:r>
            <w:r w:rsidRPr="00C660D4">
              <w:rPr>
                <w:lang w:eastAsia="en-US" w:bidi="ar-SA"/>
              </w:rPr>
              <w:t xml:space="preserve"> e</w:t>
            </w:r>
            <w:r w:rsidRPr="00C660D4">
              <w:rPr>
                <w:bCs/>
                <w:szCs w:val="18"/>
                <w:lang w:eastAsia="en-US" w:bidi="ar-SA"/>
              </w:rPr>
              <w:t xml:space="preserve">xchange </w:t>
            </w:r>
            <w:r w:rsidRPr="00C660D4">
              <w:rPr>
                <w:lang w:eastAsia="en-US" w:bidi="ar-SA"/>
              </w:rPr>
              <w:t xml:space="preserve">mechanism </w:t>
            </w:r>
            <w:r w:rsidRPr="00C660D4">
              <w:rPr>
                <w:bCs/>
                <w:szCs w:val="18"/>
                <w:lang w:eastAsia="en-US" w:bidi="ar-SA"/>
              </w:rPr>
              <w:t xml:space="preserve">between buyers and sellers of electricity services that enables the monetisation and transaction of their economic value via a range of means, including tariffs, contracts, auctions and digital platforms. </w:t>
            </w:r>
          </w:p>
        </w:tc>
      </w:tr>
      <w:tr w:rsidR="00C660D4" w:rsidRPr="00C660D4" w14:paraId="264E5FDB" w14:textId="77777777" w:rsidTr="00E52F89">
        <w:tc>
          <w:tcPr>
            <w:tcW w:w="2127" w:type="dxa"/>
            <w:shd w:val="clear" w:color="auto" w:fill="067296" w:themeFill="text2"/>
          </w:tcPr>
          <w:p w14:paraId="3EA4AF5A" w14:textId="77777777" w:rsidR="00C660D4" w:rsidRPr="00C660D4" w:rsidRDefault="00C660D4" w:rsidP="00C660D4">
            <w:pPr>
              <w:spacing w:before="120" w:after="120" w:line="288" w:lineRule="auto"/>
              <w:jc w:val="center"/>
              <w:rPr>
                <w:rFonts w:ascii="PP Mori SemiBold" w:eastAsia="Segoe UI" w:hAnsi="PP Mori SemiBold"/>
                <w:color w:val="FAFAFA" w:themeColor="background1"/>
                <w:szCs w:val="18"/>
              </w:rPr>
            </w:pPr>
            <w:r w:rsidRPr="00C660D4">
              <w:rPr>
                <w:rFonts w:ascii="PP Mori SemiBold" w:eastAsia="Segoe UI" w:hAnsi="PP Mori SemiBold"/>
                <w:color w:val="FAFAFA" w:themeColor="background1"/>
                <w:szCs w:val="18"/>
              </w:rPr>
              <w:t>Market-Control System</w:t>
            </w:r>
          </w:p>
          <w:p w14:paraId="4EE7F646"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33DFA875"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 xml:space="preserve">A market-control system in </w:t>
            </w:r>
            <w:r w:rsidRPr="00C660D4">
              <w:rPr>
                <w:bCs/>
                <w:szCs w:val="18"/>
                <w:lang w:eastAsia="en-US" w:bidi="ar-SA"/>
              </w:rPr>
              <w:t>a</w:t>
            </w:r>
            <w:r w:rsidRPr="00C660D4">
              <w:rPr>
                <w:szCs w:val="18"/>
                <w:lang w:eastAsia="en-US" w:bidi="ar-SA"/>
              </w:rPr>
              <w:t xml:space="preserve"> power system is the integrated set of mechanisms, processes, and technologies that coordinate electricity market operations with real-time grid control. It enables efficient energy trading, ensures the balance of supply and demand, maintains system reliability, enforces regulatory compliance, and supports financial settlement. By aligning economic signals with operational needs, it facilitates transparent pricing, </w:t>
            </w:r>
            <w:r w:rsidRPr="00C660D4">
              <w:rPr>
                <w:bCs/>
                <w:szCs w:val="18"/>
                <w:lang w:eastAsia="en-US" w:bidi="ar-SA"/>
              </w:rPr>
              <w:t>incentivises</w:t>
            </w:r>
            <w:r w:rsidRPr="00C660D4">
              <w:rPr>
                <w:szCs w:val="18"/>
                <w:lang w:eastAsia="en-US" w:bidi="ar-SA"/>
              </w:rPr>
              <w:t xml:space="preserve"> investment, and enables the integration of diverse energy resources into the grid.</w:t>
            </w:r>
          </w:p>
        </w:tc>
      </w:tr>
      <w:tr w:rsidR="00C660D4" w:rsidRPr="00C660D4" w14:paraId="689D7D77" w14:textId="77777777" w:rsidTr="00E52F89">
        <w:tc>
          <w:tcPr>
            <w:tcW w:w="2127" w:type="dxa"/>
            <w:shd w:val="clear" w:color="auto" w:fill="067296" w:themeFill="text2"/>
          </w:tcPr>
          <w:p w14:paraId="27C015BF"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Market/System Operator (MSO)</w:t>
            </w:r>
          </w:p>
        </w:tc>
        <w:tc>
          <w:tcPr>
            <w:tcW w:w="6378" w:type="dxa"/>
          </w:tcPr>
          <w:p w14:paraId="0F0F1B47" w14:textId="77777777" w:rsidR="00C660D4" w:rsidRPr="00C660D4" w:rsidRDefault="00C660D4" w:rsidP="00C660D4">
            <w:pPr>
              <w:spacing w:before="120" w:after="120" w:line="288" w:lineRule="auto"/>
              <w:ind w:left="176" w:right="176"/>
              <w:rPr>
                <w:szCs w:val="18"/>
                <w:lang w:bidi="ar-SA"/>
              </w:rPr>
            </w:pPr>
            <w:r w:rsidRPr="00C660D4">
              <w:rPr>
                <w:szCs w:val="18"/>
                <w:lang w:bidi="ar-SA"/>
              </w:rPr>
              <w:t xml:space="preserve">An entity that combines the functions of the Market Operator and System Operator to ensure secure, reliable and efficient provision of electricity services with a primary focus on the bulk power system.  </w:t>
            </w:r>
          </w:p>
          <w:p w14:paraId="519632EE" w14:textId="77777777" w:rsidR="00C660D4" w:rsidRPr="00C660D4" w:rsidRDefault="00C660D4" w:rsidP="00C660D4">
            <w:pPr>
              <w:spacing w:before="120" w:after="120" w:line="288" w:lineRule="auto"/>
              <w:ind w:left="176" w:right="176"/>
              <w:rPr>
                <w:szCs w:val="18"/>
                <w:lang w:bidi="ar-SA"/>
              </w:rPr>
            </w:pPr>
            <w:r w:rsidRPr="00C660D4">
              <w:rPr>
                <w:szCs w:val="18"/>
                <w:lang w:bidi="ar-SA"/>
              </w:rPr>
              <w:t xml:space="preserve">At the highest level, this will include responsibility for: </w:t>
            </w:r>
          </w:p>
          <w:p w14:paraId="0A2CC0E3" w14:textId="77777777" w:rsidR="00C660D4" w:rsidRPr="00C660D4" w:rsidRDefault="00C660D4" w:rsidP="00954BAC">
            <w:pPr>
              <w:numPr>
                <w:ilvl w:val="0"/>
                <w:numId w:val="97"/>
              </w:numPr>
              <w:tabs>
                <w:tab w:val="num" w:pos="720"/>
              </w:tabs>
              <w:spacing w:before="120" w:after="120" w:line="288" w:lineRule="auto"/>
              <w:ind w:left="714" w:hanging="357"/>
              <w:rPr>
                <w:rFonts w:eastAsia="Segoe UI"/>
                <w:color w:val="252423"/>
                <w:szCs w:val="18"/>
              </w:rPr>
            </w:pPr>
            <w:r w:rsidRPr="00C660D4">
              <w:rPr>
                <w:rFonts w:eastAsia="Segoe UI"/>
                <w:color w:val="252423"/>
                <w:szCs w:val="18"/>
              </w:rPr>
              <w:t xml:space="preserve">System forecasting and planning: to ensure resource adequacy over various time horizons; </w:t>
            </w:r>
          </w:p>
          <w:p w14:paraId="71F07192" w14:textId="77777777" w:rsidR="00C660D4" w:rsidRPr="00C660D4" w:rsidRDefault="00C660D4" w:rsidP="00954BAC">
            <w:pPr>
              <w:numPr>
                <w:ilvl w:val="0"/>
                <w:numId w:val="97"/>
              </w:numPr>
              <w:tabs>
                <w:tab w:val="num" w:pos="720"/>
              </w:tabs>
              <w:spacing w:before="120" w:after="120" w:line="288" w:lineRule="auto"/>
              <w:ind w:left="714" w:hanging="357"/>
              <w:rPr>
                <w:rFonts w:eastAsia="Segoe UI"/>
                <w:color w:val="252423"/>
                <w:szCs w:val="18"/>
              </w:rPr>
            </w:pPr>
            <w:r w:rsidRPr="00C660D4">
              <w:rPr>
                <w:rFonts w:eastAsia="Segoe UI"/>
                <w:color w:val="252423"/>
                <w:szCs w:val="18"/>
              </w:rPr>
              <w:t xml:space="preserve">Real-time system operation:  maintaining the instantaneous balancing of supply and demand; and, </w:t>
            </w:r>
          </w:p>
          <w:p w14:paraId="3041D537" w14:textId="77777777" w:rsidR="00C660D4" w:rsidRPr="00C660D4" w:rsidRDefault="00C660D4" w:rsidP="00954BAC">
            <w:pPr>
              <w:numPr>
                <w:ilvl w:val="0"/>
                <w:numId w:val="97"/>
              </w:numPr>
              <w:tabs>
                <w:tab w:val="num" w:pos="720"/>
              </w:tabs>
              <w:spacing w:before="120" w:after="120" w:line="288" w:lineRule="auto"/>
              <w:ind w:left="714" w:hanging="357"/>
              <w:rPr>
                <w:szCs w:val="18"/>
              </w:rPr>
            </w:pPr>
            <w:r w:rsidRPr="00C660D4">
              <w:rPr>
                <w:rFonts w:eastAsia="Segoe UI"/>
                <w:color w:val="252423"/>
                <w:szCs w:val="18"/>
              </w:rPr>
              <w:t>Market operations: to value, incentivise, procure and coordinate the provision of energy, capacity, flexibility and/or ancillary services.</w:t>
            </w:r>
            <w:r w:rsidRPr="00C660D4">
              <w:rPr>
                <w:szCs w:val="18"/>
              </w:rPr>
              <w:t xml:space="preserve"> </w:t>
            </w:r>
          </w:p>
        </w:tc>
      </w:tr>
      <w:tr w:rsidR="00C660D4" w:rsidRPr="00C660D4" w14:paraId="46909D3C" w14:textId="77777777" w:rsidTr="00E52F89">
        <w:tc>
          <w:tcPr>
            <w:tcW w:w="2127" w:type="dxa"/>
            <w:shd w:val="clear" w:color="auto" w:fill="067296" w:themeFill="text2"/>
          </w:tcPr>
          <w:p w14:paraId="7CE319F0" w14:textId="77777777" w:rsidR="00C660D4" w:rsidRPr="00C660D4" w:rsidRDefault="00C660D4" w:rsidP="00C660D4">
            <w:pPr>
              <w:spacing w:before="120" w:after="120" w:line="288" w:lineRule="auto"/>
              <w:ind w:left="176" w:right="176"/>
              <w:jc w:val="center"/>
              <w:rPr>
                <w:rFonts w:ascii="PP Mori SemiBold" w:hAnsi="PP Mori SemiBold"/>
                <w:iCs/>
                <w:color w:val="FAFAFA" w:themeColor="background1"/>
                <w:szCs w:val="18"/>
              </w:rPr>
            </w:pPr>
            <w:r w:rsidRPr="00C660D4">
              <w:rPr>
                <w:rFonts w:ascii="PP Mori SemiBold" w:hAnsi="PP Mori SemiBold"/>
                <w:iCs/>
                <w:color w:val="FAFAFA" w:themeColor="background1"/>
                <w:szCs w:val="18"/>
              </w:rPr>
              <w:t>Megashift</w:t>
            </w:r>
          </w:p>
          <w:p w14:paraId="2F6718FB"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2136145A" w14:textId="77777777" w:rsidR="00C660D4" w:rsidRPr="00C660D4" w:rsidRDefault="00C660D4" w:rsidP="00C660D4">
            <w:pPr>
              <w:spacing w:before="120" w:after="120" w:line="288" w:lineRule="auto"/>
              <w:ind w:left="176" w:right="176"/>
              <w:rPr>
                <w:szCs w:val="18"/>
                <w:lang w:eastAsia="en-US" w:bidi="ar-SA"/>
              </w:rPr>
            </w:pPr>
            <w:r w:rsidRPr="00C660D4">
              <w:rPr>
                <w:lang w:eastAsia="en-US" w:bidi="ar-SA"/>
              </w:rPr>
              <w:t xml:space="preserve">A term derived from the Strategic Foresight discipline which refers to a large-scale, systemic transformation that reshapes the underlying structures and behaviours of an industry, sector, society and/or the natural environment over an extended time horizon. Key characteristics of a Megashift include: </w:t>
            </w:r>
          </w:p>
          <w:p w14:paraId="32B778E5" w14:textId="77777777" w:rsidR="00C660D4" w:rsidRPr="00C660D4" w:rsidRDefault="00C660D4" w:rsidP="00954BAC">
            <w:pPr>
              <w:numPr>
                <w:ilvl w:val="0"/>
                <w:numId w:val="66"/>
              </w:numPr>
              <w:spacing w:before="120" w:after="120" w:line="288" w:lineRule="auto"/>
              <w:ind w:left="890" w:right="176" w:hanging="357"/>
              <w:rPr>
                <w:szCs w:val="18"/>
                <w:lang w:eastAsia="en-US" w:bidi="ar-SA"/>
              </w:rPr>
            </w:pPr>
            <w:r w:rsidRPr="00C660D4">
              <w:rPr>
                <w:szCs w:val="18"/>
                <w:lang w:eastAsia="en-US" w:bidi="ar-SA"/>
              </w:rPr>
              <w:t>Scale and Scope:</w:t>
            </w:r>
            <w:r w:rsidRPr="00C660D4">
              <w:rPr>
                <w:lang w:eastAsia="en-US" w:bidi="ar-SA"/>
              </w:rPr>
              <w:t xml:space="preserve"> Global or near-global in impact, typically affecting multiple domains at the same time. </w:t>
            </w:r>
          </w:p>
          <w:p w14:paraId="43A5A582" w14:textId="77777777" w:rsidR="00C660D4" w:rsidRPr="00C660D4" w:rsidRDefault="00C660D4" w:rsidP="00954BAC">
            <w:pPr>
              <w:numPr>
                <w:ilvl w:val="0"/>
                <w:numId w:val="66"/>
              </w:numPr>
              <w:spacing w:before="120" w:after="120" w:line="288" w:lineRule="auto"/>
              <w:ind w:left="890" w:right="176" w:hanging="357"/>
              <w:rPr>
                <w:szCs w:val="18"/>
                <w:lang w:eastAsia="en-US" w:bidi="ar-SA"/>
              </w:rPr>
            </w:pPr>
            <w:r w:rsidRPr="00C660D4">
              <w:rPr>
                <w:szCs w:val="18"/>
                <w:lang w:eastAsia="en-US" w:bidi="ar-SA"/>
              </w:rPr>
              <w:t>Multiple Drivers:</w:t>
            </w:r>
            <w:r w:rsidRPr="00C660D4">
              <w:rPr>
                <w:lang w:eastAsia="en-US" w:bidi="ar-SA"/>
              </w:rPr>
              <w:t xml:space="preserve"> Broader than individual trends or emerging issues, typically reflecting the cumulative effects of many converging drivers.</w:t>
            </w:r>
          </w:p>
          <w:p w14:paraId="44CB4E88" w14:textId="77777777" w:rsidR="00C660D4" w:rsidRPr="00C660D4" w:rsidRDefault="00C660D4" w:rsidP="00954BAC">
            <w:pPr>
              <w:numPr>
                <w:ilvl w:val="0"/>
                <w:numId w:val="66"/>
              </w:numPr>
              <w:spacing w:before="120" w:after="120" w:line="288" w:lineRule="auto"/>
              <w:ind w:left="890" w:right="176" w:hanging="357"/>
              <w:rPr>
                <w:szCs w:val="18"/>
                <w:lang w:bidi="ar-SA"/>
              </w:rPr>
            </w:pPr>
            <w:r w:rsidRPr="00C660D4">
              <w:rPr>
                <w:szCs w:val="18"/>
                <w:lang w:eastAsia="en-US" w:bidi="ar-SA"/>
              </w:rPr>
              <w:t>Temporal Depth:</w:t>
            </w:r>
            <w:r w:rsidRPr="00C660D4">
              <w:rPr>
                <w:lang w:eastAsia="en-US" w:bidi="ar-SA"/>
              </w:rPr>
              <w:t xml:space="preserve"> Unlike short-term perturbations, Megashifts unfold over decades and often fundamentally reshape structures and systems for the long-term.</w:t>
            </w:r>
          </w:p>
        </w:tc>
      </w:tr>
      <w:tr w:rsidR="00C660D4" w:rsidRPr="00C660D4" w14:paraId="3AB1D72C" w14:textId="77777777" w:rsidTr="00E52F89">
        <w:tc>
          <w:tcPr>
            <w:tcW w:w="2127" w:type="dxa"/>
            <w:shd w:val="clear" w:color="auto" w:fill="067296" w:themeFill="text2"/>
          </w:tcPr>
          <w:p w14:paraId="34ECDADE"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eastAsia="Segoe UI" w:hAnsi="PP Mori SemiBold"/>
                <w:color w:val="FAFAFA" w:themeColor="background1"/>
                <w:szCs w:val="18"/>
              </w:rPr>
              <w:t>Minimum Operational Demand</w:t>
            </w:r>
          </w:p>
          <w:p w14:paraId="7D9548D7" w14:textId="77777777" w:rsidR="00C660D4" w:rsidRPr="00C660D4" w:rsidRDefault="00C660D4" w:rsidP="00C660D4">
            <w:pPr>
              <w:spacing w:before="120" w:after="120" w:line="288" w:lineRule="auto"/>
              <w:ind w:left="174" w:right="172"/>
              <w:jc w:val="center"/>
              <w:rPr>
                <w:rFonts w:ascii="PP Mori SemiBold" w:hAnsi="PP Mori SemiBold"/>
                <w:iCs/>
                <w:color w:val="FAFAFA" w:themeColor="background1"/>
                <w:szCs w:val="18"/>
              </w:rPr>
            </w:pPr>
          </w:p>
        </w:tc>
        <w:tc>
          <w:tcPr>
            <w:tcW w:w="6378" w:type="dxa"/>
          </w:tcPr>
          <w:p w14:paraId="63186A45" w14:textId="77777777" w:rsidR="00C660D4" w:rsidRPr="00C660D4" w:rsidRDefault="00C660D4" w:rsidP="00C660D4">
            <w:pPr>
              <w:spacing w:before="120" w:after="120" w:line="288" w:lineRule="auto"/>
              <w:ind w:left="176" w:right="176"/>
              <w:rPr>
                <w:lang w:eastAsia="en-US" w:bidi="ar-SA"/>
              </w:rPr>
            </w:pPr>
            <w:r w:rsidRPr="00C660D4">
              <w:rPr>
                <w:szCs w:val="18"/>
                <w:lang w:eastAsia="en-US" w:bidi="ar-SA"/>
              </w:rPr>
              <w:t xml:space="preserve">The lowest amount of electrical Power instantaneously delivered, or forecast to be delivered, in a defined period (day, week, month, season or year), either at a specific Connection Point, network segment or for the entire Power System. Measured in kiloWatts (kW), MegaWatts (MW) or GigaWatts (GW). </w:t>
            </w:r>
            <w:r w:rsidRPr="00C660D4">
              <w:rPr>
                <w:rFonts w:ascii="Calibri" w:hAnsi="Calibri" w:cs="Calibri"/>
                <w:szCs w:val="18"/>
                <w:lang w:eastAsia="en-US" w:bidi="ar-SA"/>
              </w:rPr>
              <w:t> </w:t>
            </w:r>
          </w:p>
        </w:tc>
      </w:tr>
      <w:tr w:rsidR="00C660D4" w:rsidRPr="00C660D4" w14:paraId="16477482" w14:textId="77777777" w:rsidTr="00E52F89">
        <w:tc>
          <w:tcPr>
            <w:tcW w:w="2127" w:type="dxa"/>
            <w:shd w:val="clear" w:color="auto" w:fill="067296" w:themeFill="text2"/>
          </w:tcPr>
          <w:p w14:paraId="5398815C"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eastAsia="Segoe UI" w:hAnsi="PP Mori SemiBold"/>
                <w:color w:val="FAFAFA" w:themeColor="background1"/>
                <w:szCs w:val="18"/>
              </w:rPr>
              <w:t>Model-Based Systems Engineering (MBSE)</w:t>
            </w:r>
          </w:p>
          <w:p w14:paraId="1CA7801D" w14:textId="77777777" w:rsidR="00C660D4" w:rsidRPr="00C660D4" w:rsidRDefault="00C660D4" w:rsidP="00C660D4">
            <w:pPr>
              <w:spacing w:before="120" w:after="120" w:line="288" w:lineRule="auto"/>
              <w:ind w:left="174" w:right="172"/>
              <w:jc w:val="center"/>
              <w:rPr>
                <w:rFonts w:ascii="PP Mori SemiBold" w:hAnsi="PP Mori SemiBold"/>
                <w:iCs/>
                <w:color w:val="FAFAFA" w:themeColor="background1"/>
                <w:szCs w:val="18"/>
              </w:rPr>
            </w:pPr>
          </w:p>
        </w:tc>
        <w:tc>
          <w:tcPr>
            <w:tcW w:w="6378" w:type="dxa"/>
          </w:tcPr>
          <w:p w14:paraId="60EA9C45" w14:textId="77777777" w:rsidR="00C660D4" w:rsidRPr="00C660D4" w:rsidRDefault="00C660D4" w:rsidP="00C660D4">
            <w:pPr>
              <w:spacing w:before="120" w:after="120" w:line="288" w:lineRule="auto"/>
              <w:ind w:left="176" w:right="176"/>
              <w:rPr>
                <w:lang w:bidi="ar-SA"/>
              </w:rPr>
            </w:pPr>
            <w:r w:rsidRPr="00C660D4">
              <w:rPr>
                <w:szCs w:val="18"/>
                <w:lang w:eastAsia="en-US" w:bidi="ar-SA"/>
              </w:rPr>
              <w:t xml:space="preserve">An approach to Systems Engineering that uses software-based models to represent various aspects and behaviours of a complex System. It provides dynamic modelling of System requirements, design, analysis, verification and validation activities in a manner that ensures requirements traceability, reduced errors and enhances multi-stakeholder collaboration in near real-time. </w:t>
            </w:r>
          </w:p>
          <w:p w14:paraId="2379E4B3" w14:textId="77777777" w:rsidR="00C660D4" w:rsidRPr="00C660D4" w:rsidRDefault="00C660D4" w:rsidP="00C660D4">
            <w:pPr>
              <w:spacing w:before="120" w:after="120" w:line="288" w:lineRule="auto"/>
              <w:ind w:left="176" w:right="176"/>
              <w:rPr>
                <w:lang w:eastAsia="en-US" w:bidi="ar-SA"/>
              </w:rPr>
            </w:pPr>
            <w:r w:rsidRPr="00C660D4">
              <w:rPr>
                <w:szCs w:val="18"/>
                <w:lang w:eastAsia="en-US" w:bidi="ar-SA"/>
              </w:rPr>
              <w:t>MBSE leverages graphical and textual representations to capture, analyse, simulate, and communicate the requirements, designs, and behaviours of the System. Applied from the conceptual design phase and continuing throughout development and later life cycle phases, it enhances traditional Systems Engineering processes by providing a more structured, integrated, and visual representation of the</w:t>
            </w:r>
            <w:r w:rsidRPr="00C660D4">
              <w:rPr>
                <w:rFonts w:ascii="Calibri" w:hAnsi="Calibri" w:cs="Calibri"/>
                <w:szCs w:val="18"/>
                <w:lang w:eastAsia="en-US" w:bidi="ar-SA"/>
              </w:rPr>
              <w:t> </w:t>
            </w:r>
            <w:r w:rsidRPr="00C660D4">
              <w:rPr>
                <w:szCs w:val="18"/>
                <w:lang w:eastAsia="en-US" w:bidi="ar-SA"/>
              </w:rPr>
              <w:t>Architecture and Functions of a System.</w:t>
            </w:r>
            <w:r w:rsidRPr="00C660D4">
              <w:rPr>
                <w:rFonts w:ascii="Calibri" w:hAnsi="Calibri" w:cs="Calibri"/>
                <w:szCs w:val="18"/>
                <w:lang w:eastAsia="en-US" w:bidi="ar-SA"/>
              </w:rPr>
              <w:t> </w:t>
            </w:r>
          </w:p>
        </w:tc>
      </w:tr>
      <w:tr w:rsidR="00C660D4" w:rsidRPr="00C660D4" w14:paraId="5F0D5EE9" w14:textId="77777777" w:rsidTr="00E52F89">
        <w:tc>
          <w:tcPr>
            <w:tcW w:w="2127" w:type="dxa"/>
            <w:shd w:val="clear" w:color="auto" w:fill="067296" w:themeFill="text2"/>
          </w:tcPr>
          <w:p w14:paraId="4E4D4BA9" w14:textId="77777777" w:rsidR="00C660D4" w:rsidRPr="00C660D4" w:rsidRDefault="00C660D4" w:rsidP="00C660D4">
            <w:pPr>
              <w:spacing w:before="120" w:after="120" w:line="288" w:lineRule="auto"/>
              <w:ind w:left="174" w:right="172"/>
              <w:jc w:val="center"/>
              <w:rPr>
                <w:rFonts w:ascii="PP Mori SemiBold" w:hAnsi="PP Mori SemiBold"/>
                <w:iCs/>
                <w:color w:val="FAFAFA" w:themeColor="background1"/>
                <w:szCs w:val="18"/>
              </w:rPr>
            </w:pPr>
            <w:r w:rsidRPr="00C660D4">
              <w:rPr>
                <w:rFonts w:ascii="PP Mori SemiBold" w:hAnsi="PP Mori SemiBold"/>
                <w:iCs/>
                <w:color w:val="FAFAFA" w:themeColor="background1"/>
                <w:szCs w:val="18"/>
              </w:rPr>
              <w:t>Network of Structures</w:t>
            </w:r>
          </w:p>
          <w:p w14:paraId="065C6139"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210A7E7B" w14:textId="77777777" w:rsidR="00C660D4" w:rsidRPr="00C660D4" w:rsidRDefault="00C660D4" w:rsidP="00C660D4">
            <w:pPr>
              <w:spacing w:before="120" w:after="120" w:line="288" w:lineRule="auto"/>
              <w:ind w:left="176" w:right="176"/>
              <w:rPr>
                <w:bCs/>
                <w:lang w:eastAsia="en-US" w:bidi="ar-SA"/>
              </w:rPr>
            </w:pPr>
            <w:r w:rsidRPr="00C660D4">
              <w:rPr>
                <w:lang w:eastAsia="en-US" w:bidi="ar-SA"/>
              </w:rPr>
              <w:t>While it is customary to refer to the power system in the singular, a modern electricity system is in reality a ‘super-system’ of seven structures, four of which are functionally interdependent on a days-to-sub second timescale (coral-coloured nodes)</w:t>
            </w:r>
          </w:p>
          <w:p w14:paraId="2AA3060F" w14:textId="77777777" w:rsidR="00C660D4" w:rsidRPr="00C660D4" w:rsidRDefault="00C660D4" w:rsidP="00C660D4">
            <w:pPr>
              <w:spacing w:before="120" w:after="120" w:line="288" w:lineRule="auto"/>
              <w:ind w:left="176" w:right="176"/>
              <w:rPr>
                <w:lang w:eastAsia="en-US" w:bidi="ar-SA"/>
              </w:rPr>
            </w:pPr>
            <w:r w:rsidRPr="00C660D4">
              <w:rPr>
                <w:lang w:eastAsia="en-US" w:bidi="ar-SA"/>
              </w:rPr>
              <w:t xml:space="preserve">GW-scale power systems like the NEM and WEM                               consist of an intricate web of the following seven inter-dependent structures that must ultimately be transformed holistically: </w:t>
            </w:r>
          </w:p>
          <w:p w14:paraId="4B2C2AF7"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lang w:bidi="ar-SA"/>
              </w:rPr>
            </w:pPr>
            <w:r w:rsidRPr="00C660D4">
              <w:rPr>
                <w:rFonts w:eastAsia="Segoe UI"/>
                <w:color w:val="252423"/>
                <w:szCs w:val="18"/>
                <w:lang w:bidi="ar-SA"/>
              </w:rPr>
              <w:t>Electricity Infrastructure (Power Flows)</w:t>
            </w:r>
          </w:p>
          <w:p w14:paraId="78792470"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lang w:bidi="ar-SA"/>
              </w:rPr>
            </w:pPr>
            <w:r w:rsidRPr="00C660D4">
              <w:rPr>
                <w:rFonts w:eastAsia="Segoe UI"/>
                <w:color w:val="252423"/>
                <w:szCs w:val="18"/>
                <w:lang w:bidi="ar-SA"/>
              </w:rPr>
              <w:t>Digital Infrastructure (Information/Data Exchange, Storage and Processing)</w:t>
            </w:r>
          </w:p>
          <w:p w14:paraId="5A77CD4E"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lang w:bidi="ar-SA"/>
              </w:rPr>
            </w:pPr>
            <w:r w:rsidRPr="00C660D4">
              <w:rPr>
                <w:rFonts w:eastAsia="Segoe UI"/>
                <w:color w:val="252423"/>
                <w:szCs w:val="18"/>
                <w:lang w:bidi="ar-SA"/>
              </w:rPr>
              <w:t xml:space="preserve">Operational Coordination Structure </w:t>
            </w:r>
          </w:p>
          <w:p w14:paraId="410C037A"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lang w:bidi="ar-SA"/>
              </w:rPr>
            </w:pPr>
            <w:r w:rsidRPr="00C660D4">
              <w:rPr>
                <w:rFonts w:eastAsia="Segoe UI"/>
                <w:color w:val="252423"/>
                <w:szCs w:val="18"/>
                <w:lang w:bidi="ar-SA"/>
              </w:rPr>
              <w:t>Transactional Structure</w:t>
            </w:r>
          </w:p>
          <w:p w14:paraId="04EE2682"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lang w:bidi="ar-SA"/>
              </w:rPr>
            </w:pPr>
            <w:r w:rsidRPr="00C660D4">
              <w:rPr>
                <w:rFonts w:eastAsia="Segoe UI"/>
                <w:color w:val="252423"/>
                <w:szCs w:val="18"/>
                <w:lang w:bidi="ar-SA"/>
              </w:rPr>
              <w:t>Industry / Market Structure</w:t>
            </w:r>
            <w:r w:rsidRPr="00C660D4">
              <w:rPr>
                <w:rFonts w:ascii="Calibri" w:eastAsia="Segoe UI" w:hAnsi="Calibri" w:cs="Calibri"/>
                <w:color w:val="252423"/>
                <w:szCs w:val="18"/>
                <w:lang w:bidi="ar-SA"/>
              </w:rPr>
              <w:t> </w:t>
            </w:r>
          </w:p>
          <w:p w14:paraId="3F47EBC5"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lang w:bidi="ar-SA"/>
              </w:rPr>
            </w:pPr>
            <w:r w:rsidRPr="00C660D4">
              <w:rPr>
                <w:rFonts w:eastAsia="Segoe UI"/>
                <w:color w:val="252423"/>
                <w:szCs w:val="18"/>
                <w:lang w:bidi="ar-SA"/>
              </w:rPr>
              <w:t>Regulatory Structure; and</w:t>
            </w:r>
            <w:r w:rsidRPr="00C660D4">
              <w:rPr>
                <w:rFonts w:ascii="Calibri" w:eastAsia="Segoe UI" w:hAnsi="Calibri" w:cs="Calibri"/>
                <w:color w:val="252423"/>
                <w:szCs w:val="18"/>
                <w:lang w:bidi="ar-SA"/>
              </w:rPr>
              <w:t> </w:t>
            </w:r>
          </w:p>
          <w:p w14:paraId="452CB44A" w14:textId="77777777" w:rsidR="00C660D4" w:rsidRPr="00C660D4" w:rsidRDefault="00C660D4" w:rsidP="00954BAC">
            <w:pPr>
              <w:numPr>
                <w:ilvl w:val="0"/>
                <w:numId w:val="84"/>
              </w:numPr>
              <w:tabs>
                <w:tab w:val="num" w:pos="720"/>
              </w:tabs>
              <w:spacing w:before="60" w:after="60" w:line="288" w:lineRule="auto"/>
              <w:ind w:left="714" w:hanging="357"/>
              <w:rPr>
                <w:szCs w:val="18"/>
                <w:lang w:bidi="ar-SA"/>
              </w:rPr>
            </w:pPr>
            <w:r w:rsidRPr="00C660D4">
              <w:rPr>
                <w:rFonts w:eastAsia="Segoe UI"/>
                <w:color w:val="252423"/>
                <w:szCs w:val="18"/>
                <w:lang w:bidi="ar-SA"/>
              </w:rPr>
              <w:t>Sector Coupling Structures (Gas, Water, Transport, etc).</w:t>
            </w:r>
            <w:r w:rsidRPr="00C660D4">
              <w:rPr>
                <w:rFonts w:ascii="Calibri" w:hAnsi="Calibri" w:cs="Calibri"/>
                <w:szCs w:val="18"/>
                <w:lang w:bidi="ar-SA"/>
              </w:rPr>
              <w:t> </w:t>
            </w:r>
          </w:p>
        </w:tc>
      </w:tr>
      <w:tr w:rsidR="00C660D4" w:rsidRPr="00C660D4" w14:paraId="685F52EA" w14:textId="77777777" w:rsidTr="00E52F89">
        <w:tc>
          <w:tcPr>
            <w:tcW w:w="2127" w:type="dxa"/>
            <w:shd w:val="clear" w:color="auto" w:fill="067296" w:themeFill="text2"/>
          </w:tcPr>
          <w:p w14:paraId="1EFEFD4B"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Observability</w:t>
            </w:r>
          </w:p>
        </w:tc>
        <w:tc>
          <w:tcPr>
            <w:tcW w:w="6378" w:type="dxa"/>
          </w:tcPr>
          <w:p w14:paraId="3747E842"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The ability to infer the complete internal state (e.g., voltages, power flows, system frequency, and phase angles at all buses) of the system based on available measurements (e.g., SCADA, PMUs, smart meters) and the network model. </w:t>
            </w:r>
          </w:p>
          <w:p w14:paraId="5CA606CA"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A power system is said to be observable if it is possible to uniquely determine the system's state from available data.</w:t>
            </w:r>
          </w:p>
        </w:tc>
      </w:tr>
      <w:tr w:rsidR="00C660D4" w:rsidRPr="00C660D4" w14:paraId="333582F1" w14:textId="77777777" w:rsidTr="00E52F89">
        <w:tc>
          <w:tcPr>
            <w:tcW w:w="2127" w:type="dxa"/>
            <w:shd w:val="clear" w:color="auto" w:fill="067296" w:themeFill="text2"/>
          </w:tcPr>
          <w:p w14:paraId="2BFCCB8D"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Operability</w:t>
            </w:r>
          </w:p>
        </w:tc>
        <w:tc>
          <w:tcPr>
            <w:tcW w:w="6378" w:type="dxa"/>
          </w:tcPr>
          <w:p w14:paraId="1C19B352"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The capability to plan and operate the power system reliably, securely and efficiently under all expected conditions. Core prerequisites for operability include predictability, which is the ability to forecast system behaviour accurately, and dispatchability, which is the ability to control and adjust generation or demand in response to system needs. </w:t>
            </w:r>
          </w:p>
          <w:p w14:paraId="21011520"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Operability is a multidimensional system attribute, not a single metric, and encompasses the ability of system operators and control mechanisms to:</w:t>
            </w:r>
          </w:p>
          <w:p w14:paraId="41943947"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Maintain supply-demand balance at all times;</w:t>
            </w:r>
          </w:p>
          <w:p w14:paraId="6E662BA9"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Keep voltage and frequency within allowable limits;</w:t>
            </w:r>
          </w:p>
          <w:p w14:paraId="60A5EE8D"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Ensure thermal loading of equipment remains within capacity;</w:t>
            </w:r>
          </w:p>
          <w:p w14:paraId="58BD7050"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Respond to contingencies, such as generator or network outages;</w:t>
            </w:r>
          </w:p>
          <w:p w14:paraId="768A85C6"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Manage ramping, variability, and uncertainty (especially from renewable sources);</w:t>
            </w:r>
          </w:p>
          <w:p w14:paraId="3B3AFF88"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 xml:space="preserve">Coordinate resources and orchestrate flexibility (from generation, demand, or storage); and, </w:t>
            </w:r>
          </w:p>
          <w:p w14:paraId="6169CEF5" w14:textId="77777777" w:rsidR="00C660D4" w:rsidRPr="00C660D4" w:rsidRDefault="00C660D4" w:rsidP="00954BAC">
            <w:pPr>
              <w:numPr>
                <w:ilvl w:val="0"/>
                <w:numId w:val="84"/>
              </w:numPr>
              <w:tabs>
                <w:tab w:val="num" w:pos="720"/>
              </w:tabs>
              <w:spacing w:before="60" w:after="60" w:line="288" w:lineRule="auto"/>
              <w:ind w:left="714" w:hanging="357"/>
              <w:rPr>
                <w:szCs w:val="18"/>
              </w:rPr>
            </w:pPr>
            <w:r w:rsidRPr="00C660D4">
              <w:rPr>
                <w:rFonts w:eastAsia="Segoe UI"/>
                <w:color w:val="252423"/>
                <w:szCs w:val="18"/>
                <w:lang w:bidi="ar-SA"/>
              </w:rPr>
              <w:t>Respect operational and market constraints and interfaces (e.g., congestion, availability, ramp rates, dispatchability).</w:t>
            </w:r>
          </w:p>
        </w:tc>
      </w:tr>
    </w:tbl>
    <w:p w14:paraId="7C906901" w14:textId="77777777" w:rsidR="00F05949" w:rsidRDefault="00F05949">
      <w:r>
        <w:br w:type="page"/>
      </w:r>
    </w:p>
    <w:tbl>
      <w:tblPr>
        <w:tblStyle w:val="TableGrid"/>
        <w:tblW w:w="8505" w:type="dxa"/>
        <w:tblInd w:w="-5" w:type="dxa"/>
        <w:tblLook w:val="04A0" w:firstRow="1" w:lastRow="0" w:firstColumn="1" w:lastColumn="0" w:noHBand="0" w:noVBand="1"/>
      </w:tblPr>
      <w:tblGrid>
        <w:gridCol w:w="2127"/>
        <w:gridCol w:w="6378"/>
      </w:tblGrid>
      <w:tr w:rsidR="00C660D4" w:rsidRPr="00C660D4" w14:paraId="4A66A33F" w14:textId="77777777" w:rsidTr="00E52F89">
        <w:tc>
          <w:tcPr>
            <w:tcW w:w="2127" w:type="dxa"/>
            <w:shd w:val="clear" w:color="auto" w:fill="067296" w:themeFill="text2"/>
          </w:tcPr>
          <w:p w14:paraId="26ED2DA5"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Operational Coordination</w:t>
            </w:r>
          </w:p>
          <w:p w14:paraId="73FCE177"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476279DB"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The management and coordination of decisions, actions, and information flows across multiple actors, assets and system tiers/layers to ensure the secure, efficient, and stable operation of the power system. </w:t>
            </w:r>
          </w:p>
          <w:p w14:paraId="27E9A87E"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It includes the systematic operational alignment, across timescales from day-ahead to real-time operation, of the following:</w:t>
            </w:r>
          </w:p>
          <w:p w14:paraId="49F1ACC2"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 xml:space="preserve">System </w:t>
            </w:r>
            <w:r w:rsidRPr="00C660D4">
              <w:rPr>
                <w:rFonts w:eastAsia="Segoe UI"/>
                <w:bCs/>
                <w:color w:val="252423"/>
                <w:szCs w:val="18"/>
              </w:rPr>
              <w:t>Operator</w:t>
            </w:r>
            <w:r w:rsidRPr="00C660D4">
              <w:rPr>
                <w:rFonts w:eastAsia="Segoe UI"/>
                <w:color w:val="252423"/>
                <w:szCs w:val="18"/>
              </w:rPr>
              <w:t xml:space="preserve"> and Distribution System Operators (DSOs);</w:t>
            </w:r>
          </w:p>
          <w:p w14:paraId="577D7726"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 xml:space="preserve">Generators, Energy Storage, Consumer Energy Resources (CER/DER), etc.; </w:t>
            </w:r>
          </w:p>
          <w:p w14:paraId="0350E37F"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 xml:space="preserve">Transmission and Distribution network assets; </w:t>
            </w:r>
          </w:p>
          <w:p w14:paraId="513427D2"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 xml:space="preserve">Market participants, CER/DER Aggregators, etc.; and, </w:t>
            </w:r>
          </w:p>
          <w:p w14:paraId="58E89555"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 xml:space="preserve">Adjacent sector couplings (e.g. gas, transport, water, etc). </w:t>
            </w:r>
          </w:p>
          <w:p w14:paraId="6DB5B9E3"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Supply-Demand Balancing is a critical outcome of successful Operational Coordination as it enables the right resources to be activated or curtailed in the right locations in the right timescales to maintain this balance.  The goals of Operational Coordination also include network constraint management, voltage support, frequency regulation, outage management, and system restoration. </w:t>
            </w:r>
          </w:p>
          <w:p w14:paraId="6FA93BC3"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 xml:space="preserve">While both Operational Coordination and Supply-Demand Balancing were traditionally the sole or primary responsibility of the MSO, multi-level Operational Coordination will be increasingly required as power systems become more decentralised and volatile as the scale deployment of VRE and CER/DER continues.  </w:t>
            </w:r>
          </w:p>
        </w:tc>
      </w:tr>
      <w:tr w:rsidR="00C660D4" w:rsidRPr="00C660D4" w14:paraId="1DBA78BB" w14:textId="77777777" w:rsidTr="00E52F89">
        <w:tc>
          <w:tcPr>
            <w:tcW w:w="2127" w:type="dxa"/>
            <w:shd w:val="clear" w:color="auto" w:fill="067296" w:themeFill="text2"/>
          </w:tcPr>
          <w:p w14:paraId="5E918805"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Orchestration</w:t>
            </w:r>
          </w:p>
        </w:tc>
        <w:tc>
          <w:tcPr>
            <w:tcW w:w="6378" w:type="dxa"/>
          </w:tcPr>
          <w:p w14:paraId="101C0362"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The coordination of dispatchable</w:t>
            </w:r>
            <w:r w:rsidRPr="00C660D4">
              <w:rPr>
                <w:rFonts w:ascii="Cambria Math" w:hAnsi="Cambria Math" w:cs="Cambria Math"/>
                <w:szCs w:val="18"/>
                <w:lang w:eastAsia="en-US" w:bidi="ar-SA"/>
              </w:rPr>
              <w:t> </w:t>
            </w:r>
            <w:r w:rsidRPr="00C660D4">
              <w:rPr>
                <w:szCs w:val="18"/>
                <w:lang w:eastAsia="en-US" w:bidi="ar-SA"/>
              </w:rPr>
              <w:t>Energy Resources, including but not limited to Consumer Energy Resources (CER/DER), in a manner that moderates negative Power System impacts and may include facilitating the provision of</w:t>
            </w:r>
            <w:r w:rsidRPr="00C660D4">
              <w:rPr>
                <w:rFonts w:ascii="Cambria Math" w:hAnsi="Cambria Math" w:cs="Cambria Math"/>
                <w:szCs w:val="18"/>
                <w:lang w:eastAsia="en-US" w:bidi="ar-SA"/>
              </w:rPr>
              <w:t> </w:t>
            </w:r>
            <w:r w:rsidRPr="00C660D4">
              <w:rPr>
                <w:szCs w:val="18"/>
                <w:lang w:eastAsia="en-US" w:bidi="ar-SA"/>
              </w:rPr>
              <w:t>Electric Products</w:t>
            </w:r>
            <w:r w:rsidRPr="00C660D4">
              <w:rPr>
                <w:rFonts w:ascii="Cambria Math" w:hAnsi="Cambria Math" w:cs="Cambria Math"/>
                <w:szCs w:val="18"/>
                <w:lang w:eastAsia="en-US" w:bidi="ar-SA"/>
              </w:rPr>
              <w:t> </w:t>
            </w:r>
            <w:r w:rsidRPr="00C660D4">
              <w:rPr>
                <w:szCs w:val="18"/>
                <w:lang w:eastAsia="en-US" w:bidi="ar-SA"/>
              </w:rPr>
              <w:t>to various</w:t>
            </w:r>
            <w:r w:rsidRPr="00C660D4">
              <w:rPr>
                <w:rFonts w:ascii="Cambria Math" w:hAnsi="Cambria Math" w:cs="Cambria Math"/>
                <w:szCs w:val="18"/>
                <w:lang w:eastAsia="en-US" w:bidi="ar-SA"/>
              </w:rPr>
              <w:t> </w:t>
            </w:r>
            <w:r w:rsidRPr="00C660D4">
              <w:rPr>
                <w:szCs w:val="18"/>
                <w:lang w:eastAsia="en-US" w:bidi="ar-SA"/>
              </w:rPr>
              <w:t>Tiers/Layers</w:t>
            </w:r>
            <w:r w:rsidRPr="00C660D4">
              <w:rPr>
                <w:rFonts w:ascii="Cambria Math" w:hAnsi="Cambria Math" w:cs="Cambria Math"/>
                <w:szCs w:val="18"/>
                <w:lang w:eastAsia="en-US" w:bidi="ar-SA"/>
              </w:rPr>
              <w:t> </w:t>
            </w:r>
            <w:r w:rsidRPr="00C660D4">
              <w:rPr>
                <w:szCs w:val="18"/>
                <w:lang w:eastAsia="en-US" w:bidi="ar-SA"/>
              </w:rPr>
              <w:t>of the</w:t>
            </w:r>
            <w:r w:rsidRPr="00C660D4">
              <w:rPr>
                <w:rFonts w:ascii="Cambria Math" w:hAnsi="Cambria Math" w:cs="Cambria Math"/>
                <w:szCs w:val="18"/>
                <w:lang w:eastAsia="en-US" w:bidi="ar-SA"/>
              </w:rPr>
              <w:t> </w:t>
            </w:r>
            <w:r w:rsidRPr="00C660D4">
              <w:rPr>
                <w:szCs w:val="18"/>
                <w:lang w:eastAsia="en-US" w:bidi="ar-SA"/>
              </w:rPr>
              <w:t>System</w:t>
            </w:r>
            <w:r w:rsidRPr="00C660D4">
              <w:rPr>
                <w:rFonts w:ascii="Cambria Math" w:hAnsi="Cambria Math" w:cs="Cambria Math"/>
                <w:szCs w:val="18"/>
                <w:lang w:eastAsia="en-US" w:bidi="ar-SA"/>
              </w:rPr>
              <w:t> </w:t>
            </w:r>
            <w:r w:rsidRPr="00C660D4">
              <w:rPr>
                <w:szCs w:val="18"/>
                <w:lang w:eastAsia="en-US" w:bidi="ar-SA"/>
              </w:rPr>
              <w:t>under a commercial arrangement.</w:t>
            </w:r>
            <w:r w:rsidRPr="00C660D4">
              <w:rPr>
                <w:rFonts w:ascii="Calibri" w:hAnsi="Calibri" w:cs="Calibri"/>
                <w:szCs w:val="18"/>
                <w:lang w:eastAsia="en-US" w:bidi="ar-SA"/>
              </w:rPr>
              <w:t> </w:t>
            </w:r>
          </w:p>
        </w:tc>
      </w:tr>
    </w:tbl>
    <w:p w14:paraId="24C547CE" w14:textId="77777777" w:rsidR="00F05949" w:rsidRDefault="00F05949">
      <w:r>
        <w:br w:type="page"/>
      </w:r>
    </w:p>
    <w:tbl>
      <w:tblPr>
        <w:tblStyle w:val="TableGrid"/>
        <w:tblW w:w="8505" w:type="dxa"/>
        <w:tblInd w:w="-5" w:type="dxa"/>
        <w:tblLook w:val="04A0" w:firstRow="1" w:lastRow="0" w:firstColumn="1" w:lastColumn="0" w:noHBand="0" w:noVBand="1"/>
      </w:tblPr>
      <w:tblGrid>
        <w:gridCol w:w="2127"/>
        <w:gridCol w:w="6378"/>
      </w:tblGrid>
      <w:tr w:rsidR="00C660D4" w:rsidRPr="00C660D4" w14:paraId="21E0E063" w14:textId="77777777" w:rsidTr="00E52F89">
        <w:tc>
          <w:tcPr>
            <w:tcW w:w="2127" w:type="dxa"/>
            <w:shd w:val="clear" w:color="auto" w:fill="067296" w:themeFill="text2"/>
          </w:tcPr>
          <w:p w14:paraId="15B66545"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Passive CER/DER</w:t>
            </w:r>
          </w:p>
        </w:tc>
        <w:tc>
          <w:tcPr>
            <w:tcW w:w="6378" w:type="dxa"/>
          </w:tcPr>
          <w:p w14:paraId="1157B88C" w14:textId="77777777" w:rsidR="00C660D4" w:rsidRPr="00C660D4" w:rsidRDefault="00C660D4" w:rsidP="00C660D4">
            <w:pPr>
              <w:spacing w:before="120" w:after="120" w:line="288" w:lineRule="auto"/>
              <w:ind w:left="176" w:right="176"/>
              <w:rPr>
                <w:szCs w:val="18"/>
                <w:lang w:bidi="ar-SA"/>
              </w:rPr>
            </w:pPr>
            <w:r w:rsidRPr="00C660D4">
              <w:rPr>
                <w:szCs w:val="18"/>
                <w:lang w:bidi="ar-SA"/>
              </w:rPr>
              <w:t>Consumer Energy Resources (CER/DER) that operate only under the direction of their own internal control algorithms and cannot be remotely orchestrated by a third party such as an Aggregator or Distribution System Operator (DSO).</w:t>
            </w:r>
          </w:p>
          <w:p w14:paraId="6D4F9A57" w14:textId="77777777" w:rsidR="00C660D4" w:rsidRPr="00C660D4" w:rsidRDefault="00C660D4" w:rsidP="00C660D4">
            <w:pPr>
              <w:spacing w:before="120" w:after="120" w:line="288" w:lineRule="auto"/>
              <w:ind w:left="176" w:right="176"/>
              <w:rPr>
                <w:szCs w:val="18"/>
                <w:lang w:bidi="ar-SA"/>
              </w:rPr>
            </w:pPr>
            <w:r w:rsidRPr="00C660D4">
              <w:rPr>
                <w:szCs w:val="18"/>
                <w:lang w:bidi="ar-SA"/>
              </w:rPr>
              <w:t>Passive CER/DER are significantly less valuable to the power system than Active CER/DER due to their inability to alter their behaviour in response to significant operational conditions experienced by the wider system. As a result, where deployed at scale they will both impose operational inefficiencies and escalate Minimum Operational Demand risks to the reliability of the power system as a whole.</w:t>
            </w:r>
          </w:p>
        </w:tc>
      </w:tr>
      <w:tr w:rsidR="00C660D4" w:rsidRPr="00C660D4" w14:paraId="654A9BF7" w14:textId="77777777" w:rsidTr="00E52F89">
        <w:trPr>
          <w:trHeight w:val="747"/>
        </w:trPr>
        <w:tc>
          <w:tcPr>
            <w:tcW w:w="2127" w:type="dxa"/>
            <w:shd w:val="clear" w:color="auto" w:fill="067296" w:themeFill="text2"/>
          </w:tcPr>
          <w:p w14:paraId="4B2A914A" w14:textId="77777777" w:rsidR="00C660D4" w:rsidRPr="00C660D4" w:rsidRDefault="00C660D4" w:rsidP="00C660D4">
            <w:pPr>
              <w:spacing w:before="120" w:after="120" w:line="288" w:lineRule="auto"/>
              <w:ind w:left="176" w:right="170"/>
              <w:jc w:val="center"/>
              <w:rPr>
                <w:rFonts w:ascii="PP Mori SemiBold" w:hAnsi="PP Mori SemiBold"/>
                <w:bCs/>
                <w:color w:val="FAFAFA" w:themeColor="background1"/>
                <w:szCs w:val="18"/>
              </w:rPr>
            </w:pPr>
            <w:r w:rsidRPr="00C660D4">
              <w:rPr>
                <w:rFonts w:ascii="PP Mori SemiBold" w:hAnsi="PP Mori SemiBold"/>
                <w:bCs/>
                <w:color w:val="FAFAFA" w:themeColor="background1"/>
                <w:szCs w:val="18"/>
              </w:rPr>
              <w:t>Power Systems Architecture (PSA)</w:t>
            </w:r>
          </w:p>
        </w:tc>
        <w:tc>
          <w:tcPr>
            <w:tcW w:w="6378" w:type="dxa"/>
          </w:tcPr>
          <w:p w14:paraId="3B149E52" w14:textId="77777777" w:rsidR="00C660D4" w:rsidRPr="00C660D4" w:rsidRDefault="00C660D4" w:rsidP="00C660D4">
            <w:pPr>
              <w:spacing w:before="120" w:after="120" w:line="288" w:lineRule="auto"/>
              <w:ind w:left="176" w:right="176"/>
              <w:rPr>
                <w:szCs w:val="18"/>
                <w:lang w:bidi="ar-SA"/>
              </w:rPr>
            </w:pPr>
            <w:r w:rsidRPr="00C660D4">
              <w:rPr>
                <w:szCs w:val="18"/>
                <w:lang w:bidi="ar-SA"/>
              </w:rPr>
              <w:t xml:space="preserve">An integrated set of disciplines that support the structural transformation of legacy power systems, enabling them to more effectively serve evolving customer and societal objectives.  </w:t>
            </w:r>
          </w:p>
          <w:p w14:paraId="210A92D9" w14:textId="77777777" w:rsidR="00C660D4" w:rsidRPr="00C660D4" w:rsidRDefault="00C660D4" w:rsidP="00C660D4">
            <w:pPr>
              <w:spacing w:before="120" w:after="120" w:line="288" w:lineRule="auto"/>
              <w:ind w:left="176" w:right="176"/>
              <w:rPr>
                <w:szCs w:val="18"/>
                <w:lang w:bidi="ar-SA"/>
              </w:rPr>
            </w:pPr>
            <w:r w:rsidRPr="00C660D4">
              <w:rPr>
                <w:szCs w:val="18"/>
                <w:lang w:bidi="ar-SA"/>
              </w:rPr>
              <w:t>At its most fundamental, PSA reflects the application of systems engineering to the transformation of the power system.  In recognising each power system as a complex Network of Structures, the PSA methodologies are uniquely designed to provide:</w:t>
            </w:r>
            <w:r w:rsidRPr="00C660D4">
              <w:rPr>
                <w:rFonts w:ascii="Calibri" w:hAnsi="Calibri" w:cs="Calibri"/>
                <w:szCs w:val="18"/>
                <w:lang w:bidi="ar-SA"/>
              </w:rPr>
              <w:t> </w:t>
            </w:r>
          </w:p>
          <w:p w14:paraId="2DB04741" w14:textId="77777777" w:rsidR="00C660D4" w:rsidRPr="00C660D4" w:rsidRDefault="00C660D4" w:rsidP="00954BAC">
            <w:pPr>
              <w:numPr>
                <w:ilvl w:val="0"/>
                <w:numId w:val="84"/>
              </w:numPr>
              <w:tabs>
                <w:tab w:val="num" w:pos="720"/>
              </w:tabs>
              <w:spacing w:before="60" w:after="60" w:line="288" w:lineRule="auto"/>
              <w:ind w:left="714" w:hanging="357"/>
              <w:rPr>
                <w:rFonts w:eastAsia="Segoe UI"/>
                <w:bCs/>
                <w:color w:val="252423"/>
                <w:szCs w:val="18"/>
              </w:rPr>
            </w:pPr>
            <w:r w:rsidRPr="00C660D4">
              <w:rPr>
                <w:rFonts w:eastAsia="Segoe UI"/>
                <w:color w:val="252423"/>
                <w:szCs w:val="18"/>
              </w:rPr>
              <w:t xml:space="preserve">Whole-system insight over 5, 10 and 20-year time horizons, enabling the interrogation and mapping of current, emerging and future </w:t>
            </w:r>
            <w:r w:rsidRPr="00C660D4">
              <w:rPr>
                <w:rFonts w:eastAsia="Segoe UI"/>
                <w:bCs/>
                <w:color w:val="252423"/>
                <w:szCs w:val="18"/>
              </w:rPr>
              <w:t>system</w:t>
            </w:r>
            <w:r w:rsidRPr="00C660D4">
              <w:rPr>
                <w:rFonts w:eastAsia="Segoe UI"/>
                <w:color w:val="252423"/>
                <w:szCs w:val="18"/>
              </w:rPr>
              <w:t xml:space="preserve"> priorities and objectives including the </w:t>
            </w:r>
            <w:r w:rsidRPr="00C660D4">
              <w:rPr>
                <w:rFonts w:eastAsia="Segoe UI"/>
                <w:bCs/>
                <w:color w:val="252423"/>
                <w:szCs w:val="18"/>
              </w:rPr>
              <w:t>role</w:t>
            </w:r>
            <w:r w:rsidRPr="00C660D4">
              <w:rPr>
                <w:rFonts w:eastAsia="Segoe UI"/>
                <w:color w:val="252423"/>
                <w:szCs w:val="18"/>
              </w:rPr>
              <w:t xml:space="preserve"> and </w:t>
            </w:r>
            <w:r w:rsidRPr="00C660D4">
              <w:rPr>
                <w:rFonts w:eastAsia="Segoe UI"/>
                <w:bCs/>
                <w:color w:val="252423"/>
                <w:szCs w:val="18"/>
              </w:rPr>
              <w:t>responsibilities, operational coordination and co</w:t>
            </w:r>
            <w:r w:rsidRPr="00C660D4">
              <w:rPr>
                <w:rFonts w:eastAsia="Segoe UI"/>
                <w:color w:val="252423"/>
                <w:szCs w:val="18"/>
              </w:rPr>
              <w:t xml:space="preserve">-optimisation across all vertical </w:t>
            </w:r>
            <w:r w:rsidRPr="00C660D4">
              <w:rPr>
                <w:rFonts w:eastAsia="Segoe UI"/>
                <w:bCs/>
                <w:color w:val="252423"/>
                <w:szCs w:val="18"/>
              </w:rPr>
              <w:t xml:space="preserve">tiers/layers. </w:t>
            </w:r>
          </w:p>
          <w:p w14:paraId="5EAA59D6" w14:textId="77777777" w:rsidR="00C660D4" w:rsidRPr="00C660D4" w:rsidRDefault="00C660D4" w:rsidP="00954BAC">
            <w:pPr>
              <w:numPr>
                <w:ilvl w:val="0"/>
                <w:numId w:val="84"/>
              </w:numPr>
              <w:tabs>
                <w:tab w:val="num" w:pos="720"/>
              </w:tabs>
              <w:spacing w:before="60" w:after="60" w:line="288" w:lineRule="auto"/>
              <w:ind w:left="714" w:hanging="357"/>
              <w:rPr>
                <w:rFonts w:eastAsia="Segoe UI"/>
                <w:bCs/>
                <w:color w:val="252423"/>
                <w:szCs w:val="18"/>
              </w:rPr>
            </w:pPr>
            <w:r w:rsidRPr="00C660D4">
              <w:rPr>
                <w:rFonts w:eastAsia="Segoe UI"/>
                <w:bCs/>
                <w:color w:val="252423"/>
                <w:szCs w:val="18"/>
              </w:rPr>
              <w:t xml:space="preserve">Evidence-based tools to identify, analyse and shortlist key transformational options through the combination of systems architecture, network theory, control theory, systems science and Model-based Systems Engineering (MBSE). </w:t>
            </w:r>
          </w:p>
          <w:p w14:paraId="48453CAF" w14:textId="77777777" w:rsidR="00C660D4" w:rsidRPr="00C660D4" w:rsidRDefault="00C660D4" w:rsidP="00954BAC">
            <w:pPr>
              <w:numPr>
                <w:ilvl w:val="0"/>
                <w:numId w:val="84"/>
              </w:numPr>
              <w:tabs>
                <w:tab w:val="num" w:pos="720"/>
              </w:tabs>
              <w:spacing w:before="60" w:after="60" w:line="288" w:lineRule="auto"/>
              <w:ind w:left="714" w:hanging="357"/>
              <w:rPr>
                <w:rFonts w:eastAsia="Segoe UI"/>
                <w:color w:val="252423"/>
                <w:szCs w:val="18"/>
              </w:rPr>
            </w:pPr>
            <w:r w:rsidRPr="00C660D4">
              <w:rPr>
                <w:rFonts w:eastAsia="Segoe UI"/>
                <w:color w:val="252423"/>
                <w:szCs w:val="18"/>
              </w:rPr>
              <w:t xml:space="preserve">Future-resilient decision making by surfacing hidden structural constraints early which may otherwise propagate a range of </w:t>
            </w:r>
            <w:r w:rsidRPr="00C660D4">
              <w:rPr>
                <w:rFonts w:eastAsia="Segoe UI"/>
                <w:bCs/>
                <w:color w:val="252423"/>
                <w:szCs w:val="18"/>
              </w:rPr>
              <w:t>architectural</w:t>
            </w:r>
            <w:r w:rsidRPr="00C660D4">
              <w:rPr>
                <w:rFonts w:eastAsia="Segoe UI"/>
                <w:color w:val="252423"/>
                <w:szCs w:val="18"/>
              </w:rPr>
              <w:t xml:space="preserve"> Issues including computational constraints, latency cascading and cyber-security vulnerabilities, providing greater assurance that new investments will be </w:t>
            </w:r>
            <w:r w:rsidRPr="00C660D4">
              <w:rPr>
                <w:rFonts w:eastAsia="Segoe UI"/>
                <w:bCs/>
                <w:color w:val="252423"/>
                <w:szCs w:val="18"/>
              </w:rPr>
              <w:t>scalable and extensible</w:t>
            </w:r>
            <w:r w:rsidRPr="00C660D4">
              <w:rPr>
                <w:rFonts w:eastAsia="Segoe UI"/>
                <w:color w:val="252423"/>
                <w:szCs w:val="18"/>
              </w:rPr>
              <w:t xml:space="preserve"> under all plausible futures.</w:t>
            </w:r>
          </w:p>
          <w:p w14:paraId="2335EC87" w14:textId="77777777" w:rsidR="00C660D4" w:rsidRPr="00C660D4" w:rsidRDefault="00C660D4" w:rsidP="00C660D4">
            <w:pPr>
              <w:spacing w:before="120" w:after="120" w:line="288" w:lineRule="auto"/>
              <w:ind w:left="176" w:right="176"/>
              <w:rPr>
                <w:szCs w:val="18"/>
                <w:lang w:bidi="ar-SA"/>
              </w:rPr>
            </w:pPr>
            <w:r w:rsidRPr="00C660D4">
              <w:rPr>
                <w:szCs w:val="18"/>
                <w:lang w:bidi="ar-SA"/>
              </w:rPr>
              <w:t xml:space="preserve">PSA provides a formalised toolkit for decomposing and ‘taming’ the massive complexity inherent to a transforming power system. The PSA toolkit empowers more informed, multi-stakeholder participation by making critical content explicit and tractable that would otherwise remain opaque and intractable. </w:t>
            </w:r>
          </w:p>
          <w:p w14:paraId="66BFC08C" w14:textId="77777777" w:rsidR="00C660D4" w:rsidRPr="00C660D4" w:rsidRDefault="00C660D4" w:rsidP="00C660D4">
            <w:pPr>
              <w:spacing w:before="120" w:after="120" w:line="288" w:lineRule="auto"/>
              <w:ind w:left="176" w:right="176"/>
              <w:rPr>
                <w:bCs/>
                <w:szCs w:val="18"/>
                <w:lang w:eastAsia="en-US" w:bidi="ar-SA"/>
              </w:rPr>
            </w:pPr>
            <w:r w:rsidRPr="00C660D4">
              <w:rPr>
                <w:szCs w:val="18"/>
                <w:lang w:bidi="ar-SA"/>
              </w:rPr>
              <w:t>It is designed to enhance decision quality, timeliness and traceability to support full benefits-realisation and avoid the propagation of unintended consequences.</w:t>
            </w:r>
          </w:p>
        </w:tc>
      </w:tr>
      <w:tr w:rsidR="00C660D4" w:rsidRPr="00C660D4" w14:paraId="2FA3D15F" w14:textId="77777777" w:rsidTr="00E52F89">
        <w:trPr>
          <w:trHeight w:val="747"/>
        </w:trPr>
        <w:tc>
          <w:tcPr>
            <w:tcW w:w="2127" w:type="dxa"/>
            <w:shd w:val="clear" w:color="auto" w:fill="067296" w:themeFill="text2"/>
          </w:tcPr>
          <w:p w14:paraId="266693D0" w14:textId="77777777" w:rsidR="00C660D4" w:rsidRPr="00C660D4" w:rsidRDefault="00C660D4" w:rsidP="00C660D4">
            <w:pPr>
              <w:spacing w:before="120" w:after="120" w:line="288" w:lineRule="auto"/>
              <w:ind w:left="176" w:right="170"/>
              <w:jc w:val="center"/>
              <w:rPr>
                <w:rFonts w:ascii="PP Mori SemiBold" w:hAnsi="PP Mori SemiBold"/>
                <w:color w:val="FAFAFA" w:themeColor="background1"/>
                <w:szCs w:val="18"/>
              </w:rPr>
            </w:pPr>
            <w:r w:rsidRPr="00C660D4">
              <w:rPr>
                <w:rFonts w:ascii="PP Mori SemiBold" w:hAnsi="PP Mori SemiBold"/>
                <w:color w:val="FAFAFA" w:themeColor="background1"/>
                <w:szCs w:val="18"/>
              </w:rPr>
              <w:t>Reference Architecture</w:t>
            </w:r>
          </w:p>
          <w:p w14:paraId="48415EEA" w14:textId="77777777" w:rsidR="00C660D4" w:rsidRPr="00C660D4" w:rsidRDefault="00C660D4" w:rsidP="00C660D4">
            <w:pPr>
              <w:spacing w:before="120" w:after="120" w:line="288" w:lineRule="auto"/>
              <w:ind w:left="176" w:right="170"/>
              <w:jc w:val="center"/>
              <w:rPr>
                <w:rFonts w:ascii="PP Mori SemiBold" w:hAnsi="PP Mori SemiBold"/>
                <w:color w:val="FAFAFA" w:themeColor="background1"/>
                <w:szCs w:val="18"/>
              </w:rPr>
            </w:pPr>
          </w:p>
        </w:tc>
        <w:tc>
          <w:tcPr>
            <w:tcW w:w="6378" w:type="dxa"/>
          </w:tcPr>
          <w:p w14:paraId="0EE3145F"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A Reference Architecture process develops an integrated set of documents and diagrams that capture the essence of the structural relationships, linkages and interdependencies that enable the functioning of a complex system. </w:t>
            </w:r>
          </w:p>
          <w:p w14:paraId="3891406D"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 xml:space="preserve">The purpose of a Reference Architecture is to provide shared clarity on how the underpinning structures and relationships of a system are currently configured, including how they may need to change to enable future needs and stakeholder requirements. </w:t>
            </w:r>
          </w:p>
          <w:p w14:paraId="37616D1D" w14:textId="77777777" w:rsidR="00C660D4" w:rsidRPr="00C660D4" w:rsidRDefault="00C660D4" w:rsidP="00C660D4">
            <w:pPr>
              <w:spacing w:before="120" w:after="120" w:line="288" w:lineRule="auto"/>
              <w:ind w:left="176" w:right="176"/>
              <w:rPr>
                <w:szCs w:val="18"/>
                <w:lang w:eastAsia="en-US" w:bidi="ar-SA"/>
              </w:rPr>
            </w:pPr>
            <w:r w:rsidRPr="00C660D4">
              <w:rPr>
                <w:szCs w:val="18"/>
                <w:lang w:eastAsia="en-US" w:bidi="ar-SA"/>
              </w:rPr>
              <w:t>The development of a Reference Architecture functions as the first major phase of the systems architecture process. The process facilitates a shared understanding across multiple organisations and disciplines of the current and plausible alternative structural arrangements. Necessitating a level of abstraction, it reflects the qualities and intrinsic nature of the system rather than its full detail. This provides a foundational step toward the subsequent Detailed Architecture and Detailed Engineering Design phases.</w:t>
            </w:r>
          </w:p>
        </w:tc>
      </w:tr>
      <w:tr w:rsidR="00C660D4" w:rsidRPr="00C660D4" w14:paraId="633C44B2" w14:textId="77777777" w:rsidTr="00E52F89">
        <w:trPr>
          <w:trHeight w:val="747"/>
        </w:trPr>
        <w:tc>
          <w:tcPr>
            <w:tcW w:w="2127" w:type="dxa"/>
            <w:shd w:val="clear" w:color="auto" w:fill="067296" w:themeFill="text2"/>
          </w:tcPr>
          <w:p w14:paraId="3AA3E934" w14:textId="77777777" w:rsidR="00C660D4" w:rsidRPr="00C660D4" w:rsidRDefault="00C660D4" w:rsidP="00C660D4">
            <w:pPr>
              <w:spacing w:before="120" w:after="120" w:line="288" w:lineRule="auto"/>
              <w:ind w:left="176" w:right="170"/>
              <w:jc w:val="center"/>
              <w:rPr>
                <w:rFonts w:ascii="PP Mori SemiBold" w:hAnsi="PP Mori SemiBold"/>
                <w:color w:val="FAFAFA" w:themeColor="background1"/>
                <w:szCs w:val="18"/>
              </w:rPr>
            </w:pPr>
            <w:r w:rsidRPr="00C660D4">
              <w:rPr>
                <w:rFonts w:ascii="PP Mori SemiBold" w:hAnsi="PP Mori SemiBold"/>
                <w:color w:val="FAFAFA" w:themeColor="background1"/>
                <w:szCs w:val="18"/>
              </w:rPr>
              <w:t>Responsibility</w:t>
            </w:r>
          </w:p>
        </w:tc>
        <w:tc>
          <w:tcPr>
            <w:tcW w:w="6378" w:type="dxa"/>
          </w:tcPr>
          <w:p w14:paraId="3D363281"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A duty or obligation for which an entity is held accountable. One or more responsibilities attach to a given role.</w:t>
            </w:r>
          </w:p>
        </w:tc>
      </w:tr>
      <w:tr w:rsidR="00C660D4" w:rsidRPr="00C660D4" w14:paraId="53088634" w14:textId="77777777" w:rsidTr="00E52F89">
        <w:tc>
          <w:tcPr>
            <w:tcW w:w="2127" w:type="dxa"/>
            <w:shd w:val="clear" w:color="auto" w:fill="067296" w:themeFill="text2"/>
          </w:tcPr>
          <w:p w14:paraId="1A244598" w14:textId="77777777" w:rsidR="00C660D4" w:rsidRPr="00C660D4" w:rsidRDefault="00C660D4" w:rsidP="00C660D4">
            <w:pPr>
              <w:spacing w:before="120" w:after="120" w:line="288" w:lineRule="auto"/>
              <w:ind w:left="176" w:right="170"/>
              <w:jc w:val="center"/>
              <w:rPr>
                <w:rFonts w:ascii="PP Mori SemiBold" w:hAnsi="PP Mori SemiBold"/>
                <w:color w:val="FAFAFA" w:themeColor="background1"/>
                <w:szCs w:val="18"/>
              </w:rPr>
            </w:pPr>
            <w:r w:rsidRPr="00C660D4">
              <w:rPr>
                <w:rFonts w:ascii="PP Mori SemiBold" w:hAnsi="PP Mori SemiBold"/>
                <w:color w:val="FAFAFA" w:themeColor="background1"/>
                <w:szCs w:val="18"/>
              </w:rPr>
              <w:t>Role</w:t>
            </w:r>
          </w:p>
          <w:p w14:paraId="7C8EA564"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076BF0FB"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A set of connected behaviours, actions, or processes carried out by an entity (a person or an organisation) to animate, direct, or manage one or more functions.</w:t>
            </w:r>
          </w:p>
        </w:tc>
      </w:tr>
      <w:tr w:rsidR="00C660D4" w:rsidRPr="00C660D4" w14:paraId="02279921" w14:textId="77777777" w:rsidTr="00E52F89">
        <w:tc>
          <w:tcPr>
            <w:tcW w:w="2127" w:type="dxa"/>
            <w:shd w:val="clear" w:color="auto" w:fill="067296" w:themeFill="text2"/>
          </w:tcPr>
          <w:p w14:paraId="09115B80" w14:textId="77777777" w:rsidR="00C660D4" w:rsidRPr="00C660D4" w:rsidRDefault="00C660D4" w:rsidP="00C660D4">
            <w:pPr>
              <w:spacing w:before="120" w:after="120" w:line="288" w:lineRule="auto"/>
              <w:jc w:val="center"/>
              <w:rPr>
                <w:rFonts w:ascii="PP Mori SemiBold" w:eastAsia="Segoe UI" w:hAnsi="PP Mori SemiBold"/>
                <w:color w:val="FAFAFA" w:themeColor="background1"/>
                <w:szCs w:val="18"/>
              </w:rPr>
            </w:pPr>
            <w:r w:rsidRPr="00C660D4">
              <w:rPr>
                <w:rFonts w:ascii="PP Mori SemiBold" w:eastAsia="Segoe UI" w:hAnsi="PP Mori SemiBold"/>
                <w:color w:val="FAFAFA" w:themeColor="background1"/>
                <w:szCs w:val="18"/>
              </w:rPr>
              <w:t>Rough consensus</w:t>
            </w:r>
          </w:p>
          <w:p w14:paraId="79EFF279"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0535F5E9" w14:textId="77777777" w:rsidR="00C660D4" w:rsidRPr="00C660D4" w:rsidRDefault="00C660D4" w:rsidP="00C660D4">
            <w:pPr>
              <w:spacing w:before="120" w:after="120" w:line="288" w:lineRule="auto"/>
              <w:ind w:left="176" w:right="176"/>
              <w:rPr>
                <w:szCs w:val="18"/>
                <w:lang w:bidi="ar-SA"/>
              </w:rPr>
            </w:pPr>
            <w:r w:rsidRPr="00C660D4">
              <w:rPr>
                <w:szCs w:val="18"/>
                <w:lang w:eastAsia="en-US" w:bidi="ar-SA"/>
              </w:rPr>
              <w:t>A collaborative model developed by the Internet Engineering Task Force (IETF), the premier standards development organisation for the Internet, for effective multi-stakeholder problem solving in an ultra-complex systems environment. It provides a collaborative approach to achieving general agreement among multiple participants, rather than strict unanimity or a formal majority. It emphasises general alignment of the direction while allowing for areas of dissent.  Points of disagreement are weighed and collectively explored rather than ignored. Decision making largely based on voting outcomes, without understanding and addressing meaningful technical concerns, is avoided.</w:t>
            </w:r>
          </w:p>
        </w:tc>
      </w:tr>
    </w:tbl>
    <w:p w14:paraId="442A4448" w14:textId="77777777" w:rsidR="00C660D4" w:rsidRPr="00C660D4" w:rsidRDefault="00C660D4" w:rsidP="00C660D4">
      <w:r w:rsidRPr="00C660D4">
        <w:br w:type="page"/>
      </w:r>
    </w:p>
    <w:tbl>
      <w:tblPr>
        <w:tblStyle w:val="TableGrid"/>
        <w:tblW w:w="8505" w:type="dxa"/>
        <w:tblInd w:w="-5" w:type="dxa"/>
        <w:tblLook w:val="04A0" w:firstRow="1" w:lastRow="0" w:firstColumn="1" w:lastColumn="0" w:noHBand="0" w:noVBand="1"/>
      </w:tblPr>
      <w:tblGrid>
        <w:gridCol w:w="2127"/>
        <w:gridCol w:w="6378"/>
      </w:tblGrid>
      <w:tr w:rsidR="00C660D4" w:rsidRPr="00C660D4" w14:paraId="2041DAC9" w14:textId="77777777" w:rsidTr="00E52F89">
        <w:tc>
          <w:tcPr>
            <w:tcW w:w="2127" w:type="dxa"/>
            <w:shd w:val="clear" w:color="auto" w:fill="067296" w:themeFill="text2"/>
          </w:tcPr>
          <w:p w14:paraId="248A47F7"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Scalability</w:t>
            </w:r>
          </w:p>
        </w:tc>
        <w:tc>
          <w:tcPr>
            <w:tcW w:w="6378" w:type="dxa"/>
          </w:tcPr>
          <w:p w14:paraId="67F795FC" w14:textId="77777777" w:rsidR="00C660D4" w:rsidRPr="00C660D4" w:rsidRDefault="00C660D4" w:rsidP="00C660D4">
            <w:pPr>
              <w:spacing w:before="120" w:after="120" w:line="288" w:lineRule="auto"/>
              <w:ind w:left="176" w:right="176"/>
              <w:rPr>
                <w:szCs w:val="18"/>
                <w:lang w:bidi="ar-SA"/>
              </w:rPr>
            </w:pPr>
            <w:r w:rsidRPr="00C660D4">
              <w:rPr>
                <w:szCs w:val="18"/>
                <w:lang w:bidi="ar-SA"/>
              </w:rPr>
              <w:t>A central consideration of architectural analysis focusing on the degree to which a complex system can securely and efficiently accommodate scale growth. It is a systemic measure of the underpinning structure’s ability to accommodate significant increases in the number of components and endpoints without degrading system functions and/or requiring major modifications.</w:t>
            </w:r>
          </w:p>
        </w:tc>
      </w:tr>
      <w:tr w:rsidR="00C660D4" w:rsidRPr="00C660D4" w14:paraId="7F996B71" w14:textId="77777777" w:rsidTr="00E52F89">
        <w:tc>
          <w:tcPr>
            <w:tcW w:w="2127" w:type="dxa"/>
            <w:shd w:val="clear" w:color="auto" w:fill="067296" w:themeFill="text2"/>
          </w:tcPr>
          <w:p w14:paraId="19731CA0"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Smart Inverter</w:t>
            </w:r>
          </w:p>
          <w:p w14:paraId="701DE42A"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45C70862" w14:textId="77777777" w:rsidR="00C660D4" w:rsidRPr="00C660D4" w:rsidRDefault="00C660D4" w:rsidP="00C660D4">
            <w:pPr>
              <w:spacing w:before="120" w:after="120" w:line="288" w:lineRule="auto"/>
              <w:ind w:left="176" w:right="176"/>
              <w:rPr>
                <w:szCs w:val="18"/>
                <w:lang w:bidi="ar-SA"/>
              </w:rPr>
            </w:pPr>
            <w:r w:rsidRPr="00C660D4">
              <w:rPr>
                <w:szCs w:val="18"/>
                <w:lang w:bidi="ar-SA"/>
              </w:rPr>
              <w:t>An advanced type of power inverter that converts direct current (DC) into alternating current (AC) while incorporating smart technology features. These features often include grid support functions, remote monitoring, real-time data communication, and the ability to adjust power output to optimize energy usage and efficiency. Smart inverters are commonly used in renewable energy systems, such as solar and wind power installations, to enhance grid stability and integrate seamlessly with smart grids and other modern energy management systems.</w:t>
            </w:r>
          </w:p>
        </w:tc>
      </w:tr>
      <w:tr w:rsidR="00C660D4" w:rsidRPr="00C660D4" w14:paraId="791C6A53" w14:textId="77777777" w:rsidTr="00E52F89">
        <w:tc>
          <w:tcPr>
            <w:tcW w:w="2127" w:type="dxa"/>
            <w:shd w:val="clear" w:color="auto" w:fill="067296" w:themeFill="text2"/>
          </w:tcPr>
          <w:p w14:paraId="3BBBD812"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Structure</w:t>
            </w:r>
          </w:p>
        </w:tc>
        <w:tc>
          <w:tcPr>
            <w:tcW w:w="6378" w:type="dxa"/>
          </w:tcPr>
          <w:p w14:paraId="305CF47F" w14:textId="77777777" w:rsidR="00C660D4" w:rsidRPr="00C660D4" w:rsidRDefault="00C660D4" w:rsidP="00C660D4">
            <w:pPr>
              <w:spacing w:before="120" w:after="120" w:line="288" w:lineRule="auto"/>
              <w:ind w:left="176" w:right="169"/>
              <w:rPr>
                <w:szCs w:val="18"/>
                <w:lang w:bidi="ar-SA"/>
              </w:rPr>
            </w:pPr>
            <w:r w:rsidRPr="00C660D4">
              <w:rPr>
                <w:szCs w:val="18"/>
                <w:lang w:eastAsia="en-US" w:bidi="ar-SA"/>
              </w:rPr>
              <w:t>Every functioning system created by humans has an underpinning structure. The structure of a system consists of the formal, stable connections, interactions, relationships and interdependencies that exist between the numerous components of the system and enable it to reliably achieve specific purposes.</w:t>
            </w:r>
          </w:p>
        </w:tc>
      </w:tr>
      <w:tr w:rsidR="00C660D4" w:rsidRPr="00C660D4" w14:paraId="764C26E7" w14:textId="77777777" w:rsidTr="00E52F89">
        <w:tc>
          <w:tcPr>
            <w:tcW w:w="2127" w:type="dxa"/>
            <w:shd w:val="clear" w:color="auto" w:fill="067296" w:themeFill="text2"/>
          </w:tcPr>
          <w:p w14:paraId="5227E936"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 xml:space="preserve">Structural Analysis </w:t>
            </w:r>
          </w:p>
          <w:p w14:paraId="602AAE95"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60786E88"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In the context of electricity system transformation, structural analysis refers to the systematic evaluation of the physical, operational, and organizational structures of the power system to determine the changes necessary to transition from a conventional, fossil-fuel-based, unidirectional grid to a decarbonised, distributed, and bidirectional grid.</w:t>
            </w:r>
          </w:p>
          <w:p w14:paraId="07354089"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 xml:space="preserve">This process involves assessing how new technologies (such as distributed energy resources, storage, and electric vehicles), market mechanisms, and control strategies will alter the system’s topology, power flows, stability characteristics, and resilience requirements. The goal is to ensure that the restructured grid can accommodate variable renewable energy sources, enable two-way energy and information flows, and maintain security, reliability, and affordability under future scenarios.  </w:t>
            </w:r>
          </w:p>
          <w:p w14:paraId="20F9752E"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 xml:space="preserve">Key components of structural analysis include: </w:t>
            </w:r>
          </w:p>
          <w:p w14:paraId="1D111C09" w14:textId="77777777" w:rsidR="00C660D4" w:rsidRPr="00C660D4" w:rsidRDefault="00C660D4" w:rsidP="00954BAC">
            <w:pPr>
              <w:numPr>
                <w:ilvl w:val="0"/>
                <w:numId w:val="87"/>
              </w:numPr>
              <w:spacing w:before="60" w:after="60" w:line="288" w:lineRule="auto"/>
              <w:ind w:left="714" w:hanging="357"/>
              <w:rPr>
                <w:rFonts w:eastAsia="Segoe UI"/>
                <w:color w:val="252423"/>
                <w:szCs w:val="18"/>
              </w:rPr>
            </w:pPr>
            <w:r w:rsidRPr="00C660D4">
              <w:rPr>
                <w:rFonts w:eastAsia="Segoe UI"/>
                <w:color w:val="252423"/>
                <w:szCs w:val="18"/>
              </w:rPr>
              <w:t>Physical Structure: Reconfiguration of transmission and distribution networks for bidirectional flows.</w:t>
            </w:r>
          </w:p>
          <w:p w14:paraId="346D5332" w14:textId="77777777" w:rsidR="00C660D4" w:rsidRPr="00C660D4" w:rsidRDefault="00C660D4" w:rsidP="00954BAC">
            <w:pPr>
              <w:numPr>
                <w:ilvl w:val="0"/>
                <w:numId w:val="87"/>
              </w:numPr>
              <w:spacing w:before="60" w:after="60" w:line="288" w:lineRule="auto"/>
              <w:ind w:left="714" w:hanging="357"/>
              <w:rPr>
                <w:rFonts w:eastAsia="Segoe UI"/>
                <w:color w:val="252423"/>
                <w:szCs w:val="18"/>
              </w:rPr>
            </w:pPr>
            <w:r w:rsidRPr="00C660D4">
              <w:rPr>
                <w:rFonts w:eastAsia="Segoe UI"/>
                <w:color w:val="252423"/>
                <w:szCs w:val="18"/>
              </w:rPr>
              <w:t>Operational Structure: Adaptation of protection systems, frequency control, and flexibility measures.</w:t>
            </w:r>
          </w:p>
          <w:p w14:paraId="611D7B68" w14:textId="77777777" w:rsidR="00C660D4" w:rsidRPr="00C660D4" w:rsidRDefault="00C660D4" w:rsidP="00954BAC">
            <w:pPr>
              <w:numPr>
                <w:ilvl w:val="0"/>
                <w:numId w:val="87"/>
              </w:numPr>
              <w:spacing w:before="60" w:after="60" w:line="288" w:lineRule="auto"/>
              <w:ind w:left="714" w:hanging="357"/>
              <w:rPr>
                <w:rFonts w:eastAsia="Segoe UI"/>
                <w:color w:val="252423"/>
                <w:szCs w:val="18"/>
              </w:rPr>
            </w:pPr>
            <w:r w:rsidRPr="00C660D4">
              <w:rPr>
                <w:rFonts w:eastAsia="Segoe UI"/>
                <w:color w:val="252423"/>
                <w:szCs w:val="18"/>
              </w:rPr>
              <w:t>Institutional/Market Structure: Integration of distributed generation, demand-side participation, and new pricing models.</w:t>
            </w:r>
          </w:p>
          <w:p w14:paraId="4314213E" w14:textId="77777777" w:rsidR="00C660D4" w:rsidRPr="00C660D4" w:rsidRDefault="00C660D4" w:rsidP="00954BAC">
            <w:pPr>
              <w:numPr>
                <w:ilvl w:val="0"/>
                <w:numId w:val="87"/>
              </w:numPr>
              <w:spacing w:before="60" w:after="60" w:line="288" w:lineRule="auto"/>
              <w:ind w:left="714" w:hanging="357"/>
              <w:rPr>
                <w:szCs w:val="18"/>
              </w:rPr>
            </w:pPr>
            <w:r w:rsidRPr="00C660D4">
              <w:rPr>
                <w:rFonts w:eastAsia="Segoe UI"/>
                <w:color w:val="252423"/>
                <w:szCs w:val="18"/>
              </w:rPr>
              <w:t>Resilience and Stability: Ensuring robust system performance under uncertainty and high penetration of renewables.</w:t>
            </w:r>
          </w:p>
        </w:tc>
      </w:tr>
      <w:tr w:rsidR="00C660D4" w:rsidRPr="00C660D4" w14:paraId="55AB344C" w14:textId="77777777" w:rsidTr="00E52F89">
        <w:tc>
          <w:tcPr>
            <w:tcW w:w="2127" w:type="dxa"/>
            <w:shd w:val="clear" w:color="auto" w:fill="067296" w:themeFill="text2"/>
          </w:tcPr>
          <w:p w14:paraId="627D74E3"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Structural Intervention</w:t>
            </w:r>
          </w:p>
          <w:p w14:paraId="01FA03CE"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6F70B96B"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 xml:space="preserve">In the context of power system transformation, </w:t>
            </w:r>
            <w:r w:rsidRPr="00C660D4">
              <w:rPr>
                <w:bCs/>
                <w:szCs w:val="18"/>
                <w:lang w:eastAsia="en-US" w:bidi="ar-SA"/>
              </w:rPr>
              <w:t xml:space="preserve">a </w:t>
            </w:r>
            <w:r w:rsidRPr="00C660D4">
              <w:rPr>
                <w:szCs w:val="18"/>
                <w:lang w:eastAsia="en-US" w:bidi="ar-SA"/>
              </w:rPr>
              <w:t>structural intervention refers to the deliberate modification or redesign of the physical, operational, and institutional components of the system to enable</w:t>
            </w:r>
            <w:r w:rsidRPr="00C660D4">
              <w:rPr>
                <w:bCs/>
                <w:szCs w:val="18"/>
                <w:lang w:eastAsia="en-US" w:bidi="ar-SA"/>
              </w:rPr>
              <w:t>, for example,</w:t>
            </w:r>
            <w:r w:rsidRPr="00C660D4">
              <w:rPr>
                <w:szCs w:val="18"/>
                <w:lang w:eastAsia="en-US" w:bidi="ar-SA"/>
              </w:rPr>
              <w:t xml:space="preserve"> the transition from a </w:t>
            </w:r>
            <w:r w:rsidRPr="00C660D4">
              <w:rPr>
                <w:bCs/>
                <w:szCs w:val="18"/>
                <w:lang w:eastAsia="en-US" w:bidi="ar-SA"/>
              </w:rPr>
              <w:t>centralised</w:t>
            </w:r>
            <w:r w:rsidRPr="00C660D4">
              <w:rPr>
                <w:szCs w:val="18"/>
                <w:lang w:eastAsia="en-US" w:bidi="ar-SA"/>
              </w:rPr>
              <w:t>, fossil-fuel-based, unidirectional grid to a decarbonised, distributed, and bidirectional grid.</w:t>
            </w:r>
          </w:p>
          <w:p w14:paraId="528637EE"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Structural interventions go beyond incremental operational adjustments; they involve fundamental changes to the system’s architecture and governance to ensure it can support</w:t>
            </w:r>
            <w:r w:rsidRPr="00C660D4">
              <w:rPr>
                <w:bCs/>
                <w:szCs w:val="18"/>
                <w:lang w:eastAsia="en-US" w:bidi="ar-SA"/>
              </w:rPr>
              <w:t xml:space="preserve"> developments such as</w:t>
            </w:r>
            <w:r w:rsidRPr="00C660D4">
              <w:rPr>
                <w:szCs w:val="18"/>
                <w:lang w:eastAsia="en-US" w:bidi="ar-SA"/>
              </w:rPr>
              <w:t>:</w:t>
            </w:r>
          </w:p>
          <w:p w14:paraId="021C9230"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High penetration of renewable energy sources</w:t>
            </w:r>
          </w:p>
          <w:p w14:paraId="1D20DE0F"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Two-way energy and information flows</w:t>
            </w:r>
          </w:p>
          <w:p w14:paraId="10F395C9"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Distributed generation, storage, and flexible demand</w:t>
            </w:r>
          </w:p>
          <w:p w14:paraId="6BC5EA34"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New market structures and regulatory frameworks</w:t>
            </w:r>
          </w:p>
          <w:p w14:paraId="22B6B0D9" w14:textId="77777777" w:rsidR="00C660D4" w:rsidRPr="00C660D4" w:rsidRDefault="00C660D4" w:rsidP="00C660D4">
            <w:pPr>
              <w:spacing w:before="120" w:after="120" w:line="288" w:lineRule="auto"/>
              <w:ind w:left="176" w:right="169"/>
              <w:rPr>
                <w:szCs w:val="18"/>
              </w:rPr>
            </w:pPr>
            <w:r w:rsidRPr="00C660D4">
              <w:rPr>
                <w:szCs w:val="18"/>
                <w:lang w:eastAsia="en-US" w:bidi="ar-SA"/>
              </w:rPr>
              <w:t>These interventions may include network reinforcement and reconfiguration, deployment of advanced digital infrastructure, implementation of new control and protection schemes, and policy and market redesign to maintain reliability, resilience, and economic efficiency in the evolving energy ecosystem.</w:t>
            </w:r>
          </w:p>
        </w:tc>
      </w:tr>
      <w:tr w:rsidR="00C660D4" w:rsidRPr="00C660D4" w14:paraId="13061B2D" w14:textId="77777777" w:rsidTr="00E52F89">
        <w:tc>
          <w:tcPr>
            <w:tcW w:w="2127" w:type="dxa"/>
            <w:shd w:val="clear" w:color="auto" w:fill="067296" w:themeFill="text2"/>
          </w:tcPr>
          <w:p w14:paraId="24021BAE" w14:textId="77777777" w:rsidR="00C660D4" w:rsidRPr="00C660D4" w:rsidRDefault="00C660D4" w:rsidP="00C660D4">
            <w:pPr>
              <w:spacing w:before="120" w:after="120" w:line="288" w:lineRule="auto"/>
              <w:jc w:val="center"/>
              <w:rPr>
                <w:rFonts w:ascii="PP Mori SemiBold" w:hAnsi="PP Mori SemiBold"/>
                <w:color w:val="FAFAFA" w:themeColor="background1"/>
              </w:rPr>
            </w:pPr>
            <w:r w:rsidRPr="00C660D4">
              <w:rPr>
                <w:rFonts w:ascii="PP Mori SemiBold" w:hAnsi="PP Mori SemiBold"/>
                <w:color w:val="FAFAFA" w:themeColor="background1"/>
              </w:rPr>
              <w:t>Supply-Demand Balance</w:t>
            </w:r>
          </w:p>
          <w:p w14:paraId="7FECB467"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36D1DD96" w14:textId="77777777" w:rsidR="00C660D4" w:rsidRPr="00C660D4" w:rsidRDefault="00C660D4" w:rsidP="00C660D4">
            <w:pPr>
              <w:spacing w:before="120" w:after="120" w:line="288" w:lineRule="auto"/>
              <w:ind w:left="176" w:right="169"/>
              <w:rPr>
                <w:szCs w:val="18"/>
                <w:lang w:eastAsia="en-US" w:bidi="ar-SA"/>
              </w:rPr>
            </w:pPr>
            <w:r w:rsidRPr="00C660D4">
              <w:rPr>
                <w:lang w:eastAsia="en-US" w:bidi="ar-SA"/>
              </w:rPr>
              <w:t xml:space="preserve">Where volume of electricity delivered by all operating generation (supply) is maintained in equilibrium with all electricity consumed by customers (demand) during each second. </w:t>
            </w:r>
          </w:p>
          <w:p w14:paraId="2C2E9B3C" w14:textId="77777777" w:rsidR="00C660D4" w:rsidRPr="00C660D4" w:rsidRDefault="00C660D4" w:rsidP="00C660D4">
            <w:pPr>
              <w:spacing w:before="120" w:after="120" w:line="288" w:lineRule="auto"/>
              <w:ind w:left="176" w:right="169"/>
              <w:rPr>
                <w:szCs w:val="18"/>
                <w:lang w:bidi="ar-SA"/>
              </w:rPr>
            </w:pPr>
            <w:r w:rsidRPr="00C660D4">
              <w:rPr>
                <w:lang w:eastAsia="en-US" w:bidi="ar-SA"/>
              </w:rPr>
              <w:t>Maintaining this instantaneous balance is crucial for the stable operation of the power system as imbalances lead to frequency and voltage deviations, which can cause cascading outages.</w:t>
            </w:r>
          </w:p>
        </w:tc>
      </w:tr>
    </w:tbl>
    <w:p w14:paraId="6C4D40AC" w14:textId="77777777" w:rsidR="00C660D4" w:rsidRPr="00C660D4" w:rsidRDefault="00C660D4" w:rsidP="00C660D4">
      <w:r w:rsidRPr="00C660D4">
        <w:br w:type="page"/>
      </w:r>
    </w:p>
    <w:tbl>
      <w:tblPr>
        <w:tblStyle w:val="TableGrid"/>
        <w:tblW w:w="8505" w:type="dxa"/>
        <w:tblInd w:w="-5" w:type="dxa"/>
        <w:tblLook w:val="04A0" w:firstRow="1" w:lastRow="0" w:firstColumn="1" w:lastColumn="0" w:noHBand="0" w:noVBand="1"/>
      </w:tblPr>
      <w:tblGrid>
        <w:gridCol w:w="2127"/>
        <w:gridCol w:w="6378"/>
      </w:tblGrid>
      <w:tr w:rsidR="00C660D4" w:rsidRPr="00C660D4" w14:paraId="00035F96" w14:textId="77777777" w:rsidTr="00E52F89">
        <w:tc>
          <w:tcPr>
            <w:tcW w:w="2127" w:type="dxa"/>
            <w:tcBorders>
              <w:bottom w:val="single" w:sz="4" w:space="0" w:color="FAFAFA" w:themeColor="background1"/>
            </w:tcBorders>
            <w:shd w:val="clear" w:color="auto" w:fill="067296" w:themeFill="text2"/>
          </w:tcPr>
          <w:p w14:paraId="6AB6F095"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Supply-Demand Balancing</w:t>
            </w:r>
          </w:p>
          <w:p w14:paraId="073865C4" w14:textId="77777777" w:rsidR="00C660D4" w:rsidRPr="00C660D4" w:rsidRDefault="00C660D4" w:rsidP="00C660D4">
            <w:pPr>
              <w:spacing w:before="120" w:after="120" w:line="288" w:lineRule="auto"/>
              <w:ind w:left="175" w:right="176"/>
              <w:jc w:val="center"/>
              <w:rPr>
                <w:rFonts w:ascii="PP Mori SemiBold" w:hAnsi="PP Mori SemiBold"/>
                <w:color w:val="FAFAFA" w:themeColor="background1"/>
                <w:sz w:val="28"/>
                <w:szCs w:val="44"/>
              </w:rPr>
            </w:pPr>
          </w:p>
        </w:tc>
        <w:tc>
          <w:tcPr>
            <w:tcW w:w="6378" w:type="dxa"/>
          </w:tcPr>
          <w:p w14:paraId="19A4B752"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The continuous process of ensuring that total electricity generation (supply) matches electricity consumption (demand) every second.  Maintaining this instantaneous balance is crucial for the stable operation of the power system, with imbalances leading to frequency and voltage deviations, which can cause cascading outages.</w:t>
            </w:r>
          </w:p>
          <w:p w14:paraId="5F197138"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Enabled by formal Operational Coordination mechanisms, the maintenance of supply and demand in constant equilibrium involves:</w:t>
            </w:r>
          </w:p>
          <w:p w14:paraId="6E196687"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 xml:space="preserve">High levels of operational visibility and observability in real-time; </w:t>
            </w:r>
          </w:p>
          <w:p w14:paraId="5F7F4C8A"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 xml:space="preserve">The real-time dispatch of centralised and decentralised generation and energy storage; </w:t>
            </w:r>
          </w:p>
          <w:p w14:paraId="31A841F2"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 xml:space="preserve">The activation of flexible demand, for example to align with periods of peaks or troughs of Variable Renewable Energy (VRE) generation; and, </w:t>
            </w:r>
          </w:p>
          <w:p w14:paraId="1EF6A567"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 xml:space="preserve">Activation of reserves and ancillary services as needed. </w:t>
            </w:r>
          </w:p>
          <w:p w14:paraId="773414A4" w14:textId="77777777" w:rsidR="00C660D4" w:rsidRPr="00C660D4" w:rsidRDefault="00C660D4" w:rsidP="00C660D4">
            <w:pPr>
              <w:spacing w:before="120" w:after="120" w:line="288" w:lineRule="auto"/>
              <w:ind w:left="176" w:right="169"/>
              <w:rPr>
                <w:szCs w:val="18"/>
                <w:lang w:eastAsia="en-US" w:bidi="ar-SA"/>
              </w:rPr>
            </w:pPr>
            <w:r w:rsidRPr="00C660D4">
              <w:rPr>
                <w:rFonts w:cs="Segoe UI"/>
                <w:szCs w:val="18"/>
              </w:rPr>
              <w:t xml:space="preserve">Supply-Demand Balancing was traditionally the responsibility of the Market/System Operator and employed a Load-following Operational </w:t>
            </w:r>
            <w:r w:rsidRPr="00C660D4">
              <w:rPr>
                <w:szCs w:val="18"/>
                <w:lang w:eastAsia="en-US" w:bidi="ar-SA"/>
              </w:rPr>
              <w:t xml:space="preserve">Paradigm as most generation plant was both dispatchable and connected to the transmission system.  </w:t>
            </w:r>
          </w:p>
          <w:p w14:paraId="2408C892" w14:textId="77777777" w:rsidR="00C660D4" w:rsidRPr="00C660D4" w:rsidRDefault="00C660D4" w:rsidP="00C660D4">
            <w:pPr>
              <w:spacing w:before="120" w:after="120" w:line="288" w:lineRule="auto"/>
              <w:ind w:left="176" w:right="169"/>
              <w:rPr>
                <w:lang w:eastAsia="en-US" w:bidi="ar-SA"/>
              </w:rPr>
            </w:pPr>
            <w:r w:rsidRPr="00C660D4">
              <w:rPr>
                <w:rFonts w:cs="Segoe UI"/>
                <w:szCs w:val="18"/>
                <w:lang w:bidi="ar-SA"/>
              </w:rPr>
              <w:t>As the scale deployment of VRE and Consumer Energy Resources (CER/DER) continues, and power systems become more volatile and decentralised, multi-level balancing will increasingly be required.  This may also require increasing time-windows where a Supply-following Operational Paradigm is employed.</w:t>
            </w:r>
          </w:p>
        </w:tc>
      </w:tr>
      <w:tr w:rsidR="00C660D4" w:rsidRPr="00C660D4" w14:paraId="42EDE34B" w14:textId="77777777" w:rsidTr="00E52F89">
        <w:tc>
          <w:tcPr>
            <w:tcW w:w="2127" w:type="dxa"/>
            <w:tcBorders>
              <w:top w:val="single" w:sz="4" w:space="0" w:color="FAFAFA" w:themeColor="background1"/>
            </w:tcBorders>
            <w:shd w:val="clear" w:color="auto" w:fill="067296" w:themeFill="text2"/>
          </w:tcPr>
          <w:p w14:paraId="1C76A91A"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Supply-side</w:t>
            </w:r>
          </w:p>
        </w:tc>
        <w:tc>
          <w:tcPr>
            <w:tcW w:w="6378" w:type="dxa"/>
          </w:tcPr>
          <w:p w14:paraId="0F421959" w14:textId="77777777" w:rsidR="00C660D4" w:rsidRPr="00C660D4" w:rsidRDefault="00C660D4" w:rsidP="00C660D4">
            <w:pPr>
              <w:spacing w:before="120" w:after="120" w:line="288" w:lineRule="auto"/>
              <w:ind w:left="176" w:right="169"/>
              <w:rPr>
                <w:szCs w:val="18"/>
                <w:lang w:bidi="ar-SA"/>
              </w:rPr>
            </w:pPr>
            <w:r w:rsidRPr="00C660D4">
              <w:rPr>
                <w:szCs w:val="18"/>
                <w:lang w:bidi="ar-SA"/>
              </w:rPr>
              <w:t xml:space="preserve">The upstream end of a conventional power system where almost all generation plant was traditionally located.  </w:t>
            </w:r>
          </w:p>
          <w:p w14:paraId="75D336E5" w14:textId="77777777" w:rsidR="00C660D4" w:rsidRPr="00C660D4" w:rsidRDefault="00C660D4" w:rsidP="00C660D4">
            <w:pPr>
              <w:spacing w:before="120" w:after="120" w:line="288" w:lineRule="auto"/>
              <w:ind w:left="176" w:right="169"/>
              <w:rPr>
                <w:szCs w:val="18"/>
                <w:lang w:bidi="ar-SA"/>
              </w:rPr>
            </w:pPr>
            <w:r w:rsidRPr="00C660D4">
              <w:rPr>
                <w:szCs w:val="18"/>
                <w:lang w:bidi="ar-SA"/>
              </w:rPr>
              <w:t>More broadly, the term includes all parts of the power system upstream of the customer connection point, including the bulk power system, transmission networks and distribution networks.</w:t>
            </w:r>
          </w:p>
        </w:tc>
      </w:tr>
      <w:tr w:rsidR="00C660D4" w:rsidRPr="00C660D4" w14:paraId="76976CC5" w14:textId="77777777" w:rsidTr="00E52F89">
        <w:tc>
          <w:tcPr>
            <w:tcW w:w="2127" w:type="dxa"/>
            <w:shd w:val="clear" w:color="auto" w:fill="067296" w:themeFill="text2"/>
          </w:tcPr>
          <w:p w14:paraId="3B358C4A"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Synchronous Generation</w:t>
            </w:r>
          </w:p>
        </w:tc>
        <w:tc>
          <w:tcPr>
            <w:tcW w:w="6378" w:type="dxa"/>
          </w:tcPr>
          <w:p w14:paraId="1053B6C5" w14:textId="77777777" w:rsidR="00C660D4" w:rsidRPr="00C660D4" w:rsidRDefault="00C660D4" w:rsidP="00C660D4">
            <w:pPr>
              <w:spacing w:before="120" w:after="120" w:line="288" w:lineRule="auto"/>
              <w:ind w:left="176" w:right="169"/>
              <w:rPr>
                <w:szCs w:val="18"/>
                <w:lang w:bidi="ar-SA"/>
              </w:rPr>
            </w:pPr>
            <w:r w:rsidRPr="00C660D4">
              <w:rPr>
                <w:szCs w:val="18"/>
                <w:lang w:bidi="ar-SA"/>
              </w:rPr>
              <w:t>Generation plant which is directly connected to the power system and rotates in synchronism with the frequency of the grid.</w:t>
            </w:r>
          </w:p>
        </w:tc>
      </w:tr>
    </w:tbl>
    <w:p w14:paraId="2A34AD2A" w14:textId="77777777" w:rsidR="00C660D4" w:rsidRPr="00C660D4" w:rsidRDefault="00C660D4" w:rsidP="00C660D4">
      <w:r w:rsidRPr="00C660D4">
        <w:br w:type="page"/>
      </w:r>
    </w:p>
    <w:tbl>
      <w:tblPr>
        <w:tblStyle w:val="TableGrid"/>
        <w:tblW w:w="8505" w:type="dxa"/>
        <w:tblInd w:w="-5" w:type="dxa"/>
        <w:tblLook w:val="04A0" w:firstRow="1" w:lastRow="0" w:firstColumn="1" w:lastColumn="0" w:noHBand="0" w:noVBand="1"/>
      </w:tblPr>
      <w:tblGrid>
        <w:gridCol w:w="2127"/>
        <w:gridCol w:w="6378"/>
      </w:tblGrid>
      <w:tr w:rsidR="00C660D4" w:rsidRPr="00C660D4" w14:paraId="65B91BB6" w14:textId="77777777" w:rsidTr="00E52F89">
        <w:tc>
          <w:tcPr>
            <w:tcW w:w="2127" w:type="dxa"/>
            <w:shd w:val="clear" w:color="auto" w:fill="067296" w:themeFill="text2"/>
          </w:tcPr>
          <w:p w14:paraId="41E3F7CE"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System</w:t>
            </w:r>
          </w:p>
        </w:tc>
        <w:tc>
          <w:tcPr>
            <w:tcW w:w="6378" w:type="dxa"/>
          </w:tcPr>
          <w:p w14:paraId="61A6619E" w14:textId="77777777" w:rsidR="00C660D4" w:rsidRPr="00C660D4" w:rsidRDefault="00C660D4" w:rsidP="00C660D4">
            <w:pPr>
              <w:spacing w:before="120" w:after="120" w:line="288" w:lineRule="auto"/>
              <w:ind w:left="176" w:right="169"/>
              <w:rPr>
                <w:szCs w:val="18"/>
                <w:lang w:eastAsia="en-US" w:bidi="ar-SA"/>
              </w:rPr>
            </w:pPr>
            <w:r w:rsidRPr="00C660D4">
              <w:rPr>
                <w:lang w:eastAsia="en-US" w:bidi="ar-SA"/>
              </w:rPr>
              <w:t>An interconnected set of components that are formally linked together by a set of structural and functional relationships to achieve specific purpose(s). A system always involves three things:</w:t>
            </w:r>
          </w:p>
          <w:p w14:paraId="46FBC4B0"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Components or elements</w:t>
            </w:r>
            <w:r w:rsidRPr="00C660D4">
              <w:rPr>
                <w:lang w:eastAsia="en-US" w:bidi="ar-SA"/>
              </w:rPr>
              <w:t xml:space="preserve">, which may be many or few, tangible or intangible </w:t>
            </w:r>
          </w:p>
          <w:p w14:paraId="43B5690E"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Structural and functional relationships</w:t>
            </w:r>
            <w:r w:rsidRPr="00C660D4">
              <w:rPr>
                <w:lang w:eastAsia="en-US" w:bidi="ar-SA"/>
              </w:rPr>
              <w:t>, which link or relate all the components together in a manner that enables interdependent operation; and</w:t>
            </w:r>
          </w:p>
          <w:p w14:paraId="218C251D" w14:textId="77777777" w:rsidR="00C660D4" w:rsidRPr="00C660D4" w:rsidRDefault="00C660D4" w:rsidP="00954BAC">
            <w:pPr>
              <w:numPr>
                <w:ilvl w:val="0"/>
                <w:numId w:val="66"/>
              </w:numPr>
              <w:spacing w:before="60" w:after="60" w:line="288" w:lineRule="auto"/>
              <w:ind w:left="890" w:right="176" w:hanging="357"/>
              <w:rPr>
                <w:szCs w:val="18"/>
                <w:lang w:eastAsia="en-US" w:bidi="ar-SA"/>
              </w:rPr>
            </w:pPr>
            <w:r w:rsidRPr="00C660D4">
              <w:rPr>
                <w:szCs w:val="18"/>
                <w:lang w:eastAsia="en-US" w:bidi="ar-SA"/>
              </w:rPr>
              <w:t>One or more purpose(s)</w:t>
            </w:r>
            <w:r w:rsidRPr="00C660D4">
              <w:rPr>
                <w:lang w:eastAsia="en-US" w:bidi="ar-SA"/>
              </w:rPr>
              <w:t xml:space="preserve">, which provide the ultimate reason for the system’s existence, and toward which the collective functions of all the components are directed, enabled by the architectural structures. </w:t>
            </w:r>
          </w:p>
          <w:p w14:paraId="18789A03" w14:textId="77777777" w:rsidR="00C660D4" w:rsidRPr="00C660D4" w:rsidRDefault="00C660D4" w:rsidP="00C660D4">
            <w:pPr>
              <w:spacing w:before="120" w:after="120" w:line="288" w:lineRule="auto"/>
              <w:ind w:left="176" w:right="169"/>
              <w:rPr>
                <w:szCs w:val="18"/>
                <w:lang w:bidi="ar-SA"/>
              </w:rPr>
            </w:pPr>
            <w:r w:rsidRPr="00C660D4">
              <w:rPr>
                <w:lang w:eastAsia="en-US" w:bidi="ar-SA"/>
              </w:rPr>
              <w:t>While the components of a system are often the most visible/tangible, the underpinning structure or architecture always has a disproportionate influence on the essential limits of what the system can reliably and efficiently perform.</w:t>
            </w:r>
          </w:p>
        </w:tc>
      </w:tr>
      <w:tr w:rsidR="00C660D4" w:rsidRPr="00C660D4" w14:paraId="5C172950" w14:textId="77777777" w:rsidTr="00E52F89">
        <w:tc>
          <w:tcPr>
            <w:tcW w:w="2127" w:type="dxa"/>
            <w:shd w:val="clear" w:color="auto" w:fill="067296" w:themeFill="text2"/>
          </w:tcPr>
          <w:p w14:paraId="0968FEEB"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 xml:space="preserve">Systemic </w:t>
            </w:r>
            <w:r w:rsidRPr="00C660D4">
              <w:rPr>
                <w:rFonts w:ascii="PP Mori SemiBold" w:hAnsi="PP Mori SemiBold"/>
                <w:bCs/>
                <w:color w:val="FAFAFA" w:themeColor="background1"/>
                <w:szCs w:val="18"/>
              </w:rPr>
              <w:t>Issue</w:t>
            </w:r>
          </w:p>
        </w:tc>
        <w:tc>
          <w:tcPr>
            <w:tcW w:w="6378" w:type="dxa"/>
          </w:tcPr>
          <w:p w14:paraId="1C084322"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In the disciplines of Systems Architecture and Systems Engineering, a Systemic Issue refers to a cross-cutting problem that stems from the fundamental structure, design, or interactions within a system, rather than from isolated component failures or random anomalies. These issues emerge from the way the system is intrinsically organised and how its parts interrelate.</w:t>
            </w:r>
          </w:p>
          <w:p w14:paraId="040426F4"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In the context of system transformation, Systemic Issues typically surface when existing, legacy arrangements are placed under stress by the cumulative impact of Emerging Trends -- developments and dynamics that were not anticipated during the original design of the system. For example, in electric power systems, Systemic Issues often appear across one or more of the seven inter-dependent technological, market, and regulatory structures outlined in the Network of Structures framework.</w:t>
            </w:r>
          </w:p>
          <w:p w14:paraId="2E570993" w14:textId="77777777" w:rsidR="00C660D4" w:rsidRPr="00C660D4" w:rsidRDefault="00C660D4" w:rsidP="00C660D4">
            <w:pPr>
              <w:spacing w:before="120" w:after="120" w:line="288" w:lineRule="auto"/>
              <w:ind w:left="176" w:right="169"/>
              <w:rPr>
                <w:szCs w:val="18"/>
              </w:rPr>
            </w:pPr>
            <w:r w:rsidRPr="00C660D4">
              <w:rPr>
                <w:szCs w:val="18"/>
                <w:lang w:eastAsia="en-US" w:bidi="ar-SA"/>
              </w:rPr>
              <w:t>Identifying, analysing, and documenting Systemic Issues is a powerful and holistic approach to problem definition in complex, systems. Compared to traditional methods that examine numerous individual trends or develop extensive use case libraries, focusing on Systemic Issues enables practitioners to distil a limited set of high-leverage problems. Addressing these through targeted structural interventions can deliver transformative, system-wide benefits.</w:t>
            </w:r>
          </w:p>
        </w:tc>
      </w:tr>
      <w:tr w:rsidR="00C660D4" w:rsidRPr="00C660D4" w14:paraId="7C498B09" w14:textId="77777777" w:rsidTr="00E52F89">
        <w:tc>
          <w:tcPr>
            <w:tcW w:w="2127" w:type="dxa"/>
            <w:shd w:val="clear" w:color="auto" w:fill="067296" w:themeFill="text2"/>
          </w:tcPr>
          <w:p w14:paraId="7F98C4E4"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Systems Architecture</w:t>
            </w:r>
          </w:p>
        </w:tc>
        <w:tc>
          <w:tcPr>
            <w:tcW w:w="6378" w:type="dxa"/>
          </w:tcPr>
          <w:p w14:paraId="22C64F13"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A formal discipline within Systems Engineering that supports objective and collective reasoning about the foundational structure and organisation of a complex system. This includes its components, interfaces, feedback loops, and other critical behaviours.</w:t>
            </w:r>
          </w:p>
          <w:p w14:paraId="2CD44347"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The architecture of a system exerts a disproportionate influence on what the system can reliably and efficiently accomplish. Accordingly, a system should not be viewed merely as the sum of its parts, but rather as the product of the interactions among those parts—interactions that are enabled and constrained by the underlying architectural design.</w:t>
            </w:r>
          </w:p>
          <w:p w14:paraId="6625B72F" w14:textId="77777777" w:rsidR="00C660D4" w:rsidRPr="00C660D4" w:rsidRDefault="00C660D4" w:rsidP="00C660D4">
            <w:pPr>
              <w:spacing w:before="120" w:after="120" w:line="288" w:lineRule="auto"/>
              <w:ind w:left="176" w:right="169"/>
              <w:rPr>
                <w:szCs w:val="18"/>
                <w:lang w:eastAsia="en-US" w:bidi="ar-SA"/>
              </w:rPr>
            </w:pPr>
            <w:r w:rsidRPr="00C660D4">
              <w:rPr>
                <w:szCs w:val="18"/>
                <w:lang w:eastAsia="en-US" w:bidi="ar-SA"/>
              </w:rPr>
              <w:t>Although architecture plays a pivotal role in shaping system performance, it is often less tangible and more difficult to discern than the system’s individual components. The discipline of Systems Architecture, therefore, provides formal methods and tools to analyse how system components are interconnected, to identify emergent behaviours that arise from these interactions, and to explore robust options for modification and improvement.</w:t>
            </w:r>
          </w:p>
          <w:p w14:paraId="4FF16F59" w14:textId="77777777" w:rsidR="00C660D4" w:rsidRPr="00C660D4" w:rsidRDefault="00C660D4" w:rsidP="00C660D4">
            <w:pPr>
              <w:spacing w:before="120" w:after="120" w:line="288" w:lineRule="auto"/>
              <w:ind w:left="176" w:right="169"/>
              <w:rPr>
                <w:szCs w:val="18"/>
                <w:lang w:bidi="ar-SA"/>
              </w:rPr>
            </w:pPr>
            <w:r w:rsidRPr="00C660D4">
              <w:rPr>
                <w:szCs w:val="18"/>
                <w:lang w:eastAsia="en-US" w:bidi="ar-SA"/>
              </w:rPr>
              <w:t>By enabling a deeper understanding of how legacy systems function and how their structures can evolve, Systems Architecture empowers stakeholders to visualise relationships, evaluate trade-offs, and make informed decisions that enhance the system’s capacity to meet current and future demands.</w:t>
            </w:r>
          </w:p>
        </w:tc>
      </w:tr>
      <w:tr w:rsidR="00C660D4" w:rsidRPr="00C660D4" w14:paraId="6DDDD941" w14:textId="77777777" w:rsidTr="00E52F89">
        <w:tc>
          <w:tcPr>
            <w:tcW w:w="2127" w:type="dxa"/>
            <w:shd w:val="clear" w:color="auto" w:fill="067296" w:themeFill="text2"/>
          </w:tcPr>
          <w:p w14:paraId="2C67D314"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Systems Engineering</w:t>
            </w:r>
          </w:p>
        </w:tc>
        <w:tc>
          <w:tcPr>
            <w:tcW w:w="6378" w:type="dxa"/>
          </w:tcPr>
          <w:p w14:paraId="26197504" w14:textId="77777777" w:rsidR="00C660D4" w:rsidRPr="00C660D4" w:rsidRDefault="00C660D4" w:rsidP="00C660D4">
            <w:pPr>
              <w:spacing w:before="120" w:after="120" w:line="288" w:lineRule="auto"/>
              <w:ind w:left="176" w:right="169"/>
              <w:rPr>
                <w:lang w:bidi="ar-SA"/>
              </w:rPr>
            </w:pPr>
            <w:r w:rsidRPr="00C660D4">
              <w:rPr>
                <w:szCs w:val="18"/>
                <w:lang w:eastAsia="en-US" w:bidi="ar-SA"/>
              </w:rPr>
              <w:t>An established engineering discipline applied in numerous sectors focused on the development and operation of ultra-complex Systems including aerospace, military, manufacturing, energy and electronics sectors.</w:t>
            </w:r>
          </w:p>
          <w:p w14:paraId="39AAF09F" w14:textId="77777777" w:rsidR="00C660D4" w:rsidRPr="00C660D4" w:rsidRDefault="00C660D4" w:rsidP="00C660D4">
            <w:pPr>
              <w:spacing w:before="120" w:after="120" w:line="288" w:lineRule="auto"/>
              <w:ind w:left="176" w:right="169"/>
              <w:rPr>
                <w:lang w:bidi="ar-SA"/>
              </w:rPr>
            </w:pPr>
            <w:r w:rsidRPr="00C660D4">
              <w:rPr>
                <w:szCs w:val="18"/>
                <w:lang w:eastAsia="en-US" w:bidi="ar-SA"/>
              </w:rPr>
              <w:t>While many engineering disciplines are oriented toward individual Component technologies or sub-systems, Systems Engineering is a transdisciplinary approach that brings a holistic or ‘whole-system’ approach to the realisation of successful Systems which consistently satisfy the needs of their Customers, users and other stakeholders.</w:t>
            </w:r>
          </w:p>
        </w:tc>
      </w:tr>
      <w:tr w:rsidR="00C660D4" w:rsidRPr="00C660D4" w14:paraId="067143E6" w14:textId="77777777" w:rsidTr="00E52F89">
        <w:tc>
          <w:tcPr>
            <w:tcW w:w="2127" w:type="dxa"/>
            <w:shd w:val="clear" w:color="auto" w:fill="067296" w:themeFill="text2"/>
          </w:tcPr>
          <w:p w14:paraId="72E4761E"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Systems Science</w:t>
            </w:r>
          </w:p>
          <w:p w14:paraId="41943F21"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6F46B3EB" w14:textId="77777777" w:rsidR="00C660D4" w:rsidRPr="00C660D4" w:rsidRDefault="00C660D4" w:rsidP="00C660D4">
            <w:pPr>
              <w:spacing w:before="120" w:after="120" w:line="288" w:lineRule="auto"/>
              <w:ind w:left="176" w:right="169"/>
              <w:rPr>
                <w:szCs w:val="18"/>
                <w:lang w:bidi="ar-SA"/>
              </w:rPr>
            </w:pPr>
            <w:r w:rsidRPr="00C660D4">
              <w:rPr>
                <w:szCs w:val="18"/>
                <w:lang w:bidi="ar-SA"/>
              </w:rPr>
              <w:t>A multi-domain, integrative discipline that brings together research into all aspects of complex</w:t>
            </w:r>
            <w:r w:rsidRPr="00C660D4">
              <w:rPr>
                <w:rFonts w:ascii="Calibri" w:hAnsi="Calibri" w:cs="Calibri"/>
                <w:szCs w:val="18"/>
                <w:lang w:bidi="ar-SA"/>
              </w:rPr>
              <w:t> </w:t>
            </w:r>
            <w:hyperlink r:id="rId60" w:history="1">
              <w:r w:rsidRPr="00C660D4">
                <w:rPr>
                  <w:szCs w:val="18"/>
                  <w:lang w:bidi="ar-SA"/>
                </w:rPr>
                <w:t>systems</w:t>
              </w:r>
            </w:hyperlink>
            <w:r w:rsidRPr="00C660D4">
              <w:rPr>
                <w:rFonts w:ascii="Calibri" w:hAnsi="Calibri" w:cs="Calibri"/>
                <w:szCs w:val="18"/>
                <w:lang w:bidi="ar-SA"/>
              </w:rPr>
              <w:t> </w:t>
            </w:r>
            <w:r w:rsidRPr="00C660D4">
              <w:rPr>
                <w:szCs w:val="18"/>
                <w:lang w:bidi="ar-SA"/>
              </w:rPr>
              <w:t>with a focus on identifying, exploring and understanding the universal patterns and behaviours of</w:t>
            </w:r>
            <w:r w:rsidRPr="00C660D4">
              <w:rPr>
                <w:rFonts w:ascii="Calibri" w:hAnsi="Calibri" w:cs="Calibri"/>
                <w:szCs w:val="18"/>
                <w:lang w:bidi="ar-SA"/>
              </w:rPr>
              <w:t> </w:t>
            </w:r>
            <w:hyperlink r:id="rId61" w:history="1">
              <w:r w:rsidRPr="00C660D4">
                <w:rPr>
                  <w:szCs w:val="18"/>
                  <w:lang w:bidi="ar-SA"/>
                </w:rPr>
                <w:t>complexity</w:t>
              </w:r>
            </w:hyperlink>
            <w:r w:rsidRPr="00C660D4">
              <w:rPr>
                <w:rFonts w:ascii="Calibri" w:hAnsi="Calibri" w:cs="Calibri"/>
                <w:szCs w:val="18"/>
                <w:lang w:bidi="ar-SA"/>
              </w:rPr>
              <w:t> </w:t>
            </w:r>
            <w:r w:rsidRPr="00C660D4">
              <w:rPr>
                <w:szCs w:val="18"/>
                <w:lang w:bidi="ar-SA"/>
              </w:rPr>
              <w:t>and</w:t>
            </w:r>
            <w:r w:rsidRPr="00C660D4">
              <w:rPr>
                <w:rFonts w:ascii="Calibri" w:hAnsi="Calibri" w:cs="Calibri"/>
                <w:szCs w:val="18"/>
                <w:lang w:bidi="ar-SA"/>
              </w:rPr>
              <w:t> </w:t>
            </w:r>
            <w:hyperlink r:id="rId62" w:history="1">
              <w:r w:rsidRPr="00C660D4">
                <w:rPr>
                  <w:szCs w:val="18"/>
                  <w:lang w:bidi="ar-SA"/>
                </w:rPr>
                <w:t>emergence</w:t>
              </w:r>
            </w:hyperlink>
            <w:r w:rsidRPr="00C660D4">
              <w:rPr>
                <w:szCs w:val="18"/>
                <w:lang w:bidi="ar-SA"/>
              </w:rPr>
              <w:t>.</w:t>
            </w:r>
          </w:p>
        </w:tc>
      </w:tr>
      <w:tr w:rsidR="00C660D4" w:rsidRPr="00C660D4" w14:paraId="7AAF1430" w14:textId="77777777" w:rsidTr="00E52F89">
        <w:tc>
          <w:tcPr>
            <w:tcW w:w="2127" w:type="dxa"/>
            <w:shd w:val="clear" w:color="auto" w:fill="067296" w:themeFill="text2"/>
          </w:tcPr>
          <w:p w14:paraId="4246760B"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Theory of Change</w:t>
            </w:r>
          </w:p>
        </w:tc>
        <w:tc>
          <w:tcPr>
            <w:tcW w:w="6378" w:type="dxa"/>
          </w:tcPr>
          <w:p w14:paraId="242B5346" w14:textId="77777777" w:rsidR="00C660D4" w:rsidRPr="00C660D4" w:rsidRDefault="00C660D4" w:rsidP="00C660D4">
            <w:pPr>
              <w:spacing w:before="120" w:after="120" w:line="288" w:lineRule="auto"/>
              <w:ind w:left="176" w:right="169"/>
              <w:rPr>
                <w:szCs w:val="18"/>
                <w:lang w:bidi="ar-SA"/>
              </w:rPr>
            </w:pPr>
            <w:r w:rsidRPr="00C660D4">
              <w:rPr>
                <w:szCs w:val="18"/>
                <w:lang w:bidi="ar-SA"/>
              </w:rPr>
              <w:t xml:space="preserve">A structured framework that outlines the causal pathways through which interventions are expected to lead to desired outcomes. </w:t>
            </w:r>
          </w:p>
          <w:p w14:paraId="2D265EA7" w14:textId="77777777" w:rsidR="00C660D4" w:rsidRPr="00C660D4" w:rsidRDefault="00C660D4" w:rsidP="00C660D4">
            <w:pPr>
              <w:spacing w:before="120" w:after="120" w:line="288" w:lineRule="auto"/>
              <w:ind w:left="176" w:right="169"/>
              <w:rPr>
                <w:szCs w:val="18"/>
                <w:lang w:bidi="ar-SA"/>
              </w:rPr>
            </w:pPr>
            <w:r w:rsidRPr="00C660D4">
              <w:rPr>
                <w:szCs w:val="18"/>
                <w:lang w:bidi="ar-SA"/>
              </w:rPr>
              <w:t xml:space="preserve">Collaboratively developing a theory of change helps key stakeholders interrogate how and why an approach to transformation is expected to work, and surface and constructively debate differences early.  </w:t>
            </w:r>
          </w:p>
          <w:p w14:paraId="3409E551" w14:textId="77777777" w:rsidR="00C660D4" w:rsidRPr="00C660D4" w:rsidRDefault="00C660D4" w:rsidP="00C660D4">
            <w:pPr>
              <w:spacing w:before="120" w:after="120" w:line="288" w:lineRule="auto"/>
              <w:ind w:left="176" w:right="169"/>
              <w:rPr>
                <w:szCs w:val="18"/>
                <w:lang w:bidi="ar-SA"/>
              </w:rPr>
            </w:pPr>
            <w:r w:rsidRPr="00C660D4">
              <w:rPr>
                <w:szCs w:val="18"/>
                <w:lang w:bidi="ar-SA"/>
              </w:rPr>
              <w:t xml:space="preserve">In a complex, multi-stakeholder context, this enables more efficient and effective interventions by making the assumptions underlying interventions explicit, identifying the necessary conditions for success, and describing the logical sequence of events that are expected to result in the intended changes. </w:t>
            </w:r>
          </w:p>
        </w:tc>
      </w:tr>
      <w:tr w:rsidR="00C660D4" w:rsidRPr="00C660D4" w14:paraId="695E7FBB" w14:textId="77777777" w:rsidTr="00E52F89">
        <w:tc>
          <w:tcPr>
            <w:tcW w:w="2127" w:type="dxa"/>
            <w:shd w:val="clear" w:color="auto" w:fill="067296" w:themeFill="text2"/>
          </w:tcPr>
          <w:p w14:paraId="29A66562" w14:textId="77777777" w:rsidR="00C660D4" w:rsidRPr="00C660D4" w:rsidRDefault="00C660D4" w:rsidP="00C660D4">
            <w:pPr>
              <w:spacing w:before="120" w:after="120" w:line="288" w:lineRule="auto"/>
              <w:jc w:val="center"/>
              <w:rPr>
                <w:rFonts w:ascii="PP Mori SemiBold" w:hAnsi="PP Mori SemiBold"/>
                <w:color w:val="FAFAFA" w:themeColor="background1"/>
              </w:rPr>
            </w:pPr>
            <w:r w:rsidRPr="00C660D4">
              <w:rPr>
                <w:rFonts w:ascii="PP Mori SemiBold" w:hAnsi="PP Mori SemiBold"/>
                <w:color w:val="FAFAFA" w:themeColor="background1"/>
              </w:rPr>
              <w:t>Tier/Layer</w:t>
            </w:r>
          </w:p>
          <w:p w14:paraId="6F8C2276"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6E12FC1B" w14:textId="77777777" w:rsidR="00C660D4" w:rsidRPr="00C660D4" w:rsidRDefault="00C660D4" w:rsidP="00C660D4">
            <w:pPr>
              <w:spacing w:before="160" w:after="160" w:line="288" w:lineRule="auto"/>
              <w:ind w:left="176" w:right="176"/>
              <w:rPr>
                <w:szCs w:val="18"/>
                <w:lang w:bidi="ar-SA"/>
              </w:rPr>
            </w:pPr>
            <w:r w:rsidRPr="00C660D4">
              <w:rPr>
                <w:lang w:eastAsia="en-US" w:bidi="ar-SA"/>
              </w:rPr>
              <w:t xml:space="preserve">The vertical segments of a GW-scale power system which include the bulk power system, transmission networks and distribution networks. In historical context, these tiers have been largely managed as relatively discrete elements of a unidirectional supply chain. As whole-system operations become increasingly volatile and bidirectional, a significant deepening of two-way operational interdependence between the current and emerging entities such as DSOs becomes necessary. </w:t>
            </w:r>
          </w:p>
        </w:tc>
      </w:tr>
      <w:tr w:rsidR="00C660D4" w:rsidRPr="00C660D4" w14:paraId="31446167" w14:textId="77777777" w:rsidTr="00E52F89">
        <w:tc>
          <w:tcPr>
            <w:tcW w:w="2127" w:type="dxa"/>
            <w:shd w:val="clear" w:color="auto" w:fill="067296" w:themeFill="text2"/>
          </w:tcPr>
          <w:p w14:paraId="695726BC"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Transmission-Distribution Interface (TDI)</w:t>
            </w:r>
          </w:p>
          <w:p w14:paraId="4F75F986"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7BF273DA" w14:textId="77777777" w:rsidR="00C660D4" w:rsidRPr="00C660D4" w:rsidRDefault="00C660D4" w:rsidP="00C660D4">
            <w:pPr>
              <w:spacing w:before="100" w:after="100" w:line="288" w:lineRule="auto"/>
              <w:ind w:left="176" w:right="176"/>
              <w:rPr>
                <w:szCs w:val="18"/>
                <w:lang w:eastAsia="en-US" w:bidi="ar-SA"/>
              </w:rPr>
            </w:pPr>
            <w:r w:rsidRPr="00C660D4">
              <w:rPr>
                <w:szCs w:val="18"/>
                <w:lang w:eastAsia="en-US" w:bidi="ar-SA"/>
              </w:rPr>
              <w:t>The physical points at which the bulk power/transmission system and a particular distribution system</w:t>
            </w:r>
            <w:r w:rsidRPr="00C660D4">
              <w:rPr>
                <w:rFonts w:ascii="Calibri" w:hAnsi="Calibri" w:cs="Calibri"/>
                <w:szCs w:val="18"/>
                <w:lang w:eastAsia="en-US" w:bidi="ar-SA"/>
              </w:rPr>
              <w:t> </w:t>
            </w:r>
            <w:r w:rsidRPr="00C660D4">
              <w:rPr>
                <w:szCs w:val="18"/>
                <w:lang w:eastAsia="en-US" w:bidi="ar-SA"/>
              </w:rPr>
              <w:t xml:space="preserve">interconnect, typically at one or several major substations. </w:t>
            </w:r>
          </w:p>
          <w:p w14:paraId="1F535ACC" w14:textId="77777777" w:rsidR="00C660D4" w:rsidRPr="00C660D4" w:rsidRDefault="00C660D4" w:rsidP="00C660D4">
            <w:pPr>
              <w:spacing w:before="100" w:after="100" w:line="288" w:lineRule="auto"/>
              <w:ind w:left="176" w:right="176"/>
              <w:rPr>
                <w:szCs w:val="18"/>
                <w:lang w:eastAsia="en-US" w:bidi="ar-SA"/>
              </w:rPr>
            </w:pPr>
            <w:r w:rsidRPr="00C660D4">
              <w:rPr>
                <w:szCs w:val="18"/>
                <w:lang w:eastAsia="en-US" w:bidi="ar-SA"/>
              </w:rPr>
              <w:t xml:space="preserve">In a conventional, unidirectional power system this has been commonly known as the Bulk Supply Point (BSP), where electricity from the bulk power system is delivered via the transmission network to regional and metropolitan distribution networks.  </w:t>
            </w:r>
          </w:p>
          <w:p w14:paraId="5BCF0D76" w14:textId="77777777" w:rsidR="00C660D4" w:rsidRPr="00C660D4" w:rsidRDefault="00C660D4" w:rsidP="00C660D4">
            <w:pPr>
              <w:spacing w:before="100" w:after="100" w:line="288" w:lineRule="auto"/>
              <w:ind w:left="176" w:right="176"/>
              <w:rPr>
                <w:szCs w:val="18"/>
                <w:lang w:eastAsia="en-US" w:bidi="ar-SA"/>
              </w:rPr>
            </w:pPr>
            <w:r w:rsidRPr="00C660D4">
              <w:rPr>
                <w:szCs w:val="18"/>
                <w:lang w:eastAsia="en-US" w:bidi="ar-SA"/>
              </w:rPr>
              <w:t xml:space="preserve">While conventional aspects of the BSP remain unchanged, the TDI concept represents the need to transition to a more active, two-way interface model capable of enabling the required Transmission-Distribution Coordination (TDC) functions in support of effective whole-system operation.  </w:t>
            </w:r>
          </w:p>
        </w:tc>
      </w:tr>
    </w:tbl>
    <w:p w14:paraId="275977B9" w14:textId="77777777" w:rsidR="00C660D4" w:rsidRPr="00C660D4" w:rsidRDefault="00C660D4" w:rsidP="00C660D4">
      <w:r w:rsidRPr="00C660D4">
        <w:br w:type="page"/>
      </w:r>
    </w:p>
    <w:tbl>
      <w:tblPr>
        <w:tblStyle w:val="TableGrid"/>
        <w:tblW w:w="8505" w:type="dxa"/>
        <w:tblInd w:w="-5" w:type="dxa"/>
        <w:tblLook w:val="04A0" w:firstRow="1" w:lastRow="0" w:firstColumn="1" w:lastColumn="0" w:noHBand="0" w:noVBand="1"/>
      </w:tblPr>
      <w:tblGrid>
        <w:gridCol w:w="2127"/>
        <w:gridCol w:w="6378"/>
      </w:tblGrid>
      <w:tr w:rsidR="00C660D4" w:rsidRPr="00C660D4" w14:paraId="533726BA" w14:textId="77777777" w:rsidTr="00E52F89">
        <w:tc>
          <w:tcPr>
            <w:tcW w:w="2127" w:type="dxa"/>
            <w:shd w:val="clear" w:color="auto" w:fill="067296" w:themeFill="text2"/>
          </w:tcPr>
          <w:p w14:paraId="2E52BCBD"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Transmission-Distribution Coordination (TDC)</w:t>
            </w:r>
          </w:p>
        </w:tc>
        <w:tc>
          <w:tcPr>
            <w:tcW w:w="6378" w:type="dxa"/>
          </w:tcPr>
          <w:p w14:paraId="371F71E8" w14:textId="77777777" w:rsidR="00C660D4" w:rsidRPr="00C660D4" w:rsidRDefault="00C660D4" w:rsidP="00C660D4">
            <w:pPr>
              <w:spacing w:before="100" w:after="100" w:line="288" w:lineRule="auto"/>
              <w:ind w:left="176" w:right="176"/>
              <w:rPr>
                <w:szCs w:val="18"/>
                <w:lang w:eastAsia="en-US" w:bidi="ar-SA"/>
              </w:rPr>
            </w:pPr>
            <w:r w:rsidRPr="00C660D4">
              <w:rPr>
                <w:szCs w:val="18"/>
                <w:lang w:eastAsia="en-US" w:bidi="ar-SA"/>
              </w:rPr>
              <w:t xml:space="preserve">A formalised and increasingly automated approach for aligning system planning, operational and market interactions and related data exchanges across the System Operator (AEMO), Transmission Networks and emerging Distribution System Operators (DSO) to enable secure, scalable and cost-efficient operation of a decarbonising power system. </w:t>
            </w:r>
          </w:p>
          <w:p w14:paraId="4C61A38D" w14:textId="77777777" w:rsidR="00C660D4" w:rsidRPr="00C660D4" w:rsidRDefault="00C660D4" w:rsidP="00C660D4">
            <w:pPr>
              <w:spacing w:before="100" w:after="100" w:line="288" w:lineRule="auto"/>
              <w:ind w:left="176" w:right="176"/>
              <w:rPr>
                <w:bCs/>
                <w:szCs w:val="18"/>
                <w:lang w:eastAsia="en-US" w:bidi="ar-SA"/>
              </w:rPr>
            </w:pPr>
            <w:r w:rsidRPr="00C660D4">
              <w:rPr>
                <w:szCs w:val="18"/>
                <w:lang w:eastAsia="en-US" w:bidi="ar-SA"/>
              </w:rPr>
              <w:t>TDC becomes necessary as power systems decarbonise, conventional sources of generation and flexibility are progressively withdrawn, and significant new volumes of supply, flexibility, buffering and system services must be sourced both upstream and downstream.  Unlike conventional grids where services were largely provided by upstream merchant resources, the transforming landscape will require generation capacity and system services to be sourced from thousands of utility-scale and millions of distributed resources.</w:t>
            </w:r>
          </w:p>
          <w:p w14:paraId="58CC42FF" w14:textId="77777777" w:rsidR="00C660D4" w:rsidRPr="00C660D4" w:rsidRDefault="00C660D4" w:rsidP="00C660D4">
            <w:pPr>
              <w:spacing w:before="100" w:after="100" w:line="288" w:lineRule="auto"/>
              <w:ind w:left="176" w:right="176"/>
              <w:rPr>
                <w:szCs w:val="18"/>
                <w:lang w:eastAsia="en-US" w:bidi="ar-SA"/>
              </w:rPr>
            </w:pPr>
            <w:r w:rsidRPr="00C660D4">
              <w:rPr>
                <w:szCs w:val="18"/>
                <w:lang w:eastAsia="en-US" w:bidi="ar-SA"/>
              </w:rPr>
              <w:t xml:space="preserve">In this increasingly dynamic environment, active operational interdependence between upstream and downstream entities, resources and systems becomes essential to efficiently source, coordinate and co-optimise these services with the spatial and temporal needs of the end-to-end system. </w:t>
            </w:r>
          </w:p>
          <w:p w14:paraId="2F330442" w14:textId="77777777" w:rsidR="00C660D4" w:rsidRPr="00C660D4" w:rsidRDefault="00C660D4" w:rsidP="00C660D4">
            <w:pPr>
              <w:spacing w:before="100" w:after="100" w:line="288" w:lineRule="auto"/>
              <w:ind w:left="176" w:right="176"/>
              <w:rPr>
                <w:rFonts w:cs="Calibri"/>
                <w:szCs w:val="18"/>
                <w:lang w:bidi="ar-SA"/>
              </w:rPr>
            </w:pPr>
            <w:r w:rsidRPr="00C660D4">
              <w:rPr>
                <w:szCs w:val="18"/>
                <w:lang w:eastAsia="en-US" w:bidi="ar-SA"/>
              </w:rPr>
              <w:t>Priority areas of TDC design are expected to include enhanced, low latency data transformations and exchange relevant to the joint management of frequency,</w:t>
            </w:r>
            <w:r w:rsidRPr="00C660D4">
              <w:rPr>
                <w:rFonts w:ascii="Cambria Math" w:hAnsi="Cambria Math" w:cs="Cambria Math"/>
                <w:szCs w:val="18"/>
                <w:lang w:eastAsia="en-US" w:bidi="ar-SA"/>
              </w:rPr>
              <w:t> </w:t>
            </w:r>
            <w:r w:rsidRPr="00C660D4">
              <w:rPr>
                <w:szCs w:val="18"/>
                <w:lang w:eastAsia="en-US" w:bidi="ar-SA"/>
              </w:rPr>
              <w:t>voltage, congestion, energy</w:t>
            </w:r>
            <w:r w:rsidRPr="00C660D4">
              <w:rPr>
                <w:rFonts w:ascii="Cambria Math" w:hAnsi="Cambria Math" w:cs="Cambria Math"/>
                <w:szCs w:val="18"/>
                <w:lang w:eastAsia="en-US" w:bidi="ar-SA"/>
              </w:rPr>
              <w:t> </w:t>
            </w:r>
            <w:r w:rsidRPr="00C660D4">
              <w:rPr>
                <w:szCs w:val="18"/>
                <w:lang w:eastAsia="en-US" w:bidi="ar-SA"/>
              </w:rPr>
              <w:t>flows, essential system services (ESS) and supply-demand balancing underpinned by end-to-end visibility and operational coordination</w:t>
            </w:r>
            <w:r w:rsidRPr="00C660D4">
              <w:rPr>
                <w:rFonts w:ascii="Cambria Math" w:hAnsi="Cambria Math" w:cs="Cambria Math"/>
                <w:szCs w:val="18"/>
                <w:lang w:eastAsia="en-US" w:bidi="ar-SA"/>
              </w:rPr>
              <w:t> </w:t>
            </w:r>
            <w:r w:rsidRPr="00C660D4">
              <w:rPr>
                <w:szCs w:val="18"/>
                <w:lang w:eastAsia="en-US" w:bidi="ar-SA"/>
              </w:rPr>
              <w:t>models.</w:t>
            </w:r>
          </w:p>
        </w:tc>
      </w:tr>
    </w:tbl>
    <w:p w14:paraId="05D583BE" w14:textId="77777777" w:rsidR="00C660D4" w:rsidRPr="00C660D4" w:rsidRDefault="00C660D4" w:rsidP="00C660D4">
      <w:r w:rsidRPr="00C660D4">
        <w:br w:type="page"/>
      </w:r>
    </w:p>
    <w:tbl>
      <w:tblPr>
        <w:tblStyle w:val="TableGrid"/>
        <w:tblW w:w="8505" w:type="dxa"/>
        <w:tblInd w:w="-5" w:type="dxa"/>
        <w:tblLook w:val="04A0" w:firstRow="1" w:lastRow="0" w:firstColumn="1" w:lastColumn="0" w:noHBand="0" w:noVBand="1"/>
      </w:tblPr>
      <w:tblGrid>
        <w:gridCol w:w="2127"/>
        <w:gridCol w:w="6378"/>
      </w:tblGrid>
      <w:tr w:rsidR="00C660D4" w:rsidRPr="00C660D4" w14:paraId="61A4F5E0" w14:textId="77777777" w:rsidTr="00E52F89">
        <w:tc>
          <w:tcPr>
            <w:tcW w:w="2127" w:type="dxa"/>
            <w:shd w:val="clear" w:color="auto" w:fill="067296" w:themeFill="text2"/>
          </w:tcPr>
          <w:p w14:paraId="6B2BBF27"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Ultra-large Scale (ULS)</w:t>
            </w:r>
          </w:p>
        </w:tc>
        <w:tc>
          <w:tcPr>
            <w:tcW w:w="6378" w:type="dxa"/>
          </w:tcPr>
          <w:p w14:paraId="08511EAD" w14:textId="77777777" w:rsidR="00C660D4" w:rsidRPr="00C660D4" w:rsidRDefault="00C660D4" w:rsidP="00C660D4">
            <w:pPr>
              <w:spacing w:before="120" w:after="120" w:line="288" w:lineRule="auto"/>
              <w:ind w:left="175" w:right="176"/>
              <w:rPr>
                <w:szCs w:val="18"/>
                <w:lang w:bidi="ar-SA"/>
              </w:rPr>
            </w:pPr>
            <w:r w:rsidRPr="00C660D4">
              <w:rPr>
                <w:szCs w:val="18"/>
                <w:lang w:bidi="ar-SA"/>
              </w:rPr>
              <w:t xml:space="preserve">Extremely large, inordinately complex Systems that consist of an unparalleled volume and diversity of hardware and software, data storage and exchange, computational elements and lines of code, participants and stakeholders, together with multiple complicated Structures that are interconnected in complicated ways. </w:t>
            </w:r>
          </w:p>
          <w:p w14:paraId="2B128EB8" w14:textId="77777777" w:rsidR="00C660D4" w:rsidRPr="00C660D4" w:rsidRDefault="00C660D4" w:rsidP="00C660D4">
            <w:pPr>
              <w:spacing w:before="120" w:after="120" w:line="288" w:lineRule="auto"/>
              <w:ind w:left="175" w:right="176"/>
              <w:rPr>
                <w:szCs w:val="18"/>
                <w:lang w:bidi="ar-SA"/>
              </w:rPr>
            </w:pPr>
            <w:r w:rsidRPr="00C660D4">
              <w:rPr>
                <w:szCs w:val="18"/>
                <w:lang w:bidi="ar-SA"/>
              </w:rPr>
              <w:t>A ULS System also typically exhibits the following characteristics:</w:t>
            </w:r>
          </w:p>
          <w:p w14:paraId="01F9E158" w14:textId="77777777" w:rsidR="00C660D4" w:rsidRPr="00C660D4" w:rsidRDefault="00C660D4" w:rsidP="00954BAC">
            <w:pPr>
              <w:numPr>
                <w:ilvl w:val="0"/>
                <w:numId w:val="66"/>
              </w:numPr>
              <w:spacing w:before="60" w:after="60" w:line="288" w:lineRule="auto"/>
              <w:ind w:left="890" w:right="176" w:hanging="357"/>
              <w:rPr>
                <w:szCs w:val="18"/>
                <w:lang w:bidi="ar-SA"/>
              </w:rPr>
            </w:pPr>
            <w:r w:rsidRPr="00C660D4">
              <w:rPr>
                <w:szCs w:val="18"/>
                <w:lang w:bidi="ar-SA"/>
              </w:rPr>
              <w:t>Wide geographic scales (continental to precinct);</w:t>
            </w:r>
          </w:p>
          <w:p w14:paraId="6A469ECB" w14:textId="77777777" w:rsidR="00C660D4" w:rsidRPr="00C660D4" w:rsidRDefault="00C660D4" w:rsidP="00954BAC">
            <w:pPr>
              <w:numPr>
                <w:ilvl w:val="0"/>
                <w:numId w:val="66"/>
              </w:numPr>
              <w:spacing w:before="60" w:after="60" w:line="288" w:lineRule="auto"/>
              <w:ind w:left="890" w:right="176" w:hanging="357"/>
              <w:rPr>
                <w:szCs w:val="18"/>
                <w:lang w:bidi="ar-SA"/>
              </w:rPr>
            </w:pPr>
            <w:r w:rsidRPr="00C660D4">
              <w:rPr>
                <w:szCs w:val="18"/>
                <w:lang w:bidi="ar-SA"/>
              </w:rPr>
              <w:t>Wide-time scales (years to microseconds);</w:t>
            </w:r>
          </w:p>
          <w:p w14:paraId="3246C9EF" w14:textId="77777777" w:rsidR="00C660D4" w:rsidRPr="00C660D4" w:rsidRDefault="00C660D4" w:rsidP="00954BAC">
            <w:pPr>
              <w:numPr>
                <w:ilvl w:val="0"/>
                <w:numId w:val="66"/>
              </w:numPr>
              <w:spacing w:before="60" w:after="60" w:line="288" w:lineRule="auto"/>
              <w:ind w:left="890" w:right="176" w:hanging="357"/>
              <w:rPr>
                <w:szCs w:val="18"/>
                <w:lang w:bidi="ar-SA"/>
              </w:rPr>
            </w:pPr>
            <w:r w:rsidRPr="00C660D4">
              <w:rPr>
                <w:szCs w:val="18"/>
                <w:lang w:bidi="ar-SA"/>
              </w:rPr>
              <w:t>Long-term evolution and near continual deployments;</w:t>
            </w:r>
          </w:p>
          <w:p w14:paraId="60BDADCA" w14:textId="77777777" w:rsidR="00C660D4" w:rsidRPr="00C660D4" w:rsidRDefault="00C660D4" w:rsidP="00954BAC">
            <w:pPr>
              <w:numPr>
                <w:ilvl w:val="0"/>
                <w:numId w:val="66"/>
              </w:numPr>
              <w:spacing w:before="60" w:after="60" w:line="288" w:lineRule="auto"/>
              <w:ind w:left="890" w:right="176" w:hanging="357"/>
              <w:rPr>
                <w:szCs w:val="18"/>
                <w:lang w:bidi="ar-SA"/>
              </w:rPr>
            </w:pPr>
            <w:r w:rsidRPr="00C660D4">
              <w:rPr>
                <w:szCs w:val="18"/>
                <w:lang w:bidi="ar-SA"/>
              </w:rPr>
              <w:t>Centralised and decentralised data, control, and development;</w:t>
            </w:r>
          </w:p>
          <w:p w14:paraId="67C101A9" w14:textId="77777777" w:rsidR="00C660D4" w:rsidRPr="00C660D4" w:rsidRDefault="00C660D4" w:rsidP="00954BAC">
            <w:pPr>
              <w:numPr>
                <w:ilvl w:val="0"/>
                <w:numId w:val="66"/>
              </w:numPr>
              <w:spacing w:before="60" w:after="60" w:line="288" w:lineRule="auto"/>
              <w:ind w:left="890" w:right="176" w:hanging="357"/>
              <w:rPr>
                <w:szCs w:val="18"/>
                <w:lang w:bidi="ar-SA"/>
              </w:rPr>
            </w:pPr>
            <w:r w:rsidRPr="00C660D4">
              <w:rPr>
                <w:szCs w:val="18"/>
                <w:lang w:bidi="ar-SA"/>
              </w:rPr>
              <w:t>Wide diversity of perspectives on the purpose(s) and priorities of the System;</w:t>
            </w:r>
          </w:p>
          <w:p w14:paraId="7269A415" w14:textId="77777777" w:rsidR="00C660D4" w:rsidRPr="00C660D4" w:rsidRDefault="00C660D4" w:rsidP="00954BAC">
            <w:pPr>
              <w:numPr>
                <w:ilvl w:val="0"/>
                <w:numId w:val="66"/>
              </w:numPr>
              <w:spacing w:before="60" w:after="60" w:line="288" w:lineRule="auto"/>
              <w:ind w:left="890" w:right="176" w:hanging="357"/>
              <w:rPr>
                <w:szCs w:val="18"/>
                <w:lang w:bidi="ar-SA"/>
              </w:rPr>
            </w:pPr>
            <w:r w:rsidRPr="00C660D4">
              <w:rPr>
                <w:szCs w:val="18"/>
                <w:lang w:bidi="ar-SA"/>
              </w:rPr>
              <w:t>Inherently conflicting diverse requirements and trade-offs;</w:t>
            </w:r>
          </w:p>
          <w:p w14:paraId="59C8A4DA" w14:textId="77777777" w:rsidR="00C660D4" w:rsidRPr="00C660D4" w:rsidRDefault="00C660D4" w:rsidP="00954BAC">
            <w:pPr>
              <w:numPr>
                <w:ilvl w:val="0"/>
                <w:numId w:val="66"/>
              </w:numPr>
              <w:spacing w:before="60" w:after="60" w:line="288" w:lineRule="auto"/>
              <w:ind w:left="890" w:right="176" w:hanging="357"/>
              <w:rPr>
                <w:szCs w:val="18"/>
                <w:lang w:bidi="ar-SA"/>
              </w:rPr>
            </w:pPr>
            <w:r w:rsidRPr="00C660D4">
              <w:rPr>
                <w:szCs w:val="18"/>
                <w:lang w:bidi="ar-SA"/>
              </w:rPr>
              <w:t>Heterogeneous, inconsistent, and changing elements; and,</w:t>
            </w:r>
          </w:p>
          <w:p w14:paraId="01691657" w14:textId="77777777" w:rsidR="00C660D4" w:rsidRPr="00C660D4" w:rsidRDefault="00C660D4" w:rsidP="00954BAC">
            <w:pPr>
              <w:numPr>
                <w:ilvl w:val="0"/>
                <w:numId w:val="66"/>
              </w:numPr>
              <w:spacing w:before="60" w:after="60" w:line="288" w:lineRule="auto"/>
              <w:ind w:left="890" w:right="176" w:hanging="357"/>
              <w:rPr>
                <w:szCs w:val="18"/>
                <w:lang w:bidi="ar-SA"/>
              </w:rPr>
            </w:pPr>
            <w:r w:rsidRPr="00C660D4">
              <w:rPr>
                <w:szCs w:val="18"/>
                <w:lang w:bidi="ar-SA"/>
              </w:rPr>
              <w:t>Locational failures and response occur as a matter of normal operations.</w:t>
            </w:r>
          </w:p>
          <w:p w14:paraId="378AC499" w14:textId="77777777" w:rsidR="00C660D4" w:rsidRPr="00C660D4" w:rsidRDefault="00C660D4" w:rsidP="00C660D4">
            <w:pPr>
              <w:spacing w:before="120" w:after="120" w:line="288" w:lineRule="auto"/>
              <w:ind w:left="175" w:right="176"/>
              <w:rPr>
                <w:szCs w:val="18"/>
              </w:rPr>
            </w:pPr>
            <w:r w:rsidRPr="00C660D4">
              <w:rPr>
                <w:szCs w:val="18"/>
                <w:lang w:bidi="ar-SA"/>
              </w:rPr>
              <w:t>GW-scale Power Systems are prime examples of ULS systems, and arguably some of the world’s largest and most complex.</w:t>
            </w:r>
          </w:p>
        </w:tc>
      </w:tr>
      <w:tr w:rsidR="00C660D4" w:rsidRPr="00C660D4" w14:paraId="0ACBB397" w14:textId="77777777" w:rsidTr="00E52F89">
        <w:tc>
          <w:tcPr>
            <w:tcW w:w="2127" w:type="dxa"/>
            <w:shd w:val="clear" w:color="auto" w:fill="067296" w:themeFill="text2"/>
          </w:tcPr>
          <w:p w14:paraId="107984F2"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Value Stacking</w:t>
            </w:r>
          </w:p>
        </w:tc>
        <w:tc>
          <w:tcPr>
            <w:tcW w:w="6378" w:type="dxa"/>
          </w:tcPr>
          <w:p w14:paraId="20EDE0FA" w14:textId="77777777" w:rsidR="00C660D4" w:rsidRPr="00C660D4" w:rsidRDefault="00C660D4" w:rsidP="00C660D4">
            <w:pPr>
              <w:spacing w:before="120" w:after="120" w:line="288" w:lineRule="auto"/>
              <w:ind w:left="175" w:right="176"/>
              <w:rPr>
                <w:szCs w:val="18"/>
                <w:lang w:bidi="ar-SA"/>
              </w:rPr>
            </w:pPr>
            <w:r w:rsidRPr="00C660D4">
              <w:rPr>
                <w:szCs w:val="18"/>
                <w:lang w:bidi="ar-SA"/>
              </w:rPr>
              <w:t>The process of providing valuable physics-based services to several vertical tiers/layers of the power system (e.g. bulk power system, transmission network, distribution network, etc) for the purpose of maximising the simultaneous value of providing these services in manner that does not create unintended negative impacts.</w:t>
            </w:r>
          </w:p>
          <w:p w14:paraId="60DC9EF9" w14:textId="77777777" w:rsidR="00C660D4" w:rsidRPr="00C660D4" w:rsidRDefault="00C660D4" w:rsidP="00C660D4">
            <w:pPr>
              <w:spacing w:before="120" w:after="120" w:line="288" w:lineRule="auto"/>
              <w:ind w:left="175" w:right="176"/>
              <w:rPr>
                <w:szCs w:val="18"/>
              </w:rPr>
            </w:pPr>
            <w:r w:rsidRPr="00C660D4">
              <w:rPr>
                <w:szCs w:val="18"/>
                <w:lang w:bidi="ar-SA"/>
              </w:rPr>
              <w:t>Value Stacking is closely related to the topic of Co-optimisation.</w:t>
            </w:r>
          </w:p>
        </w:tc>
      </w:tr>
      <w:tr w:rsidR="00C660D4" w:rsidRPr="00C660D4" w14:paraId="58FFEF8A" w14:textId="77777777" w:rsidTr="00E52F89">
        <w:tc>
          <w:tcPr>
            <w:tcW w:w="2127" w:type="dxa"/>
            <w:shd w:val="clear" w:color="auto" w:fill="067296" w:themeFill="text2"/>
          </w:tcPr>
          <w:p w14:paraId="43B5685E"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Variable Renewable Energy (VRE)</w:t>
            </w:r>
          </w:p>
          <w:p w14:paraId="2171C70D"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24EDFC97" w14:textId="77777777" w:rsidR="00C660D4" w:rsidRPr="00C660D4" w:rsidRDefault="00C660D4" w:rsidP="00C660D4">
            <w:pPr>
              <w:spacing w:before="120" w:after="120" w:line="288" w:lineRule="auto"/>
              <w:ind w:left="175" w:right="176"/>
              <w:rPr>
                <w:szCs w:val="18"/>
              </w:rPr>
            </w:pPr>
            <w:r w:rsidRPr="00C660D4">
              <w:rPr>
                <w:lang w:eastAsia="en-US" w:bidi="ar-SA"/>
              </w:rPr>
              <w:t>A generic term for intermittent forms of generation powered by renewable resources that are inherently variable, such as wind and solar energy. While some forms of CER/DER are considered VRE, the term is mostly used to describe large, utility-scale applications of solar and wind generation. In the absence of firming resources, large volumes of VRE can impact the stability of the power system and exacerbate periods of misalignment between demand and supply.</w:t>
            </w:r>
          </w:p>
        </w:tc>
      </w:tr>
    </w:tbl>
    <w:p w14:paraId="6D95744C" w14:textId="77777777" w:rsidR="00C660D4" w:rsidRPr="00C660D4" w:rsidRDefault="00C660D4" w:rsidP="00C660D4">
      <w:r w:rsidRPr="00C660D4">
        <w:br w:type="page"/>
      </w:r>
    </w:p>
    <w:tbl>
      <w:tblPr>
        <w:tblStyle w:val="TableGrid"/>
        <w:tblW w:w="8505" w:type="dxa"/>
        <w:tblInd w:w="-5" w:type="dxa"/>
        <w:tblLook w:val="04A0" w:firstRow="1" w:lastRow="0" w:firstColumn="1" w:lastColumn="0" w:noHBand="0" w:noVBand="1"/>
      </w:tblPr>
      <w:tblGrid>
        <w:gridCol w:w="2127"/>
        <w:gridCol w:w="6378"/>
      </w:tblGrid>
      <w:tr w:rsidR="00C660D4" w:rsidRPr="00C660D4" w14:paraId="24B81FA5" w14:textId="77777777" w:rsidTr="00E52F89">
        <w:tc>
          <w:tcPr>
            <w:tcW w:w="2127" w:type="dxa"/>
            <w:shd w:val="clear" w:color="auto" w:fill="067296" w:themeFill="text2"/>
          </w:tcPr>
          <w:p w14:paraId="199B686B"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Visibility</w:t>
            </w:r>
          </w:p>
          <w:p w14:paraId="7A019E6B"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p>
        </w:tc>
        <w:tc>
          <w:tcPr>
            <w:tcW w:w="6378" w:type="dxa"/>
          </w:tcPr>
          <w:p w14:paraId="2B276F00" w14:textId="77777777" w:rsidR="00C660D4" w:rsidRPr="00C660D4" w:rsidRDefault="00C660D4" w:rsidP="00C660D4">
            <w:pPr>
              <w:spacing w:before="120" w:after="120" w:line="288" w:lineRule="auto"/>
              <w:ind w:left="175" w:right="176"/>
              <w:rPr>
                <w:lang w:eastAsia="en-US" w:bidi="ar-SA"/>
              </w:rPr>
            </w:pPr>
            <w:r w:rsidRPr="00C660D4">
              <w:rPr>
                <w:lang w:eastAsia="en-US" w:bidi="ar-SA"/>
              </w:rPr>
              <w:t xml:space="preserve">The degree to which information on energy resource characteristics and operational status is available to the System Operator, Distribution System Operator (DSO), and other authorised third parties. </w:t>
            </w:r>
          </w:p>
          <w:p w14:paraId="22DA1DDB" w14:textId="77777777" w:rsidR="00C660D4" w:rsidRPr="00C660D4" w:rsidRDefault="00C660D4" w:rsidP="00C660D4">
            <w:pPr>
              <w:spacing w:before="120" w:after="120" w:line="288" w:lineRule="auto"/>
              <w:ind w:left="175" w:right="176"/>
              <w:rPr>
                <w:lang w:eastAsia="en-US" w:bidi="ar-SA"/>
              </w:rPr>
            </w:pPr>
            <w:r w:rsidRPr="00C660D4">
              <w:rPr>
                <w:lang w:eastAsia="en-US" w:bidi="ar-SA"/>
              </w:rPr>
              <w:t>Examples include real-time or near real-time information on electrical demand, generation output, state of charge for energy storage, availability of demand response, system voltages and system frequency, and power flows on major network elements. Statistical data filtering methods also allow establishing trustworthiness of the obtained data enabling the visibility, and reconcile them amongst each other, and with respect to network models, to identify bad and / or malicious data.</w:t>
            </w:r>
          </w:p>
        </w:tc>
      </w:tr>
      <w:tr w:rsidR="00C660D4" w:rsidRPr="00C660D4" w14:paraId="098E2848" w14:textId="77777777" w:rsidTr="00E52F89">
        <w:tc>
          <w:tcPr>
            <w:tcW w:w="2127" w:type="dxa"/>
            <w:shd w:val="clear" w:color="auto" w:fill="067296" w:themeFill="text2"/>
          </w:tcPr>
          <w:p w14:paraId="46A2C28D"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Volatility</w:t>
            </w:r>
          </w:p>
        </w:tc>
        <w:tc>
          <w:tcPr>
            <w:tcW w:w="6378" w:type="dxa"/>
          </w:tcPr>
          <w:p w14:paraId="6D0E6B3E" w14:textId="77777777" w:rsidR="00C660D4" w:rsidRPr="00C660D4" w:rsidRDefault="00C660D4" w:rsidP="00C660D4">
            <w:pPr>
              <w:spacing w:before="120" w:after="120" w:line="288" w:lineRule="auto"/>
              <w:ind w:left="176" w:right="176"/>
              <w:rPr>
                <w:szCs w:val="18"/>
                <w:lang w:eastAsia="en-US" w:bidi="ar-SA"/>
              </w:rPr>
            </w:pPr>
            <w:r w:rsidRPr="00C660D4">
              <w:rPr>
                <w:lang w:eastAsia="en-US" w:bidi="ar-SA"/>
              </w:rPr>
              <w:t xml:space="preserve">Rapid, significant, and often unpredictable fluctuations in electrical parameters such as voltage, frequency, and power flows, typically caused by fast-changing conditions in generation or demand. </w:t>
            </w:r>
          </w:p>
          <w:p w14:paraId="5D35296D" w14:textId="77777777" w:rsidR="00C660D4" w:rsidRPr="00C660D4" w:rsidRDefault="00C660D4" w:rsidP="00C660D4">
            <w:pPr>
              <w:spacing w:before="120" w:after="120" w:line="288" w:lineRule="auto"/>
              <w:ind w:left="175" w:right="176"/>
              <w:rPr>
                <w:szCs w:val="18"/>
                <w:lang w:eastAsia="en-US" w:bidi="ar-SA"/>
              </w:rPr>
            </w:pPr>
            <w:r w:rsidRPr="00C660D4">
              <w:rPr>
                <w:lang w:eastAsia="en-US" w:bidi="ar-SA"/>
              </w:rPr>
              <w:t>In the context of power systems, volatility is differentiated from general variability or uncertainty by the speed and magnitude of the resulting changes and their impact on the stability and operational control of the grid. At a high level, system volatility affects:</w:t>
            </w:r>
          </w:p>
          <w:p w14:paraId="5B8316D5" w14:textId="77777777" w:rsidR="00C660D4" w:rsidRPr="00C660D4" w:rsidRDefault="00C660D4" w:rsidP="00954BAC">
            <w:pPr>
              <w:numPr>
                <w:ilvl w:val="0"/>
                <w:numId w:val="66"/>
              </w:numPr>
              <w:spacing w:before="120" w:after="120" w:line="288" w:lineRule="auto"/>
              <w:ind w:left="890" w:right="176" w:hanging="357"/>
              <w:rPr>
                <w:szCs w:val="18"/>
                <w:lang w:eastAsia="en-US" w:bidi="ar-SA"/>
              </w:rPr>
            </w:pPr>
            <w:r w:rsidRPr="00C660D4">
              <w:rPr>
                <w:szCs w:val="18"/>
                <w:lang w:eastAsia="en-US" w:bidi="ar-SA"/>
              </w:rPr>
              <w:t>Voltage stability:</w:t>
            </w:r>
            <w:r w:rsidRPr="00C660D4">
              <w:rPr>
                <w:lang w:eastAsia="en-US" w:bidi="ar-SA"/>
              </w:rPr>
              <w:t xml:space="preserve"> Sudden shifts in reactive power demand or generation can cause local voltage spikes or drops. </w:t>
            </w:r>
          </w:p>
          <w:p w14:paraId="4F0FDA38" w14:textId="77777777" w:rsidR="00C660D4" w:rsidRPr="00C660D4" w:rsidRDefault="00C660D4" w:rsidP="00954BAC">
            <w:pPr>
              <w:numPr>
                <w:ilvl w:val="0"/>
                <w:numId w:val="66"/>
              </w:numPr>
              <w:spacing w:before="120" w:after="120" w:line="288" w:lineRule="auto"/>
              <w:ind w:left="890" w:right="176" w:hanging="357"/>
              <w:rPr>
                <w:szCs w:val="18"/>
                <w:lang w:eastAsia="en-US" w:bidi="ar-SA"/>
              </w:rPr>
            </w:pPr>
            <w:r w:rsidRPr="00C660D4">
              <w:rPr>
                <w:szCs w:val="18"/>
                <w:lang w:eastAsia="en-US" w:bidi="ar-SA"/>
              </w:rPr>
              <w:t>Frequency control:</w:t>
            </w:r>
            <w:r w:rsidRPr="00C660D4">
              <w:rPr>
                <w:lang w:eastAsia="en-US" w:bidi="ar-SA"/>
              </w:rPr>
              <w:t xml:space="preserve"> Large, fast imbalances between supply and demand challenge the system's ability to maintain frequency within acceptable limits.</w:t>
            </w:r>
          </w:p>
          <w:p w14:paraId="2E338550" w14:textId="77777777" w:rsidR="00C660D4" w:rsidRPr="00C660D4" w:rsidRDefault="00C660D4" w:rsidP="00954BAC">
            <w:pPr>
              <w:numPr>
                <w:ilvl w:val="0"/>
                <w:numId w:val="66"/>
              </w:numPr>
              <w:spacing w:before="120" w:after="120" w:line="288" w:lineRule="auto"/>
              <w:ind w:left="890" w:right="176" w:hanging="357"/>
              <w:rPr>
                <w:szCs w:val="18"/>
                <w:lang w:bidi="ar-SA"/>
              </w:rPr>
            </w:pPr>
            <w:r w:rsidRPr="00C660D4">
              <w:rPr>
                <w:szCs w:val="18"/>
                <w:lang w:eastAsia="en-US" w:bidi="ar-SA"/>
              </w:rPr>
              <w:t>Power flow dynamics:</w:t>
            </w:r>
            <w:r w:rsidRPr="00C660D4">
              <w:rPr>
                <w:lang w:eastAsia="en-US" w:bidi="ar-SA"/>
              </w:rPr>
              <w:t xml:space="preserve"> Bi-directional flows from distribution-connected resources can change direction unpredictably, stressing infrastructure and protection systems.</w:t>
            </w:r>
          </w:p>
        </w:tc>
      </w:tr>
      <w:tr w:rsidR="00C660D4" w:rsidRPr="00C660D4" w14:paraId="5D030C20" w14:textId="77777777" w:rsidTr="00E52F89">
        <w:tc>
          <w:tcPr>
            <w:tcW w:w="2127" w:type="dxa"/>
            <w:shd w:val="clear" w:color="auto" w:fill="067296" w:themeFill="text2"/>
          </w:tcPr>
          <w:p w14:paraId="2DABF9F2" w14:textId="77777777" w:rsidR="00C660D4" w:rsidRPr="00C660D4" w:rsidRDefault="00C660D4" w:rsidP="00C660D4">
            <w:pPr>
              <w:spacing w:before="120" w:after="120" w:line="288" w:lineRule="auto"/>
              <w:jc w:val="center"/>
              <w:rPr>
                <w:rFonts w:ascii="PP Mori SemiBold" w:hAnsi="PP Mori SemiBold"/>
                <w:color w:val="FAFAFA" w:themeColor="background1"/>
                <w:szCs w:val="18"/>
              </w:rPr>
            </w:pPr>
            <w:r w:rsidRPr="00C660D4">
              <w:rPr>
                <w:rFonts w:ascii="PP Mori SemiBold" w:hAnsi="PP Mori SemiBold"/>
                <w:color w:val="FAFAFA" w:themeColor="background1"/>
                <w:szCs w:val="18"/>
              </w:rPr>
              <w:t>Whole-system</w:t>
            </w:r>
          </w:p>
        </w:tc>
        <w:tc>
          <w:tcPr>
            <w:tcW w:w="6378" w:type="dxa"/>
          </w:tcPr>
          <w:p w14:paraId="39A07DB3" w14:textId="77777777" w:rsidR="00C660D4" w:rsidRPr="00C660D4" w:rsidRDefault="00C660D4" w:rsidP="00C660D4">
            <w:pPr>
              <w:spacing w:before="120" w:after="120" w:line="288" w:lineRule="auto"/>
              <w:rPr>
                <w:szCs w:val="18"/>
              </w:rPr>
            </w:pPr>
            <w:r w:rsidRPr="00C660D4">
              <w:rPr>
                <w:szCs w:val="18"/>
              </w:rPr>
              <w:t xml:space="preserve">A systems-based approach to power system transformation that recognises the Laws of Physics interact with end-to-end system as one integrated whole, blind to historical structural separations.  </w:t>
            </w:r>
          </w:p>
        </w:tc>
      </w:tr>
    </w:tbl>
    <w:p w14:paraId="58F50822" w14:textId="77777777" w:rsidR="00C660D4" w:rsidRPr="00C660D4" w:rsidRDefault="00C660D4" w:rsidP="00C660D4">
      <w:pPr>
        <w:spacing w:before="120" w:after="120" w:line="288" w:lineRule="auto"/>
        <w:rPr>
          <w:rFonts w:ascii="PP Mori SemiBold" w:eastAsiaTheme="majorEastAsia" w:hAnsi="PP Mori SemiBold" w:cstheme="majorBidi"/>
          <w:color w:val="013C4C" w:themeColor="text1"/>
          <w:szCs w:val="18"/>
          <w:highlight w:val="yellow"/>
        </w:rPr>
      </w:pPr>
    </w:p>
    <w:p w14:paraId="4B45D864" w14:textId="77777777" w:rsidR="00C660D4" w:rsidRPr="00C660D4" w:rsidRDefault="00C660D4" w:rsidP="00C660D4">
      <w:pPr>
        <w:spacing w:before="0" w:after="160" w:line="259" w:lineRule="auto"/>
        <w:rPr>
          <w:rFonts w:ascii="PP Mori SemiBold" w:eastAsiaTheme="majorEastAsia" w:hAnsi="PP Mori SemiBold" w:cstheme="majorBidi"/>
          <w:color w:val="013C4C" w:themeColor="text1"/>
          <w:sz w:val="32"/>
          <w:szCs w:val="40"/>
          <w:highlight w:val="yellow"/>
        </w:rPr>
      </w:pPr>
      <w:r w:rsidRPr="00C660D4">
        <w:rPr>
          <w:rFonts w:ascii="PP Mori SemiBold" w:eastAsiaTheme="majorEastAsia" w:hAnsi="PP Mori SemiBold" w:cstheme="majorBidi"/>
          <w:color w:val="013C4C" w:themeColor="text1"/>
          <w:sz w:val="32"/>
          <w:szCs w:val="40"/>
          <w:highlight w:val="yellow"/>
        </w:rPr>
        <w:br w:type="page"/>
      </w:r>
    </w:p>
    <w:p w14:paraId="518B5E93" w14:textId="75629249" w:rsidR="00C660D4" w:rsidRPr="00C660D4" w:rsidRDefault="00C660D4" w:rsidP="00C660D4">
      <w:pPr>
        <w:keepNext/>
        <w:keepLines/>
        <w:spacing w:line="288" w:lineRule="auto"/>
        <w:ind w:hanging="6"/>
        <w:outlineLvl w:val="0"/>
        <w:rPr>
          <w:rFonts w:ascii="PP Mori SemiBold" w:eastAsiaTheme="majorEastAsia" w:hAnsi="PP Mori SemiBold" w:cstheme="majorBidi"/>
          <w:color w:val="013C4C" w:themeColor="text1"/>
          <w:sz w:val="32"/>
          <w:szCs w:val="40"/>
        </w:rPr>
      </w:pPr>
      <w:bookmarkStart w:id="158" w:name="_Toc205243919"/>
      <w:bookmarkStart w:id="159" w:name="_Toc205533985"/>
      <w:bookmarkStart w:id="160" w:name="Appendix_C"/>
      <w:r w:rsidRPr="00C660D4">
        <w:rPr>
          <w:rFonts w:ascii="PP Mori SemiBold" w:eastAsiaTheme="majorEastAsia" w:hAnsi="PP Mori SemiBold" w:cstheme="majorBidi"/>
          <w:color w:val="013C4C" w:themeColor="text1"/>
          <w:sz w:val="32"/>
          <w:szCs w:val="40"/>
        </w:rPr>
        <w:t xml:space="preserve">Appendix </w:t>
      </w:r>
      <w:r w:rsidR="009E6D2F">
        <w:rPr>
          <w:rFonts w:ascii="PP Mori SemiBold" w:eastAsiaTheme="majorEastAsia" w:hAnsi="PP Mori SemiBold" w:cstheme="majorBidi"/>
          <w:color w:val="013C4C" w:themeColor="text1"/>
          <w:sz w:val="32"/>
          <w:szCs w:val="40"/>
        </w:rPr>
        <w:t>C</w:t>
      </w:r>
      <w:r w:rsidRPr="00C660D4">
        <w:rPr>
          <w:rFonts w:ascii="PP Mori SemiBold" w:eastAsiaTheme="majorEastAsia" w:hAnsi="PP Mori SemiBold" w:cstheme="majorBidi"/>
          <w:color w:val="013C4C" w:themeColor="text1"/>
          <w:sz w:val="32"/>
          <w:szCs w:val="40"/>
        </w:rPr>
        <w:t>: Network of Structures</w:t>
      </w:r>
      <w:bookmarkEnd w:id="158"/>
      <w:bookmarkEnd w:id="159"/>
      <w:r w:rsidRPr="00C660D4">
        <w:rPr>
          <w:rFonts w:ascii="PP Mori SemiBold" w:eastAsiaTheme="majorEastAsia" w:hAnsi="PP Mori SemiBold" w:cstheme="majorBidi"/>
          <w:color w:val="013C4C" w:themeColor="text1"/>
          <w:sz w:val="32"/>
          <w:szCs w:val="40"/>
        </w:rPr>
        <w:t xml:space="preserve"> </w:t>
      </w:r>
    </w:p>
    <w:p w14:paraId="6AB81CF8" w14:textId="77777777" w:rsidR="00C660D4" w:rsidRPr="00C660D4" w:rsidRDefault="00C660D4" w:rsidP="00C660D4">
      <w:pPr>
        <w:spacing w:before="120" w:after="120" w:line="264" w:lineRule="auto"/>
        <w:rPr>
          <w:bCs/>
          <w:lang w:eastAsia="en-US" w:bidi="ar-SA"/>
        </w:rPr>
      </w:pPr>
      <w:bookmarkStart w:id="161" w:name="_Toc152831819"/>
      <w:bookmarkEnd w:id="160"/>
      <w:r w:rsidRPr="00C660D4">
        <w:rPr>
          <w:lang w:eastAsia="en-US" w:bidi="ar-SA"/>
        </w:rPr>
        <w:t>While it is customary to refer to the power system in the singular, a modern electricity system is in reality a ‘super-system’ of seven structures, four of which are functionally interdependent on a days-to-sub second timescale (coral-colou</w:t>
      </w:r>
      <w:r w:rsidRPr="00C660D4">
        <w:rPr>
          <w:bCs/>
          <w:lang w:eastAsia="en-US" w:bidi="ar-SA"/>
        </w:rPr>
        <w:t>red</w:t>
      </w:r>
      <w:r w:rsidRPr="00C660D4">
        <w:rPr>
          <w:lang w:eastAsia="en-US" w:bidi="ar-SA"/>
        </w:rPr>
        <w:t xml:space="preserve"> nodes)</w:t>
      </w:r>
    </w:p>
    <w:p w14:paraId="343C41B1" w14:textId="77777777" w:rsidR="00C660D4" w:rsidRPr="00C660D4" w:rsidRDefault="00C660D4" w:rsidP="00C660D4">
      <w:pPr>
        <w:spacing w:before="120" w:after="120" w:line="264" w:lineRule="auto"/>
        <w:rPr>
          <w:lang w:eastAsia="en-US" w:bidi="ar-SA"/>
        </w:rPr>
      </w:pPr>
      <w:r w:rsidRPr="00C660D4">
        <w:rPr>
          <w:noProof/>
          <w:lang w:eastAsia="en-US" w:bidi="ar-SA"/>
        </w:rPr>
        <w:drawing>
          <wp:anchor distT="0" distB="0" distL="114300" distR="114300" simplePos="0" relativeHeight="251658242" behindDoc="1" locked="0" layoutInCell="1" allowOverlap="1" wp14:anchorId="255095D2" wp14:editId="1F905DC7">
            <wp:simplePos x="0" y="0"/>
            <wp:positionH relativeFrom="margin">
              <wp:posOffset>2731694</wp:posOffset>
            </wp:positionH>
            <wp:positionV relativeFrom="paragraph">
              <wp:posOffset>265354</wp:posOffset>
            </wp:positionV>
            <wp:extent cx="2794000" cy="2794000"/>
            <wp:effectExtent l="0" t="0" r="6350" b="6350"/>
            <wp:wrapThrough wrapText="bothSides">
              <wp:wrapPolygon edited="0">
                <wp:start x="9867" y="147"/>
                <wp:lineTo x="5596" y="2798"/>
                <wp:lineTo x="2651" y="3829"/>
                <wp:lineTo x="1473" y="4565"/>
                <wp:lineTo x="1325" y="7511"/>
                <wp:lineTo x="736" y="9867"/>
                <wp:lineTo x="0" y="12224"/>
                <wp:lineTo x="0" y="14727"/>
                <wp:lineTo x="4271" y="19293"/>
                <wp:lineTo x="4418" y="19882"/>
                <wp:lineTo x="5744" y="21502"/>
                <wp:lineTo x="6185" y="21502"/>
                <wp:lineTo x="15169" y="21502"/>
                <wp:lineTo x="15758" y="21502"/>
                <wp:lineTo x="17084" y="19882"/>
                <wp:lineTo x="17084" y="19293"/>
                <wp:lineTo x="21355" y="14580"/>
                <wp:lineTo x="21502" y="13991"/>
                <wp:lineTo x="21502" y="12518"/>
                <wp:lineTo x="21355" y="12224"/>
                <wp:lineTo x="20765" y="9867"/>
                <wp:lineTo x="20029" y="7511"/>
                <wp:lineTo x="20029" y="4713"/>
                <wp:lineTo x="18704" y="3829"/>
                <wp:lineTo x="15905" y="2798"/>
                <wp:lineTo x="11487" y="147"/>
                <wp:lineTo x="9867" y="147"/>
              </wp:wrapPolygon>
            </wp:wrapThrough>
            <wp:docPr id="1731908687" name="drawing" descr="A diagram of a network of stru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08687" name="drawing" descr="A diagram of a network of structures&#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94000" cy="2794000"/>
                    </a:xfrm>
                    <a:prstGeom prst="rect">
                      <a:avLst/>
                    </a:prstGeom>
                  </pic:spPr>
                </pic:pic>
              </a:graphicData>
            </a:graphic>
            <wp14:sizeRelH relativeFrom="margin">
              <wp14:pctWidth>0</wp14:pctWidth>
            </wp14:sizeRelH>
            <wp14:sizeRelV relativeFrom="margin">
              <wp14:pctHeight>0</wp14:pctHeight>
            </wp14:sizeRelV>
          </wp:anchor>
        </w:drawing>
      </w:r>
      <w:r w:rsidRPr="00C660D4">
        <w:rPr>
          <w:lang w:eastAsia="en-US" w:bidi="ar-SA"/>
        </w:rPr>
        <w:t xml:space="preserve">GW-scale power systems like the NEM consist of an intricate web of the following seven inter-dependent structures that must ultimately be transformed holistically: </w:t>
      </w:r>
    </w:p>
    <w:p w14:paraId="06B0F6DA" w14:textId="77777777" w:rsidR="00C660D4" w:rsidRPr="00C660D4" w:rsidRDefault="00C660D4" w:rsidP="00954BAC">
      <w:pPr>
        <w:numPr>
          <w:ilvl w:val="0"/>
          <w:numId w:val="98"/>
        </w:numPr>
        <w:spacing w:after="120" w:line="264" w:lineRule="auto"/>
        <w:ind w:left="714" w:hanging="357"/>
        <w:rPr>
          <w:lang w:eastAsia="en-US" w:bidi="ar-SA"/>
        </w:rPr>
      </w:pPr>
      <w:r w:rsidRPr="00C660D4">
        <w:rPr>
          <w:lang w:eastAsia="en-US" w:bidi="ar-SA"/>
        </w:rPr>
        <w:t>Electricity Infrastructure (Power Flows)</w:t>
      </w:r>
    </w:p>
    <w:p w14:paraId="4DFAAA9D" w14:textId="77777777" w:rsidR="00C660D4" w:rsidRPr="00C660D4" w:rsidRDefault="00C660D4" w:rsidP="00954BAC">
      <w:pPr>
        <w:numPr>
          <w:ilvl w:val="0"/>
          <w:numId w:val="98"/>
        </w:numPr>
        <w:spacing w:after="120" w:line="264" w:lineRule="auto"/>
        <w:ind w:left="714" w:hanging="357"/>
        <w:rPr>
          <w:lang w:eastAsia="en-US" w:bidi="ar-SA"/>
        </w:rPr>
      </w:pPr>
      <w:r w:rsidRPr="00C660D4">
        <w:rPr>
          <w:lang w:eastAsia="en-US" w:bidi="ar-SA"/>
        </w:rPr>
        <w:t>Digital Infrastructure (Information/Data Exchange, Storage and Processing)</w:t>
      </w:r>
    </w:p>
    <w:p w14:paraId="24702353" w14:textId="77777777" w:rsidR="00C660D4" w:rsidRPr="00C660D4" w:rsidRDefault="00C660D4" w:rsidP="00954BAC">
      <w:pPr>
        <w:numPr>
          <w:ilvl w:val="0"/>
          <w:numId w:val="98"/>
        </w:numPr>
        <w:spacing w:after="120" w:line="264" w:lineRule="auto"/>
        <w:ind w:left="714" w:hanging="357"/>
        <w:rPr>
          <w:lang w:eastAsia="en-US" w:bidi="ar-SA"/>
        </w:rPr>
      </w:pPr>
      <w:r w:rsidRPr="00C660D4">
        <w:rPr>
          <w:lang w:eastAsia="en-US" w:bidi="ar-SA"/>
        </w:rPr>
        <w:t xml:space="preserve">Operational Coordination Structure </w:t>
      </w:r>
    </w:p>
    <w:p w14:paraId="7D07FC44" w14:textId="77777777" w:rsidR="00C660D4" w:rsidRPr="00C660D4" w:rsidRDefault="00C660D4" w:rsidP="00954BAC">
      <w:pPr>
        <w:numPr>
          <w:ilvl w:val="0"/>
          <w:numId w:val="98"/>
        </w:numPr>
        <w:spacing w:after="120" w:line="264" w:lineRule="auto"/>
        <w:ind w:left="714" w:hanging="357"/>
        <w:rPr>
          <w:lang w:eastAsia="en-US" w:bidi="ar-SA"/>
        </w:rPr>
      </w:pPr>
      <w:r w:rsidRPr="00C660D4">
        <w:rPr>
          <w:lang w:eastAsia="en-US" w:bidi="ar-SA"/>
        </w:rPr>
        <w:t>Transactional Structure</w:t>
      </w:r>
    </w:p>
    <w:p w14:paraId="3665CA18" w14:textId="77777777" w:rsidR="00C660D4" w:rsidRPr="00C660D4" w:rsidRDefault="00C660D4" w:rsidP="00954BAC">
      <w:pPr>
        <w:numPr>
          <w:ilvl w:val="0"/>
          <w:numId w:val="98"/>
        </w:numPr>
        <w:spacing w:after="120" w:line="264" w:lineRule="auto"/>
        <w:ind w:left="714" w:hanging="357"/>
        <w:rPr>
          <w:lang w:eastAsia="en-US" w:bidi="ar-SA"/>
        </w:rPr>
      </w:pPr>
      <w:r w:rsidRPr="00C660D4">
        <w:rPr>
          <w:lang w:eastAsia="en-US" w:bidi="ar-SA"/>
        </w:rPr>
        <w:t>Industry / Market Structure</w:t>
      </w:r>
      <w:r w:rsidRPr="00C660D4">
        <w:rPr>
          <w:rFonts w:ascii="Calibri" w:hAnsi="Calibri" w:cs="Calibri"/>
          <w:lang w:eastAsia="en-US" w:bidi="ar-SA"/>
        </w:rPr>
        <w:t> </w:t>
      </w:r>
    </w:p>
    <w:p w14:paraId="7A06CB43" w14:textId="77777777" w:rsidR="00C660D4" w:rsidRPr="00C660D4" w:rsidRDefault="00C660D4" w:rsidP="00954BAC">
      <w:pPr>
        <w:numPr>
          <w:ilvl w:val="0"/>
          <w:numId w:val="98"/>
        </w:numPr>
        <w:spacing w:after="120" w:line="264" w:lineRule="auto"/>
        <w:ind w:left="714" w:hanging="357"/>
        <w:rPr>
          <w:lang w:eastAsia="en-US" w:bidi="ar-SA"/>
        </w:rPr>
      </w:pPr>
      <w:r w:rsidRPr="00C660D4">
        <w:rPr>
          <w:lang w:eastAsia="en-US" w:bidi="ar-SA"/>
        </w:rPr>
        <w:t>Regulatory Structure; and</w:t>
      </w:r>
      <w:r w:rsidRPr="00C660D4">
        <w:rPr>
          <w:rFonts w:ascii="Calibri" w:hAnsi="Calibri" w:cs="Calibri"/>
          <w:lang w:eastAsia="en-US" w:bidi="ar-SA"/>
        </w:rPr>
        <w:t> </w:t>
      </w:r>
    </w:p>
    <w:p w14:paraId="71B0D3A8" w14:textId="77777777" w:rsidR="00C660D4" w:rsidRPr="00C660D4" w:rsidRDefault="00C660D4" w:rsidP="00954BAC">
      <w:pPr>
        <w:numPr>
          <w:ilvl w:val="0"/>
          <w:numId w:val="98"/>
        </w:numPr>
        <w:spacing w:after="120" w:line="264" w:lineRule="auto"/>
        <w:ind w:left="714" w:hanging="357"/>
        <w:rPr>
          <w:lang w:eastAsia="en-US" w:bidi="ar-SA"/>
        </w:rPr>
      </w:pPr>
      <w:r w:rsidRPr="00C660D4">
        <w:rPr>
          <w:lang w:eastAsia="en-US" w:bidi="ar-SA"/>
        </w:rPr>
        <w:t>Sector Coupling Structures (Gas, Water, Transport, etc).</w:t>
      </w:r>
      <w:r w:rsidRPr="00C660D4">
        <w:rPr>
          <w:rFonts w:ascii="Calibri" w:hAnsi="Calibri" w:cs="Calibri"/>
          <w:lang w:eastAsia="en-US" w:bidi="ar-SA"/>
        </w:rPr>
        <w:t> </w:t>
      </w:r>
    </w:p>
    <w:p w14:paraId="27B4B9DC" w14:textId="77777777" w:rsidR="00C660D4" w:rsidRPr="00C660D4" w:rsidRDefault="00C660D4" w:rsidP="00C660D4">
      <w:pPr>
        <w:spacing w:before="120" w:after="120" w:line="264" w:lineRule="auto"/>
        <w:rPr>
          <w:lang w:eastAsia="en-US" w:bidi="ar-SA"/>
        </w:rPr>
      </w:pPr>
    </w:p>
    <w:p w14:paraId="5B4B0111" w14:textId="77777777" w:rsidR="00C660D4" w:rsidRPr="00C660D4" w:rsidRDefault="00C660D4" w:rsidP="00C660D4">
      <w:pPr>
        <w:spacing w:before="120" w:after="120" w:line="264" w:lineRule="auto"/>
        <w:rPr>
          <w:lang w:eastAsia="en-US" w:bidi="ar-SA"/>
        </w:rPr>
      </w:pPr>
      <w:r w:rsidRPr="00C660D4">
        <w:rPr>
          <w:lang w:eastAsia="en-US" w:bidi="ar-SA"/>
        </w:rPr>
        <w:t xml:space="preserve">The seven inter-dependent structures that make up the Network of Structures are now described in more detail below. </w:t>
      </w:r>
    </w:p>
    <w:p w14:paraId="6774C257" w14:textId="77777777" w:rsidR="00C660D4" w:rsidRPr="00C660D4" w:rsidRDefault="00C660D4" w:rsidP="00C660D4">
      <w:pPr>
        <w:spacing w:after="0" w:line="276" w:lineRule="auto"/>
        <w:rPr>
          <w:rFonts w:ascii="FreightSans Pro Book" w:hAnsi="FreightSans Pro Book"/>
          <w:b/>
          <w:color w:val="013C4C" w:themeColor="text1"/>
          <w:sz w:val="22"/>
          <w:szCs w:val="32"/>
        </w:rPr>
      </w:pPr>
      <w:r w:rsidRPr="00C660D4">
        <w:rPr>
          <w:rFonts w:ascii="FreightSans Pro Book" w:hAnsi="FreightSans Pro Book"/>
          <w:b/>
          <w:color w:val="013C4C" w:themeColor="text1"/>
          <w:sz w:val="22"/>
          <w:szCs w:val="32"/>
        </w:rPr>
        <w:t>1.  Electricity Infrastructure (Power Flows)</w:t>
      </w:r>
      <w:bookmarkEnd w:id="161"/>
      <w:r w:rsidRPr="00C660D4">
        <w:rPr>
          <w:rFonts w:ascii="FreightSans Pro Book" w:hAnsi="FreightSans Pro Book"/>
          <w:b/>
          <w:color w:val="013C4C" w:themeColor="text1"/>
          <w:sz w:val="22"/>
          <w:szCs w:val="32"/>
        </w:rPr>
        <w:tab/>
      </w:r>
    </w:p>
    <w:p w14:paraId="0550634B" w14:textId="77777777" w:rsidR="00C660D4" w:rsidRPr="00C660D4" w:rsidRDefault="00C660D4" w:rsidP="00C660D4">
      <w:pPr>
        <w:spacing w:before="180" w:after="0" w:line="276" w:lineRule="auto"/>
        <w:rPr>
          <w:szCs w:val="18"/>
        </w:rPr>
      </w:pPr>
      <w:r w:rsidRPr="00C660D4">
        <w:rPr>
          <w:szCs w:val="18"/>
        </w:rPr>
        <w:t xml:space="preserve">Infrastructures and subsystems that provide for the generation and physical movement of Electricity across the end-to-end Power System, including Generation Plant, Transmission Networks, Distribution Networks, Substations, Embedded Networks, Microgrids and diverse Energy Resources. </w:t>
      </w:r>
    </w:p>
    <w:p w14:paraId="77FDE5FF" w14:textId="77777777" w:rsidR="00C660D4" w:rsidRPr="00C660D4" w:rsidRDefault="00C660D4" w:rsidP="00C660D4">
      <w:pPr>
        <w:spacing w:before="180" w:after="0" w:line="276" w:lineRule="auto"/>
        <w:rPr>
          <w:szCs w:val="18"/>
        </w:rPr>
      </w:pPr>
      <w:r w:rsidRPr="00C660D4">
        <w:rPr>
          <w:szCs w:val="18"/>
        </w:rPr>
        <w:t>While historically designed for unidirectional operational, today Electricity Infrastructure increasingly experiences bi-directional Power Flows, especially in the Distribution Networks.  A sample of conventional and emerging examples include:</w:t>
      </w:r>
      <w:r w:rsidRPr="00C660D4">
        <w:rPr>
          <w:szCs w:val="18"/>
        </w:rPr>
        <w:tab/>
      </w:r>
    </w:p>
    <w:p w14:paraId="626D58DA" w14:textId="77777777" w:rsidR="00C660D4" w:rsidRPr="00C660D4" w:rsidRDefault="00C660D4" w:rsidP="00954BAC">
      <w:pPr>
        <w:numPr>
          <w:ilvl w:val="0"/>
          <w:numId w:val="99"/>
        </w:numPr>
        <w:spacing w:before="180" w:after="0" w:line="276" w:lineRule="auto"/>
        <w:rPr>
          <w:szCs w:val="18"/>
        </w:rPr>
      </w:pPr>
      <w:r w:rsidRPr="00C660D4">
        <w:rPr>
          <w:szCs w:val="18"/>
        </w:rPr>
        <w:t>Power Flows from the Bulk Power System through the Transmission Networks to Bulk Supply Points (BSP).</w:t>
      </w:r>
    </w:p>
    <w:p w14:paraId="17F68EB8" w14:textId="77777777" w:rsidR="00C660D4" w:rsidRPr="00C660D4" w:rsidRDefault="00C660D4" w:rsidP="00954BAC">
      <w:pPr>
        <w:numPr>
          <w:ilvl w:val="0"/>
          <w:numId w:val="99"/>
        </w:numPr>
        <w:spacing w:before="180" w:after="0" w:line="276" w:lineRule="auto"/>
        <w:rPr>
          <w:szCs w:val="18"/>
        </w:rPr>
      </w:pPr>
      <w:r w:rsidRPr="00C660D4">
        <w:rPr>
          <w:szCs w:val="18"/>
        </w:rPr>
        <w:t xml:space="preserve">Power flows from BSP through Distribution Networks to Connection Points for each Customer.  </w:t>
      </w:r>
    </w:p>
    <w:p w14:paraId="68CDF56B" w14:textId="77777777" w:rsidR="00C660D4" w:rsidRPr="00C660D4" w:rsidRDefault="00C660D4" w:rsidP="00954BAC">
      <w:pPr>
        <w:numPr>
          <w:ilvl w:val="0"/>
          <w:numId w:val="99"/>
        </w:numPr>
        <w:spacing w:before="180" w:after="0" w:line="276" w:lineRule="auto"/>
        <w:rPr>
          <w:szCs w:val="18"/>
        </w:rPr>
      </w:pPr>
      <w:r w:rsidRPr="00C660D4">
        <w:rPr>
          <w:szCs w:val="18"/>
        </w:rPr>
        <w:t>Storage of excess Renewable Energy output for subsequent injection to the Power System at periods of Peak Demand.</w:t>
      </w:r>
    </w:p>
    <w:p w14:paraId="404CFC23" w14:textId="77777777" w:rsidR="00C660D4" w:rsidRPr="00C660D4" w:rsidRDefault="00C660D4" w:rsidP="00954BAC">
      <w:pPr>
        <w:numPr>
          <w:ilvl w:val="0"/>
          <w:numId w:val="99"/>
        </w:numPr>
        <w:spacing w:before="180" w:after="0" w:line="276" w:lineRule="auto"/>
        <w:rPr>
          <w:szCs w:val="18"/>
        </w:rPr>
      </w:pPr>
      <w:r w:rsidRPr="00C660D4">
        <w:rPr>
          <w:szCs w:val="18"/>
        </w:rPr>
        <w:t>Customer-owned Distributed Photovoltaics (DPV) and Battery Energy Storage Systems (BESS) that provide Power to their own Loads and/or exports to the local Distribution Network.</w:t>
      </w:r>
    </w:p>
    <w:p w14:paraId="6471A4A0" w14:textId="77777777" w:rsidR="00C660D4" w:rsidRPr="00C660D4" w:rsidRDefault="00C660D4" w:rsidP="00C660D4">
      <w:pPr>
        <w:spacing w:after="0" w:line="276" w:lineRule="auto"/>
        <w:rPr>
          <w:rFonts w:ascii="FreightSans Pro Book" w:hAnsi="FreightSans Pro Book"/>
          <w:b/>
          <w:color w:val="013C4C" w:themeColor="text1"/>
          <w:sz w:val="22"/>
          <w:szCs w:val="32"/>
        </w:rPr>
      </w:pPr>
      <w:r w:rsidRPr="00C660D4">
        <w:rPr>
          <w:rFonts w:ascii="FreightSans Pro Book" w:hAnsi="FreightSans Pro Book"/>
          <w:b/>
          <w:color w:val="013C4C" w:themeColor="text1"/>
          <w:sz w:val="22"/>
          <w:szCs w:val="32"/>
        </w:rPr>
        <w:t xml:space="preserve">2. </w:t>
      </w:r>
      <w:bookmarkStart w:id="162" w:name="_Toc152831820"/>
      <w:r w:rsidRPr="00C660D4">
        <w:rPr>
          <w:rFonts w:ascii="FreightSans Pro Book" w:hAnsi="FreightSans Pro Book"/>
          <w:b/>
          <w:color w:val="013C4C" w:themeColor="text1"/>
          <w:sz w:val="22"/>
          <w:szCs w:val="32"/>
        </w:rPr>
        <w:t xml:space="preserve"> Digital Infrastructure (Information/Data Exchange, Storage, and Processing)</w:t>
      </w:r>
      <w:bookmarkEnd w:id="162"/>
      <w:r w:rsidRPr="00C660D4">
        <w:rPr>
          <w:rFonts w:ascii="FreightSans Pro Book" w:hAnsi="FreightSans Pro Book"/>
          <w:b/>
          <w:color w:val="013C4C" w:themeColor="text1"/>
          <w:sz w:val="22"/>
          <w:szCs w:val="32"/>
        </w:rPr>
        <w:tab/>
      </w:r>
    </w:p>
    <w:p w14:paraId="76C58D20" w14:textId="77777777" w:rsidR="00C660D4" w:rsidRPr="00C660D4" w:rsidRDefault="00C660D4" w:rsidP="00C660D4">
      <w:pPr>
        <w:spacing w:before="180" w:after="0" w:line="276" w:lineRule="auto"/>
        <w:rPr>
          <w:szCs w:val="18"/>
        </w:rPr>
      </w:pPr>
      <w:r w:rsidRPr="00C660D4">
        <w:rPr>
          <w:szCs w:val="18"/>
        </w:rPr>
        <w:t>Infrastructures and subsystems that provide for all information and data exchange required to maintain the safe and reliable operation of the Power System and underpin its coordinated operation.  A sample of conventional and emerging examples include:</w:t>
      </w:r>
      <w:r w:rsidRPr="00C660D4">
        <w:rPr>
          <w:szCs w:val="18"/>
        </w:rPr>
        <w:tab/>
      </w:r>
    </w:p>
    <w:p w14:paraId="13C40042" w14:textId="77777777" w:rsidR="00C660D4" w:rsidRPr="00C660D4" w:rsidRDefault="00C660D4" w:rsidP="00954BAC">
      <w:pPr>
        <w:numPr>
          <w:ilvl w:val="0"/>
          <w:numId w:val="99"/>
        </w:numPr>
        <w:spacing w:before="180" w:after="0" w:line="276" w:lineRule="auto"/>
        <w:rPr>
          <w:szCs w:val="18"/>
        </w:rPr>
      </w:pPr>
      <w:r w:rsidRPr="00C660D4">
        <w:rPr>
          <w:rFonts w:hint="eastAsia"/>
          <w:szCs w:val="18"/>
        </w:rPr>
        <w:t>Signals and data used for real-time control of the Power System</w:t>
      </w:r>
      <w:r w:rsidRPr="00C660D4">
        <w:rPr>
          <w:szCs w:val="18"/>
        </w:rPr>
        <w:t xml:space="preserve"> such as S</w:t>
      </w:r>
      <w:r w:rsidRPr="00C660D4">
        <w:rPr>
          <w:rFonts w:hint="eastAsia"/>
          <w:szCs w:val="18"/>
        </w:rPr>
        <w:t xml:space="preserve">tate </w:t>
      </w:r>
      <w:r w:rsidRPr="00C660D4">
        <w:rPr>
          <w:szCs w:val="18"/>
        </w:rPr>
        <w:t>E</w:t>
      </w:r>
      <w:r w:rsidRPr="00C660D4">
        <w:rPr>
          <w:rFonts w:hint="eastAsia"/>
          <w:szCs w:val="18"/>
        </w:rPr>
        <w:t xml:space="preserve">stimation, </w:t>
      </w:r>
      <w:r w:rsidRPr="00C660D4">
        <w:rPr>
          <w:szCs w:val="18"/>
        </w:rPr>
        <w:t>F</w:t>
      </w:r>
      <w:r w:rsidRPr="00C660D4">
        <w:rPr>
          <w:rFonts w:hint="eastAsia"/>
          <w:szCs w:val="18"/>
        </w:rPr>
        <w:t>requency</w:t>
      </w:r>
      <w:r w:rsidRPr="00C660D4">
        <w:rPr>
          <w:szCs w:val="18"/>
        </w:rPr>
        <w:t xml:space="preserve"> monitoring, T</w:t>
      </w:r>
      <w:r w:rsidRPr="00C660D4">
        <w:rPr>
          <w:rFonts w:hint="eastAsia"/>
          <w:szCs w:val="18"/>
        </w:rPr>
        <w:t>opology</w:t>
      </w:r>
      <w:r w:rsidRPr="00C660D4">
        <w:rPr>
          <w:szCs w:val="18"/>
        </w:rPr>
        <w:t xml:space="preserve"> configuration monitoring, etc. </w:t>
      </w:r>
      <w:r w:rsidRPr="00C660D4">
        <w:rPr>
          <w:rFonts w:hint="eastAsia"/>
          <w:szCs w:val="18"/>
        </w:rPr>
        <w:t xml:space="preserve"> </w:t>
      </w:r>
    </w:p>
    <w:p w14:paraId="614AB2B9" w14:textId="77777777" w:rsidR="00C660D4" w:rsidRPr="00C660D4" w:rsidRDefault="00C660D4" w:rsidP="00954BAC">
      <w:pPr>
        <w:numPr>
          <w:ilvl w:val="0"/>
          <w:numId w:val="99"/>
        </w:numPr>
        <w:spacing w:before="180" w:after="0" w:line="276" w:lineRule="auto"/>
        <w:rPr>
          <w:szCs w:val="18"/>
        </w:rPr>
      </w:pPr>
      <w:r w:rsidRPr="00C660D4">
        <w:rPr>
          <w:rFonts w:hint="eastAsia"/>
          <w:szCs w:val="18"/>
        </w:rPr>
        <w:t>Energy Resources participating in the Wholesale Market submit</w:t>
      </w:r>
      <w:r w:rsidRPr="00C660D4">
        <w:rPr>
          <w:szCs w:val="18"/>
        </w:rPr>
        <w:t xml:space="preserve"> real-time</w:t>
      </w:r>
      <w:r w:rsidRPr="00C660D4">
        <w:rPr>
          <w:rFonts w:hint="eastAsia"/>
          <w:szCs w:val="18"/>
        </w:rPr>
        <w:t xml:space="preserve"> </w:t>
      </w:r>
      <w:r w:rsidRPr="00C660D4">
        <w:rPr>
          <w:szCs w:val="18"/>
        </w:rPr>
        <w:t xml:space="preserve">asset performance reports </w:t>
      </w:r>
      <w:r w:rsidRPr="00C660D4">
        <w:rPr>
          <w:rFonts w:hint="eastAsia"/>
          <w:szCs w:val="18"/>
        </w:rPr>
        <w:t>to the Market/System Operator (MSO)</w:t>
      </w:r>
      <w:r w:rsidRPr="00C660D4">
        <w:rPr>
          <w:szCs w:val="18"/>
        </w:rPr>
        <w:t xml:space="preserve">. </w:t>
      </w:r>
    </w:p>
    <w:p w14:paraId="09B75FBE" w14:textId="77777777" w:rsidR="00C660D4" w:rsidRPr="00C660D4" w:rsidRDefault="00C660D4" w:rsidP="00954BAC">
      <w:pPr>
        <w:numPr>
          <w:ilvl w:val="0"/>
          <w:numId w:val="99"/>
        </w:numPr>
        <w:spacing w:before="180" w:after="0" w:line="276" w:lineRule="auto"/>
        <w:rPr>
          <w:szCs w:val="18"/>
        </w:rPr>
      </w:pPr>
      <w:r w:rsidRPr="00C660D4">
        <w:rPr>
          <w:rFonts w:hint="eastAsia"/>
          <w:szCs w:val="18"/>
        </w:rPr>
        <w:t xml:space="preserve">MSO and Distribution System Operators (DSO) exchange system condition information </w:t>
      </w:r>
      <w:r w:rsidRPr="00C660D4">
        <w:rPr>
          <w:szCs w:val="18"/>
        </w:rPr>
        <w:t xml:space="preserve">across the relevant </w:t>
      </w:r>
      <w:r w:rsidRPr="00C660D4">
        <w:rPr>
          <w:rFonts w:hint="eastAsia"/>
          <w:szCs w:val="18"/>
        </w:rPr>
        <w:t>Transmission-Distribution Interface</w:t>
      </w:r>
      <w:r w:rsidRPr="00C660D4">
        <w:rPr>
          <w:szCs w:val="18"/>
        </w:rPr>
        <w:t xml:space="preserve"> (TDI) </w:t>
      </w:r>
      <w:r w:rsidRPr="00C660D4">
        <w:rPr>
          <w:rFonts w:hint="eastAsia"/>
          <w:szCs w:val="18"/>
        </w:rPr>
        <w:t xml:space="preserve">to support the conjoint </w:t>
      </w:r>
      <w:r w:rsidRPr="00C660D4">
        <w:rPr>
          <w:szCs w:val="18"/>
        </w:rPr>
        <w:t xml:space="preserve">Power System </w:t>
      </w:r>
      <w:r w:rsidRPr="00C660D4">
        <w:rPr>
          <w:rFonts w:hint="eastAsia"/>
          <w:szCs w:val="18"/>
        </w:rPr>
        <w:t>managemen</w:t>
      </w:r>
      <w:r w:rsidRPr="00C660D4">
        <w:rPr>
          <w:szCs w:val="18"/>
        </w:rPr>
        <w:t>t.</w:t>
      </w:r>
    </w:p>
    <w:p w14:paraId="5AE0AB27" w14:textId="77777777" w:rsidR="00C660D4" w:rsidRPr="00C660D4" w:rsidRDefault="00C660D4" w:rsidP="00954BAC">
      <w:pPr>
        <w:numPr>
          <w:ilvl w:val="0"/>
          <w:numId w:val="99"/>
        </w:numPr>
        <w:spacing w:before="180" w:after="0" w:line="276" w:lineRule="auto"/>
        <w:rPr>
          <w:szCs w:val="18"/>
        </w:rPr>
      </w:pPr>
      <w:r w:rsidRPr="00C660D4">
        <w:rPr>
          <w:rFonts w:hint="eastAsia"/>
          <w:szCs w:val="18"/>
        </w:rPr>
        <w:t xml:space="preserve">Energy Retailers and Aggregators participating in the Wholesale Market and </w:t>
      </w:r>
      <w:r w:rsidRPr="00C660D4">
        <w:rPr>
          <w:szCs w:val="18"/>
        </w:rPr>
        <w:t>Distribution-level Market</w:t>
      </w:r>
      <w:r w:rsidRPr="00C660D4">
        <w:rPr>
          <w:rFonts w:hint="eastAsia"/>
          <w:szCs w:val="18"/>
        </w:rPr>
        <w:t>s submit telemetry to the relevant entities to indicate asset performance in real-time.</w:t>
      </w:r>
    </w:p>
    <w:p w14:paraId="7812DAAB" w14:textId="77777777" w:rsidR="00C660D4" w:rsidRPr="00C660D4" w:rsidRDefault="00C660D4" w:rsidP="00C660D4">
      <w:pPr>
        <w:spacing w:after="0" w:line="276" w:lineRule="auto"/>
        <w:rPr>
          <w:rFonts w:ascii="FreightSans Pro Book" w:hAnsi="FreightSans Pro Book"/>
          <w:b/>
          <w:color w:val="013C4C" w:themeColor="text1"/>
          <w:sz w:val="22"/>
          <w:szCs w:val="32"/>
        </w:rPr>
      </w:pPr>
      <w:r w:rsidRPr="00C660D4">
        <w:rPr>
          <w:rFonts w:ascii="FreightSans Pro Book" w:hAnsi="FreightSans Pro Book"/>
          <w:b/>
          <w:color w:val="013C4C" w:themeColor="text1"/>
          <w:sz w:val="22"/>
          <w:szCs w:val="32"/>
        </w:rPr>
        <w:t xml:space="preserve">3. </w:t>
      </w:r>
      <w:bookmarkStart w:id="163" w:name="_Toc152831821"/>
      <w:r w:rsidRPr="00C660D4">
        <w:rPr>
          <w:rFonts w:ascii="FreightSans Pro Book" w:hAnsi="FreightSans Pro Book"/>
          <w:b/>
          <w:color w:val="013C4C" w:themeColor="text1"/>
          <w:sz w:val="22"/>
          <w:szCs w:val="32"/>
        </w:rPr>
        <w:t xml:space="preserve"> Transactional Structure</w:t>
      </w:r>
      <w:bookmarkEnd w:id="163"/>
    </w:p>
    <w:p w14:paraId="065BDAB8" w14:textId="77777777" w:rsidR="00C660D4" w:rsidRPr="00C660D4" w:rsidRDefault="00C660D4" w:rsidP="00C660D4">
      <w:pPr>
        <w:spacing w:before="180" w:after="0" w:line="276" w:lineRule="auto"/>
        <w:rPr>
          <w:szCs w:val="18"/>
        </w:rPr>
      </w:pPr>
      <w:r w:rsidRPr="00C660D4">
        <w:rPr>
          <w:szCs w:val="18"/>
        </w:rPr>
        <w:t xml:space="preserve">Infrastructures and Subsystems that provide for the valuation, procurement, sale and measurement of Energy, Capacity and Essential System Services (ESS) at any Tier/Layer of the Power System through market or other financial arrangements. This may include participation in Wholesale Market, Distribution-level Markets, advanced Tariffs/Rates.  This also includes market schedules and Dispatch instructions. </w:t>
      </w:r>
    </w:p>
    <w:p w14:paraId="0CE27D6B" w14:textId="77777777" w:rsidR="00C660D4" w:rsidRPr="00C660D4" w:rsidRDefault="00C660D4" w:rsidP="00C660D4">
      <w:pPr>
        <w:spacing w:before="180" w:after="0" w:line="276" w:lineRule="auto"/>
        <w:rPr>
          <w:szCs w:val="18"/>
        </w:rPr>
      </w:pPr>
      <w:r w:rsidRPr="00C660D4">
        <w:rPr>
          <w:szCs w:val="18"/>
        </w:rPr>
        <w:t>A sample of conventional and emerging examples include:</w:t>
      </w:r>
      <w:r w:rsidRPr="00C660D4">
        <w:rPr>
          <w:szCs w:val="18"/>
        </w:rPr>
        <w:tab/>
      </w:r>
    </w:p>
    <w:p w14:paraId="67F22AAA" w14:textId="77777777" w:rsidR="00C660D4" w:rsidRPr="00C660D4" w:rsidRDefault="00C660D4" w:rsidP="00954BAC">
      <w:pPr>
        <w:numPr>
          <w:ilvl w:val="0"/>
          <w:numId w:val="99"/>
        </w:numPr>
        <w:spacing w:before="180" w:after="0" w:line="276" w:lineRule="auto"/>
        <w:rPr>
          <w:szCs w:val="18"/>
        </w:rPr>
      </w:pPr>
      <w:r w:rsidRPr="00C660D4">
        <w:rPr>
          <w:szCs w:val="18"/>
        </w:rPr>
        <w:t>Energy Resources participating in the Wholesale Market provide bids/offers to the Market/System Operator (MSO) who subsequently schedules the Dispatch of participating resources.</w:t>
      </w:r>
    </w:p>
    <w:p w14:paraId="505BAFD2" w14:textId="77777777" w:rsidR="00C660D4" w:rsidRPr="00C660D4" w:rsidRDefault="00C660D4" w:rsidP="00954BAC">
      <w:pPr>
        <w:numPr>
          <w:ilvl w:val="0"/>
          <w:numId w:val="99"/>
        </w:numPr>
        <w:spacing w:before="180" w:after="0" w:line="276" w:lineRule="auto"/>
        <w:rPr>
          <w:szCs w:val="18"/>
        </w:rPr>
      </w:pPr>
      <w:r w:rsidRPr="00C660D4">
        <w:rPr>
          <w:szCs w:val="18"/>
        </w:rPr>
        <w:t xml:space="preserve">Relevant to the Operational Coordination of the Power System, both the legacy and emerging market structures are calibrated to ensure Co-optimisation of Energy Resource behaviours across the different Tiers/Layers of the system.  </w:t>
      </w:r>
    </w:p>
    <w:p w14:paraId="6874F2FD" w14:textId="77777777" w:rsidR="00C660D4" w:rsidRPr="00C660D4" w:rsidRDefault="00C660D4" w:rsidP="00954BAC">
      <w:pPr>
        <w:numPr>
          <w:ilvl w:val="0"/>
          <w:numId w:val="99"/>
        </w:numPr>
        <w:spacing w:before="180" w:after="0" w:line="276" w:lineRule="auto"/>
        <w:rPr>
          <w:szCs w:val="18"/>
        </w:rPr>
      </w:pPr>
      <w:r w:rsidRPr="00C660D4">
        <w:rPr>
          <w:szCs w:val="18"/>
        </w:rPr>
        <w:t>Energy Retailers and Aggregators procure and contract services from Distributed Energy Resources (DER/CER) and other Flexible Resources (Demand-side) and sell them in various Wholesale Markets and/or Distribution-level Markets.</w:t>
      </w:r>
    </w:p>
    <w:p w14:paraId="699ABCBC" w14:textId="77777777" w:rsidR="00C660D4" w:rsidRPr="00C660D4" w:rsidRDefault="00C660D4" w:rsidP="00954BAC">
      <w:pPr>
        <w:numPr>
          <w:ilvl w:val="0"/>
          <w:numId w:val="99"/>
        </w:numPr>
        <w:spacing w:before="180" w:after="0" w:line="276" w:lineRule="auto"/>
        <w:rPr>
          <w:szCs w:val="18"/>
        </w:rPr>
      </w:pPr>
      <w:r w:rsidRPr="00C660D4">
        <w:rPr>
          <w:szCs w:val="18"/>
        </w:rPr>
        <w:t xml:space="preserve">Support more granular ‘market-control’ alignment to incentivise and activate targeted provision of valuable services in the form of Electric Products when and where most needed. </w:t>
      </w:r>
    </w:p>
    <w:p w14:paraId="7047568E" w14:textId="77777777" w:rsidR="00C660D4" w:rsidRPr="00C660D4" w:rsidRDefault="00C660D4" w:rsidP="00C660D4">
      <w:pPr>
        <w:spacing w:after="0" w:line="276" w:lineRule="auto"/>
        <w:rPr>
          <w:rFonts w:ascii="FreightSans Pro Book" w:hAnsi="FreightSans Pro Book"/>
          <w:b/>
          <w:color w:val="013C4C" w:themeColor="text1"/>
          <w:sz w:val="22"/>
          <w:szCs w:val="32"/>
        </w:rPr>
      </w:pPr>
      <w:r w:rsidRPr="00C660D4">
        <w:rPr>
          <w:rFonts w:ascii="FreightSans Pro Book" w:hAnsi="FreightSans Pro Book"/>
          <w:b/>
          <w:color w:val="013C4C" w:themeColor="text1"/>
          <w:sz w:val="22"/>
          <w:szCs w:val="32"/>
        </w:rPr>
        <w:t xml:space="preserve">4. </w:t>
      </w:r>
      <w:bookmarkStart w:id="164" w:name="_Toc152831822"/>
      <w:r w:rsidRPr="00C660D4">
        <w:rPr>
          <w:rFonts w:ascii="FreightSans Pro Book" w:hAnsi="FreightSans Pro Book"/>
          <w:b/>
          <w:color w:val="013C4C" w:themeColor="text1"/>
          <w:sz w:val="22"/>
          <w:szCs w:val="32"/>
        </w:rPr>
        <w:t xml:space="preserve"> Operational Coordination Structure</w:t>
      </w:r>
      <w:bookmarkEnd w:id="164"/>
    </w:p>
    <w:p w14:paraId="7BD072C1" w14:textId="77777777" w:rsidR="00C660D4" w:rsidRPr="00C660D4" w:rsidRDefault="00C660D4" w:rsidP="00C660D4">
      <w:pPr>
        <w:spacing w:before="180" w:after="0" w:line="276" w:lineRule="auto"/>
        <w:rPr>
          <w:szCs w:val="18"/>
        </w:rPr>
      </w:pPr>
      <w:r w:rsidRPr="00C660D4">
        <w:rPr>
          <w:szCs w:val="18"/>
        </w:rPr>
        <w:t xml:space="preserve">Infrastructures and Subsystems that support the systematic operational alignment of both Utility and non-Utility assets as Power Systems move from hundreds to tens of millions of participating Energy Resources.  In an operational context characterised by greater Volatility, advanced Operational Coordination is essential for safe, secure and efficient Power System operation in a manner that has a high level of Resilience, Scalability and Extensibility. </w:t>
      </w:r>
    </w:p>
    <w:p w14:paraId="06CF48FB" w14:textId="77777777" w:rsidR="00C660D4" w:rsidRPr="00C660D4" w:rsidRDefault="00C660D4" w:rsidP="00C660D4">
      <w:pPr>
        <w:spacing w:before="180" w:after="0" w:line="276" w:lineRule="auto"/>
        <w:rPr>
          <w:szCs w:val="18"/>
        </w:rPr>
      </w:pPr>
      <w:r w:rsidRPr="00C660D4">
        <w:rPr>
          <w:szCs w:val="18"/>
        </w:rPr>
        <w:t>A sample of conventional and emerging examples include:</w:t>
      </w:r>
      <w:r w:rsidRPr="00C660D4">
        <w:rPr>
          <w:szCs w:val="18"/>
        </w:rPr>
        <w:tab/>
      </w:r>
    </w:p>
    <w:p w14:paraId="592F8A31" w14:textId="77777777" w:rsidR="00C660D4" w:rsidRPr="00C660D4" w:rsidRDefault="00C660D4" w:rsidP="00954BAC">
      <w:pPr>
        <w:numPr>
          <w:ilvl w:val="0"/>
          <w:numId w:val="99"/>
        </w:numPr>
        <w:spacing w:before="180" w:after="0" w:line="276" w:lineRule="auto"/>
        <w:rPr>
          <w:szCs w:val="18"/>
        </w:rPr>
      </w:pPr>
      <w:r w:rsidRPr="00C660D4">
        <w:rPr>
          <w:szCs w:val="18"/>
        </w:rPr>
        <w:t xml:space="preserve">Market/System Operator (MSO) exerts control over Energy Resources participating in the Wholesale Market by sending Dispatch instructions and basepoints to secure necessary services. </w:t>
      </w:r>
    </w:p>
    <w:p w14:paraId="0FD55ECF" w14:textId="77777777" w:rsidR="00C660D4" w:rsidRPr="00C660D4" w:rsidRDefault="00C660D4" w:rsidP="00954BAC">
      <w:pPr>
        <w:numPr>
          <w:ilvl w:val="0"/>
          <w:numId w:val="99"/>
        </w:numPr>
        <w:spacing w:before="180" w:after="0" w:line="276" w:lineRule="auto"/>
        <w:rPr>
          <w:szCs w:val="18"/>
        </w:rPr>
      </w:pPr>
      <w:r w:rsidRPr="00C660D4">
        <w:rPr>
          <w:szCs w:val="18"/>
        </w:rPr>
        <w:t xml:space="preserve">MSO exerts control over the Transmission Network in response to a constraint or contingency to preserve System Security and Reliability. </w:t>
      </w:r>
    </w:p>
    <w:p w14:paraId="07A2D8FC" w14:textId="77777777" w:rsidR="00C660D4" w:rsidRPr="00C660D4" w:rsidRDefault="00C660D4" w:rsidP="00954BAC">
      <w:pPr>
        <w:numPr>
          <w:ilvl w:val="0"/>
          <w:numId w:val="99"/>
        </w:numPr>
        <w:spacing w:before="180" w:after="0" w:line="276" w:lineRule="auto"/>
        <w:rPr>
          <w:szCs w:val="18"/>
        </w:rPr>
      </w:pPr>
      <w:r w:rsidRPr="00C660D4">
        <w:rPr>
          <w:szCs w:val="18"/>
        </w:rPr>
        <w:t xml:space="preserve">Aggregators provide the MSO and Distribution System Operator (DSO) resource availability forecasts for Energy Resources.  </w:t>
      </w:r>
    </w:p>
    <w:p w14:paraId="0D6AEE5A" w14:textId="77777777" w:rsidR="00C660D4" w:rsidRPr="00C660D4" w:rsidRDefault="00C660D4" w:rsidP="00954BAC">
      <w:pPr>
        <w:numPr>
          <w:ilvl w:val="0"/>
          <w:numId w:val="99"/>
        </w:numPr>
        <w:spacing w:before="180" w:after="0" w:line="276" w:lineRule="auto"/>
        <w:rPr>
          <w:szCs w:val="18"/>
        </w:rPr>
      </w:pPr>
      <w:r w:rsidRPr="00C660D4">
        <w:rPr>
          <w:szCs w:val="18"/>
        </w:rPr>
        <w:t xml:space="preserve">The MSO and DSO conjointly manage their respective sides of the Transmission-Distribution Interfaces (TDI) due to the growing dependence on Energy Resources located on both sides of the TDI. </w:t>
      </w:r>
    </w:p>
    <w:p w14:paraId="5A46AC04" w14:textId="77777777" w:rsidR="00C660D4" w:rsidRPr="00C660D4" w:rsidRDefault="00C660D4" w:rsidP="00954BAC">
      <w:pPr>
        <w:numPr>
          <w:ilvl w:val="0"/>
          <w:numId w:val="99"/>
        </w:numPr>
        <w:spacing w:before="180" w:after="0" w:line="276" w:lineRule="auto"/>
        <w:rPr>
          <w:szCs w:val="18"/>
        </w:rPr>
      </w:pPr>
      <w:r w:rsidRPr="00C660D4">
        <w:rPr>
          <w:szCs w:val="18"/>
        </w:rPr>
        <w:t xml:space="preserve">Aggregators orchestrate contracted CER/DER in response to the various market structures for procuring the Electric Products required by different Tiers/Layers of the system.  </w:t>
      </w:r>
    </w:p>
    <w:p w14:paraId="6441ED91" w14:textId="77777777" w:rsidR="00C660D4" w:rsidRPr="00C660D4" w:rsidRDefault="00C660D4" w:rsidP="00C660D4">
      <w:pPr>
        <w:spacing w:before="180" w:after="0" w:line="276" w:lineRule="auto"/>
        <w:rPr>
          <w:szCs w:val="18"/>
        </w:rPr>
      </w:pPr>
      <w:r w:rsidRPr="00C660D4">
        <w:rPr>
          <w:szCs w:val="18"/>
        </w:rPr>
        <w:t xml:space="preserve">Advanced Operational Coordination models are ultimately required to enable the transition to a more holistic Transmission-Distribution-Customer (TDC) model of system coordination.  </w:t>
      </w:r>
    </w:p>
    <w:p w14:paraId="5043C4E4" w14:textId="77777777" w:rsidR="00C660D4" w:rsidRPr="00C660D4" w:rsidRDefault="00C660D4" w:rsidP="00C660D4">
      <w:pPr>
        <w:spacing w:after="0" w:line="276" w:lineRule="auto"/>
        <w:rPr>
          <w:rFonts w:ascii="FreightSans Pro Book" w:hAnsi="FreightSans Pro Book"/>
          <w:b/>
          <w:color w:val="013C4C" w:themeColor="text1"/>
          <w:sz w:val="22"/>
          <w:szCs w:val="32"/>
        </w:rPr>
      </w:pPr>
      <w:r w:rsidRPr="00C660D4">
        <w:rPr>
          <w:rFonts w:ascii="FreightSans Pro Book" w:hAnsi="FreightSans Pro Book"/>
          <w:b/>
          <w:color w:val="013C4C" w:themeColor="text1"/>
          <w:sz w:val="22"/>
          <w:szCs w:val="32"/>
        </w:rPr>
        <w:t xml:space="preserve">5. </w:t>
      </w:r>
      <w:bookmarkStart w:id="165" w:name="_Toc152831823"/>
      <w:r w:rsidRPr="00C660D4">
        <w:rPr>
          <w:rFonts w:ascii="FreightSans Pro Book" w:hAnsi="FreightSans Pro Book"/>
          <w:b/>
          <w:color w:val="013C4C" w:themeColor="text1"/>
          <w:sz w:val="22"/>
          <w:szCs w:val="32"/>
        </w:rPr>
        <w:t xml:space="preserve"> Industry / Market Structure</w:t>
      </w:r>
      <w:bookmarkEnd w:id="165"/>
    </w:p>
    <w:p w14:paraId="52E54A46" w14:textId="77777777" w:rsidR="00C660D4" w:rsidRPr="00C660D4" w:rsidRDefault="00C660D4" w:rsidP="00C660D4">
      <w:pPr>
        <w:spacing w:before="180" w:after="0" w:line="276" w:lineRule="auto"/>
        <w:rPr>
          <w:szCs w:val="18"/>
        </w:rPr>
      </w:pPr>
      <w:r w:rsidRPr="00C660D4">
        <w:rPr>
          <w:szCs w:val="18"/>
        </w:rPr>
        <w:t xml:space="preserve">The range of Entities involved in operating an end-to-end Power System, across its vertical Tiers/Layers and various markets, and within the boundaries of their formal Roles and Responsibilities, as set out in the legal and regulatory arrangements of a specific jurisdiction.  Some examples of these Entities include: </w:t>
      </w:r>
    </w:p>
    <w:p w14:paraId="415F4B67" w14:textId="77777777" w:rsidR="00C660D4" w:rsidRPr="00C660D4" w:rsidRDefault="00C660D4" w:rsidP="00954BAC">
      <w:pPr>
        <w:numPr>
          <w:ilvl w:val="0"/>
          <w:numId w:val="99"/>
        </w:numPr>
        <w:spacing w:before="180" w:after="0" w:line="276" w:lineRule="auto"/>
        <w:rPr>
          <w:szCs w:val="18"/>
        </w:rPr>
      </w:pPr>
      <w:r w:rsidRPr="00C660D4">
        <w:rPr>
          <w:szCs w:val="18"/>
        </w:rPr>
        <w:t xml:space="preserve">Market/System Operator (MSO); </w:t>
      </w:r>
    </w:p>
    <w:p w14:paraId="7FDC7E70" w14:textId="77777777" w:rsidR="00C660D4" w:rsidRPr="00C660D4" w:rsidRDefault="00C660D4" w:rsidP="00954BAC">
      <w:pPr>
        <w:numPr>
          <w:ilvl w:val="0"/>
          <w:numId w:val="99"/>
        </w:numPr>
        <w:spacing w:before="180" w:after="0" w:line="276" w:lineRule="auto"/>
        <w:rPr>
          <w:szCs w:val="18"/>
        </w:rPr>
      </w:pPr>
      <w:r w:rsidRPr="00C660D4">
        <w:rPr>
          <w:szCs w:val="18"/>
        </w:rPr>
        <w:t>Generators;</w:t>
      </w:r>
    </w:p>
    <w:p w14:paraId="48EB8E97" w14:textId="77777777" w:rsidR="00C660D4" w:rsidRPr="00C660D4" w:rsidRDefault="00C660D4" w:rsidP="00954BAC">
      <w:pPr>
        <w:numPr>
          <w:ilvl w:val="0"/>
          <w:numId w:val="99"/>
        </w:numPr>
        <w:spacing w:before="180" w:after="0" w:line="276" w:lineRule="auto"/>
        <w:rPr>
          <w:szCs w:val="18"/>
        </w:rPr>
      </w:pPr>
      <w:r w:rsidRPr="00C660D4">
        <w:rPr>
          <w:szCs w:val="18"/>
        </w:rPr>
        <w:t xml:space="preserve">Transmission Network providers; </w:t>
      </w:r>
    </w:p>
    <w:p w14:paraId="0FCA1318" w14:textId="77777777" w:rsidR="00C660D4" w:rsidRPr="00C660D4" w:rsidRDefault="00C660D4" w:rsidP="00954BAC">
      <w:pPr>
        <w:numPr>
          <w:ilvl w:val="0"/>
          <w:numId w:val="99"/>
        </w:numPr>
        <w:spacing w:before="180" w:after="0" w:line="276" w:lineRule="auto"/>
        <w:rPr>
          <w:szCs w:val="18"/>
        </w:rPr>
      </w:pPr>
      <w:r w:rsidRPr="00C660D4">
        <w:rPr>
          <w:szCs w:val="18"/>
        </w:rPr>
        <w:t xml:space="preserve">Distribution Network providers; </w:t>
      </w:r>
    </w:p>
    <w:p w14:paraId="564B4A32" w14:textId="77777777" w:rsidR="00C660D4" w:rsidRPr="00C660D4" w:rsidRDefault="00C660D4" w:rsidP="00954BAC">
      <w:pPr>
        <w:numPr>
          <w:ilvl w:val="0"/>
          <w:numId w:val="99"/>
        </w:numPr>
        <w:spacing w:before="180" w:after="0" w:line="276" w:lineRule="auto"/>
        <w:rPr>
          <w:szCs w:val="18"/>
        </w:rPr>
      </w:pPr>
      <w:r w:rsidRPr="00C660D4">
        <w:rPr>
          <w:szCs w:val="18"/>
        </w:rPr>
        <w:t>Distribution System Operators (DSO);</w:t>
      </w:r>
    </w:p>
    <w:p w14:paraId="216A4F23" w14:textId="77777777" w:rsidR="00C660D4" w:rsidRPr="00C660D4" w:rsidRDefault="00C660D4" w:rsidP="00954BAC">
      <w:pPr>
        <w:numPr>
          <w:ilvl w:val="0"/>
          <w:numId w:val="99"/>
        </w:numPr>
        <w:spacing w:before="180" w:after="0" w:line="276" w:lineRule="auto"/>
        <w:rPr>
          <w:szCs w:val="18"/>
        </w:rPr>
      </w:pPr>
      <w:r w:rsidRPr="00C660D4">
        <w:rPr>
          <w:szCs w:val="18"/>
        </w:rPr>
        <w:t xml:space="preserve">Energy Retailers; and, </w:t>
      </w:r>
    </w:p>
    <w:p w14:paraId="066AA592" w14:textId="77777777" w:rsidR="00C660D4" w:rsidRPr="00C660D4" w:rsidRDefault="00C660D4" w:rsidP="00954BAC">
      <w:pPr>
        <w:numPr>
          <w:ilvl w:val="0"/>
          <w:numId w:val="99"/>
        </w:numPr>
        <w:spacing w:before="180" w:after="0" w:line="276" w:lineRule="auto"/>
        <w:rPr>
          <w:szCs w:val="18"/>
        </w:rPr>
      </w:pPr>
      <w:r w:rsidRPr="00C660D4">
        <w:rPr>
          <w:szCs w:val="18"/>
        </w:rPr>
        <w:t xml:space="preserve">Aggregators. </w:t>
      </w:r>
    </w:p>
    <w:p w14:paraId="445E79D3" w14:textId="77777777" w:rsidR="00C660D4" w:rsidRPr="00C660D4" w:rsidRDefault="00C660D4" w:rsidP="00C660D4">
      <w:pPr>
        <w:spacing w:after="0" w:line="276" w:lineRule="auto"/>
        <w:rPr>
          <w:rFonts w:ascii="FreightSans Pro Book" w:hAnsi="FreightSans Pro Book"/>
          <w:b/>
          <w:color w:val="013C4C" w:themeColor="text1"/>
          <w:sz w:val="22"/>
          <w:szCs w:val="32"/>
        </w:rPr>
      </w:pPr>
      <w:r w:rsidRPr="00C660D4">
        <w:rPr>
          <w:rFonts w:ascii="FreightSans Pro Book" w:hAnsi="FreightSans Pro Book"/>
          <w:b/>
          <w:color w:val="013C4C" w:themeColor="text1"/>
          <w:sz w:val="22"/>
          <w:szCs w:val="32"/>
        </w:rPr>
        <w:t xml:space="preserve">6. </w:t>
      </w:r>
      <w:bookmarkStart w:id="166" w:name="_Toc152831824"/>
      <w:r w:rsidRPr="00C660D4">
        <w:rPr>
          <w:rFonts w:ascii="FreightSans Pro Book" w:hAnsi="FreightSans Pro Book"/>
          <w:b/>
          <w:color w:val="013C4C" w:themeColor="text1"/>
          <w:sz w:val="22"/>
          <w:szCs w:val="32"/>
        </w:rPr>
        <w:t xml:space="preserve"> Governance / Regulatory Structure</w:t>
      </w:r>
      <w:bookmarkEnd w:id="166"/>
    </w:p>
    <w:p w14:paraId="77747ECC" w14:textId="77777777" w:rsidR="00C660D4" w:rsidRPr="00C660D4" w:rsidRDefault="00C660D4" w:rsidP="00C660D4">
      <w:pPr>
        <w:spacing w:before="180" w:after="0" w:line="276" w:lineRule="auto"/>
        <w:rPr>
          <w:szCs w:val="18"/>
        </w:rPr>
      </w:pPr>
      <w:r w:rsidRPr="00C660D4">
        <w:rPr>
          <w:szCs w:val="18"/>
        </w:rPr>
        <w:t xml:space="preserve">The range of Entities involved in the governance and regulation of an end-to-end Power System and its related markets, as set out in the legal arrangements of a specific jurisdiction. In Power Systems Architecture, this structure focuses on the mapping of various governance and regulatory relationships, with an emphasis on which Entity regulates which types of organisations as represented in the Industry / Market Structure.  These may include: </w:t>
      </w:r>
    </w:p>
    <w:p w14:paraId="4B314E92" w14:textId="77777777" w:rsidR="00C660D4" w:rsidRPr="00C660D4" w:rsidRDefault="00C660D4" w:rsidP="00954BAC">
      <w:pPr>
        <w:numPr>
          <w:ilvl w:val="0"/>
          <w:numId w:val="99"/>
        </w:numPr>
        <w:spacing w:before="180" w:after="0" w:line="276" w:lineRule="auto"/>
        <w:rPr>
          <w:szCs w:val="18"/>
        </w:rPr>
      </w:pPr>
      <w:r w:rsidRPr="00C660D4">
        <w:rPr>
          <w:szCs w:val="18"/>
        </w:rPr>
        <w:t xml:space="preserve">Federal governments and agencies; </w:t>
      </w:r>
    </w:p>
    <w:p w14:paraId="3DA0179F" w14:textId="77777777" w:rsidR="00C660D4" w:rsidRPr="00C660D4" w:rsidRDefault="00C660D4" w:rsidP="00954BAC">
      <w:pPr>
        <w:numPr>
          <w:ilvl w:val="0"/>
          <w:numId w:val="99"/>
        </w:numPr>
        <w:spacing w:before="180" w:after="0" w:line="276" w:lineRule="auto"/>
        <w:rPr>
          <w:szCs w:val="18"/>
        </w:rPr>
      </w:pPr>
      <w:r w:rsidRPr="00C660D4">
        <w:rPr>
          <w:szCs w:val="18"/>
        </w:rPr>
        <w:t xml:space="preserve">Federal regulatory bodies; </w:t>
      </w:r>
    </w:p>
    <w:p w14:paraId="41B70DC5" w14:textId="77777777" w:rsidR="00C660D4" w:rsidRPr="00C660D4" w:rsidRDefault="00C660D4" w:rsidP="00954BAC">
      <w:pPr>
        <w:numPr>
          <w:ilvl w:val="0"/>
          <w:numId w:val="99"/>
        </w:numPr>
        <w:spacing w:before="180" w:after="0" w:line="276" w:lineRule="auto"/>
        <w:rPr>
          <w:szCs w:val="18"/>
        </w:rPr>
      </w:pPr>
      <w:r w:rsidRPr="00C660D4">
        <w:rPr>
          <w:szCs w:val="18"/>
        </w:rPr>
        <w:t xml:space="preserve">State governments and agencies; </w:t>
      </w:r>
    </w:p>
    <w:p w14:paraId="269824B2" w14:textId="77777777" w:rsidR="00C660D4" w:rsidRPr="00C660D4" w:rsidRDefault="00C660D4" w:rsidP="00954BAC">
      <w:pPr>
        <w:numPr>
          <w:ilvl w:val="0"/>
          <w:numId w:val="99"/>
        </w:numPr>
        <w:spacing w:before="180" w:after="0" w:line="276" w:lineRule="auto"/>
        <w:rPr>
          <w:szCs w:val="18"/>
        </w:rPr>
      </w:pPr>
      <w:r w:rsidRPr="00C660D4">
        <w:rPr>
          <w:szCs w:val="18"/>
        </w:rPr>
        <w:t xml:space="preserve">State regulatory bodies; and, </w:t>
      </w:r>
    </w:p>
    <w:p w14:paraId="35C48A3F" w14:textId="77777777" w:rsidR="00C660D4" w:rsidRPr="00C660D4" w:rsidRDefault="00C660D4" w:rsidP="00954BAC">
      <w:pPr>
        <w:numPr>
          <w:ilvl w:val="0"/>
          <w:numId w:val="99"/>
        </w:numPr>
        <w:spacing w:before="180" w:after="0" w:line="276" w:lineRule="auto"/>
        <w:rPr>
          <w:szCs w:val="18"/>
        </w:rPr>
      </w:pPr>
      <w:r w:rsidRPr="00C660D4">
        <w:rPr>
          <w:szCs w:val="18"/>
        </w:rPr>
        <w:t xml:space="preserve">Trans-national bodies. </w:t>
      </w:r>
    </w:p>
    <w:p w14:paraId="4FF85499" w14:textId="77777777" w:rsidR="00C660D4" w:rsidRPr="00C660D4" w:rsidRDefault="00C660D4" w:rsidP="00C660D4">
      <w:pPr>
        <w:spacing w:after="0" w:line="276" w:lineRule="auto"/>
        <w:rPr>
          <w:rFonts w:ascii="FreightSans Pro Book" w:hAnsi="FreightSans Pro Book"/>
          <w:b/>
          <w:color w:val="013C4C" w:themeColor="text1"/>
          <w:sz w:val="22"/>
          <w:szCs w:val="32"/>
        </w:rPr>
      </w:pPr>
      <w:bookmarkStart w:id="167" w:name="_Toc142644264"/>
      <w:bookmarkStart w:id="168" w:name="_Toc142645117"/>
      <w:bookmarkStart w:id="169" w:name="_Toc142651789"/>
      <w:bookmarkStart w:id="170" w:name="_Toc142652036"/>
      <w:bookmarkStart w:id="171" w:name="_Toc142652283"/>
      <w:bookmarkStart w:id="172" w:name="_Toc142904122"/>
      <w:bookmarkStart w:id="173" w:name="_Toc142904368"/>
      <w:bookmarkStart w:id="174" w:name="_Toc142910523"/>
      <w:bookmarkStart w:id="175" w:name="_Toc142919526"/>
      <w:bookmarkStart w:id="176" w:name="_Toc142644265"/>
      <w:bookmarkStart w:id="177" w:name="_Toc142645118"/>
      <w:bookmarkStart w:id="178" w:name="_Toc142651790"/>
      <w:bookmarkStart w:id="179" w:name="_Toc142652037"/>
      <w:bookmarkStart w:id="180" w:name="_Toc142652284"/>
      <w:bookmarkStart w:id="181" w:name="_Toc142904123"/>
      <w:bookmarkStart w:id="182" w:name="_Toc142904369"/>
      <w:bookmarkStart w:id="183" w:name="_Toc142910524"/>
      <w:bookmarkStart w:id="184" w:name="_Toc142919527"/>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C660D4">
        <w:rPr>
          <w:rFonts w:ascii="FreightSans Pro Book" w:hAnsi="FreightSans Pro Book"/>
          <w:b/>
          <w:color w:val="013C4C" w:themeColor="text1"/>
          <w:sz w:val="22"/>
          <w:szCs w:val="32"/>
        </w:rPr>
        <w:t xml:space="preserve">7. </w:t>
      </w:r>
      <w:bookmarkStart w:id="185" w:name="_Toc152831825"/>
      <w:r w:rsidRPr="00C660D4">
        <w:rPr>
          <w:rFonts w:ascii="FreightSans Pro Book" w:hAnsi="FreightSans Pro Book"/>
          <w:b/>
          <w:color w:val="013C4C" w:themeColor="text1"/>
          <w:sz w:val="22"/>
          <w:szCs w:val="32"/>
        </w:rPr>
        <w:t xml:space="preserve"> Sector Coupling Structures</w:t>
      </w:r>
      <w:bookmarkEnd w:id="185"/>
      <w:r w:rsidRPr="00C660D4">
        <w:rPr>
          <w:rFonts w:ascii="FreightSans Pro Book" w:hAnsi="FreightSans Pro Book"/>
          <w:b/>
          <w:color w:val="013C4C" w:themeColor="text1"/>
          <w:sz w:val="22"/>
          <w:szCs w:val="32"/>
        </w:rPr>
        <w:t xml:space="preserve"> </w:t>
      </w:r>
    </w:p>
    <w:p w14:paraId="04D256E4" w14:textId="77777777" w:rsidR="00C660D4" w:rsidRPr="00C660D4" w:rsidRDefault="00C660D4" w:rsidP="00C660D4">
      <w:pPr>
        <w:spacing w:before="180" w:after="0" w:line="276" w:lineRule="auto"/>
        <w:rPr>
          <w:rFonts w:cstheme="minorHAnsi"/>
          <w:szCs w:val="18"/>
        </w:rPr>
      </w:pPr>
      <w:r w:rsidRPr="00C660D4">
        <w:rPr>
          <w:rFonts w:cstheme="minorHAnsi"/>
          <w:szCs w:val="18"/>
        </w:rPr>
        <w:t xml:space="preserve">As decarbonisation advances, the proactive management of Interfaces between the Power System and other sectors becomes an increasingly critical part of enabling a more flexible and adaptive Grid.  Examples of various sector couplings include: </w:t>
      </w:r>
    </w:p>
    <w:p w14:paraId="145C0C1F" w14:textId="77777777" w:rsidR="00C660D4" w:rsidRPr="00C660D4" w:rsidRDefault="00C660D4" w:rsidP="00954BAC">
      <w:pPr>
        <w:numPr>
          <w:ilvl w:val="0"/>
          <w:numId w:val="99"/>
        </w:numPr>
        <w:spacing w:before="180" w:after="0" w:line="276" w:lineRule="auto"/>
        <w:rPr>
          <w:rFonts w:cstheme="minorHAnsi"/>
          <w:szCs w:val="18"/>
        </w:rPr>
      </w:pPr>
      <w:bookmarkStart w:id="186" w:name="_Toc126933200"/>
      <w:bookmarkStart w:id="187" w:name="_Toc113449634"/>
      <w:bookmarkStart w:id="188" w:name="_Toc113449949"/>
      <w:r w:rsidRPr="00C660D4">
        <w:rPr>
          <w:rFonts w:cstheme="minorHAnsi"/>
          <w:szCs w:val="18"/>
        </w:rPr>
        <w:t>Electricity and gas sectors</w:t>
      </w:r>
      <w:bookmarkEnd w:id="186"/>
      <w:bookmarkEnd w:id="187"/>
      <w:bookmarkEnd w:id="188"/>
      <w:r w:rsidRPr="00C660D4">
        <w:rPr>
          <w:rFonts w:cstheme="minorHAnsi"/>
          <w:szCs w:val="18"/>
        </w:rPr>
        <w:t xml:space="preserve">; </w:t>
      </w:r>
    </w:p>
    <w:p w14:paraId="2A49C9F2" w14:textId="77777777" w:rsidR="00C660D4" w:rsidRPr="00C660D4" w:rsidRDefault="00C660D4" w:rsidP="00954BAC">
      <w:pPr>
        <w:numPr>
          <w:ilvl w:val="0"/>
          <w:numId w:val="99"/>
        </w:numPr>
        <w:spacing w:before="180" w:after="0" w:line="276" w:lineRule="auto"/>
        <w:rPr>
          <w:rFonts w:cstheme="minorHAnsi"/>
          <w:szCs w:val="18"/>
        </w:rPr>
      </w:pPr>
      <w:bookmarkStart w:id="189" w:name="_Toc126933201"/>
      <w:bookmarkStart w:id="190" w:name="_Toc113449637"/>
      <w:bookmarkStart w:id="191" w:name="_Toc113449952"/>
      <w:r w:rsidRPr="00C660D4">
        <w:rPr>
          <w:rFonts w:cstheme="minorHAnsi"/>
          <w:szCs w:val="18"/>
        </w:rPr>
        <w:t>Electricity and industrial processes</w:t>
      </w:r>
      <w:bookmarkEnd w:id="189"/>
      <w:bookmarkEnd w:id="190"/>
      <w:bookmarkEnd w:id="191"/>
      <w:r w:rsidRPr="00C660D4">
        <w:rPr>
          <w:rFonts w:cstheme="minorHAnsi"/>
          <w:szCs w:val="18"/>
        </w:rPr>
        <w:t xml:space="preserve">; </w:t>
      </w:r>
    </w:p>
    <w:p w14:paraId="6BD503BB" w14:textId="77777777" w:rsidR="00C660D4" w:rsidRPr="00C660D4" w:rsidRDefault="00C660D4" w:rsidP="00954BAC">
      <w:pPr>
        <w:numPr>
          <w:ilvl w:val="0"/>
          <w:numId w:val="99"/>
        </w:numPr>
        <w:spacing w:before="180" w:after="0" w:line="276" w:lineRule="auto"/>
        <w:rPr>
          <w:rFonts w:cstheme="minorHAnsi"/>
          <w:szCs w:val="18"/>
        </w:rPr>
      </w:pPr>
      <w:bookmarkStart w:id="192" w:name="_Toc126933202"/>
      <w:bookmarkStart w:id="193" w:name="_Toc113449636"/>
      <w:bookmarkStart w:id="194" w:name="_Toc113449951"/>
      <w:r w:rsidRPr="00C660D4">
        <w:rPr>
          <w:rFonts w:cstheme="minorHAnsi"/>
          <w:szCs w:val="18"/>
        </w:rPr>
        <w:t>Electricity and transport</w:t>
      </w:r>
      <w:bookmarkEnd w:id="192"/>
      <w:bookmarkEnd w:id="193"/>
      <w:bookmarkEnd w:id="194"/>
      <w:r w:rsidRPr="00C660D4">
        <w:rPr>
          <w:rFonts w:cstheme="minorHAnsi"/>
          <w:szCs w:val="18"/>
        </w:rPr>
        <w:t xml:space="preserve">; </w:t>
      </w:r>
    </w:p>
    <w:p w14:paraId="65FD0D53" w14:textId="77777777" w:rsidR="00C660D4" w:rsidRPr="00C660D4" w:rsidRDefault="00C660D4" w:rsidP="00954BAC">
      <w:pPr>
        <w:numPr>
          <w:ilvl w:val="0"/>
          <w:numId w:val="99"/>
        </w:numPr>
        <w:spacing w:before="180" w:after="0" w:line="276" w:lineRule="auto"/>
        <w:rPr>
          <w:rFonts w:cstheme="minorHAnsi"/>
          <w:szCs w:val="18"/>
        </w:rPr>
      </w:pPr>
      <w:bookmarkStart w:id="195" w:name="_Toc126933203"/>
      <w:bookmarkStart w:id="196" w:name="_Toc113449635"/>
      <w:bookmarkStart w:id="197" w:name="_Toc113449950"/>
      <w:r w:rsidRPr="00C660D4">
        <w:rPr>
          <w:rFonts w:cstheme="minorHAnsi"/>
          <w:szCs w:val="18"/>
        </w:rPr>
        <w:t>Electricity and building services</w:t>
      </w:r>
      <w:bookmarkEnd w:id="195"/>
      <w:bookmarkEnd w:id="196"/>
      <w:bookmarkEnd w:id="197"/>
      <w:r w:rsidRPr="00C660D4">
        <w:rPr>
          <w:rFonts w:cstheme="minorHAnsi"/>
          <w:szCs w:val="18"/>
        </w:rPr>
        <w:t xml:space="preserve">; </w:t>
      </w:r>
    </w:p>
    <w:p w14:paraId="37F514AD" w14:textId="77777777" w:rsidR="00C660D4" w:rsidRPr="00C660D4" w:rsidRDefault="00C660D4" w:rsidP="00954BAC">
      <w:pPr>
        <w:numPr>
          <w:ilvl w:val="0"/>
          <w:numId w:val="99"/>
        </w:numPr>
        <w:spacing w:before="180" w:after="0" w:line="276" w:lineRule="auto"/>
        <w:rPr>
          <w:rFonts w:cstheme="minorHAnsi"/>
          <w:szCs w:val="18"/>
        </w:rPr>
      </w:pPr>
      <w:bookmarkStart w:id="198" w:name="_Toc126933204"/>
      <w:bookmarkStart w:id="199" w:name="_Toc113449638"/>
      <w:bookmarkStart w:id="200" w:name="_Toc113449953"/>
      <w:r w:rsidRPr="00C660D4">
        <w:rPr>
          <w:rFonts w:cstheme="minorHAnsi"/>
          <w:szCs w:val="18"/>
        </w:rPr>
        <w:t>Electricity and water systems</w:t>
      </w:r>
      <w:bookmarkEnd w:id="198"/>
      <w:bookmarkEnd w:id="199"/>
      <w:bookmarkEnd w:id="200"/>
      <w:r w:rsidRPr="00C660D4">
        <w:rPr>
          <w:rFonts w:cstheme="minorHAnsi"/>
          <w:szCs w:val="18"/>
        </w:rPr>
        <w:t xml:space="preserve">; </w:t>
      </w:r>
    </w:p>
    <w:p w14:paraId="5026FD6C" w14:textId="77777777" w:rsidR="00C660D4" w:rsidRPr="00C660D4" w:rsidRDefault="00C660D4" w:rsidP="00954BAC">
      <w:pPr>
        <w:numPr>
          <w:ilvl w:val="0"/>
          <w:numId w:val="99"/>
        </w:numPr>
        <w:spacing w:before="180" w:after="0" w:line="276" w:lineRule="auto"/>
        <w:rPr>
          <w:rFonts w:cstheme="minorHAnsi"/>
          <w:szCs w:val="18"/>
        </w:rPr>
      </w:pPr>
      <w:bookmarkStart w:id="201" w:name="_Toc113449633"/>
      <w:bookmarkStart w:id="202" w:name="_Toc113449948"/>
      <w:bookmarkStart w:id="203" w:name="_Toc126933205"/>
      <w:r w:rsidRPr="00C660D4">
        <w:rPr>
          <w:rFonts w:cstheme="minorHAnsi"/>
          <w:szCs w:val="18"/>
        </w:rPr>
        <w:t>Power system and ICT technologies</w:t>
      </w:r>
      <w:bookmarkStart w:id="204" w:name="_Toc113449639"/>
      <w:bookmarkStart w:id="205" w:name="_Toc113449954"/>
      <w:bookmarkStart w:id="206" w:name="_Toc126933206"/>
      <w:bookmarkEnd w:id="201"/>
      <w:bookmarkEnd w:id="202"/>
      <w:bookmarkEnd w:id="203"/>
      <w:r w:rsidRPr="00C660D4">
        <w:rPr>
          <w:rFonts w:cstheme="minorHAnsi"/>
          <w:szCs w:val="18"/>
        </w:rPr>
        <w:t xml:space="preserve">; and, </w:t>
      </w:r>
    </w:p>
    <w:p w14:paraId="02D50A81" w14:textId="77777777" w:rsidR="00C660D4" w:rsidRPr="00C660D4" w:rsidRDefault="00C660D4" w:rsidP="00954BAC">
      <w:pPr>
        <w:numPr>
          <w:ilvl w:val="0"/>
          <w:numId w:val="99"/>
        </w:numPr>
        <w:spacing w:before="180" w:after="0" w:line="276" w:lineRule="auto"/>
        <w:rPr>
          <w:rFonts w:cstheme="minorHAnsi"/>
          <w:szCs w:val="18"/>
        </w:rPr>
      </w:pPr>
      <w:r w:rsidRPr="00C660D4">
        <w:rPr>
          <w:rFonts w:cstheme="minorHAnsi"/>
          <w:szCs w:val="18"/>
        </w:rPr>
        <w:t>Electricity and the emerging Green Hydrogen secto</w:t>
      </w:r>
      <w:bookmarkEnd w:id="204"/>
      <w:bookmarkEnd w:id="205"/>
      <w:bookmarkEnd w:id="206"/>
      <w:r w:rsidRPr="00C660D4">
        <w:rPr>
          <w:rFonts w:cstheme="minorHAnsi"/>
          <w:szCs w:val="18"/>
        </w:rPr>
        <w:t xml:space="preserve">r. </w:t>
      </w:r>
    </w:p>
    <w:p w14:paraId="4200AA6A" w14:textId="77777777" w:rsidR="00C660D4" w:rsidRPr="00C660D4" w:rsidRDefault="00C660D4" w:rsidP="00C660D4">
      <w:pPr>
        <w:spacing w:before="0" w:after="160" w:line="276" w:lineRule="auto"/>
        <w:rPr>
          <w:rFonts w:cstheme="minorHAnsi"/>
          <w:szCs w:val="18"/>
        </w:rPr>
      </w:pPr>
      <w:r w:rsidRPr="00C660D4">
        <w:rPr>
          <w:rFonts w:cstheme="minorHAnsi"/>
          <w:szCs w:val="18"/>
        </w:rPr>
        <w:br w:type="page"/>
      </w:r>
    </w:p>
    <w:p w14:paraId="2E967D27" w14:textId="5DD78678" w:rsidR="00C660D4" w:rsidRPr="00C660D4" w:rsidRDefault="00C660D4" w:rsidP="00954BAC">
      <w:pPr>
        <w:keepNext/>
        <w:keepLines/>
        <w:spacing w:line="288" w:lineRule="auto"/>
        <w:ind w:hanging="6"/>
        <w:outlineLvl w:val="0"/>
        <w:rPr>
          <w:rFonts w:ascii="PP Mori SemiBold" w:eastAsiaTheme="majorEastAsia" w:hAnsi="PP Mori SemiBold" w:cstheme="majorBidi"/>
          <w:color w:val="013C4C" w:themeColor="text1"/>
          <w:sz w:val="32"/>
          <w:szCs w:val="40"/>
        </w:rPr>
      </w:pPr>
      <w:bookmarkStart w:id="207" w:name="_Toc205533986"/>
      <w:bookmarkStart w:id="208" w:name="_Toc171684250"/>
      <w:bookmarkStart w:id="209" w:name="_Toc205243920"/>
      <w:bookmarkStart w:id="210" w:name="Appendix_D"/>
      <w:r w:rsidRPr="00C660D4">
        <w:rPr>
          <w:rFonts w:ascii="PP Mori SemiBold" w:eastAsiaTheme="majorEastAsia" w:hAnsi="PP Mori SemiBold" w:cstheme="majorBidi"/>
          <w:color w:val="013C4C" w:themeColor="text1"/>
          <w:sz w:val="32"/>
          <w:szCs w:val="40"/>
        </w:rPr>
        <w:t xml:space="preserve">Appendix </w:t>
      </w:r>
      <w:r w:rsidR="009E6D2F">
        <w:rPr>
          <w:rFonts w:ascii="PP Mori SemiBold" w:eastAsiaTheme="majorEastAsia" w:hAnsi="PP Mori SemiBold" w:cstheme="majorBidi"/>
          <w:color w:val="013C4C" w:themeColor="text1"/>
          <w:sz w:val="32"/>
          <w:szCs w:val="40"/>
        </w:rPr>
        <w:t>D</w:t>
      </w:r>
      <w:r w:rsidRPr="00C660D4">
        <w:rPr>
          <w:rFonts w:ascii="PP Mori SemiBold" w:eastAsiaTheme="majorEastAsia" w:hAnsi="PP Mori SemiBold" w:cstheme="majorBidi"/>
          <w:color w:val="013C4C" w:themeColor="text1"/>
          <w:sz w:val="32"/>
          <w:szCs w:val="40"/>
        </w:rPr>
        <w:t>: Power Systems Architecture vs Enterprise IT Architecture - Important Distinctions</w:t>
      </w:r>
      <w:bookmarkEnd w:id="207"/>
      <w:r w:rsidRPr="00C660D4">
        <w:rPr>
          <w:rFonts w:ascii="PP Mori SemiBold" w:eastAsiaTheme="majorEastAsia" w:hAnsi="PP Mori SemiBold" w:cstheme="majorBidi"/>
          <w:color w:val="013C4C" w:themeColor="text1"/>
          <w:sz w:val="32"/>
          <w:szCs w:val="40"/>
        </w:rPr>
        <w:t xml:space="preserve"> </w:t>
      </w:r>
      <w:bookmarkEnd w:id="208"/>
      <w:bookmarkEnd w:id="209"/>
    </w:p>
    <w:bookmarkEnd w:id="210"/>
    <w:p w14:paraId="5E4C0713" w14:textId="77777777" w:rsidR="00C660D4" w:rsidRPr="00C660D4" w:rsidRDefault="00C660D4" w:rsidP="00C660D4">
      <w:pPr>
        <w:spacing w:before="180" w:after="0" w:line="276" w:lineRule="auto"/>
        <w:rPr>
          <w:szCs w:val="18"/>
        </w:rPr>
      </w:pPr>
      <w:r w:rsidRPr="00C660D4">
        <w:rPr>
          <w:szCs w:val="18"/>
        </w:rPr>
        <w:t>When considering technological systems, the term</w:t>
      </w:r>
      <w:r w:rsidRPr="00C660D4">
        <w:rPr>
          <w:rFonts w:ascii="Calibri" w:hAnsi="Calibri" w:cs="Calibri"/>
          <w:szCs w:val="18"/>
        </w:rPr>
        <w:t> </w:t>
      </w:r>
      <w:r w:rsidRPr="00C660D4">
        <w:rPr>
          <w:szCs w:val="18"/>
        </w:rPr>
        <w:t>‘architecture’</w:t>
      </w:r>
      <w:r w:rsidRPr="00C660D4">
        <w:rPr>
          <w:rFonts w:ascii="Calibri" w:hAnsi="Calibri" w:cs="Calibri"/>
          <w:szCs w:val="18"/>
        </w:rPr>
        <w:t> </w:t>
      </w:r>
      <w:r w:rsidRPr="00C660D4">
        <w:rPr>
          <w:szCs w:val="18"/>
        </w:rPr>
        <w:t>can be used in several different ways. This can reduce the accuracy of communication between stakeholders, particularly in sectors that less mature in the adoption of</w:t>
      </w:r>
      <w:r w:rsidRPr="00C660D4">
        <w:rPr>
          <w:rFonts w:ascii="Calibri" w:hAnsi="Calibri" w:cs="Calibri"/>
          <w:szCs w:val="18"/>
        </w:rPr>
        <w:t> </w:t>
      </w:r>
      <w:r w:rsidRPr="00C660D4">
        <w:rPr>
          <w:szCs w:val="18"/>
        </w:rPr>
        <w:t>Systems Engineering</w:t>
      </w:r>
      <w:r w:rsidRPr="00C660D4">
        <w:rPr>
          <w:rFonts w:ascii="Calibri" w:hAnsi="Calibri" w:cs="Calibri"/>
          <w:szCs w:val="18"/>
        </w:rPr>
        <w:t> </w:t>
      </w:r>
      <w:r w:rsidRPr="00C660D4">
        <w:rPr>
          <w:szCs w:val="18"/>
        </w:rPr>
        <w:t>practices. In the global power sector, this has sometimes resulted in an unhelpful confusion of terms, lower quality decisions and unnecessary impediments to timely decision making.</w:t>
      </w:r>
    </w:p>
    <w:p w14:paraId="25B84FCD" w14:textId="77777777" w:rsidR="00C660D4" w:rsidRPr="00C660D4" w:rsidRDefault="00C660D4" w:rsidP="00C660D4">
      <w:pPr>
        <w:spacing w:before="180" w:after="0" w:line="276" w:lineRule="auto"/>
        <w:rPr>
          <w:szCs w:val="18"/>
        </w:rPr>
      </w:pPr>
      <w:r w:rsidRPr="00C660D4">
        <w:rPr>
          <w:szCs w:val="18"/>
        </w:rPr>
        <w:t>A common mistake is that a focus on</w:t>
      </w:r>
      <w:r w:rsidRPr="00C660D4">
        <w:rPr>
          <w:rFonts w:ascii="Calibri" w:hAnsi="Calibri" w:cs="Calibri"/>
          <w:szCs w:val="18"/>
        </w:rPr>
        <w:t> </w:t>
      </w:r>
      <w:r w:rsidRPr="00C660D4">
        <w:rPr>
          <w:szCs w:val="18"/>
        </w:rPr>
        <w:t>‘digital architecture’</w:t>
      </w:r>
      <w:r w:rsidRPr="00C660D4">
        <w:rPr>
          <w:rFonts w:ascii="Calibri" w:hAnsi="Calibri" w:cs="Calibri"/>
          <w:szCs w:val="18"/>
        </w:rPr>
        <w:t> </w:t>
      </w:r>
      <w:r w:rsidRPr="00C660D4">
        <w:rPr>
          <w:szCs w:val="18"/>
        </w:rPr>
        <w:t>is the primary or singular focus of architectural disciplines when applied to</w:t>
      </w:r>
      <w:r w:rsidRPr="00C660D4">
        <w:rPr>
          <w:rFonts w:ascii="Calibri" w:hAnsi="Calibri" w:cs="Calibri"/>
          <w:szCs w:val="18"/>
        </w:rPr>
        <w:t> </w:t>
      </w:r>
      <w:r w:rsidRPr="00C660D4">
        <w:rPr>
          <w:szCs w:val="18"/>
        </w:rPr>
        <w:t>Power System</w:t>
      </w:r>
      <w:r w:rsidRPr="00C660D4">
        <w:rPr>
          <w:rFonts w:ascii="Calibri" w:hAnsi="Calibri" w:cs="Calibri"/>
          <w:szCs w:val="18"/>
        </w:rPr>
        <w:t> </w:t>
      </w:r>
      <w:r w:rsidRPr="00C660D4">
        <w:rPr>
          <w:szCs w:val="18"/>
        </w:rPr>
        <w:t xml:space="preserve">transformation. While digital architecture is indeed vital, it is one of seven overlaid structures that constitute the Architecture of a modern Power System. This is critical to the holistic consideration of transformation options as all seven structures have a significant influence on each other, four of which are dynamically inter-dependent on a hours-to-milliseconds basis (i.e. </w:t>
      </w:r>
      <w:r w:rsidRPr="00C660D4">
        <w:rPr>
          <w:szCs w:val="24"/>
        </w:rPr>
        <w:t>e</w:t>
      </w:r>
      <w:r w:rsidRPr="00C660D4">
        <w:rPr>
          <w:rFonts w:hint="eastAsia"/>
          <w:szCs w:val="24"/>
        </w:rPr>
        <w:t>lectricity</w:t>
      </w:r>
      <w:r w:rsidRPr="00C660D4">
        <w:rPr>
          <w:szCs w:val="24"/>
        </w:rPr>
        <w:t xml:space="preserve"> i</w:t>
      </w:r>
      <w:r w:rsidRPr="00C660D4">
        <w:rPr>
          <w:rFonts w:hint="eastAsia"/>
          <w:szCs w:val="24"/>
        </w:rPr>
        <w:t>nfrastructure</w:t>
      </w:r>
      <w:r w:rsidRPr="00C660D4">
        <w:rPr>
          <w:szCs w:val="24"/>
        </w:rPr>
        <w:t>, o</w:t>
      </w:r>
      <w:r w:rsidRPr="00C660D4">
        <w:rPr>
          <w:rFonts w:hint="eastAsia"/>
          <w:szCs w:val="24"/>
        </w:rPr>
        <w:t xml:space="preserve">perational </w:t>
      </w:r>
      <w:r w:rsidRPr="00C660D4">
        <w:rPr>
          <w:szCs w:val="24"/>
        </w:rPr>
        <w:t>c</w:t>
      </w:r>
      <w:r w:rsidRPr="00C660D4">
        <w:rPr>
          <w:rFonts w:hint="eastAsia"/>
          <w:szCs w:val="24"/>
        </w:rPr>
        <w:t xml:space="preserve">oordination </w:t>
      </w:r>
      <w:r w:rsidRPr="00C660D4">
        <w:rPr>
          <w:szCs w:val="24"/>
        </w:rPr>
        <w:t>s</w:t>
      </w:r>
      <w:r w:rsidRPr="00C660D4">
        <w:rPr>
          <w:rFonts w:hint="eastAsia"/>
          <w:szCs w:val="24"/>
        </w:rPr>
        <w:t>tructure</w:t>
      </w:r>
      <w:r w:rsidRPr="00C660D4">
        <w:rPr>
          <w:szCs w:val="24"/>
        </w:rPr>
        <w:t xml:space="preserve"> and t</w:t>
      </w:r>
      <w:r w:rsidRPr="00C660D4">
        <w:rPr>
          <w:rFonts w:hint="eastAsia"/>
          <w:szCs w:val="24"/>
        </w:rPr>
        <w:t xml:space="preserve">ransactional </w:t>
      </w:r>
      <w:r w:rsidRPr="00C660D4">
        <w:rPr>
          <w:szCs w:val="24"/>
        </w:rPr>
        <w:t>s</w:t>
      </w:r>
      <w:r w:rsidRPr="00C660D4">
        <w:rPr>
          <w:rFonts w:hint="eastAsia"/>
          <w:szCs w:val="24"/>
        </w:rPr>
        <w:t>tructure</w:t>
      </w:r>
      <w:r w:rsidRPr="00C660D4">
        <w:rPr>
          <w:szCs w:val="24"/>
        </w:rPr>
        <w:t xml:space="preserve">).  </w:t>
      </w:r>
    </w:p>
    <w:p w14:paraId="2ADA3488" w14:textId="77777777" w:rsidR="00C660D4" w:rsidRPr="00C660D4" w:rsidRDefault="00C660D4" w:rsidP="00C660D4">
      <w:pPr>
        <w:spacing w:before="180" w:after="0" w:line="276" w:lineRule="auto"/>
        <w:rPr>
          <w:szCs w:val="18"/>
        </w:rPr>
      </w:pPr>
      <w:r w:rsidRPr="00C660D4">
        <w:rPr>
          <w:szCs w:val="18"/>
        </w:rPr>
        <w:t>A closely related error is an assumption that the more generally known concept of</w:t>
      </w:r>
      <w:r w:rsidRPr="00C660D4">
        <w:rPr>
          <w:rFonts w:ascii="Calibri" w:hAnsi="Calibri" w:cs="Calibri"/>
          <w:szCs w:val="18"/>
        </w:rPr>
        <w:t> </w:t>
      </w:r>
      <w:r w:rsidRPr="00C660D4">
        <w:rPr>
          <w:szCs w:val="18"/>
        </w:rPr>
        <w:t>Enterprise IT Architecture</w:t>
      </w:r>
      <w:r w:rsidRPr="00C660D4">
        <w:rPr>
          <w:rFonts w:ascii="Calibri" w:hAnsi="Calibri" w:cs="Calibri"/>
          <w:szCs w:val="18"/>
        </w:rPr>
        <w:t> </w:t>
      </w:r>
      <w:r w:rsidRPr="00C660D4">
        <w:rPr>
          <w:szCs w:val="18"/>
        </w:rPr>
        <w:t>is broadly the same as</w:t>
      </w:r>
      <w:r w:rsidRPr="00C660D4">
        <w:rPr>
          <w:rFonts w:ascii="Calibri" w:hAnsi="Calibri" w:cs="Calibri"/>
          <w:szCs w:val="18"/>
        </w:rPr>
        <w:t> </w:t>
      </w:r>
      <w:r w:rsidRPr="00C660D4">
        <w:rPr>
          <w:szCs w:val="18"/>
        </w:rPr>
        <w:t xml:space="preserve">Power System Architecture. As such, the following table </w:t>
      </w:r>
      <w:r w:rsidRPr="00C660D4">
        <w:rPr>
          <w:szCs w:val="18"/>
          <w:lang w:val="en-GB"/>
        </w:rPr>
        <w:t>originally developed by</w:t>
      </w:r>
      <w:r w:rsidRPr="00C660D4">
        <w:rPr>
          <w:rFonts w:ascii="Calibri" w:hAnsi="Calibri" w:cs="Calibri"/>
          <w:szCs w:val="18"/>
          <w:lang w:val="en-GB"/>
        </w:rPr>
        <w:t> </w:t>
      </w:r>
      <w:r w:rsidRPr="00C660D4">
        <w:rPr>
          <w:szCs w:val="18"/>
          <w:lang w:val="en-GB"/>
        </w:rPr>
        <w:t>Eamonn McCormick</w:t>
      </w:r>
      <w:r w:rsidRPr="00C660D4">
        <w:rPr>
          <w:rFonts w:ascii="Calibri" w:hAnsi="Calibri" w:cs="Calibri"/>
          <w:szCs w:val="18"/>
          <w:lang w:val="en-GB"/>
        </w:rPr>
        <w:t> </w:t>
      </w:r>
      <w:r w:rsidRPr="00C660D4">
        <w:rPr>
          <w:szCs w:val="18"/>
          <w:lang w:val="en-GB"/>
        </w:rPr>
        <w:t>and</w:t>
      </w:r>
      <w:r w:rsidRPr="00C660D4">
        <w:rPr>
          <w:rFonts w:ascii="Calibri" w:hAnsi="Calibri" w:cs="Calibri"/>
          <w:szCs w:val="18"/>
          <w:lang w:val="en-GB"/>
        </w:rPr>
        <w:t> </w:t>
      </w:r>
      <w:r w:rsidRPr="00C660D4">
        <w:rPr>
          <w:szCs w:val="18"/>
          <w:lang w:val="en-GB"/>
        </w:rPr>
        <w:t>Stuart McCafferty</w:t>
      </w:r>
      <w:r w:rsidRPr="00C660D4">
        <w:rPr>
          <w:szCs w:val="18"/>
        </w:rPr>
        <w:t xml:space="preserve"> provides a practical illustration of both the similarities and key differences that must be appreciated to enhance clarity of communication and quality of decision making in an inherently complex area.</w:t>
      </w:r>
    </w:p>
    <w:p w14:paraId="101DFCB5" w14:textId="77777777" w:rsidR="00C660D4" w:rsidRPr="00C660D4" w:rsidRDefault="00C660D4" w:rsidP="00C660D4">
      <w:pPr>
        <w:spacing w:before="0" w:after="0" w:line="276" w:lineRule="auto"/>
        <w:rPr>
          <w:rFonts w:ascii="FreightSans Pro Book" w:hAnsi="FreightSans Pro Book"/>
          <w:sz w:val="20"/>
          <w:szCs w:val="20"/>
        </w:rPr>
      </w:pPr>
    </w:p>
    <w:tbl>
      <w:tblPr>
        <w:tblStyle w:val="TableGrid"/>
        <w:tblW w:w="8642" w:type="dxa"/>
        <w:tblInd w:w="-3" w:type="dxa"/>
        <w:tblLook w:val="04A0" w:firstRow="1" w:lastRow="0" w:firstColumn="1" w:lastColumn="0" w:noHBand="0" w:noVBand="1"/>
      </w:tblPr>
      <w:tblGrid>
        <w:gridCol w:w="1696"/>
        <w:gridCol w:w="3544"/>
        <w:gridCol w:w="3402"/>
      </w:tblGrid>
      <w:tr w:rsidR="00C660D4" w:rsidRPr="00C660D4" w14:paraId="673A5506" w14:textId="77777777" w:rsidTr="00E52F89">
        <w:trPr>
          <w:trHeight w:val="905"/>
        </w:trPr>
        <w:tc>
          <w:tcPr>
            <w:tcW w:w="1696" w:type="dxa"/>
            <w:tcBorders>
              <w:top w:val="single" w:sz="6" w:space="0" w:color="B3ADAD"/>
              <w:left w:val="single" w:sz="6" w:space="0" w:color="B3ADAD"/>
              <w:bottom w:val="single" w:sz="4" w:space="0" w:color="auto"/>
              <w:right w:val="single" w:sz="6" w:space="0" w:color="B3ADAD"/>
            </w:tcBorders>
            <w:shd w:val="clear" w:color="auto" w:fill="013C4C" w:themeFill="text1"/>
            <w:vAlign w:val="center"/>
          </w:tcPr>
          <w:p w14:paraId="6974612D" w14:textId="77777777" w:rsidR="00C660D4" w:rsidRPr="00C660D4" w:rsidRDefault="00C660D4" w:rsidP="00C660D4">
            <w:pPr>
              <w:spacing w:before="60" w:after="120" w:line="276" w:lineRule="auto"/>
              <w:jc w:val="center"/>
              <w:rPr>
                <w:b/>
                <w:szCs w:val="18"/>
              </w:rPr>
            </w:pPr>
            <w:r w:rsidRPr="00C660D4">
              <w:rPr>
                <w:rFonts w:eastAsiaTheme="majorEastAsia" w:cstheme="majorBidi"/>
                <w:b/>
                <w:color w:val="FAFAFA" w:themeColor="background1"/>
                <w:szCs w:val="18"/>
              </w:rPr>
              <w:t>Area of Comparison</w:t>
            </w:r>
          </w:p>
        </w:tc>
        <w:tc>
          <w:tcPr>
            <w:tcW w:w="3544" w:type="dxa"/>
            <w:tcBorders>
              <w:top w:val="single" w:sz="6" w:space="0" w:color="B3ADAD"/>
              <w:left w:val="single" w:sz="6" w:space="0" w:color="B3ADAD"/>
              <w:bottom w:val="single" w:sz="4" w:space="0" w:color="auto"/>
              <w:right w:val="single" w:sz="6" w:space="0" w:color="B3ADAD"/>
            </w:tcBorders>
            <w:shd w:val="clear" w:color="auto" w:fill="013C4C" w:themeFill="text1"/>
            <w:vAlign w:val="center"/>
          </w:tcPr>
          <w:p w14:paraId="30C0E8BF" w14:textId="77777777" w:rsidR="00C660D4" w:rsidRPr="00C660D4" w:rsidRDefault="00C660D4" w:rsidP="00C660D4">
            <w:pPr>
              <w:spacing w:before="60" w:after="120" w:line="276" w:lineRule="auto"/>
              <w:jc w:val="center"/>
              <w:rPr>
                <w:b/>
                <w:szCs w:val="18"/>
              </w:rPr>
            </w:pPr>
            <w:r w:rsidRPr="00C660D4">
              <w:rPr>
                <w:rFonts w:eastAsiaTheme="majorEastAsia" w:cstheme="majorBidi"/>
                <w:b/>
                <w:color w:val="FAFAFA" w:themeColor="background1"/>
                <w:szCs w:val="18"/>
              </w:rPr>
              <w:t>Power Systems Architecture</w:t>
            </w:r>
          </w:p>
        </w:tc>
        <w:tc>
          <w:tcPr>
            <w:tcW w:w="3402" w:type="dxa"/>
            <w:tcBorders>
              <w:top w:val="single" w:sz="6" w:space="0" w:color="B3ADAD"/>
              <w:left w:val="single" w:sz="6" w:space="0" w:color="B3ADAD"/>
              <w:bottom w:val="single" w:sz="4" w:space="0" w:color="auto"/>
              <w:right w:val="single" w:sz="6" w:space="0" w:color="B3ADAD"/>
            </w:tcBorders>
            <w:shd w:val="clear" w:color="auto" w:fill="013C4C" w:themeFill="text1"/>
            <w:vAlign w:val="center"/>
          </w:tcPr>
          <w:p w14:paraId="73ADA25A" w14:textId="77777777" w:rsidR="00C660D4" w:rsidRPr="00C660D4" w:rsidRDefault="00C660D4" w:rsidP="00C660D4">
            <w:pPr>
              <w:spacing w:before="60" w:after="120" w:line="276" w:lineRule="auto"/>
              <w:jc w:val="center"/>
              <w:rPr>
                <w:b/>
                <w:szCs w:val="18"/>
              </w:rPr>
            </w:pPr>
            <w:r w:rsidRPr="00C660D4">
              <w:rPr>
                <w:rFonts w:eastAsiaTheme="majorEastAsia" w:cstheme="majorBidi"/>
                <w:b/>
                <w:color w:val="FAFAFA" w:themeColor="background1"/>
                <w:szCs w:val="18"/>
              </w:rPr>
              <w:t>Enterprise IT Architecture</w:t>
            </w:r>
          </w:p>
        </w:tc>
      </w:tr>
      <w:tr w:rsidR="00C660D4" w:rsidRPr="00C660D4" w14:paraId="208F62A7" w14:textId="77777777" w:rsidTr="00E52F89">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43DCAA9C" w14:textId="77777777" w:rsidR="00C660D4" w:rsidRPr="00C660D4" w:rsidRDefault="00C660D4" w:rsidP="00C660D4">
            <w:pPr>
              <w:spacing w:before="120" w:after="120" w:line="276" w:lineRule="auto"/>
              <w:jc w:val="center"/>
              <w:rPr>
                <w:b/>
                <w:color w:val="FAFAFA" w:themeColor="background1"/>
                <w:szCs w:val="18"/>
              </w:rPr>
            </w:pPr>
            <w:r w:rsidRPr="00C660D4">
              <w:rPr>
                <w:rFonts w:eastAsia="Times New Roman" w:cs="Times New Roman"/>
                <w:b/>
                <w:color w:val="FAFAFA" w:themeColor="background1"/>
                <w:kern w:val="0"/>
                <w:szCs w:val="18"/>
                <w:lang w:eastAsia="en-AU" w:bidi="ar-SA"/>
                <w14:ligatures w14:val="none"/>
              </w:rPr>
              <w:t>Target System</w:t>
            </w:r>
          </w:p>
        </w:tc>
        <w:tc>
          <w:tcPr>
            <w:tcW w:w="3544" w:type="dxa"/>
            <w:tcBorders>
              <w:top w:val="single" w:sz="4" w:space="0" w:color="auto"/>
              <w:left w:val="single" w:sz="4" w:space="0" w:color="auto"/>
              <w:bottom w:val="single" w:sz="4" w:space="0" w:color="auto"/>
              <w:right w:val="single" w:sz="4" w:space="0" w:color="auto"/>
            </w:tcBorders>
          </w:tcPr>
          <w:p w14:paraId="0389FDF0" w14:textId="77777777" w:rsidR="00C660D4" w:rsidRPr="00C660D4" w:rsidRDefault="00C660D4" w:rsidP="00C660D4">
            <w:pPr>
              <w:spacing w:before="120" w:after="120" w:line="276" w:lineRule="auto"/>
              <w:rPr>
                <w:szCs w:val="18"/>
              </w:rPr>
            </w:pPr>
            <w:r w:rsidRPr="00C660D4">
              <w:rPr>
                <w:rFonts w:eastAsia="Times New Roman" w:cs="Times New Roman"/>
                <w:kern w:val="0"/>
                <w:szCs w:val="18"/>
                <w:lang w:eastAsia="en-AU" w:bidi="ar-SA"/>
                <w14:ligatures w14:val="none"/>
              </w:rPr>
              <w:t>GW-scale Power Systems</w:t>
            </w:r>
          </w:p>
        </w:tc>
        <w:tc>
          <w:tcPr>
            <w:tcW w:w="3402" w:type="dxa"/>
            <w:tcBorders>
              <w:top w:val="single" w:sz="4" w:space="0" w:color="auto"/>
              <w:left w:val="single" w:sz="4" w:space="0" w:color="auto"/>
              <w:bottom w:val="single" w:sz="4" w:space="0" w:color="auto"/>
              <w:right w:val="single" w:sz="4" w:space="0" w:color="auto"/>
            </w:tcBorders>
          </w:tcPr>
          <w:p w14:paraId="5FDF9CCE" w14:textId="77777777" w:rsidR="00C660D4" w:rsidRPr="00C660D4" w:rsidRDefault="00C660D4" w:rsidP="00C660D4">
            <w:pPr>
              <w:spacing w:before="120" w:after="120" w:line="276" w:lineRule="auto"/>
              <w:rPr>
                <w:szCs w:val="18"/>
              </w:rPr>
            </w:pPr>
            <w:r w:rsidRPr="00C660D4">
              <w:rPr>
                <w:rFonts w:eastAsia="Times New Roman" w:cs="Times New Roman"/>
                <w:kern w:val="0"/>
                <w:szCs w:val="18"/>
                <w:lang w:eastAsia="en-AU" w:bidi="ar-SA"/>
                <w14:ligatures w14:val="none"/>
              </w:rPr>
              <w:t>Enterprise IT systems</w:t>
            </w:r>
          </w:p>
        </w:tc>
      </w:tr>
      <w:tr w:rsidR="00C660D4" w:rsidRPr="00C660D4" w14:paraId="581063F9" w14:textId="77777777" w:rsidTr="00E52F89">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37C87603" w14:textId="77777777" w:rsidR="00C660D4" w:rsidRPr="00C660D4" w:rsidRDefault="00C660D4" w:rsidP="00C660D4">
            <w:pPr>
              <w:spacing w:before="120" w:after="120" w:line="276" w:lineRule="auto"/>
              <w:jc w:val="center"/>
              <w:rPr>
                <w:rFonts w:eastAsia="Times New Roman" w:cs="Times New Roman"/>
                <w:b/>
                <w:color w:val="FAFAFA" w:themeColor="background1"/>
                <w:kern w:val="0"/>
                <w:szCs w:val="18"/>
                <w:lang w:eastAsia="en-AU" w:bidi="ar-SA"/>
                <w14:ligatures w14:val="none"/>
              </w:rPr>
            </w:pPr>
            <w:r w:rsidRPr="00C660D4">
              <w:rPr>
                <w:rFonts w:eastAsia="Times New Roman" w:cs="Times New Roman"/>
                <w:b/>
                <w:color w:val="FAFAFA" w:themeColor="background1"/>
                <w:kern w:val="0"/>
                <w:szCs w:val="18"/>
                <w:lang w:eastAsia="en-AU" w:bidi="ar-SA"/>
                <w14:ligatures w14:val="none"/>
              </w:rPr>
              <w:t xml:space="preserve">Technological Focus </w:t>
            </w:r>
          </w:p>
        </w:tc>
        <w:tc>
          <w:tcPr>
            <w:tcW w:w="3544" w:type="dxa"/>
            <w:tcBorders>
              <w:top w:val="single" w:sz="4" w:space="0" w:color="auto"/>
              <w:left w:val="single" w:sz="4" w:space="0" w:color="auto"/>
              <w:bottom w:val="single" w:sz="4" w:space="0" w:color="auto"/>
              <w:right w:val="single" w:sz="4" w:space="0" w:color="auto"/>
            </w:tcBorders>
          </w:tcPr>
          <w:p w14:paraId="206426A9"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 xml:space="preserve">Cyber-physical and transactional systems </w:t>
            </w:r>
          </w:p>
        </w:tc>
        <w:tc>
          <w:tcPr>
            <w:tcW w:w="3402" w:type="dxa"/>
            <w:tcBorders>
              <w:top w:val="single" w:sz="4" w:space="0" w:color="auto"/>
              <w:left w:val="single" w:sz="4" w:space="0" w:color="auto"/>
              <w:bottom w:val="single" w:sz="4" w:space="0" w:color="auto"/>
              <w:right w:val="single" w:sz="4" w:space="0" w:color="auto"/>
            </w:tcBorders>
          </w:tcPr>
          <w:p w14:paraId="3D2BE581"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 xml:space="preserve">Digital systems </w:t>
            </w:r>
          </w:p>
        </w:tc>
      </w:tr>
      <w:tr w:rsidR="00C660D4" w:rsidRPr="00C660D4" w14:paraId="235169A1" w14:textId="77777777" w:rsidTr="00E52F89">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07D826B2" w14:textId="77777777" w:rsidR="00C660D4" w:rsidRPr="00C660D4" w:rsidRDefault="00C660D4" w:rsidP="00C660D4">
            <w:pPr>
              <w:spacing w:before="120" w:after="120" w:line="276" w:lineRule="auto"/>
              <w:jc w:val="center"/>
              <w:rPr>
                <w:b/>
                <w:color w:val="FAFAFA" w:themeColor="background1"/>
                <w:szCs w:val="18"/>
              </w:rPr>
            </w:pPr>
            <w:r w:rsidRPr="00C660D4">
              <w:rPr>
                <w:rFonts w:eastAsia="Times New Roman" w:cs="Times New Roman"/>
                <w:b/>
                <w:color w:val="FAFAFA" w:themeColor="background1"/>
                <w:kern w:val="0"/>
                <w:szCs w:val="18"/>
                <w:lang w:eastAsia="en-AU" w:bidi="ar-SA"/>
                <w14:ligatures w14:val="none"/>
              </w:rPr>
              <w:t>Focus/Scope</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A5128F9"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Employs the Network of Structures model to interrogate the seven structures spanning an end-to-end Power System and across its vertical</w:t>
            </w:r>
            <w:r w:rsidRPr="00C660D4">
              <w:rPr>
                <w:rFonts w:ascii="Calibri" w:eastAsia="Times New Roman" w:hAnsi="Calibri" w:cs="Calibri"/>
                <w:kern w:val="0"/>
                <w:szCs w:val="18"/>
                <w:lang w:eastAsia="en-AU" w:bidi="ar-SA"/>
                <w14:ligatures w14:val="none"/>
              </w:rPr>
              <w:t> </w:t>
            </w:r>
            <w:r w:rsidRPr="00C660D4">
              <w:rPr>
                <w:rFonts w:eastAsia="Times New Roman" w:cs="Times New Roman"/>
                <w:kern w:val="0"/>
                <w:szCs w:val="18"/>
                <w:lang w:eastAsia="en-AU" w:bidi="ar-SA"/>
                <w14:ligatures w14:val="none"/>
              </w:rPr>
              <w:t>Tiers/Layers.</w:t>
            </w:r>
          </w:p>
          <w:p w14:paraId="669D95AC"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This enables holistic, structured consideration of current, transitionary and future states and the targeted structural interventions required to move from one to the other.</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683D0AF" w14:textId="77777777" w:rsidR="00C660D4" w:rsidRPr="00C660D4" w:rsidRDefault="00C660D4" w:rsidP="00C660D4">
            <w:pPr>
              <w:spacing w:before="120" w:after="120" w:line="276" w:lineRule="auto"/>
              <w:rPr>
                <w:rFonts w:eastAsia="Times New Roman" w:cs="Calibri"/>
                <w:kern w:val="0"/>
                <w:szCs w:val="18"/>
                <w:lang w:eastAsia="en-AU" w:bidi="ar-SA"/>
                <w14:ligatures w14:val="none"/>
              </w:rPr>
            </w:pPr>
            <w:r w:rsidRPr="00C660D4">
              <w:rPr>
                <w:rFonts w:eastAsia="Times New Roman" w:cs="Times New Roman"/>
                <w:kern w:val="0"/>
                <w:szCs w:val="18"/>
                <w:lang w:eastAsia="en-AU" w:bidi="ar-SA"/>
                <w14:ligatures w14:val="none"/>
              </w:rPr>
              <w:t>Focuses on Digital Infrastructure at enterprise level.</w:t>
            </w:r>
            <w:r w:rsidRPr="00C660D4">
              <w:rPr>
                <w:rFonts w:ascii="Calibri" w:eastAsia="Times New Roman" w:hAnsi="Calibri" w:cs="Calibri"/>
                <w:kern w:val="0"/>
                <w:szCs w:val="18"/>
                <w:lang w:eastAsia="en-AU" w:bidi="ar-SA"/>
                <w14:ligatures w14:val="none"/>
              </w:rPr>
              <w:t> </w:t>
            </w:r>
          </w:p>
          <w:p w14:paraId="49E9A450" w14:textId="77777777" w:rsidR="00C660D4" w:rsidRPr="00C660D4" w:rsidRDefault="00C660D4" w:rsidP="00C660D4">
            <w:pPr>
              <w:spacing w:before="120" w:after="120" w:line="276" w:lineRule="auto"/>
              <w:rPr>
                <w:szCs w:val="18"/>
              </w:rPr>
            </w:pPr>
            <w:r w:rsidRPr="00C660D4">
              <w:rPr>
                <w:rFonts w:eastAsia="Times New Roman" w:cs="Times New Roman"/>
                <w:kern w:val="0"/>
                <w:szCs w:val="18"/>
                <w:lang w:eastAsia="en-AU" w:bidi="ar-SA"/>
                <w14:ligatures w14:val="none"/>
              </w:rPr>
              <w:t>For enterprises operating within the power sector, this will likely include consideration of interfaces between the Enterprise IT Architecture and the wider Power Systems Architecture.</w:t>
            </w:r>
            <w:r w:rsidRPr="00C660D4">
              <w:rPr>
                <w:rFonts w:ascii="Calibri" w:eastAsia="Times New Roman" w:hAnsi="Calibri" w:cs="Calibri"/>
                <w:kern w:val="0"/>
                <w:szCs w:val="18"/>
                <w:lang w:eastAsia="en-AU" w:bidi="ar-SA"/>
                <w14:ligatures w14:val="none"/>
              </w:rPr>
              <w:t>  </w:t>
            </w:r>
          </w:p>
        </w:tc>
      </w:tr>
    </w:tbl>
    <w:p w14:paraId="054E13CB" w14:textId="6ED169A1" w:rsidR="00C660D4" w:rsidRPr="00C660D4" w:rsidRDefault="00C660D4" w:rsidP="00C660D4"/>
    <w:tbl>
      <w:tblPr>
        <w:tblStyle w:val="TableGrid"/>
        <w:tblW w:w="8642" w:type="dxa"/>
        <w:tblLook w:val="04A0" w:firstRow="1" w:lastRow="0" w:firstColumn="1" w:lastColumn="0" w:noHBand="0" w:noVBand="1"/>
      </w:tblPr>
      <w:tblGrid>
        <w:gridCol w:w="1696"/>
        <w:gridCol w:w="3544"/>
        <w:gridCol w:w="3402"/>
      </w:tblGrid>
      <w:tr w:rsidR="00C660D4" w:rsidRPr="00C660D4" w14:paraId="5610BFA9" w14:textId="77777777" w:rsidTr="00E52F89">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1F59FF1B" w14:textId="77777777" w:rsidR="00C660D4" w:rsidRPr="00C660D4" w:rsidRDefault="00C660D4" w:rsidP="00C660D4">
            <w:pPr>
              <w:spacing w:before="120" w:after="120" w:line="276" w:lineRule="auto"/>
              <w:jc w:val="center"/>
              <w:rPr>
                <w:rFonts w:eastAsia="Times New Roman" w:cs="Times New Roman"/>
                <w:b/>
                <w:color w:val="FAFAFA" w:themeColor="background1"/>
                <w:kern w:val="0"/>
                <w:szCs w:val="18"/>
                <w:lang w:eastAsia="en-AU" w:bidi="ar-SA"/>
                <w14:ligatures w14:val="none"/>
              </w:rPr>
            </w:pPr>
            <w:r w:rsidRPr="00C660D4">
              <w:rPr>
                <w:rFonts w:eastAsia="Times New Roman" w:cs="Times New Roman"/>
                <w:b/>
                <w:color w:val="FAFAFA" w:themeColor="background1"/>
                <w:kern w:val="0"/>
                <w:szCs w:val="18"/>
                <w:lang w:eastAsia="en-AU" w:bidi="ar-SA"/>
                <w14:ligatures w14:val="none"/>
              </w:rPr>
              <w:t>Complexity &amp; Risk</w:t>
            </w:r>
          </w:p>
        </w:tc>
        <w:tc>
          <w:tcPr>
            <w:tcW w:w="3544" w:type="dxa"/>
            <w:tcBorders>
              <w:top w:val="single" w:sz="4" w:space="0" w:color="auto"/>
              <w:left w:val="single" w:sz="4" w:space="0" w:color="auto"/>
              <w:bottom w:val="single" w:sz="4" w:space="0" w:color="auto"/>
              <w:right w:val="single" w:sz="4" w:space="0" w:color="auto"/>
            </w:tcBorders>
          </w:tcPr>
          <w:p w14:paraId="5A9C76AA"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Industry Level: Ultra-Large-Scale (ULS) Complexity.</w:t>
            </w:r>
          </w:p>
          <w:p w14:paraId="3F813904"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Helps manage risk within and across the end-to-end Power System.</w:t>
            </w:r>
            <w:r w:rsidRPr="00C660D4">
              <w:rPr>
                <w:rFonts w:ascii="Calibri" w:eastAsia="Times New Roman" w:hAnsi="Calibri" w:cs="Calibri"/>
                <w:kern w:val="0"/>
                <w:szCs w:val="18"/>
                <w:lang w:eastAsia="en-AU" w:bidi="ar-SA"/>
                <w14:ligatures w14:val="none"/>
              </w:rPr>
              <w:t> </w:t>
            </w:r>
          </w:p>
        </w:tc>
        <w:tc>
          <w:tcPr>
            <w:tcW w:w="3402" w:type="dxa"/>
            <w:tcBorders>
              <w:top w:val="single" w:sz="4" w:space="0" w:color="auto"/>
              <w:left w:val="single" w:sz="4" w:space="0" w:color="auto"/>
              <w:bottom w:val="single" w:sz="4" w:space="0" w:color="auto"/>
              <w:right w:val="single" w:sz="4" w:space="0" w:color="auto"/>
            </w:tcBorders>
          </w:tcPr>
          <w:p w14:paraId="5B751F73"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 xml:space="preserve">Enterprise Level: Large Scale Complexity. </w:t>
            </w:r>
          </w:p>
          <w:p w14:paraId="3744662E"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Helps manage risk within the enterprise.</w:t>
            </w:r>
            <w:r w:rsidRPr="00C660D4">
              <w:rPr>
                <w:rFonts w:ascii="Calibri" w:eastAsia="Times New Roman" w:hAnsi="Calibri" w:cs="Calibri"/>
                <w:kern w:val="0"/>
                <w:szCs w:val="18"/>
                <w:lang w:eastAsia="en-AU" w:bidi="ar-SA"/>
                <w14:ligatures w14:val="none"/>
              </w:rPr>
              <w:t> </w:t>
            </w:r>
          </w:p>
        </w:tc>
      </w:tr>
      <w:tr w:rsidR="00C660D4" w:rsidRPr="00C660D4" w14:paraId="42675558" w14:textId="77777777" w:rsidTr="00E52F89">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5B95A523" w14:textId="77777777" w:rsidR="00C660D4" w:rsidRPr="00C660D4" w:rsidRDefault="00C660D4" w:rsidP="00C660D4">
            <w:pPr>
              <w:spacing w:before="120" w:after="120" w:line="276" w:lineRule="auto"/>
              <w:jc w:val="center"/>
              <w:rPr>
                <w:rFonts w:eastAsia="Times New Roman" w:cs="Times New Roman"/>
                <w:b/>
                <w:color w:val="FAFAFA" w:themeColor="background1"/>
                <w:kern w:val="0"/>
                <w:szCs w:val="18"/>
                <w:lang w:eastAsia="en-AU" w:bidi="ar-SA"/>
                <w14:ligatures w14:val="none"/>
              </w:rPr>
            </w:pPr>
            <w:r w:rsidRPr="00C660D4">
              <w:rPr>
                <w:rFonts w:eastAsia="Times New Roman" w:cs="Times New Roman"/>
                <w:b/>
                <w:color w:val="FAFAFA" w:themeColor="background1"/>
                <w:kern w:val="0"/>
                <w:szCs w:val="18"/>
                <w:lang w:eastAsia="en-AU" w:bidi="ar-SA"/>
                <w14:ligatures w14:val="none"/>
              </w:rPr>
              <w:t>Stakeholders</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6ED1B64"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Diverse stakeholders including policy makers, regulators, industry, customer groups, environmental groups, etc.</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1407F7B"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Internal enterprise stakeholders, and generally reporting to CIO.</w:t>
            </w:r>
            <w:r w:rsidRPr="00C660D4">
              <w:rPr>
                <w:rFonts w:ascii="Calibri" w:eastAsia="Times New Roman" w:hAnsi="Calibri" w:cs="Calibri"/>
                <w:kern w:val="0"/>
                <w:szCs w:val="18"/>
                <w:lang w:eastAsia="en-AU" w:bidi="ar-SA"/>
                <w14:ligatures w14:val="none"/>
              </w:rPr>
              <w:t> </w:t>
            </w:r>
            <w:r w:rsidRPr="00C660D4">
              <w:rPr>
                <w:rFonts w:eastAsia="Times New Roman" w:cs="Times New Roman"/>
                <w:kern w:val="0"/>
                <w:szCs w:val="18"/>
                <w:lang w:eastAsia="en-AU" w:bidi="ar-SA"/>
                <w14:ligatures w14:val="none"/>
              </w:rPr>
              <w:t xml:space="preserve"> Primarily reflects focus on corporate IT systems.</w:t>
            </w:r>
            <w:r w:rsidRPr="00C660D4">
              <w:rPr>
                <w:rFonts w:ascii="Calibri" w:eastAsia="Times New Roman" w:hAnsi="Calibri" w:cs="Calibri"/>
                <w:kern w:val="0"/>
                <w:szCs w:val="18"/>
                <w:lang w:eastAsia="en-AU" w:bidi="ar-SA"/>
                <w14:ligatures w14:val="none"/>
              </w:rPr>
              <w:t> </w:t>
            </w:r>
            <w:r w:rsidRPr="00C660D4">
              <w:rPr>
                <w:rFonts w:eastAsia="Times New Roman" w:cs="Times New Roman"/>
                <w:kern w:val="0"/>
                <w:szCs w:val="18"/>
                <w:lang w:eastAsia="en-AU" w:bidi="ar-SA"/>
                <w14:ligatures w14:val="none"/>
              </w:rPr>
              <w:t xml:space="preserve"> </w:t>
            </w:r>
            <w:r w:rsidRPr="00C660D4">
              <w:rPr>
                <w:rFonts w:ascii="Calibri" w:eastAsia="Times New Roman" w:hAnsi="Calibri" w:cs="Calibri"/>
                <w:kern w:val="0"/>
                <w:szCs w:val="18"/>
                <w:lang w:eastAsia="en-AU" w:bidi="ar-SA"/>
                <w14:ligatures w14:val="none"/>
              </w:rPr>
              <w:t> </w:t>
            </w:r>
          </w:p>
        </w:tc>
      </w:tr>
      <w:tr w:rsidR="00C660D4" w:rsidRPr="00C660D4" w14:paraId="0CCCFBE1" w14:textId="77777777" w:rsidTr="00E52F89">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1141EBA3" w14:textId="77777777" w:rsidR="00C660D4" w:rsidRPr="00C660D4" w:rsidRDefault="00C660D4" w:rsidP="00C660D4">
            <w:pPr>
              <w:spacing w:before="120" w:after="120" w:line="276" w:lineRule="auto"/>
              <w:jc w:val="center"/>
              <w:rPr>
                <w:rFonts w:eastAsia="Times New Roman" w:cs="Times New Roman"/>
                <w:b/>
                <w:color w:val="FAFAFA" w:themeColor="background1"/>
                <w:kern w:val="0"/>
                <w:szCs w:val="18"/>
                <w:lang w:eastAsia="en-AU" w:bidi="ar-SA"/>
                <w14:ligatures w14:val="none"/>
              </w:rPr>
            </w:pPr>
            <w:r w:rsidRPr="00C660D4">
              <w:rPr>
                <w:rFonts w:eastAsia="Times New Roman" w:cs="Times New Roman"/>
                <w:b/>
                <w:color w:val="FAFAFA" w:themeColor="background1"/>
                <w:kern w:val="0"/>
                <w:szCs w:val="18"/>
                <w:lang w:eastAsia="en-AU" w:bidi="ar-SA"/>
                <w14:ligatures w14:val="none"/>
              </w:rPr>
              <w:t>Motivation</w:t>
            </w:r>
          </w:p>
        </w:tc>
        <w:tc>
          <w:tcPr>
            <w:tcW w:w="3544" w:type="dxa"/>
            <w:tcBorders>
              <w:top w:val="single" w:sz="4" w:space="0" w:color="auto"/>
              <w:left w:val="single" w:sz="4" w:space="0" w:color="auto"/>
              <w:bottom w:val="single" w:sz="4" w:space="0" w:color="auto"/>
              <w:right w:val="single" w:sz="4" w:space="0" w:color="auto"/>
            </w:tcBorders>
          </w:tcPr>
          <w:p w14:paraId="28F97773"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Power Systems Architecture is focused on clearly identifying specific Power System challenges and opportunities that require structural interventions to resolve. Defines essential industry limits/constraints.</w:t>
            </w:r>
          </w:p>
        </w:tc>
        <w:tc>
          <w:tcPr>
            <w:tcW w:w="3402" w:type="dxa"/>
            <w:tcBorders>
              <w:top w:val="single" w:sz="4" w:space="0" w:color="auto"/>
              <w:left w:val="single" w:sz="4" w:space="0" w:color="auto"/>
              <w:bottom w:val="single" w:sz="4" w:space="0" w:color="auto"/>
              <w:right w:val="single" w:sz="4" w:space="0" w:color="auto"/>
            </w:tcBorders>
          </w:tcPr>
          <w:p w14:paraId="05684934"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Focused on the various challenges and opportunities that an enterprise must address internally.</w:t>
            </w:r>
            <w:r w:rsidRPr="00C660D4">
              <w:rPr>
                <w:rFonts w:ascii="Calibri" w:eastAsia="Times New Roman" w:hAnsi="Calibri" w:cs="Calibri"/>
                <w:kern w:val="0"/>
                <w:szCs w:val="18"/>
                <w:lang w:eastAsia="en-AU" w:bidi="ar-SA"/>
                <w14:ligatures w14:val="none"/>
              </w:rPr>
              <w:t> </w:t>
            </w:r>
          </w:p>
        </w:tc>
      </w:tr>
      <w:tr w:rsidR="00C660D4" w:rsidRPr="00C660D4" w14:paraId="63FABF8A" w14:textId="77777777" w:rsidTr="00E52F89">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2EE78BC1" w14:textId="77777777" w:rsidR="00C660D4" w:rsidRPr="00C660D4" w:rsidRDefault="00C660D4" w:rsidP="00C660D4">
            <w:pPr>
              <w:spacing w:before="120" w:after="120" w:line="276" w:lineRule="auto"/>
              <w:jc w:val="center"/>
              <w:rPr>
                <w:rFonts w:eastAsia="Times New Roman" w:cs="Times New Roman"/>
                <w:b/>
                <w:color w:val="FAFAFA" w:themeColor="background1"/>
                <w:kern w:val="0"/>
                <w:szCs w:val="18"/>
                <w:lang w:eastAsia="en-AU" w:bidi="ar-SA"/>
                <w14:ligatures w14:val="none"/>
              </w:rPr>
            </w:pPr>
            <w:r w:rsidRPr="00C660D4">
              <w:rPr>
                <w:rFonts w:eastAsia="Times New Roman" w:cs="Times New Roman"/>
                <w:b/>
                <w:color w:val="FAFAFA" w:themeColor="background1"/>
                <w:kern w:val="0"/>
                <w:szCs w:val="18"/>
                <w:lang w:eastAsia="en-AU" w:bidi="ar-SA"/>
                <w14:ligatures w14:val="none"/>
              </w:rPr>
              <w:t>Requirements</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3E93A9E"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Defines qualities and properties of the future end-to-end Power System based on a broad range of societal and stakeholder perspectives.</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57A6829"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Defines business requirements primarily from the perspective of enterprise stakeholders only.</w:t>
            </w:r>
          </w:p>
        </w:tc>
      </w:tr>
      <w:tr w:rsidR="00C660D4" w:rsidRPr="00C660D4" w14:paraId="06C4E8A9" w14:textId="77777777" w:rsidTr="00E52F89">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2592F863" w14:textId="77777777" w:rsidR="00C660D4" w:rsidRPr="00C660D4" w:rsidRDefault="00C660D4" w:rsidP="00C660D4">
            <w:pPr>
              <w:spacing w:before="120" w:after="120" w:line="276" w:lineRule="auto"/>
              <w:jc w:val="center"/>
              <w:rPr>
                <w:rFonts w:eastAsia="Times New Roman" w:cs="Times New Roman"/>
                <w:b/>
                <w:color w:val="FAFAFA" w:themeColor="background1"/>
                <w:kern w:val="0"/>
                <w:szCs w:val="18"/>
                <w:lang w:eastAsia="en-AU" w:bidi="ar-SA"/>
                <w14:ligatures w14:val="none"/>
              </w:rPr>
            </w:pPr>
            <w:r w:rsidRPr="00C660D4">
              <w:rPr>
                <w:rFonts w:eastAsia="Times New Roman" w:cs="Times New Roman"/>
                <w:b/>
                <w:color w:val="FAFAFA" w:themeColor="background1"/>
                <w:kern w:val="0"/>
                <w:szCs w:val="18"/>
                <w:lang w:eastAsia="en-AU" w:bidi="ar-SA"/>
                <w14:ligatures w14:val="none"/>
              </w:rPr>
              <w:t>Current State</w:t>
            </w:r>
          </w:p>
        </w:tc>
        <w:tc>
          <w:tcPr>
            <w:tcW w:w="3544" w:type="dxa"/>
            <w:tcBorders>
              <w:top w:val="single" w:sz="4" w:space="0" w:color="auto"/>
              <w:left w:val="single" w:sz="4" w:space="0" w:color="auto"/>
              <w:bottom w:val="single" w:sz="4" w:space="0" w:color="auto"/>
              <w:right w:val="single" w:sz="4" w:space="0" w:color="auto"/>
            </w:tcBorders>
          </w:tcPr>
          <w:p w14:paraId="124FACFC"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Employs the Network of Structures model to interrogate and map the ‘as built’ Power System structures and the relationships across:</w:t>
            </w:r>
            <w:r w:rsidRPr="00C660D4">
              <w:rPr>
                <w:rFonts w:ascii="Calibri" w:eastAsia="Times New Roman" w:hAnsi="Calibri" w:cs="Calibri"/>
                <w:kern w:val="0"/>
                <w:szCs w:val="18"/>
                <w:lang w:eastAsia="en-AU" w:bidi="ar-SA"/>
                <w14:ligatures w14:val="none"/>
              </w:rPr>
              <w:t> </w:t>
            </w:r>
          </w:p>
          <w:p w14:paraId="15ABE9CF"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 xml:space="preserve">Electricity Infrastructure (Power Flows); </w:t>
            </w:r>
          </w:p>
          <w:p w14:paraId="7F356EC1"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Digital Infrastructure (Information/Data Exchange, Storage &amp; Processing);</w:t>
            </w:r>
          </w:p>
          <w:p w14:paraId="3FE6EA09"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Operational Coordination Structure;</w:t>
            </w:r>
          </w:p>
          <w:p w14:paraId="18AD21EE"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Transactional Structure;</w:t>
            </w:r>
            <w:r w:rsidRPr="00C660D4">
              <w:rPr>
                <w:rFonts w:ascii="Calibri" w:eastAsia="Times New Roman" w:hAnsi="Calibri" w:cs="Calibri"/>
                <w:kern w:val="0"/>
                <w:szCs w:val="18"/>
                <w:lang w:eastAsia="en-AU" w:bidi="ar-SA"/>
                <w14:ligatures w14:val="none"/>
              </w:rPr>
              <w:t> </w:t>
            </w:r>
          </w:p>
          <w:p w14:paraId="44FB65F3"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Industry / Market Structure;</w:t>
            </w:r>
            <w:r w:rsidRPr="00C660D4">
              <w:rPr>
                <w:rFonts w:ascii="Calibri" w:eastAsia="Times New Roman" w:hAnsi="Calibri" w:cs="Calibri"/>
                <w:kern w:val="0"/>
                <w:szCs w:val="18"/>
                <w:lang w:eastAsia="en-AU" w:bidi="ar-SA"/>
                <w14:ligatures w14:val="none"/>
              </w:rPr>
              <w:t> </w:t>
            </w:r>
          </w:p>
          <w:p w14:paraId="7B8307D8"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Governance / Regulatory Structure; and,</w:t>
            </w:r>
            <w:r w:rsidRPr="00C660D4">
              <w:rPr>
                <w:rFonts w:ascii="Calibri" w:eastAsia="Times New Roman" w:hAnsi="Calibri" w:cs="Calibri"/>
                <w:kern w:val="0"/>
                <w:szCs w:val="18"/>
                <w:lang w:eastAsia="en-AU" w:bidi="ar-SA"/>
                <w14:ligatures w14:val="none"/>
              </w:rPr>
              <w:t> </w:t>
            </w:r>
          </w:p>
          <w:p w14:paraId="6CD0F13D"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Sector Coupling Structures (Gas, Water, Transport, etc).</w:t>
            </w:r>
            <w:r w:rsidRPr="00C660D4">
              <w:rPr>
                <w:rFonts w:ascii="Calibri" w:eastAsia="Times New Roman" w:hAnsi="Calibri" w:cs="Calibri"/>
                <w:kern w:val="0"/>
                <w:szCs w:val="18"/>
                <w:lang w:eastAsia="en-AU" w:bidi="ar-SA"/>
                <w14:ligatures w14:val="none"/>
              </w:rPr>
              <w:t> </w:t>
            </w:r>
          </w:p>
        </w:tc>
        <w:tc>
          <w:tcPr>
            <w:tcW w:w="3402" w:type="dxa"/>
            <w:tcBorders>
              <w:top w:val="single" w:sz="4" w:space="0" w:color="auto"/>
              <w:left w:val="single" w:sz="4" w:space="0" w:color="auto"/>
              <w:bottom w:val="single" w:sz="4" w:space="0" w:color="auto"/>
              <w:right w:val="single" w:sz="4" w:space="0" w:color="auto"/>
            </w:tcBorders>
          </w:tcPr>
          <w:p w14:paraId="26C39019" w14:textId="77777777" w:rsidR="00C660D4" w:rsidRPr="00C660D4" w:rsidRDefault="00C660D4" w:rsidP="00C660D4">
            <w:pPr>
              <w:spacing w:before="120" w:after="120" w:line="276" w:lineRule="auto"/>
              <w:ind w:left="39"/>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Defines the current state of the enterprise:</w:t>
            </w:r>
          </w:p>
          <w:p w14:paraId="377BC7F4"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Strategic enterprise objectives mapped to capabilities;</w:t>
            </w:r>
            <w:r w:rsidRPr="00C660D4">
              <w:rPr>
                <w:rFonts w:ascii="Calibri" w:eastAsia="Times New Roman" w:hAnsi="Calibri" w:cs="Calibri"/>
                <w:kern w:val="0"/>
                <w:szCs w:val="18"/>
                <w:lang w:eastAsia="en-AU" w:bidi="ar-SA"/>
                <w14:ligatures w14:val="none"/>
              </w:rPr>
              <w:t> </w:t>
            </w:r>
          </w:p>
          <w:p w14:paraId="22B2B050"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Enterprise principles;</w:t>
            </w:r>
          </w:p>
          <w:p w14:paraId="3C22AA48"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Business Architecture;</w:t>
            </w:r>
          </w:p>
          <w:p w14:paraId="18EB4EFF"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Information System Architecture; and,</w:t>
            </w:r>
            <w:r w:rsidRPr="00C660D4">
              <w:rPr>
                <w:rFonts w:ascii="Calibri" w:eastAsia="Times New Roman" w:hAnsi="Calibri" w:cs="Calibri"/>
                <w:kern w:val="0"/>
                <w:szCs w:val="18"/>
                <w:lang w:eastAsia="en-AU" w:bidi="ar-SA"/>
                <w14:ligatures w14:val="none"/>
              </w:rPr>
              <w:t> </w:t>
            </w:r>
          </w:p>
          <w:p w14:paraId="16424104"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Technology Architecture.</w:t>
            </w:r>
            <w:r w:rsidRPr="00C660D4">
              <w:rPr>
                <w:rFonts w:ascii="Calibri" w:eastAsia="Times New Roman" w:hAnsi="Calibri" w:cs="Calibri"/>
                <w:kern w:val="0"/>
                <w:szCs w:val="18"/>
                <w:lang w:eastAsia="en-AU" w:bidi="ar-SA"/>
                <w14:ligatures w14:val="none"/>
              </w:rPr>
              <w:t> </w:t>
            </w:r>
          </w:p>
        </w:tc>
      </w:tr>
      <w:tr w:rsidR="00C660D4" w:rsidRPr="00C660D4" w14:paraId="1B43A790" w14:textId="77777777" w:rsidTr="00E52F89">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4B1E4355" w14:textId="77777777" w:rsidR="00C660D4" w:rsidRPr="00C660D4" w:rsidRDefault="00C660D4" w:rsidP="00C660D4">
            <w:pPr>
              <w:spacing w:before="120" w:after="120" w:line="276" w:lineRule="auto"/>
              <w:jc w:val="center"/>
              <w:rPr>
                <w:rFonts w:eastAsia="Times New Roman" w:cs="Times New Roman"/>
                <w:b/>
                <w:color w:val="FAFAFA" w:themeColor="background1"/>
                <w:kern w:val="0"/>
                <w:szCs w:val="18"/>
                <w:lang w:eastAsia="en-AU" w:bidi="ar-SA"/>
                <w14:ligatures w14:val="none"/>
              </w:rPr>
            </w:pPr>
            <w:r w:rsidRPr="00C660D4">
              <w:rPr>
                <w:rFonts w:eastAsia="Times New Roman" w:cs="Times New Roman"/>
                <w:b/>
                <w:color w:val="FAFAFA" w:themeColor="background1"/>
                <w:kern w:val="0"/>
                <w:szCs w:val="18"/>
                <w:lang w:eastAsia="en-AU" w:bidi="ar-SA"/>
                <w14:ligatures w14:val="none"/>
              </w:rPr>
              <w:t>Target Future State</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6309E699" w14:textId="77777777" w:rsidR="00C660D4" w:rsidRPr="00C660D4" w:rsidRDefault="00C660D4" w:rsidP="00C660D4">
            <w:pPr>
              <w:spacing w:before="120" w:after="120" w:line="276" w:lineRule="auto"/>
              <w:rPr>
                <w:rFonts w:eastAsia="Times New Roman" w:cs="Calibri"/>
                <w:kern w:val="0"/>
                <w:szCs w:val="18"/>
                <w:lang w:eastAsia="en-AU" w:bidi="ar-SA"/>
                <w14:ligatures w14:val="none"/>
              </w:rPr>
            </w:pPr>
            <w:r w:rsidRPr="00C660D4">
              <w:rPr>
                <w:rFonts w:eastAsia="Times New Roman" w:cs="Times New Roman"/>
                <w:kern w:val="0"/>
                <w:szCs w:val="18"/>
                <w:lang w:eastAsia="en-AU" w:bidi="ar-SA"/>
                <w14:ligatures w14:val="none"/>
              </w:rPr>
              <w:t>Supports the collaborative development of a future vision for the Power System and employs the Network of Structures model to interrogate and map the most credible enabling structural interventions to achieve the vision across:</w:t>
            </w:r>
            <w:r w:rsidRPr="00C660D4">
              <w:rPr>
                <w:rFonts w:ascii="Calibri" w:eastAsia="Times New Roman" w:hAnsi="Calibri" w:cs="Calibri"/>
                <w:kern w:val="0"/>
                <w:szCs w:val="18"/>
                <w:lang w:eastAsia="en-AU" w:bidi="ar-SA"/>
                <w14:ligatures w14:val="none"/>
              </w:rPr>
              <w:t> </w:t>
            </w:r>
          </w:p>
          <w:p w14:paraId="0DE069CE"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 xml:space="preserve">Electricity Infrastructure (Power Flows); </w:t>
            </w:r>
          </w:p>
          <w:p w14:paraId="7547BEBA"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Digital Infrastructure (Information/Data Exchange, Storage &amp; Processing);</w:t>
            </w:r>
          </w:p>
          <w:p w14:paraId="5C6CDCEE"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Operational Coordination Structure;</w:t>
            </w:r>
          </w:p>
          <w:p w14:paraId="57647DF0"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Transactional Structure;</w:t>
            </w:r>
            <w:r w:rsidRPr="00C660D4">
              <w:rPr>
                <w:rFonts w:ascii="Calibri" w:eastAsia="Times New Roman" w:hAnsi="Calibri" w:cs="Calibri"/>
                <w:kern w:val="0"/>
                <w:szCs w:val="18"/>
                <w:lang w:eastAsia="en-AU" w:bidi="ar-SA"/>
                <w14:ligatures w14:val="none"/>
              </w:rPr>
              <w:t> </w:t>
            </w:r>
          </w:p>
          <w:p w14:paraId="4540341B"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Industry / Market Structure;</w:t>
            </w:r>
            <w:r w:rsidRPr="00C660D4">
              <w:rPr>
                <w:rFonts w:ascii="Calibri" w:eastAsia="Times New Roman" w:hAnsi="Calibri" w:cs="Calibri"/>
                <w:kern w:val="0"/>
                <w:szCs w:val="18"/>
                <w:lang w:eastAsia="en-AU" w:bidi="ar-SA"/>
                <w14:ligatures w14:val="none"/>
              </w:rPr>
              <w:t> </w:t>
            </w:r>
          </w:p>
          <w:p w14:paraId="4B1BDA6E"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Governance / Regulatory Structure; and,</w:t>
            </w:r>
            <w:r w:rsidRPr="00C660D4">
              <w:rPr>
                <w:rFonts w:ascii="Calibri" w:eastAsia="Times New Roman" w:hAnsi="Calibri" w:cs="Calibri"/>
                <w:kern w:val="0"/>
                <w:szCs w:val="18"/>
                <w:lang w:eastAsia="en-AU" w:bidi="ar-SA"/>
                <w14:ligatures w14:val="none"/>
              </w:rPr>
              <w:t> </w:t>
            </w:r>
          </w:p>
          <w:p w14:paraId="06979A03"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Sector Coupling Structures (Gas, Water, Transport, etc).</w:t>
            </w:r>
            <w:r w:rsidRPr="00C660D4">
              <w:rPr>
                <w:rFonts w:ascii="Calibri" w:eastAsia="Times New Roman" w:hAnsi="Calibri" w:cs="Calibri"/>
                <w:kern w:val="0"/>
                <w:szCs w:val="18"/>
                <w:lang w:eastAsia="en-AU" w:bidi="ar-SA"/>
                <w14:ligatures w14:val="none"/>
              </w:rPr>
              <w:t>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0FC15B9"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Defines target state of the enterprise:</w:t>
            </w:r>
          </w:p>
          <w:p w14:paraId="61DA0943"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Strategic enterprise objectives mapped to capabilities;</w:t>
            </w:r>
            <w:r w:rsidRPr="00C660D4">
              <w:rPr>
                <w:rFonts w:ascii="Calibri" w:eastAsia="Times New Roman" w:hAnsi="Calibri" w:cs="Calibri"/>
                <w:kern w:val="0"/>
                <w:szCs w:val="18"/>
                <w:lang w:eastAsia="en-AU" w:bidi="ar-SA"/>
                <w14:ligatures w14:val="none"/>
              </w:rPr>
              <w:t> </w:t>
            </w:r>
          </w:p>
          <w:p w14:paraId="04A22BE2"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Enterprise principles;</w:t>
            </w:r>
          </w:p>
          <w:p w14:paraId="5C7A2231"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Business Architecture;</w:t>
            </w:r>
          </w:p>
          <w:p w14:paraId="547E8844"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Information System Architecture; and,</w:t>
            </w:r>
            <w:r w:rsidRPr="00C660D4">
              <w:rPr>
                <w:rFonts w:ascii="Calibri" w:eastAsia="Times New Roman" w:hAnsi="Calibri" w:cs="Calibri"/>
                <w:kern w:val="0"/>
                <w:szCs w:val="18"/>
                <w:lang w:eastAsia="en-AU" w:bidi="ar-SA"/>
                <w14:ligatures w14:val="none"/>
              </w:rPr>
              <w:t> </w:t>
            </w:r>
          </w:p>
          <w:p w14:paraId="153E8A13" w14:textId="77777777" w:rsidR="00C660D4" w:rsidRPr="00C660D4" w:rsidRDefault="00C660D4" w:rsidP="00954BAC">
            <w:pPr>
              <w:numPr>
                <w:ilvl w:val="0"/>
                <w:numId w:val="95"/>
              </w:numPr>
              <w:spacing w:before="120" w:after="120" w:line="276" w:lineRule="auto"/>
              <w:ind w:left="322" w:hanging="283"/>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Technology Architecture.</w:t>
            </w:r>
            <w:r w:rsidRPr="00C660D4">
              <w:rPr>
                <w:rFonts w:ascii="Calibri" w:eastAsia="Times New Roman" w:hAnsi="Calibri" w:cs="Calibri"/>
                <w:kern w:val="0"/>
                <w:szCs w:val="18"/>
                <w:lang w:eastAsia="en-AU" w:bidi="ar-SA"/>
                <w14:ligatures w14:val="none"/>
              </w:rPr>
              <w:t> </w:t>
            </w:r>
          </w:p>
        </w:tc>
      </w:tr>
      <w:tr w:rsidR="00C660D4" w:rsidRPr="00C660D4" w14:paraId="57322450" w14:textId="77777777" w:rsidTr="00E52F89">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0D7FFCAF" w14:textId="77777777" w:rsidR="00C660D4" w:rsidRPr="00C660D4" w:rsidRDefault="00C660D4" w:rsidP="00C660D4">
            <w:pPr>
              <w:spacing w:before="120" w:after="120" w:line="276" w:lineRule="auto"/>
              <w:jc w:val="center"/>
              <w:rPr>
                <w:rFonts w:eastAsia="Times New Roman" w:cs="Times New Roman"/>
                <w:b/>
                <w:color w:val="FAFAFA" w:themeColor="background1"/>
                <w:kern w:val="0"/>
                <w:szCs w:val="18"/>
                <w:lang w:eastAsia="en-AU" w:bidi="ar-SA"/>
                <w14:ligatures w14:val="none"/>
              </w:rPr>
            </w:pPr>
            <w:r w:rsidRPr="00C660D4">
              <w:rPr>
                <w:rFonts w:eastAsia="Times New Roman" w:cs="Times New Roman"/>
                <w:b/>
                <w:color w:val="FAFAFA" w:themeColor="background1"/>
                <w:kern w:val="0"/>
                <w:szCs w:val="18"/>
                <w:lang w:eastAsia="en-AU" w:bidi="ar-SA"/>
                <w14:ligatures w14:val="none"/>
              </w:rPr>
              <w:t>Transition Planning</w:t>
            </w:r>
          </w:p>
        </w:tc>
        <w:tc>
          <w:tcPr>
            <w:tcW w:w="3544" w:type="dxa"/>
            <w:tcBorders>
              <w:top w:val="single" w:sz="4" w:space="0" w:color="auto"/>
              <w:left w:val="single" w:sz="4" w:space="0" w:color="auto"/>
              <w:bottom w:val="single" w:sz="4" w:space="0" w:color="auto"/>
              <w:right w:val="single" w:sz="4" w:space="0" w:color="auto"/>
            </w:tcBorders>
          </w:tcPr>
          <w:p w14:paraId="020D6FFD"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Provides a framework underpinning the progressive transition of a GW-scale Power System from its historical current state to the desired future state.</w:t>
            </w:r>
            <w:r w:rsidRPr="00C660D4">
              <w:rPr>
                <w:rFonts w:ascii="Calibri" w:eastAsia="Times New Roman" w:hAnsi="Calibri" w:cs="Calibri"/>
                <w:kern w:val="0"/>
                <w:szCs w:val="18"/>
                <w:lang w:eastAsia="en-AU" w:bidi="ar-SA"/>
                <w14:ligatures w14:val="none"/>
              </w:rPr>
              <w:t> </w:t>
            </w:r>
            <w:r w:rsidRPr="00C660D4">
              <w:rPr>
                <w:rFonts w:eastAsia="Times New Roman" w:cs="Times New Roman"/>
                <w:kern w:val="0"/>
                <w:szCs w:val="18"/>
                <w:lang w:eastAsia="en-AU" w:bidi="ar-SA"/>
                <w14:ligatures w14:val="none"/>
              </w:rPr>
              <w:t xml:space="preserve"> </w:t>
            </w:r>
            <w:r w:rsidRPr="00C660D4">
              <w:rPr>
                <w:rFonts w:ascii="Calibri" w:eastAsia="Times New Roman" w:hAnsi="Calibri" w:cs="Calibri"/>
                <w:kern w:val="0"/>
                <w:szCs w:val="18"/>
                <w:lang w:eastAsia="en-AU" w:bidi="ar-SA"/>
                <w14:ligatures w14:val="none"/>
              </w:rPr>
              <w:t>  </w:t>
            </w:r>
          </w:p>
        </w:tc>
        <w:tc>
          <w:tcPr>
            <w:tcW w:w="3402" w:type="dxa"/>
            <w:tcBorders>
              <w:top w:val="single" w:sz="4" w:space="0" w:color="auto"/>
              <w:left w:val="single" w:sz="4" w:space="0" w:color="auto"/>
              <w:bottom w:val="single" w:sz="4" w:space="0" w:color="auto"/>
              <w:right w:val="single" w:sz="4" w:space="0" w:color="auto"/>
            </w:tcBorders>
          </w:tcPr>
          <w:p w14:paraId="588DE90B" w14:textId="77777777" w:rsidR="00C660D4" w:rsidRPr="00C660D4" w:rsidRDefault="00C660D4" w:rsidP="00C660D4">
            <w:pPr>
              <w:spacing w:before="120" w:after="120" w:line="276" w:lineRule="auto"/>
              <w:rPr>
                <w:rFonts w:eastAsia="Times New Roman" w:cs="Times New Roman"/>
                <w:kern w:val="0"/>
                <w:szCs w:val="18"/>
                <w:lang w:eastAsia="en-AU" w:bidi="ar-SA"/>
                <w14:ligatures w14:val="none"/>
              </w:rPr>
            </w:pPr>
            <w:r w:rsidRPr="00C660D4">
              <w:rPr>
                <w:rFonts w:eastAsia="Times New Roman" w:cs="Times New Roman"/>
                <w:kern w:val="0"/>
                <w:szCs w:val="18"/>
                <w:lang w:eastAsia="en-AU" w:bidi="ar-SA"/>
                <w14:ligatures w14:val="none"/>
              </w:rPr>
              <w:t>Develop enterprise roadmap to move from current state to target future state.</w:t>
            </w:r>
          </w:p>
        </w:tc>
      </w:tr>
    </w:tbl>
    <w:p w14:paraId="39A7EF53" w14:textId="77777777" w:rsidR="00C660D4" w:rsidRPr="00C660D4" w:rsidRDefault="00C660D4" w:rsidP="00C660D4">
      <w:pPr>
        <w:spacing w:before="0" w:after="160" w:line="259" w:lineRule="auto"/>
        <w:rPr>
          <w:rFonts w:ascii="PP Mori SemiBold" w:eastAsiaTheme="majorEastAsia" w:hAnsi="PP Mori SemiBold" w:cstheme="majorBidi"/>
          <w:color w:val="013C4C" w:themeColor="text1"/>
          <w:sz w:val="32"/>
          <w:szCs w:val="40"/>
          <w:highlight w:val="yellow"/>
        </w:rPr>
      </w:pPr>
    </w:p>
    <w:p w14:paraId="7A9509F5" w14:textId="77777777" w:rsidR="00C660D4" w:rsidRPr="00C660D4" w:rsidRDefault="00C660D4" w:rsidP="00C660D4">
      <w:pPr>
        <w:rPr>
          <w:highlight w:val="yellow"/>
        </w:rPr>
      </w:pPr>
    </w:p>
    <w:p w14:paraId="42ABEECB" w14:textId="77777777" w:rsidR="00C660D4" w:rsidRPr="00C660D4" w:rsidRDefault="00C660D4" w:rsidP="00C660D4">
      <w:pPr>
        <w:spacing w:before="0" w:after="160" w:line="259" w:lineRule="auto"/>
        <w:rPr>
          <w:rFonts w:ascii="PP Mori SemiBold" w:eastAsiaTheme="majorEastAsia" w:hAnsi="PP Mori SemiBold" w:cstheme="majorBidi"/>
          <w:color w:val="013C4C" w:themeColor="text1"/>
          <w:sz w:val="32"/>
          <w:szCs w:val="40"/>
        </w:rPr>
      </w:pPr>
    </w:p>
    <w:p w14:paraId="415FA90F" w14:textId="77777777" w:rsidR="00C660D4" w:rsidRPr="00C660D4" w:rsidRDefault="00C660D4" w:rsidP="00C660D4">
      <w:pPr>
        <w:spacing w:before="180" w:after="60" w:line="264" w:lineRule="auto"/>
        <w:rPr>
          <w:lang w:val="en-GB"/>
        </w:rPr>
      </w:pPr>
    </w:p>
    <w:p w14:paraId="7CA5BD91" w14:textId="77777777" w:rsidR="00637449" w:rsidRPr="002F2243" w:rsidRDefault="00637449" w:rsidP="00EB2823">
      <w:pPr>
        <w:spacing w:after="160" w:line="264" w:lineRule="auto"/>
        <w:rPr>
          <w:rFonts w:eastAsiaTheme="majorEastAsia" w:cstheme="majorBidi"/>
          <w:spacing w:val="-10"/>
          <w:kern w:val="28"/>
          <w:sz w:val="40"/>
          <w:szCs w:val="44"/>
        </w:rPr>
      </w:pPr>
    </w:p>
    <w:sectPr w:rsidR="00637449" w:rsidRPr="002F2243" w:rsidSect="00C20AD9">
      <w:pgSz w:w="11906" w:h="16838"/>
      <w:pgMar w:top="2552" w:right="1134" w:bottom="851"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F5346" w14:textId="77777777" w:rsidR="003B2283" w:rsidRDefault="003B2283" w:rsidP="00714A61">
      <w:pPr>
        <w:spacing w:before="0" w:after="0" w:line="240" w:lineRule="auto"/>
      </w:pPr>
      <w:r>
        <w:separator/>
      </w:r>
    </w:p>
  </w:endnote>
  <w:endnote w:type="continuationSeparator" w:id="0">
    <w:p w14:paraId="577D0783" w14:textId="77777777" w:rsidR="003B2283" w:rsidRDefault="003B2283" w:rsidP="00714A61">
      <w:pPr>
        <w:spacing w:before="0" w:after="0" w:line="240" w:lineRule="auto"/>
      </w:pPr>
      <w:r>
        <w:continuationSeparator/>
      </w:r>
    </w:p>
  </w:endnote>
  <w:endnote w:type="continuationNotice" w:id="1">
    <w:p w14:paraId="015911F0" w14:textId="77777777" w:rsidR="003B2283" w:rsidRDefault="003B22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P Mori">
    <w:panose1 w:val="00000500000000000000"/>
    <w:charset w:val="00"/>
    <w:family w:val="modern"/>
    <w:notTrueType/>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PP Mori SemiBold">
    <w:panose1 w:val="000007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P Mori ExtraLight">
    <w:panose1 w:val="000002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eightSans Pro Book">
    <w:altName w:val="Calibri"/>
    <w:panose1 w:val="00000000000000000000"/>
    <w:charset w:val="00"/>
    <w:family w:val="modern"/>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114035"/>
      <w:docPartObj>
        <w:docPartGallery w:val="Page Numbers (Bottom of Page)"/>
        <w:docPartUnique/>
      </w:docPartObj>
    </w:sdtPr>
    <w:sdtContent>
      <w:p w14:paraId="5F1C5BAF" w14:textId="46BC9C19" w:rsidR="00E84D6B" w:rsidRDefault="00E84D6B">
        <w:pPr>
          <w:pStyle w:val="Footer"/>
          <w:jc w:val="right"/>
        </w:pPr>
        <w:r>
          <w:fldChar w:fldCharType="begin"/>
        </w:r>
        <w:r>
          <w:instrText>PAGE   \* MERGEFORMAT</w:instrText>
        </w:r>
        <w:r>
          <w:fldChar w:fldCharType="separate"/>
        </w:r>
        <w:r w:rsidRPr="002C72C2">
          <w:t>2</w:t>
        </w:r>
        <w:r>
          <w:fldChar w:fldCharType="end"/>
        </w:r>
      </w:p>
    </w:sdtContent>
  </w:sdt>
  <w:p w14:paraId="351E73CE" w14:textId="77777777" w:rsidR="00E84D6B" w:rsidRDefault="00E84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0E739" w14:textId="77777777" w:rsidR="003B2283" w:rsidRDefault="003B2283" w:rsidP="00714A61">
      <w:pPr>
        <w:spacing w:before="0" w:after="0" w:line="240" w:lineRule="auto"/>
      </w:pPr>
      <w:r>
        <w:separator/>
      </w:r>
    </w:p>
  </w:footnote>
  <w:footnote w:type="continuationSeparator" w:id="0">
    <w:p w14:paraId="0CC50F84" w14:textId="77777777" w:rsidR="003B2283" w:rsidRDefault="003B2283" w:rsidP="00714A61">
      <w:pPr>
        <w:spacing w:before="0" w:after="0" w:line="240" w:lineRule="auto"/>
      </w:pPr>
      <w:r>
        <w:continuationSeparator/>
      </w:r>
    </w:p>
  </w:footnote>
  <w:footnote w:type="continuationNotice" w:id="1">
    <w:p w14:paraId="7B0EEE1B" w14:textId="77777777" w:rsidR="003B2283" w:rsidRDefault="003B2283">
      <w:pPr>
        <w:spacing w:before="0" w:after="0" w:line="240" w:lineRule="auto"/>
      </w:pPr>
    </w:p>
  </w:footnote>
  <w:footnote w:id="2">
    <w:p w14:paraId="5706A863" w14:textId="51B84538" w:rsidR="00874F0D" w:rsidRPr="00874F0D" w:rsidRDefault="00874F0D">
      <w:pPr>
        <w:pStyle w:val="FootnoteText"/>
      </w:pPr>
      <w:r w:rsidRPr="00DA0CA5">
        <w:rPr>
          <w:rStyle w:val="FootnoteReference"/>
        </w:rPr>
        <w:footnoteRef/>
      </w:r>
      <w:r w:rsidRPr="00DA0CA5">
        <w:t xml:space="preserve"> </w:t>
      </w:r>
      <w:r w:rsidRPr="00DA0CA5">
        <w:rPr>
          <w:rFonts w:cs="Segoe UI"/>
          <w:sz w:val="16"/>
          <w:szCs w:val="22"/>
          <w:shd w:val="clear" w:color="auto" w:fill="FFFFFF"/>
        </w:rPr>
        <w:t>A necessary material change to the structural and functional arrangements of a system. It requires a significant departure from the original structural and functional design of the system.  Refer also to Key Concepts A</w:t>
      </w:r>
      <w:r w:rsidR="00DA0CA5" w:rsidRPr="00DA0CA5">
        <w:rPr>
          <w:rFonts w:cs="Segoe UI"/>
          <w:sz w:val="16"/>
          <w:szCs w:val="22"/>
          <w:shd w:val="clear" w:color="auto" w:fill="FFFFFF"/>
        </w:rPr>
        <w:t>.</w:t>
      </w:r>
    </w:p>
  </w:footnote>
  <w:footnote w:id="3">
    <w:p w14:paraId="62CEAD0D" w14:textId="77777777" w:rsidR="005007D5" w:rsidRPr="00134F56" w:rsidRDefault="005007D5" w:rsidP="005007D5">
      <w:pPr>
        <w:pStyle w:val="Default"/>
      </w:pPr>
      <w:r w:rsidRPr="00CD2CD9">
        <w:rPr>
          <w:rStyle w:val="FootnoteReference"/>
          <w:rFonts w:ascii="PP Mori" w:eastAsia="DengXian" w:hAnsi="PP Mori" w:cstheme="minorBidi"/>
          <w:color w:val="auto"/>
          <w:kern w:val="24"/>
          <w:sz w:val="18"/>
          <w:szCs w:val="18"/>
          <w:lang w:eastAsia="en-AU"/>
        </w:rPr>
        <w:footnoteRef/>
      </w:r>
      <w:r w:rsidRPr="00CD2CD9">
        <w:rPr>
          <w:rStyle w:val="FootnoteReference"/>
          <w:rFonts w:ascii="PP Mori" w:eastAsia="DengXian" w:hAnsi="PP Mori" w:cstheme="minorBidi"/>
          <w:color w:val="auto"/>
          <w:kern w:val="24"/>
          <w:sz w:val="18"/>
          <w:szCs w:val="18"/>
          <w:lang w:eastAsia="en-AU"/>
        </w:rPr>
        <w:t xml:space="preserve"> </w:t>
      </w:r>
      <w:r w:rsidRPr="00AA4F03">
        <w:rPr>
          <w:rFonts w:ascii="PP Mori" w:hAnsi="PP Mori"/>
          <w:sz w:val="16"/>
          <w:szCs w:val="22"/>
        </w:rPr>
        <w:t>For example, the National Consumer Energy Resources Roadmap, the Review of Market Settings in the National Electricity Market and the recently completed CER Data Exchange Industry Co-Design.</w:t>
      </w:r>
      <w:r w:rsidRPr="00AA4F03">
        <w:rPr>
          <w:sz w:val="16"/>
          <w:szCs w:val="22"/>
        </w:rPr>
        <w:t xml:space="preserve"> </w:t>
      </w:r>
    </w:p>
  </w:footnote>
  <w:footnote w:id="4">
    <w:p w14:paraId="3E80EC89" w14:textId="0111ACA9" w:rsidR="0061721A" w:rsidRPr="0061721A" w:rsidRDefault="0061721A">
      <w:pPr>
        <w:pStyle w:val="FootnoteText"/>
      </w:pPr>
      <w:r w:rsidRPr="004C7E11">
        <w:rPr>
          <w:rStyle w:val="FootnoteReference"/>
        </w:rPr>
        <w:footnoteRef/>
      </w:r>
      <w:r w:rsidRPr="004C7E11">
        <w:t xml:space="preserve"> </w:t>
      </w:r>
      <w:r w:rsidR="00CD2F17" w:rsidRPr="004C7E11">
        <w:rPr>
          <w:sz w:val="16"/>
          <w:szCs w:val="22"/>
        </w:rPr>
        <w:t>Refer</w:t>
      </w:r>
      <w:r w:rsidR="002C55B2" w:rsidRPr="004C7E11">
        <w:rPr>
          <w:sz w:val="16"/>
          <w:szCs w:val="22"/>
        </w:rPr>
        <w:t xml:space="preserve"> to</w:t>
      </w:r>
      <w:r w:rsidR="00CD2F17" w:rsidRPr="004C7E11">
        <w:rPr>
          <w:sz w:val="16"/>
          <w:szCs w:val="22"/>
        </w:rPr>
        <w:t xml:space="preserve"> Key Concepts A</w:t>
      </w:r>
      <w:r w:rsidR="002C55B2" w:rsidRPr="004C7E11">
        <w:rPr>
          <w:sz w:val="16"/>
          <w:szCs w:val="22"/>
        </w:rPr>
        <w:t>.</w:t>
      </w:r>
    </w:p>
  </w:footnote>
  <w:footnote w:id="5">
    <w:p w14:paraId="5C8D9520" w14:textId="45E388C9" w:rsidR="001F662A" w:rsidRPr="001F662A" w:rsidRDefault="001F662A">
      <w:pPr>
        <w:pStyle w:val="FootnoteText"/>
        <w:rPr>
          <w:lang w:val="en-GB"/>
        </w:rPr>
      </w:pPr>
      <w:r w:rsidRPr="00F25149">
        <w:rPr>
          <w:rStyle w:val="FootnoteReference"/>
        </w:rPr>
        <w:footnoteRef/>
      </w:r>
      <w:r w:rsidRPr="00F25149">
        <w:t xml:space="preserve"> </w:t>
      </w:r>
      <w:r w:rsidRPr="00F25149">
        <w:rPr>
          <w:sz w:val="16"/>
          <w:szCs w:val="22"/>
          <w:lang w:val="en-GB"/>
        </w:rPr>
        <w:t>Refer Key Concept</w:t>
      </w:r>
      <w:r w:rsidR="00931AC4" w:rsidRPr="00F25149">
        <w:rPr>
          <w:sz w:val="16"/>
          <w:szCs w:val="22"/>
          <w:lang w:val="en-GB"/>
        </w:rPr>
        <w:t xml:space="preserve"> </w:t>
      </w:r>
      <w:r w:rsidR="00F25149" w:rsidRPr="00F25149">
        <w:rPr>
          <w:sz w:val="16"/>
          <w:szCs w:val="22"/>
          <w:lang w:val="en-GB"/>
        </w:rPr>
        <w:t>F.</w:t>
      </w:r>
      <w:r w:rsidRPr="001F662A">
        <w:rPr>
          <w:sz w:val="16"/>
          <w:szCs w:val="22"/>
          <w:lang w:val="en-GB"/>
        </w:rPr>
        <w:t xml:space="preserve"> </w:t>
      </w:r>
    </w:p>
  </w:footnote>
  <w:footnote w:id="6">
    <w:p w14:paraId="511229EB" w14:textId="18ADDBFC" w:rsidR="00A90851" w:rsidRPr="00A90851" w:rsidRDefault="00A90851">
      <w:pPr>
        <w:pStyle w:val="FootnoteText"/>
      </w:pPr>
      <w:r w:rsidRPr="00CD6BC3">
        <w:rPr>
          <w:rStyle w:val="FootnoteReference"/>
        </w:rPr>
        <w:footnoteRef/>
      </w:r>
      <w:r w:rsidRPr="00CD6BC3">
        <w:t xml:space="preserve"> </w:t>
      </w:r>
      <w:r w:rsidRPr="00CD6BC3">
        <w:rPr>
          <w:sz w:val="16"/>
          <w:szCs w:val="22"/>
        </w:rPr>
        <w:t xml:space="preserve">Refer to Key Concepts </w:t>
      </w:r>
      <w:r w:rsidR="00CD6BC3" w:rsidRPr="00CD6BC3">
        <w:rPr>
          <w:sz w:val="16"/>
          <w:szCs w:val="22"/>
        </w:rPr>
        <w:t>H.</w:t>
      </w:r>
    </w:p>
  </w:footnote>
  <w:footnote w:id="7">
    <w:p w14:paraId="2B8E16CB" w14:textId="1AE43989" w:rsidR="00BF205A" w:rsidRPr="00BF205A" w:rsidRDefault="00E316E0" w:rsidP="004F364D">
      <w:pPr>
        <w:spacing w:before="0" w:after="0" w:line="240" w:lineRule="auto"/>
      </w:pPr>
      <w:r w:rsidRPr="008B5DD3">
        <w:rPr>
          <w:rStyle w:val="FootnoteReference"/>
        </w:rPr>
        <w:footnoteRef/>
      </w:r>
      <w:r w:rsidRPr="008B5DD3">
        <w:rPr>
          <w:sz w:val="16"/>
          <w:szCs w:val="24"/>
        </w:rPr>
        <w:t xml:space="preserve"> </w:t>
      </w:r>
      <w:r w:rsidR="00AB07B0" w:rsidRPr="008B5DD3">
        <w:rPr>
          <w:sz w:val="16"/>
          <w:szCs w:val="24"/>
        </w:rPr>
        <w:t xml:space="preserve">Refer to </w:t>
      </w:r>
      <w:r w:rsidR="006947D5" w:rsidRPr="008B5DD3">
        <w:rPr>
          <w:sz w:val="16"/>
          <w:szCs w:val="24"/>
        </w:rPr>
        <w:t xml:space="preserve">Key Concepts </w:t>
      </w:r>
      <w:r w:rsidR="008B5DD3" w:rsidRPr="008B5DD3">
        <w:rPr>
          <w:sz w:val="16"/>
          <w:szCs w:val="24"/>
        </w:rPr>
        <w:t>D.</w:t>
      </w:r>
    </w:p>
  </w:footnote>
  <w:footnote w:id="8">
    <w:p w14:paraId="1BD78EAD" w14:textId="044B24D6" w:rsidR="008C69A4" w:rsidRPr="008C69A4" w:rsidRDefault="008C69A4">
      <w:pPr>
        <w:pStyle w:val="FootnoteText"/>
      </w:pPr>
      <w:r w:rsidRPr="00A20532">
        <w:rPr>
          <w:rStyle w:val="FootnoteReference"/>
        </w:rPr>
        <w:footnoteRef/>
      </w:r>
      <w:r>
        <w:t xml:space="preserve"> </w:t>
      </w:r>
      <w:r w:rsidRPr="00CD2F17">
        <w:rPr>
          <w:sz w:val="16"/>
          <w:szCs w:val="24"/>
        </w:rPr>
        <w:t xml:space="preserve">Refer to Key Concepts </w:t>
      </w:r>
      <w:r w:rsidR="008B5DD3">
        <w:rPr>
          <w:sz w:val="16"/>
          <w:szCs w:val="24"/>
        </w:rPr>
        <w:t>D.</w:t>
      </w:r>
    </w:p>
  </w:footnote>
  <w:footnote w:id="9">
    <w:p w14:paraId="78FCB87B" w14:textId="69C2FF84" w:rsidR="00A20229" w:rsidRPr="00A20229" w:rsidRDefault="00A20229">
      <w:pPr>
        <w:pStyle w:val="FootnoteText"/>
      </w:pPr>
      <w:r w:rsidRPr="00A20532">
        <w:rPr>
          <w:rStyle w:val="FootnoteReference"/>
        </w:rPr>
        <w:footnoteRef/>
      </w:r>
      <w:r>
        <w:t xml:space="preserve"> </w:t>
      </w:r>
      <w:r w:rsidR="00B963DD">
        <w:rPr>
          <w:sz w:val="16"/>
          <w:szCs w:val="22"/>
        </w:rPr>
        <w:t xml:space="preserve">Refer to Key Concepts </w:t>
      </w:r>
      <w:r w:rsidR="00337C80">
        <w:rPr>
          <w:sz w:val="16"/>
          <w:szCs w:val="22"/>
        </w:rPr>
        <w:t>E.</w:t>
      </w:r>
      <w:r w:rsidR="00B963DD">
        <w:rPr>
          <w:sz w:val="16"/>
          <w:szCs w:val="22"/>
        </w:rPr>
        <w:t xml:space="preserve"> </w:t>
      </w:r>
    </w:p>
  </w:footnote>
  <w:footnote w:id="10">
    <w:p w14:paraId="69433D40" w14:textId="1637843E" w:rsidR="008911D2" w:rsidRPr="008911D2" w:rsidRDefault="008911D2">
      <w:pPr>
        <w:pStyle w:val="FootnoteText"/>
      </w:pPr>
      <w:r w:rsidRPr="00A20532">
        <w:rPr>
          <w:rStyle w:val="FootnoteReference"/>
        </w:rPr>
        <w:footnoteRef/>
      </w:r>
      <w:r w:rsidRPr="001D6DAD">
        <w:t xml:space="preserve"> </w:t>
      </w:r>
      <w:r w:rsidRPr="001D6DAD">
        <w:rPr>
          <w:sz w:val="16"/>
          <w:szCs w:val="22"/>
        </w:rPr>
        <w:t xml:space="preserve">Refer to Key Concepts </w:t>
      </w:r>
      <w:r w:rsidR="001D6DAD" w:rsidRPr="001D6DAD">
        <w:rPr>
          <w:sz w:val="16"/>
          <w:szCs w:val="22"/>
        </w:rPr>
        <w:t>C</w:t>
      </w:r>
      <w:r w:rsidR="003535D2">
        <w:rPr>
          <w:sz w:val="16"/>
          <w:szCs w:val="22"/>
        </w:rPr>
        <w:t xml:space="preserve">. </w:t>
      </w:r>
    </w:p>
  </w:footnote>
  <w:footnote w:id="11">
    <w:p w14:paraId="02CEDA90" w14:textId="2152D6A3" w:rsidR="00BB57CD" w:rsidRPr="00BB57CD" w:rsidRDefault="00BB57CD" w:rsidP="006E540D">
      <w:pPr>
        <w:pStyle w:val="pf0"/>
        <w:spacing w:before="0" w:beforeAutospacing="0" w:after="0" w:afterAutospacing="0"/>
      </w:pPr>
      <w:r w:rsidRPr="00023DDF">
        <w:rPr>
          <w:rStyle w:val="FootnoteReference"/>
          <w:rFonts w:eastAsiaTheme="minorEastAsia"/>
        </w:rPr>
        <w:footnoteRef/>
      </w:r>
      <w:r w:rsidRPr="00AA1FC0">
        <w:rPr>
          <w:rStyle w:val="FootnoteReference"/>
          <w:rFonts w:ascii="PP Mori" w:eastAsiaTheme="minorEastAsia" w:hAnsi="PP Mori" w:cstheme="minorBidi"/>
          <w:kern w:val="2"/>
          <w:sz w:val="20"/>
          <w:szCs w:val="25"/>
          <w14:ligatures w14:val="standardContextual"/>
        </w:rPr>
        <w:t xml:space="preserve"> </w:t>
      </w:r>
      <w:r w:rsidRPr="002C72C2">
        <w:rPr>
          <w:rFonts w:ascii="PP Mori" w:eastAsiaTheme="minorEastAsia" w:hAnsi="PP Mori" w:cstheme="minorBidi"/>
          <w:kern w:val="2"/>
          <w:sz w:val="16"/>
          <w:szCs w:val="18"/>
          <w:lang w:eastAsia="en-US" w:bidi="ar-SA"/>
          <w14:ligatures w14:val="standardContextual"/>
        </w:rPr>
        <w:t>Both temporal resolution and lead time need to be considered. The data that is input to forecasting or dispatch plans is needed far enough in advance to be able to use it. Data used for feedback control must have sufficiently bounded latency for loop stability.</w:t>
      </w:r>
    </w:p>
  </w:footnote>
  <w:footnote w:id="12">
    <w:p w14:paraId="5102919D" w14:textId="1274DA33" w:rsidR="000A6AC7" w:rsidRPr="000A6AC7" w:rsidRDefault="000A6AC7">
      <w:pPr>
        <w:pStyle w:val="FootnoteText"/>
        <w:rPr>
          <w:lang w:val="en-GB"/>
        </w:rPr>
      </w:pPr>
      <w:r>
        <w:rPr>
          <w:rStyle w:val="FootnoteReference"/>
        </w:rPr>
        <w:footnoteRef/>
      </w:r>
      <w:r>
        <w:t xml:space="preserve"> </w:t>
      </w:r>
      <w:r w:rsidRPr="000A6AC7">
        <w:rPr>
          <w:sz w:val="16"/>
          <w:szCs w:val="16"/>
          <w:lang w:eastAsia="en-US" w:bidi="ar-SA"/>
        </w:rPr>
        <w:t>I</w:t>
      </w:r>
      <w:r>
        <w:rPr>
          <w:sz w:val="16"/>
          <w:szCs w:val="16"/>
          <w:lang w:eastAsia="en-US" w:bidi="ar-SA"/>
        </w:rPr>
        <w:t xml:space="preserve">t is important to </w:t>
      </w:r>
      <w:r w:rsidR="00930729">
        <w:rPr>
          <w:sz w:val="16"/>
          <w:szCs w:val="16"/>
          <w:lang w:eastAsia="en-US" w:bidi="ar-SA"/>
        </w:rPr>
        <w:t xml:space="preserve">note that in </w:t>
      </w:r>
      <w:r w:rsidRPr="000A6AC7">
        <w:rPr>
          <w:sz w:val="16"/>
          <w:szCs w:val="16"/>
          <w:lang w:eastAsia="en-US" w:bidi="ar-SA"/>
        </w:rPr>
        <w:t>this context, computation resources grow exponentially or even faster (factorially) relative to the amount of data required to be processed</w:t>
      </w:r>
      <w:r w:rsidR="002C2526">
        <w:rPr>
          <w:sz w:val="16"/>
          <w:szCs w:val="16"/>
          <w:lang w:eastAsia="en-US" w:bidi="ar-SA"/>
        </w:rPr>
        <w:t xml:space="preserve">.  This results in a </w:t>
      </w:r>
      <w:r w:rsidRPr="000A6AC7">
        <w:rPr>
          <w:sz w:val="16"/>
          <w:szCs w:val="16"/>
          <w:lang w:eastAsia="en-US" w:bidi="ar-SA"/>
        </w:rPr>
        <w:t>self-perpetuating pattern of rising computation cost and computation power for less return on investment.  As a GW-scale power system is a highly complex cyber-physical system</w:t>
      </w:r>
      <w:r w:rsidR="00235C99">
        <w:rPr>
          <w:sz w:val="16"/>
          <w:szCs w:val="16"/>
          <w:lang w:eastAsia="en-US" w:bidi="ar-SA"/>
        </w:rPr>
        <w:t xml:space="preserve"> (</w:t>
      </w:r>
      <w:r w:rsidRPr="000A6AC7">
        <w:rPr>
          <w:sz w:val="16"/>
          <w:szCs w:val="16"/>
          <w:lang w:eastAsia="en-US" w:bidi="ar-SA"/>
        </w:rPr>
        <w:t xml:space="preserve">not </w:t>
      </w:r>
      <w:r w:rsidR="00235C99">
        <w:rPr>
          <w:sz w:val="16"/>
          <w:szCs w:val="16"/>
          <w:lang w:eastAsia="en-US" w:bidi="ar-SA"/>
        </w:rPr>
        <w:t xml:space="preserve">only </w:t>
      </w:r>
      <w:r w:rsidRPr="000A6AC7">
        <w:rPr>
          <w:sz w:val="16"/>
          <w:szCs w:val="16"/>
          <w:lang w:eastAsia="en-US" w:bidi="ar-SA"/>
        </w:rPr>
        <w:t>a digital system</w:t>
      </w:r>
      <w:r w:rsidR="00235C99">
        <w:rPr>
          <w:sz w:val="16"/>
          <w:szCs w:val="16"/>
          <w:lang w:eastAsia="en-US" w:bidi="ar-SA"/>
        </w:rPr>
        <w:t>)</w:t>
      </w:r>
      <w:r w:rsidR="005E227F">
        <w:rPr>
          <w:sz w:val="16"/>
          <w:szCs w:val="16"/>
          <w:lang w:eastAsia="en-US" w:bidi="ar-SA"/>
        </w:rPr>
        <w:t xml:space="preserve"> deployed over a wide area and involving many separate entities, t</w:t>
      </w:r>
      <w:r w:rsidRPr="000A6AC7">
        <w:rPr>
          <w:sz w:val="16"/>
          <w:szCs w:val="16"/>
          <w:lang w:eastAsia="en-US" w:bidi="ar-SA"/>
        </w:rPr>
        <w:t>hese effects are compounded where there is a failure to address the underlying structural root causes.</w:t>
      </w:r>
      <w:r>
        <w:rPr>
          <w:lang w:eastAsia="en-US" w:bidi="ar-SA"/>
        </w:rPr>
        <w:t xml:space="preserve">  </w:t>
      </w:r>
    </w:p>
  </w:footnote>
  <w:footnote w:id="13">
    <w:p w14:paraId="5B064DFC" w14:textId="1DFE9D31" w:rsidR="001F662A" w:rsidRPr="001F662A" w:rsidRDefault="001F662A">
      <w:pPr>
        <w:pStyle w:val="FootnoteText"/>
      </w:pPr>
      <w:r w:rsidRPr="00A20532">
        <w:rPr>
          <w:rStyle w:val="FootnoteReference"/>
        </w:rPr>
        <w:footnoteRef/>
      </w:r>
      <w:r w:rsidRPr="005E5836">
        <w:t xml:space="preserve"> </w:t>
      </w:r>
      <w:r w:rsidR="005E5836" w:rsidRPr="005E5836">
        <w:rPr>
          <w:sz w:val="16"/>
          <w:szCs w:val="22"/>
        </w:rPr>
        <w:t xml:space="preserve">Refer Key Concepts G. </w:t>
      </w:r>
    </w:p>
  </w:footnote>
  <w:footnote w:id="14">
    <w:p w14:paraId="18D009C3" w14:textId="77777777" w:rsidR="00986F53" w:rsidRPr="001D116D" w:rsidRDefault="00986F53" w:rsidP="00986F53">
      <w:pPr>
        <w:pStyle w:val="FootnoteText"/>
      </w:pPr>
      <w:r>
        <w:rPr>
          <w:rStyle w:val="FootnoteReference"/>
        </w:rPr>
        <w:footnoteRef/>
      </w:r>
      <w:r>
        <w:t xml:space="preserve"> </w:t>
      </w:r>
      <w:r w:rsidRPr="000A6AC7">
        <w:rPr>
          <w:sz w:val="16"/>
          <w:szCs w:val="16"/>
          <w:lang w:eastAsia="en-US" w:bidi="ar-SA"/>
        </w:rPr>
        <w:t>I</w:t>
      </w:r>
      <w:r>
        <w:rPr>
          <w:sz w:val="16"/>
          <w:szCs w:val="16"/>
          <w:lang w:eastAsia="en-US" w:bidi="ar-SA"/>
        </w:rPr>
        <w:t xml:space="preserve">t is important to note that in </w:t>
      </w:r>
      <w:r w:rsidRPr="000A6AC7">
        <w:rPr>
          <w:sz w:val="16"/>
          <w:szCs w:val="16"/>
          <w:lang w:eastAsia="en-US" w:bidi="ar-SA"/>
        </w:rPr>
        <w:t>this context, computation resources grow exponentially or even faster (factorially) relative to the amount of data required to be processed</w:t>
      </w:r>
      <w:r>
        <w:rPr>
          <w:sz w:val="16"/>
          <w:szCs w:val="16"/>
          <w:lang w:eastAsia="en-US" w:bidi="ar-SA"/>
        </w:rPr>
        <w:t xml:space="preserve">.  This results in a </w:t>
      </w:r>
      <w:r w:rsidRPr="000A6AC7">
        <w:rPr>
          <w:sz w:val="16"/>
          <w:szCs w:val="16"/>
          <w:lang w:eastAsia="en-US" w:bidi="ar-SA"/>
        </w:rPr>
        <w:t>self-perpetuating pattern of rising computation cost and computation power for less return on investment.  As a GW-scale power system is a highly complex cyber-physical system</w:t>
      </w:r>
      <w:r>
        <w:rPr>
          <w:sz w:val="16"/>
          <w:szCs w:val="16"/>
          <w:lang w:eastAsia="en-US" w:bidi="ar-SA"/>
        </w:rPr>
        <w:t xml:space="preserve"> (</w:t>
      </w:r>
      <w:r w:rsidRPr="000A6AC7">
        <w:rPr>
          <w:sz w:val="16"/>
          <w:szCs w:val="16"/>
          <w:lang w:eastAsia="en-US" w:bidi="ar-SA"/>
        </w:rPr>
        <w:t xml:space="preserve">not </w:t>
      </w:r>
      <w:r>
        <w:rPr>
          <w:sz w:val="16"/>
          <w:szCs w:val="16"/>
          <w:lang w:eastAsia="en-US" w:bidi="ar-SA"/>
        </w:rPr>
        <w:t xml:space="preserve">only </w:t>
      </w:r>
      <w:r w:rsidRPr="000A6AC7">
        <w:rPr>
          <w:sz w:val="16"/>
          <w:szCs w:val="16"/>
          <w:lang w:eastAsia="en-US" w:bidi="ar-SA"/>
        </w:rPr>
        <w:t>a digital system</w:t>
      </w:r>
      <w:r>
        <w:rPr>
          <w:sz w:val="16"/>
          <w:szCs w:val="16"/>
          <w:lang w:eastAsia="en-US" w:bidi="ar-SA"/>
        </w:rPr>
        <w:t>) deployed over a wide area and involving many separate entities, t</w:t>
      </w:r>
      <w:r w:rsidRPr="000A6AC7">
        <w:rPr>
          <w:sz w:val="16"/>
          <w:szCs w:val="16"/>
          <w:lang w:eastAsia="en-US" w:bidi="ar-SA"/>
        </w:rPr>
        <w:t>hese effects are compounded where there is a failure to address the underlying structural root causes.</w:t>
      </w:r>
      <w:r>
        <w:rPr>
          <w:lang w:eastAsia="en-US" w:bidi="ar-SA"/>
        </w:rPr>
        <w:t xml:space="preserve">  </w:t>
      </w:r>
    </w:p>
  </w:footnote>
  <w:footnote w:id="15">
    <w:p w14:paraId="652B309B" w14:textId="5CB666DF" w:rsidR="00B656B5" w:rsidRPr="00B656B5" w:rsidRDefault="00B656B5">
      <w:pPr>
        <w:pStyle w:val="FootnoteText"/>
        <w:rPr>
          <w:lang w:val="en-GB"/>
        </w:rPr>
      </w:pPr>
      <w:r>
        <w:rPr>
          <w:rStyle w:val="FootnoteReference"/>
        </w:rPr>
        <w:footnoteRef/>
      </w:r>
      <w:r>
        <w:t xml:space="preserve"> </w:t>
      </w:r>
      <w:r w:rsidRPr="00B656B5">
        <w:rPr>
          <w:sz w:val="16"/>
          <w:szCs w:val="22"/>
          <w:lang w:val="en-GB"/>
        </w:rPr>
        <w:t xml:space="preserve">Refer </w:t>
      </w:r>
      <w:r w:rsidR="00BC2647">
        <w:rPr>
          <w:sz w:val="16"/>
          <w:szCs w:val="22"/>
          <w:lang w:val="en-GB"/>
        </w:rPr>
        <w:t xml:space="preserve">also to </w:t>
      </w:r>
      <w:r w:rsidRPr="00B656B5">
        <w:rPr>
          <w:sz w:val="16"/>
          <w:szCs w:val="22"/>
          <w:lang w:val="en-GB"/>
        </w:rPr>
        <w:t xml:space="preserve">Key Concepts </w:t>
      </w:r>
      <w:r w:rsidR="00BC2647">
        <w:rPr>
          <w:sz w:val="16"/>
          <w:szCs w:val="22"/>
          <w:lang w:val="en-GB"/>
        </w:rPr>
        <w:t xml:space="preserve">K. </w:t>
      </w:r>
    </w:p>
  </w:footnote>
  <w:footnote w:id="16">
    <w:p w14:paraId="2DE3F362" w14:textId="77777777" w:rsidR="00F05949" w:rsidRPr="001D116D" w:rsidRDefault="00F05949" w:rsidP="00F05949">
      <w:pPr>
        <w:pStyle w:val="FootnoteText"/>
      </w:pPr>
      <w:r>
        <w:rPr>
          <w:rStyle w:val="FootnoteReference"/>
        </w:rPr>
        <w:footnoteRef/>
      </w:r>
      <w:r>
        <w:t xml:space="preserve"> </w:t>
      </w:r>
      <w:r w:rsidRPr="000A6AC7">
        <w:rPr>
          <w:sz w:val="16"/>
          <w:szCs w:val="16"/>
          <w:lang w:eastAsia="en-US" w:bidi="ar-SA"/>
        </w:rPr>
        <w:t>I</w:t>
      </w:r>
      <w:r>
        <w:rPr>
          <w:sz w:val="16"/>
          <w:szCs w:val="16"/>
          <w:lang w:eastAsia="en-US" w:bidi="ar-SA"/>
        </w:rPr>
        <w:t xml:space="preserve">t is important to note that in </w:t>
      </w:r>
      <w:r w:rsidRPr="000A6AC7">
        <w:rPr>
          <w:sz w:val="16"/>
          <w:szCs w:val="16"/>
          <w:lang w:eastAsia="en-US" w:bidi="ar-SA"/>
        </w:rPr>
        <w:t>this context, computation resources grow exponentially or even faster (factorially) relative to the amount of data required to be processed</w:t>
      </w:r>
      <w:r>
        <w:rPr>
          <w:sz w:val="16"/>
          <w:szCs w:val="16"/>
          <w:lang w:eastAsia="en-US" w:bidi="ar-SA"/>
        </w:rPr>
        <w:t xml:space="preserve">.  This results in a </w:t>
      </w:r>
      <w:r w:rsidRPr="000A6AC7">
        <w:rPr>
          <w:sz w:val="16"/>
          <w:szCs w:val="16"/>
          <w:lang w:eastAsia="en-US" w:bidi="ar-SA"/>
        </w:rPr>
        <w:t>self-perpetuating pattern of rising computation cost and computation power for less return on investment.  As a GW-scale power system is a highly complex cyber-physical system</w:t>
      </w:r>
      <w:r>
        <w:rPr>
          <w:sz w:val="16"/>
          <w:szCs w:val="16"/>
          <w:lang w:eastAsia="en-US" w:bidi="ar-SA"/>
        </w:rPr>
        <w:t xml:space="preserve"> (</w:t>
      </w:r>
      <w:r w:rsidRPr="000A6AC7">
        <w:rPr>
          <w:sz w:val="16"/>
          <w:szCs w:val="16"/>
          <w:lang w:eastAsia="en-US" w:bidi="ar-SA"/>
        </w:rPr>
        <w:t xml:space="preserve">not </w:t>
      </w:r>
      <w:r>
        <w:rPr>
          <w:sz w:val="16"/>
          <w:szCs w:val="16"/>
          <w:lang w:eastAsia="en-US" w:bidi="ar-SA"/>
        </w:rPr>
        <w:t xml:space="preserve">only </w:t>
      </w:r>
      <w:r w:rsidRPr="000A6AC7">
        <w:rPr>
          <w:sz w:val="16"/>
          <w:szCs w:val="16"/>
          <w:lang w:eastAsia="en-US" w:bidi="ar-SA"/>
        </w:rPr>
        <w:t>a digital system</w:t>
      </w:r>
      <w:r>
        <w:rPr>
          <w:sz w:val="16"/>
          <w:szCs w:val="16"/>
          <w:lang w:eastAsia="en-US" w:bidi="ar-SA"/>
        </w:rPr>
        <w:t>) deployed over a wide area and involving many separate entities, t</w:t>
      </w:r>
      <w:r w:rsidRPr="000A6AC7">
        <w:rPr>
          <w:sz w:val="16"/>
          <w:szCs w:val="16"/>
          <w:lang w:eastAsia="en-US" w:bidi="ar-SA"/>
        </w:rPr>
        <w:t>hese effects are compounded where there is a failure to address the underlying structural root causes.</w:t>
      </w:r>
      <w:r>
        <w:rPr>
          <w:lang w:eastAsia="en-US" w:bidi="ar-S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DB43" w14:textId="434D1AF9" w:rsidR="00E55A19" w:rsidRPr="00876D04" w:rsidRDefault="00876D04" w:rsidP="00ED1526">
    <w:pPr>
      <w:jc w:val="right"/>
    </w:pPr>
    <w:r>
      <w:rPr>
        <w:noProof/>
      </w:rPr>
      <mc:AlternateContent>
        <mc:Choice Requires="wpg">
          <w:drawing>
            <wp:anchor distT="0" distB="0" distL="114300" distR="114300" simplePos="0" relativeHeight="251658241" behindDoc="0" locked="0" layoutInCell="1" allowOverlap="1" wp14:anchorId="74CE98C5" wp14:editId="34C7BEF8">
              <wp:simplePos x="0" y="0"/>
              <wp:positionH relativeFrom="column">
                <wp:posOffset>-3766820</wp:posOffset>
              </wp:positionH>
              <wp:positionV relativeFrom="paragraph">
                <wp:posOffset>694055</wp:posOffset>
              </wp:positionV>
              <wp:extent cx="13011051" cy="857721"/>
              <wp:effectExtent l="0" t="0" r="19685" b="19050"/>
              <wp:wrapNone/>
              <wp:docPr id="954004275" name="Group 954004275"/>
              <wp:cNvGraphicFramePr/>
              <a:graphic xmlns:a="http://schemas.openxmlformats.org/drawingml/2006/main">
                <a:graphicData uri="http://schemas.microsoft.com/office/word/2010/wordprocessingGroup">
                  <wpg:wgp>
                    <wpg:cNvGrpSpPr/>
                    <wpg:grpSpPr>
                      <a:xfrm flipV="1">
                        <a:off x="0" y="0"/>
                        <a:ext cx="13011051" cy="857721"/>
                        <a:chOff x="0" y="0"/>
                        <a:chExt cx="13011051" cy="857721"/>
                      </a:xfrm>
                    </wpg:grpSpPr>
                    <wpg:grpSp>
                      <wpg:cNvPr id="958485316" name="Graphic 1"/>
                      <wpg:cNvGrpSpPr>
                        <a:grpSpLocks noChangeAspect="1"/>
                      </wpg:cNvGrpSpPr>
                      <wpg:grpSpPr>
                        <a:xfrm>
                          <a:off x="0" y="0"/>
                          <a:ext cx="7560000" cy="856800"/>
                          <a:chOff x="0" y="993766"/>
                          <a:chExt cx="5400039" cy="611571"/>
                        </a:xfrm>
                      </wpg:grpSpPr>
                      <wps:wsp>
                        <wps:cNvPr id="768469146" name="Freeform: Shape 768469146"/>
                        <wps:cNvSpPr/>
                        <wps:spPr>
                          <a:xfrm>
                            <a:off x="0" y="993766"/>
                            <a:ext cx="2430505" cy="305274"/>
                          </a:xfrm>
                          <a:custGeom>
                            <a:avLst/>
                            <a:gdLst>
                              <a:gd name="connsiteX0" fmla="*/ 0 w 2430505"/>
                              <a:gd name="connsiteY0" fmla="*/ 0 h 305274"/>
                              <a:gd name="connsiteX1" fmla="*/ 1907045 w 2430505"/>
                              <a:gd name="connsiteY1" fmla="*/ 601 h 305274"/>
                              <a:gd name="connsiteX2" fmla="*/ 2430505 w 2430505"/>
                              <a:gd name="connsiteY2" fmla="*/ 305275 h 305274"/>
                            </a:gdLst>
                            <a:ahLst/>
                            <a:cxnLst>
                              <a:cxn ang="0">
                                <a:pos x="connsiteX0" y="connsiteY0"/>
                              </a:cxn>
                              <a:cxn ang="0">
                                <a:pos x="connsiteX1" y="connsiteY1"/>
                              </a:cxn>
                              <a:cxn ang="0">
                                <a:pos x="connsiteX2" y="connsiteY2"/>
                              </a:cxn>
                            </a:cxnLst>
                            <a:rect l="l" t="t" r="r" b="b"/>
                            <a:pathLst>
                              <a:path w="2430505" h="305274">
                                <a:moveTo>
                                  <a:pt x="0" y="0"/>
                                </a:moveTo>
                                <a:lnTo>
                                  <a:pt x="1907045" y="601"/>
                                </a:lnTo>
                                <a:cubicBezTo>
                                  <a:pt x="2135776" y="601"/>
                                  <a:pt x="2320199" y="106099"/>
                                  <a:pt x="2430505" y="305275"/>
                                </a:cubicBezTo>
                              </a:path>
                            </a:pathLst>
                          </a:custGeom>
                          <a:noFill/>
                          <a:ln w="1621" cap="flat">
                            <a:solidFill>
                              <a:srgbClr val="013B4A">
                                <a:alpha val="25000"/>
                              </a:srgbClr>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432618" name="Freeform: Shape 1988432618"/>
                        <wps:cNvSpPr/>
                        <wps:spPr>
                          <a:xfrm>
                            <a:off x="2430505" y="1299040"/>
                            <a:ext cx="2969534" cy="306297"/>
                          </a:xfrm>
                          <a:custGeom>
                            <a:avLst/>
                            <a:gdLst>
                              <a:gd name="connsiteX0" fmla="*/ 2969535 w 2969534"/>
                              <a:gd name="connsiteY0" fmla="*/ 306298 h 306297"/>
                              <a:gd name="connsiteX1" fmla="*/ 523460 w 2969534"/>
                              <a:gd name="connsiteY1" fmla="*/ 306298 h 306297"/>
                              <a:gd name="connsiteX2" fmla="*/ 0 w 2969534"/>
                              <a:gd name="connsiteY2" fmla="*/ 0 h 306297"/>
                            </a:gdLst>
                            <a:ahLst/>
                            <a:cxnLst>
                              <a:cxn ang="0">
                                <a:pos x="connsiteX0" y="connsiteY0"/>
                              </a:cxn>
                              <a:cxn ang="0">
                                <a:pos x="connsiteX1" y="connsiteY1"/>
                              </a:cxn>
                              <a:cxn ang="0">
                                <a:pos x="connsiteX2" y="connsiteY2"/>
                              </a:cxn>
                            </a:cxnLst>
                            <a:rect l="l" t="t" r="r" b="b"/>
                            <a:pathLst>
                              <a:path w="2969534" h="306297">
                                <a:moveTo>
                                  <a:pt x="2969535" y="306298"/>
                                </a:moveTo>
                                <a:lnTo>
                                  <a:pt x="523460" y="306298"/>
                                </a:lnTo>
                                <a:cubicBezTo>
                                  <a:pt x="294729" y="306298"/>
                                  <a:pt x="110306" y="200231"/>
                                  <a:pt x="0" y="0"/>
                                </a:cubicBezTo>
                              </a:path>
                            </a:pathLst>
                          </a:custGeom>
                          <a:noFill/>
                          <a:ln w="1621" cap="flat">
                            <a:solidFill>
                              <a:srgbClr val="013B4A">
                                <a:alpha val="25000"/>
                              </a:srgbClr>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42311173" name="Straight Connector 7"/>
                      <wps:cNvCnPr/>
                      <wps:spPr>
                        <a:xfrm rot="16200000">
                          <a:off x="10269940" y="-1883391"/>
                          <a:ext cx="0" cy="5482223"/>
                        </a:xfrm>
                        <a:prstGeom prst="line">
                          <a:avLst/>
                        </a:prstGeom>
                        <a:ln w="1651">
                          <a:solidFill>
                            <a:srgbClr val="013B4A">
                              <a:alpha val="24706"/>
                            </a:srgb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4C7BA2" id="Group 954004275" o:spid="_x0000_s1026" style="position:absolute;margin-left:-296.6pt;margin-top:54.65pt;width:1024.5pt;height:67.55pt;flip:y;z-index:251658241" coordsize="130110,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">
              <v:group id="Graphic 1" o:spid="_x0000_s1027" style="position:absolute;width:75600;height:8568" coordorigin=",9937" coordsize="5400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">
                <o:lock v:ext="edit" aspectratio="t"/>
                <v:shape id="Freeform: Shape 768469146" o:spid="_x0000_s1028" style="position:absolute;top:9937;width:24305;height:3053;visibility:visible;mso-wrap-style:square;v-text-anchor:middle" coordsize="2430505,3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" path="m,l1907045,601v228731,,413154,105498,523460,304674e" filled="f" strokecolor="#013b4a" strokeweight=".04503mm">
                  <v:stroke opacity="16448f" joinstyle="miter"/>
                  <v:path arrowok="t" o:connecttype="custom" o:connectlocs="0,0;1907045,601;2430505,305275" o:connectangles="0,0,0"/>
                </v:shape>
                <v:shape id="Freeform: Shape 1988432618" o:spid="_x0000_s1029" style="position:absolute;left:24305;top:12990;width:29695;height:3063;visibility:visible;mso-wrap-style:square;v-text-anchor:middle" coordsize="2969534,30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" path="m2969535,306298r-2446075,c294729,306298,110306,200231,,e" filled="f" strokecolor="#013b4a" strokeweight=".04503mm">
                  <v:stroke opacity="16448f" joinstyle="miter"/>
                  <v:path arrowok="t" o:connecttype="custom" o:connectlocs="2969535,306298;523460,306298;0,0" o:connectangles="0,0,0"/>
                </v:shape>
              </v:group>
              <v:line id="Straight Connector 7" o:spid="_x0000_s1030" style="position:absolute;rotation:-90;visibility:visible;mso-wrap-style:square" from="102699,-18834" to="102699,3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" strokecolor="#013b4a" strokeweight=".13pt">
                <v:stroke opacity="16191f" joinstyle="miter"/>
              </v:line>
            </v:group>
          </w:pict>
        </mc:Fallback>
      </mc:AlternateContent>
    </w:r>
    <w:r>
      <w:rPr>
        <w:noProof/>
      </w:rPr>
      <mc:AlternateContent>
        <mc:Choice Requires="wps">
          <w:drawing>
            <wp:anchor distT="0" distB="0" distL="114300" distR="114300" simplePos="0" relativeHeight="251658240" behindDoc="0" locked="0" layoutInCell="1" allowOverlap="1" wp14:anchorId="6DF5FE3E" wp14:editId="11277BAD">
              <wp:simplePos x="0" y="0"/>
              <wp:positionH relativeFrom="column">
                <wp:posOffset>-383540</wp:posOffset>
              </wp:positionH>
              <wp:positionV relativeFrom="paragraph">
                <wp:posOffset>-358140</wp:posOffset>
              </wp:positionV>
              <wp:extent cx="0" cy="10692000"/>
              <wp:effectExtent l="0" t="0" r="38100" b="33655"/>
              <wp:wrapNone/>
              <wp:docPr id="2034385246" name="Straight Connector 2034385246"/>
              <wp:cNvGraphicFramePr/>
              <a:graphic xmlns:a="http://schemas.openxmlformats.org/drawingml/2006/main">
                <a:graphicData uri="http://schemas.microsoft.com/office/word/2010/wordprocessingShape">
                  <wps:wsp>
                    <wps:cNvCnPr/>
                    <wps:spPr>
                      <a:xfrm>
                        <a:off x="0" y="0"/>
                        <a:ext cx="0" cy="10692000"/>
                      </a:xfrm>
                      <a:prstGeom prst="line">
                        <a:avLst/>
                      </a:prstGeom>
                      <a:ln w="1651">
                        <a:solidFill>
                          <a:srgbClr val="013B4A">
                            <a:alpha val="2470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E7E248" id="Straight Connector 2034385246"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pt,-28.2pt" to="-30.2pt,8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" strokecolor="#013b4a" strokeweight=".13pt">
              <v:stroke opacity="16191f" joinstyle="miter"/>
            </v:line>
          </w:pict>
        </mc:Fallback>
      </mc:AlternateContent>
    </w:r>
    <w:r w:rsidRPr="00ED1526">
      <w:rPr>
        <w:noProof/>
      </w:rPr>
      <w:drawing>
        <wp:inline distT="0" distB="0" distL="0" distR="0" wp14:anchorId="32C045BC" wp14:editId="15400561">
          <wp:extent cx="1940106" cy="360000"/>
          <wp:effectExtent l="0" t="0" r="3175" b="2540"/>
          <wp:docPr id="660952300" name="Picture 660952300"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6747" name="Picture 761306747" descr="A blue and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0106"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6D8CA26"/>
    <w:lvl w:ilvl="0">
      <w:start w:val="1"/>
      <w:numFmt w:val="decimal"/>
      <w:pStyle w:val="ListNumber"/>
      <w:lvlText w:val="%1."/>
      <w:lvlJc w:val="left"/>
      <w:pPr>
        <w:tabs>
          <w:tab w:val="num" w:pos="360"/>
        </w:tabs>
        <w:ind w:left="360" w:hanging="360"/>
      </w:pPr>
    </w:lvl>
  </w:abstractNum>
  <w:abstractNum w:abstractNumId="1" w15:restartNumberingAfterBreak="0">
    <w:nsid w:val="0117708E"/>
    <w:multiLevelType w:val="multilevel"/>
    <w:tmpl w:val="7DC8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3213C"/>
    <w:multiLevelType w:val="hybridMultilevel"/>
    <w:tmpl w:val="9B22EB7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A31315"/>
    <w:multiLevelType w:val="hybridMultilevel"/>
    <w:tmpl w:val="86FAB6D2"/>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4" w15:restartNumberingAfterBreak="0">
    <w:nsid w:val="04EE5555"/>
    <w:multiLevelType w:val="hybridMultilevel"/>
    <w:tmpl w:val="DF08F1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EF7881"/>
    <w:multiLevelType w:val="hybridMultilevel"/>
    <w:tmpl w:val="95181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65353F"/>
    <w:multiLevelType w:val="hybridMultilevel"/>
    <w:tmpl w:val="F692C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3A587E"/>
    <w:multiLevelType w:val="hybridMultilevel"/>
    <w:tmpl w:val="8DB030E6"/>
    <w:lvl w:ilvl="0" w:tplc="FFFFFFFF">
      <w:start w:val="1"/>
      <w:numFmt w:val="decimal"/>
      <w:lvlText w:val="%1."/>
      <w:lvlJc w:val="left"/>
      <w:pPr>
        <w:ind w:left="720" w:hanging="360"/>
      </w:pPr>
      <w:rPr>
        <w:rFonts w:ascii="PP Mori" w:hAnsi="PP Mori" w:hint="default"/>
        <w:b w:val="0"/>
        <w:i w:val="0"/>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4B6624"/>
    <w:multiLevelType w:val="hybridMultilevel"/>
    <w:tmpl w:val="1E088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257721"/>
    <w:multiLevelType w:val="hybridMultilevel"/>
    <w:tmpl w:val="222C3B70"/>
    <w:styleLink w:val="Style1"/>
    <w:lvl w:ilvl="0" w:tplc="0C090001">
      <w:start w:val="1"/>
      <w:numFmt w:val="bullet"/>
      <w:lvlText w:val=""/>
      <w:lvlJc w:val="left"/>
      <w:pPr>
        <w:ind w:left="720" w:hanging="360"/>
      </w:pPr>
      <w:rPr>
        <w:rFonts w:ascii="Symbol" w:hAnsi="Symbol" w:hint="default"/>
        <w:b/>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3C2E7B"/>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F4E56A3"/>
    <w:multiLevelType w:val="hybridMultilevel"/>
    <w:tmpl w:val="E9C23D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AA40E8"/>
    <w:multiLevelType w:val="hybridMultilevel"/>
    <w:tmpl w:val="92AC5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4E4E49"/>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37072F1"/>
    <w:multiLevelType w:val="hybridMultilevel"/>
    <w:tmpl w:val="A8A2C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3F5976"/>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68B7EB7"/>
    <w:multiLevelType w:val="multilevel"/>
    <w:tmpl w:val="E2BE2512"/>
    <w:lvl w:ilvl="0">
      <w:start w:val="1"/>
      <w:numFmt w:val="decimal"/>
      <w:lvlText w:val="%1."/>
      <w:lvlJc w:val="left"/>
      <w:pPr>
        <w:ind w:left="360" w:hanging="360"/>
      </w:pPr>
      <w:rPr>
        <w:rFonts w:hint="default"/>
      </w:rPr>
    </w:lvl>
    <w:lvl w:ilvl="1">
      <w:start w:val="3"/>
      <w:numFmt w:val="decimal"/>
      <w:lvlRestart w:val="0"/>
      <w:pStyle w:val="11Head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68B7FF2"/>
    <w:multiLevelType w:val="hybridMultilevel"/>
    <w:tmpl w:val="32D0DE0A"/>
    <w:lvl w:ilvl="0" w:tplc="0C09000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7D8715D"/>
    <w:multiLevelType w:val="hybridMultilevel"/>
    <w:tmpl w:val="8EFCF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541643"/>
    <w:multiLevelType w:val="multilevel"/>
    <w:tmpl w:val="CAC2058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197F4F2A"/>
    <w:multiLevelType w:val="hybridMultilevel"/>
    <w:tmpl w:val="68340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A57404"/>
    <w:multiLevelType w:val="hybridMultilevel"/>
    <w:tmpl w:val="FF109B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A237656"/>
    <w:multiLevelType w:val="hybridMultilevel"/>
    <w:tmpl w:val="47CA8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A00B30"/>
    <w:multiLevelType w:val="hybridMultilevel"/>
    <w:tmpl w:val="B6684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1B2404"/>
    <w:multiLevelType w:val="hybridMultilevel"/>
    <w:tmpl w:val="FB64D73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F7030E5"/>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03F4A7F"/>
    <w:multiLevelType w:val="hybridMultilevel"/>
    <w:tmpl w:val="7868D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3F1A64"/>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2943C9A"/>
    <w:multiLevelType w:val="hybridMultilevel"/>
    <w:tmpl w:val="1C7AB9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7AB7D49"/>
    <w:multiLevelType w:val="hybridMultilevel"/>
    <w:tmpl w:val="8D407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BD2698"/>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93F1930"/>
    <w:multiLevelType w:val="hybridMultilevel"/>
    <w:tmpl w:val="1186AA20"/>
    <w:lvl w:ilvl="0" w:tplc="0C09000F">
      <w:start w:val="1"/>
      <w:numFmt w:val="decimal"/>
      <w:lvlText w:val="%1."/>
      <w:lvlJc w:val="left"/>
      <w:pPr>
        <w:ind w:left="720" w:hanging="360"/>
      </w:pPr>
    </w:lvl>
    <w:lvl w:ilvl="1" w:tplc="3A9CD8B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BEE001D"/>
    <w:multiLevelType w:val="hybridMultilevel"/>
    <w:tmpl w:val="0B40D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DB612D"/>
    <w:multiLevelType w:val="multilevel"/>
    <w:tmpl w:val="758046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33306C19"/>
    <w:multiLevelType w:val="hybridMultilevel"/>
    <w:tmpl w:val="703055B8"/>
    <w:lvl w:ilvl="0" w:tplc="EB5267AA">
      <w:start w:val="1"/>
      <w:numFmt w:val="decimal"/>
      <w:pStyle w:val="Style11"/>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3B741CC"/>
    <w:multiLevelType w:val="hybridMultilevel"/>
    <w:tmpl w:val="CCC2E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012CC0"/>
    <w:multiLevelType w:val="multilevel"/>
    <w:tmpl w:val="D59E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4A1BC5"/>
    <w:multiLevelType w:val="hybridMultilevel"/>
    <w:tmpl w:val="2048BA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67F54EE"/>
    <w:multiLevelType w:val="hybridMultilevel"/>
    <w:tmpl w:val="C7DE1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9F0159"/>
    <w:multiLevelType w:val="hybridMultilevel"/>
    <w:tmpl w:val="C9985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8709F6"/>
    <w:multiLevelType w:val="hybridMultilevel"/>
    <w:tmpl w:val="9A7C30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B0328F4"/>
    <w:multiLevelType w:val="hybridMultilevel"/>
    <w:tmpl w:val="A0488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944ED2"/>
    <w:multiLevelType w:val="hybridMultilevel"/>
    <w:tmpl w:val="0BCA9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B9A3029"/>
    <w:multiLevelType w:val="hybridMultilevel"/>
    <w:tmpl w:val="97A4169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EDC2FB2"/>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0751381"/>
    <w:multiLevelType w:val="hybridMultilevel"/>
    <w:tmpl w:val="CC36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650739"/>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42382D96"/>
    <w:multiLevelType w:val="hybridMultilevel"/>
    <w:tmpl w:val="42926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4594198"/>
    <w:multiLevelType w:val="hybridMultilevel"/>
    <w:tmpl w:val="2F821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5633A60"/>
    <w:multiLevelType w:val="hybridMultilevel"/>
    <w:tmpl w:val="222C3B70"/>
    <w:styleLink w:val="Style2"/>
    <w:lvl w:ilvl="0" w:tplc="0C090001">
      <w:start w:val="1"/>
      <w:numFmt w:val="bullet"/>
      <w:lvlText w:val=""/>
      <w:lvlJc w:val="left"/>
      <w:pPr>
        <w:ind w:left="720" w:hanging="360"/>
      </w:pPr>
      <w:rPr>
        <w:rFonts w:ascii="Symbol" w:hAnsi="Symbol" w:hint="default"/>
        <w:b/>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8BC1261"/>
    <w:multiLevelType w:val="hybridMultilevel"/>
    <w:tmpl w:val="757EE1DA"/>
    <w:lvl w:ilvl="0" w:tplc="0C09000F">
      <w:start w:val="1"/>
      <w:numFmt w:val="decimal"/>
      <w:lvlText w:val="%1."/>
      <w:lvlJc w:val="left"/>
      <w:pPr>
        <w:ind w:left="879" w:hanging="360"/>
      </w:pPr>
    </w:lvl>
    <w:lvl w:ilvl="1" w:tplc="0C090019" w:tentative="1">
      <w:start w:val="1"/>
      <w:numFmt w:val="lowerLetter"/>
      <w:lvlText w:val="%2."/>
      <w:lvlJc w:val="left"/>
      <w:pPr>
        <w:ind w:left="1599" w:hanging="360"/>
      </w:pPr>
    </w:lvl>
    <w:lvl w:ilvl="2" w:tplc="0C09001B" w:tentative="1">
      <w:start w:val="1"/>
      <w:numFmt w:val="lowerRoman"/>
      <w:lvlText w:val="%3."/>
      <w:lvlJc w:val="right"/>
      <w:pPr>
        <w:ind w:left="2319" w:hanging="180"/>
      </w:pPr>
    </w:lvl>
    <w:lvl w:ilvl="3" w:tplc="0C09000F" w:tentative="1">
      <w:start w:val="1"/>
      <w:numFmt w:val="decimal"/>
      <w:lvlText w:val="%4."/>
      <w:lvlJc w:val="left"/>
      <w:pPr>
        <w:ind w:left="3039" w:hanging="360"/>
      </w:pPr>
    </w:lvl>
    <w:lvl w:ilvl="4" w:tplc="0C090019" w:tentative="1">
      <w:start w:val="1"/>
      <w:numFmt w:val="lowerLetter"/>
      <w:lvlText w:val="%5."/>
      <w:lvlJc w:val="left"/>
      <w:pPr>
        <w:ind w:left="3759" w:hanging="360"/>
      </w:pPr>
    </w:lvl>
    <w:lvl w:ilvl="5" w:tplc="0C09001B" w:tentative="1">
      <w:start w:val="1"/>
      <w:numFmt w:val="lowerRoman"/>
      <w:lvlText w:val="%6."/>
      <w:lvlJc w:val="right"/>
      <w:pPr>
        <w:ind w:left="4479" w:hanging="180"/>
      </w:pPr>
    </w:lvl>
    <w:lvl w:ilvl="6" w:tplc="0C09000F" w:tentative="1">
      <w:start w:val="1"/>
      <w:numFmt w:val="decimal"/>
      <w:lvlText w:val="%7."/>
      <w:lvlJc w:val="left"/>
      <w:pPr>
        <w:ind w:left="5199" w:hanging="360"/>
      </w:pPr>
    </w:lvl>
    <w:lvl w:ilvl="7" w:tplc="0C090019" w:tentative="1">
      <w:start w:val="1"/>
      <w:numFmt w:val="lowerLetter"/>
      <w:lvlText w:val="%8."/>
      <w:lvlJc w:val="left"/>
      <w:pPr>
        <w:ind w:left="5919" w:hanging="360"/>
      </w:pPr>
    </w:lvl>
    <w:lvl w:ilvl="8" w:tplc="0C09001B" w:tentative="1">
      <w:start w:val="1"/>
      <w:numFmt w:val="lowerRoman"/>
      <w:lvlText w:val="%9."/>
      <w:lvlJc w:val="right"/>
      <w:pPr>
        <w:ind w:left="6639" w:hanging="180"/>
      </w:pPr>
    </w:lvl>
  </w:abstractNum>
  <w:abstractNum w:abstractNumId="51" w15:restartNumberingAfterBreak="0">
    <w:nsid w:val="49394EFF"/>
    <w:multiLevelType w:val="hybridMultilevel"/>
    <w:tmpl w:val="913E5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CC31181"/>
    <w:multiLevelType w:val="hybridMultilevel"/>
    <w:tmpl w:val="631CB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DCC54DF"/>
    <w:multiLevelType w:val="hybridMultilevel"/>
    <w:tmpl w:val="F50090D4"/>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4EFF636E"/>
    <w:multiLevelType w:val="hybridMultilevel"/>
    <w:tmpl w:val="7F52E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0F8111D"/>
    <w:multiLevelType w:val="hybridMultilevel"/>
    <w:tmpl w:val="2E8AF362"/>
    <w:lvl w:ilvl="0" w:tplc="FFFFFFF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2251F04"/>
    <w:multiLevelType w:val="hybridMultilevel"/>
    <w:tmpl w:val="D3A2AA62"/>
    <w:lvl w:ilvl="0" w:tplc="FFFFFFFF">
      <w:start w:val="1"/>
      <w:numFmt w:val="decimal"/>
      <w:lvlText w:val="%1."/>
      <w:lvlJc w:val="left"/>
      <w:pPr>
        <w:ind w:left="720" w:hanging="360"/>
      </w:pPr>
      <w:rPr>
        <w:rFonts w:ascii="PP Mori" w:hAnsi="PP Mori" w:hint="default"/>
        <w:b w:val="0"/>
        <w:i w:val="0"/>
        <w:color w:val="auto"/>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3CE5686"/>
    <w:multiLevelType w:val="multilevel"/>
    <w:tmpl w:val="51FE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2D5735"/>
    <w:multiLevelType w:val="hybridMultilevel"/>
    <w:tmpl w:val="82E86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68905B2"/>
    <w:multiLevelType w:val="hybridMultilevel"/>
    <w:tmpl w:val="3D1017CA"/>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60" w15:restartNumberingAfterBreak="0">
    <w:nsid w:val="5698524F"/>
    <w:multiLevelType w:val="hybridMultilevel"/>
    <w:tmpl w:val="3EF8010C"/>
    <w:lvl w:ilvl="0" w:tplc="814EF1E4">
      <w:start w:val="1"/>
      <w:numFmt w:val="bullet"/>
      <w:pStyle w:val="ListParagraph"/>
      <w:lvlText w:val=""/>
      <w:lvlJc w:val="left"/>
      <w:pPr>
        <w:ind w:left="720" w:hanging="360"/>
      </w:pPr>
      <w:rPr>
        <w:rFonts w:ascii="Symbol" w:hAnsi="Symbol" w:hint="default"/>
      </w:rPr>
    </w:lvl>
    <w:lvl w:ilvl="1" w:tplc="10CCD122">
      <w:numFmt w:val="bullet"/>
      <w:lvlText w:val="•"/>
      <w:lvlJc w:val="left"/>
      <w:pPr>
        <w:ind w:left="1440" w:hanging="360"/>
      </w:pPr>
      <w:rPr>
        <w:rFonts w:ascii="PP Mori" w:eastAsiaTheme="minorEastAsia" w:hAnsi="PP Mo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85F71AC"/>
    <w:multiLevelType w:val="hybridMultilevel"/>
    <w:tmpl w:val="24C28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AB1069C"/>
    <w:multiLevelType w:val="hybridMultilevel"/>
    <w:tmpl w:val="791E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C230290"/>
    <w:multiLevelType w:val="hybridMultilevel"/>
    <w:tmpl w:val="0E5899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C277B65"/>
    <w:multiLevelType w:val="hybridMultilevel"/>
    <w:tmpl w:val="61AA3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C876E22"/>
    <w:multiLevelType w:val="hybridMultilevel"/>
    <w:tmpl w:val="A8925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CC36206"/>
    <w:multiLevelType w:val="hybridMultilevel"/>
    <w:tmpl w:val="8B280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210446"/>
    <w:multiLevelType w:val="hybridMultilevel"/>
    <w:tmpl w:val="53FEB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DC80590"/>
    <w:multiLevelType w:val="hybridMultilevel"/>
    <w:tmpl w:val="12300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E996C36"/>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5EB46175"/>
    <w:multiLevelType w:val="hybridMultilevel"/>
    <w:tmpl w:val="0BF8936C"/>
    <w:lvl w:ilvl="0" w:tplc="0C090019">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08052A9"/>
    <w:multiLevelType w:val="hybridMultilevel"/>
    <w:tmpl w:val="E2D8F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136256D"/>
    <w:multiLevelType w:val="hybridMultilevel"/>
    <w:tmpl w:val="142883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471165E"/>
    <w:multiLevelType w:val="hybridMultilevel"/>
    <w:tmpl w:val="1DEA1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668766C"/>
    <w:multiLevelType w:val="multilevel"/>
    <w:tmpl w:val="DB14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896027B"/>
    <w:multiLevelType w:val="hybridMultilevel"/>
    <w:tmpl w:val="8A3ED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8A13E15"/>
    <w:multiLevelType w:val="multilevel"/>
    <w:tmpl w:val="BE00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B5D1FFA"/>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6C41501A"/>
    <w:multiLevelType w:val="hybridMultilevel"/>
    <w:tmpl w:val="6324C288"/>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79" w15:restartNumberingAfterBreak="0">
    <w:nsid w:val="6F491C51"/>
    <w:multiLevelType w:val="hybridMultilevel"/>
    <w:tmpl w:val="D61EF634"/>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708459D0"/>
    <w:multiLevelType w:val="hybridMultilevel"/>
    <w:tmpl w:val="863AD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09B2D39"/>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1423FAC"/>
    <w:multiLevelType w:val="hybridMultilevel"/>
    <w:tmpl w:val="29622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33D3D29"/>
    <w:multiLevelType w:val="hybridMultilevel"/>
    <w:tmpl w:val="1E7A9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7571CE0"/>
    <w:multiLevelType w:val="multilevel"/>
    <w:tmpl w:val="E644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7A0117B"/>
    <w:multiLevelType w:val="hybridMultilevel"/>
    <w:tmpl w:val="AAC4CD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7DE439A"/>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78024080"/>
    <w:multiLevelType w:val="hybridMultilevel"/>
    <w:tmpl w:val="A6BABCEE"/>
    <w:lvl w:ilvl="0" w:tplc="C55E1BA8">
      <w:start w:val="1"/>
      <w:numFmt w:val="decimal"/>
      <w:lvlText w:val="%1."/>
      <w:lvlJc w:val="left"/>
      <w:pPr>
        <w:ind w:left="360" w:hanging="360"/>
      </w:pPr>
      <w:rPr>
        <w:rFonts w:ascii="PP Mori" w:hAnsi="PP Mori" w:hint="default"/>
        <w:b w:val="0"/>
        <w:i w:val="0"/>
        <w:color w:val="auto"/>
        <w:sz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78DF5B20"/>
    <w:multiLevelType w:val="hybridMultilevel"/>
    <w:tmpl w:val="530E9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94F207B"/>
    <w:multiLevelType w:val="hybridMultilevel"/>
    <w:tmpl w:val="1F62654E"/>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9CC62BA"/>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7A642DF4"/>
    <w:multiLevelType w:val="hybridMultilevel"/>
    <w:tmpl w:val="0BF8936C"/>
    <w:lvl w:ilvl="0" w:tplc="FFFFFFFF">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7A7C494A"/>
    <w:multiLevelType w:val="hybridMultilevel"/>
    <w:tmpl w:val="C5F04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B030172"/>
    <w:multiLevelType w:val="hybridMultilevel"/>
    <w:tmpl w:val="1F62654E"/>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B344AD5"/>
    <w:multiLevelType w:val="hybridMultilevel"/>
    <w:tmpl w:val="00447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B8D3603"/>
    <w:multiLevelType w:val="hybridMultilevel"/>
    <w:tmpl w:val="A9268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C994C82"/>
    <w:multiLevelType w:val="hybridMultilevel"/>
    <w:tmpl w:val="233E4CF0"/>
    <w:lvl w:ilvl="0" w:tplc="7B7017AA">
      <w:start w:val="1"/>
      <w:numFmt w:val="decimal"/>
      <w:lvlText w:val="%1."/>
      <w:lvlJc w:val="left"/>
      <w:pPr>
        <w:ind w:left="720" w:hanging="360"/>
      </w:pPr>
      <w:rPr>
        <w:rFonts w:ascii="PP Mori SemiBold" w:hAnsi="PP Mori SemiBold" w:hint="default"/>
        <w:b/>
        <w:i w:val="0"/>
        <w:color w:val="013C4C"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DF274D1"/>
    <w:multiLevelType w:val="hybridMultilevel"/>
    <w:tmpl w:val="1F62654E"/>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F29268C"/>
    <w:multiLevelType w:val="multilevel"/>
    <w:tmpl w:val="9BA802D8"/>
    <w:lvl w:ilvl="0">
      <w:start w:val="1"/>
      <w:numFmt w:val="decimal"/>
      <w:lvlText w:val="%1"/>
      <w:lvlJc w:val="left"/>
      <w:pPr>
        <w:ind w:left="567" w:hanging="567"/>
      </w:pPr>
      <w:rPr>
        <w:rFonts w:hint="default"/>
      </w:rPr>
    </w:lvl>
    <w:lvl w:ilvl="1">
      <w:start w:val="1"/>
      <w:numFmt w:val="decimal"/>
      <w:lvlText w:val="%1.%2"/>
      <w:lvlJc w:val="left"/>
      <w:pPr>
        <w:ind w:left="1276" w:hanging="709"/>
      </w:pPr>
      <w:rPr>
        <w:rFonts w:hint="default"/>
      </w:rPr>
    </w:lvl>
    <w:lvl w:ilvl="2">
      <w:start w:val="1"/>
      <w:numFmt w:val="decimal"/>
      <w:pStyle w:val="Heading30"/>
      <w:lvlText w:val="%1.%2.%3"/>
      <w:lvlJc w:val="left"/>
      <w:pPr>
        <w:tabs>
          <w:tab w:val="num" w:pos="1701"/>
        </w:tabs>
        <w:ind w:left="1985" w:hanging="709"/>
      </w:pPr>
      <w:rPr>
        <w:rFonts w:hint="default"/>
      </w:rPr>
    </w:lvl>
    <w:lvl w:ilvl="3">
      <w:start w:val="1"/>
      <w:numFmt w:val="decimal"/>
      <w:pStyle w:val="Heading40"/>
      <w:lvlText w:val="%1.%2.%3.%4"/>
      <w:lvlJc w:val="left"/>
      <w:pPr>
        <w:tabs>
          <w:tab w:val="num" w:pos="2268"/>
        </w:tabs>
        <w:ind w:left="1985" w:hanging="70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637"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36312455">
    <w:abstractNumId w:val="33"/>
  </w:num>
  <w:num w:numId="2" w16cid:durableId="768307099">
    <w:abstractNumId w:val="60"/>
  </w:num>
  <w:num w:numId="3" w16cid:durableId="2046908572">
    <w:abstractNumId w:val="31"/>
  </w:num>
  <w:num w:numId="4" w16cid:durableId="1556962937">
    <w:abstractNumId w:val="26"/>
  </w:num>
  <w:num w:numId="5" w16cid:durableId="1922255620">
    <w:abstractNumId w:val="23"/>
  </w:num>
  <w:num w:numId="6" w16cid:durableId="2017272198">
    <w:abstractNumId w:val="58"/>
  </w:num>
  <w:num w:numId="7" w16cid:durableId="84962324">
    <w:abstractNumId w:val="14"/>
  </w:num>
  <w:num w:numId="8" w16cid:durableId="554122761">
    <w:abstractNumId w:val="18"/>
  </w:num>
  <w:num w:numId="9" w16cid:durableId="652491585">
    <w:abstractNumId w:val="92"/>
  </w:num>
  <w:num w:numId="10" w16cid:durableId="525026991">
    <w:abstractNumId w:val="63"/>
  </w:num>
  <w:num w:numId="11" w16cid:durableId="1980374703">
    <w:abstractNumId w:val="66"/>
  </w:num>
  <w:num w:numId="12" w16cid:durableId="925915838">
    <w:abstractNumId w:val="85"/>
  </w:num>
  <w:num w:numId="13" w16cid:durableId="64231211">
    <w:abstractNumId w:val="94"/>
  </w:num>
  <w:num w:numId="14" w16cid:durableId="1788429703">
    <w:abstractNumId w:val="22"/>
  </w:num>
  <w:num w:numId="15" w16cid:durableId="337732376">
    <w:abstractNumId w:val="54"/>
  </w:num>
  <w:num w:numId="16" w16cid:durableId="164252296">
    <w:abstractNumId w:val="20"/>
  </w:num>
  <w:num w:numId="17" w16cid:durableId="1020820587">
    <w:abstractNumId w:val="64"/>
  </w:num>
  <w:num w:numId="18" w16cid:durableId="1829710737">
    <w:abstractNumId w:val="8"/>
  </w:num>
  <w:num w:numId="19" w16cid:durableId="1483473298">
    <w:abstractNumId w:val="73"/>
  </w:num>
  <w:num w:numId="20" w16cid:durableId="1340498340">
    <w:abstractNumId w:val="28"/>
  </w:num>
  <w:num w:numId="21" w16cid:durableId="769928854">
    <w:abstractNumId w:val="68"/>
  </w:num>
  <w:num w:numId="22" w16cid:durableId="1688868466">
    <w:abstractNumId w:val="45"/>
  </w:num>
  <w:num w:numId="23" w16cid:durableId="1525292382">
    <w:abstractNumId w:val="72"/>
  </w:num>
  <w:num w:numId="24" w16cid:durableId="1694959899">
    <w:abstractNumId w:val="11"/>
  </w:num>
  <w:num w:numId="25" w16cid:durableId="819735875">
    <w:abstractNumId w:val="21"/>
  </w:num>
  <w:num w:numId="26" w16cid:durableId="1569001814">
    <w:abstractNumId w:val="40"/>
  </w:num>
  <w:num w:numId="27" w16cid:durableId="583879380">
    <w:abstractNumId w:val="75"/>
  </w:num>
  <w:num w:numId="28" w16cid:durableId="1291401469">
    <w:abstractNumId w:val="12"/>
  </w:num>
  <w:num w:numId="29" w16cid:durableId="1699811345">
    <w:abstractNumId w:val="5"/>
  </w:num>
  <w:num w:numId="30" w16cid:durableId="376124426">
    <w:abstractNumId w:val="29"/>
  </w:num>
  <w:num w:numId="31" w16cid:durableId="1846092514">
    <w:abstractNumId w:val="82"/>
  </w:num>
  <w:num w:numId="32" w16cid:durableId="402215655">
    <w:abstractNumId w:val="35"/>
  </w:num>
  <w:num w:numId="33" w16cid:durableId="1291861544">
    <w:abstractNumId w:val="42"/>
  </w:num>
  <w:num w:numId="34" w16cid:durableId="1214152037">
    <w:abstractNumId w:val="80"/>
  </w:num>
  <w:num w:numId="35" w16cid:durableId="848985115">
    <w:abstractNumId w:val="88"/>
  </w:num>
  <w:num w:numId="36" w16cid:durableId="1116683575">
    <w:abstractNumId w:val="32"/>
  </w:num>
  <w:num w:numId="37" w16cid:durableId="928536690">
    <w:abstractNumId w:val="71"/>
  </w:num>
  <w:num w:numId="38" w16cid:durableId="1882017865">
    <w:abstractNumId w:val="38"/>
  </w:num>
  <w:num w:numId="39" w16cid:durableId="1855345389">
    <w:abstractNumId w:val="6"/>
  </w:num>
  <w:num w:numId="40" w16cid:durableId="1196968004">
    <w:abstractNumId w:val="55"/>
  </w:num>
  <w:num w:numId="41" w16cid:durableId="353925651">
    <w:abstractNumId w:val="70"/>
  </w:num>
  <w:num w:numId="42" w16cid:durableId="1464468584">
    <w:abstractNumId w:val="97"/>
  </w:num>
  <w:num w:numId="43" w16cid:durableId="1024750553">
    <w:abstractNumId w:val="17"/>
  </w:num>
  <w:num w:numId="44" w16cid:durableId="688331515">
    <w:abstractNumId w:val="41"/>
  </w:num>
  <w:num w:numId="45" w16cid:durableId="895119982">
    <w:abstractNumId w:val="51"/>
  </w:num>
  <w:num w:numId="46" w16cid:durableId="24722628">
    <w:abstractNumId w:val="83"/>
  </w:num>
  <w:num w:numId="47" w16cid:durableId="1094671509">
    <w:abstractNumId w:val="4"/>
  </w:num>
  <w:num w:numId="48" w16cid:durableId="305210071">
    <w:abstractNumId w:val="47"/>
  </w:num>
  <w:num w:numId="49" w16cid:durableId="1849520738">
    <w:abstractNumId w:val="67"/>
  </w:num>
  <w:num w:numId="50" w16cid:durableId="882402073">
    <w:abstractNumId w:val="69"/>
  </w:num>
  <w:num w:numId="51" w16cid:durableId="1600718018">
    <w:abstractNumId w:val="15"/>
  </w:num>
  <w:num w:numId="52" w16cid:durableId="1518470652">
    <w:abstractNumId w:val="10"/>
  </w:num>
  <w:num w:numId="53" w16cid:durableId="832139828">
    <w:abstractNumId w:val="91"/>
  </w:num>
  <w:num w:numId="54" w16cid:durableId="1395657886">
    <w:abstractNumId w:val="46"/>
  </w:num>
  <w:num w:numId="55" w16cid:durableId="719940475">
    <w:abstractNumId w:val="53"/>
  </w:num>
  <w:num w:numId="56" w16cid:durableId="2027173656">
    <w:abstractNumId w:val="44"/>
  </w:num>
  <w:num w:numId="57" w16cid:durableId="916599789">
    <w:abstractNumId w:val="90"/>
  </w:num>
  <w:num w:numId="58" w16cid:durableId="1939288544">
    <w:abstractNumId w:val="25"/>
  </w:num>
  <w:num w:numId="59" w16cid:durableId="1011563682">
    <w:abstractNumId w:val="30"/>
  </w:num>
  <w:num w:numId="60" w16cid:durableId="833646556">
    <w:abstractNumId w:val="81"/>
  </w:num>
  <w:num w:numId="61" w16cid:durableId="645164894">
    <w:abstractNumId w:val="86"/>
  </w:num>
  <w:num w:numId="62" w16cid:durableId="46144809">
    <w:abstractNumId w:val="13"/>
  </w:num>
  <w:num w:numId="63" w16cid:durableId="1555314553">
    <w:abstractNumId w:val="50"/>
  </w:num>
  <w:num w:numId="64" w16cid:durableId="1297686664">
    <w:abstractNumId w:val="43"/>
  </w:num>
  <w:num w:numId="65" w16cid:durableId="2140222215">
    <w:abstractNumId w:val="59"/>
  </w:num>
  <w:num w:numId="66" w16cid:durableId="146284709">
    <w:abstractNumId w:val="3"/>
  </w:num>
  <w:num w:numId="67" w16cid:durableId="1191727673">
    <w:abstractNumId w:val="36"/>
  </w:num>
  <w:num w:numId="68" w16cid:durableId="358360171">
    <w:abstractNumId w:val="76"/>
  </w:num>
  <w:num w:numId="69" w16cid:durableId="1095830233">
    <w:abstractNumId w:val="57"/>
  </w:num>
  <w:num w:numId="70" w16cid:durableId="1015689808">
    <w:abstractNumId w:val="74"/>
  </w:num>
  <w:num w:numId="71" w16cid:durableId="121190329">
    <w:abstractNumId w:val="84"/>
  </w:num>
  <w:num w:numId="72" w16cid:durableId="986320552">
    <w:abstractNumId w:val="89"/>
  </w:num>
  <w:num w:numId="73" w16cid:durableId="2087527730">
    <w:abstractNumId w:val="39"/>
  </w:num>
  <w:num w:numId="74" w16cid:durableId="792750899">
    <w:abstractNumId w:val="2"/>
  </w:num>
  <w:num w:numId="75" w16cid:durableId="1194080360">
    <w:abstractNumId w:val="37"/>
  </w:num>
  <w:num w:numId="76" w16cid:durableId="260531808">
    <w:abstractNumId w:val="79"/>
  </w:num>
  <w:num w:numId="77" w16cid:durableId="307056951">
    <w:abstractNumId w:val="93"/>
  </w:num>
  <w:num w:numId="78" w16cid:durableId="988629282">
    <w:abstractNumId w:val="87"/>
  </w:num>
  <w:num w:numId="79" w16cid:durableId="1348286373">
    <w:abstractNumId w:val="19"/>
  </w:num>
  <w:num w:numId="80" w16cid:durableId="56827655">
    <w:abstractNumId w:val="77"/>
  </w:num>
  <w:num w:numId="81" w16cid:durableId="1765150309">
    <w:abstractNumId w:val="65"/>
  </w:num>
  <w:num w:numId="82" w16cid:durableId="574821758">
    <w:abstractNumId w:val="7"/>
  </w:num>
  <w:num w:numId="83" w16cid:durableId="848368484">
    <w:abstractNumId w:val="27"/>
  </w:num>
  <w:num w:numId="84" w16cid:durableId="63530022">
    <w:abstractNumId w:val="52"/>
  </w:num>
  <w:num w:numId="85" w16cid:durableId="1026635231">
    <w:abstractNumId w:val="78"/>
  </w:num>
  <w:num w:numId="86" w16cid:durableId="662589130">
    <w:abstractNumId w:val="16"/>
  </w:num>
  <w:num w:numId="87" w16cid:durableId="241763537">
    <w:abstractNumId w:val="95"/>
  </w:num>
  <w:num w:numId="88" w16cid:durableId="2043944040">
    <w:abstractNumId w:val="96"/>
  </w:num>
  <w:num w:numId="89" w16cid:durableId="1574243003">
    <w:abstractNumId w:val="62"/>
  </w:num>
  <w:num w:numId="90" w16cid:durableId="1564022381">
    <w:abstractNumId w:val="98"/>
  </w:num>
  <w:num w:numId="91" w16cid:durableId="1332561060">
    <w:abstractNumId w:val="0"/>
  </w:num>
  <w:num w:numId="92" w16cid:durableId="866210971">
    <w:abstractNumId w:val="49"/>
  </w:num>
  <w:num w:numId="93" w16cid:durableId="1352948765">
    <w:abstractNumId w:val="9"/>
  </w:num>
  <w:num w:numId="94" w16cid:durableId="315498008">
    <w:abstractNumId w:val="34"/>
  </w:num>
  <w:num w:numId="95" w16cid:durableId="524250681">
    <w:abstractNumId w:val="61"/>
  </w:num>
  <w:num w:numId="96" w16cid:durableId="1605726793">
    <w:abstractNumId w:val="1"/>
  </w:num>
  <w:num w:numId="97" w16cid:durableId="336537036">
    <w:abstractNumId w:val="48"/>
  </w:num>
  <w:num w:numId="98" w16cid:durableId="515382596">
    <w:abstractNumId w:val="56"/>
  </w:num>
  <w:num w:numId="99" w16cid:durableId="1541280218">
    <w:abstractNumId w:val="24"/>
  </w:num>
  <w:num w:numId="100" w16cid:durableId="1515223261">
    <w:abstractNumId w:val="6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664"/>
    <w:rsid w:val="00000340"/>
    <w:rsid w:val="00000DD0"/>
    <w:rsid w:val="00000F6B"/>
    <w:rsid w:val="0000111B"/>
    <w:rsid w:val="00001AA5"/>
    <w:rsid w:val="00001F04"/>
    <w:rsid w:val="000021EF"/>
    <w:rsid w:val="000021F5"/>
    <w:rsid w:val="00002CDA"/>
    <w:rsid w:val="00003072"/>
    <w:rsid w:val="000030FB"/>
    <w:rsid w:val="000038F6"/>
    <w:rsid w:val="0000390F"/>
    <w:rsid w:val="00003AC6"/>
    <w:rsid w:val="00003DBC"/>
    <w:rsid w:val="00003F0E"/>
    <w:rsid w:val="00003F90"/>
    <w:rsid w:val="000043EE"/>
    <w:rsid w:val="00004B08"/>
    <w:rsid w:val="00004B1A"/>
    <w:rsid w:val="00004E5A"/>
    <w:rsid w:val="00004EE2"/>
    <w:rsid w:val="00005185"/>
    <w:rsid w:val="000052BD"/>
    <w:rsid w:val="0000594C"/>
    <w:rsid w:val="00005B60"/>
    <w:rsid w:val="00005C0B"/>
    <w:rsid w:val="00005CCE"/>
    <w:rsid w:val="00005F5D"/>
    <w:rsid w:val="00006091"/>
    <w:rsid w:val="0000630C"/>
    <w:rsid w:val="00006462"/>
    <w:rsid w:val="00006498"/>
    <w:rsid w:val="00006BC5"/>
    <w:rsid w:val="00006DE1"/>
    <w:rsid w:val="000074BD"/>
    <w:rsid w:val="00007539"/>
    <w:rsid w:val="0000753B"/>
    <w:rsid w:val="000075E5"/>
    <w:rsid w:val="00007821"/>
    <w:rsid w:val="0001041F"/>
    <w:rsid w:val="0001054A"/>
    <w:rsid w:val="000106CD"/>
    <w:rsid w:val="000106D1"/>
    <w:rsid w:val="000111ED"/>
    <w:rsid w:val="00011C24"/>
    <w:rsid w:val="0001210D"/>
    <w:rsid w:val="00012278"/>
    <w:rsid w:val="00012342"/>
    <w:rsid w:val="00012519"/>
    <w:rsid w:val="00012CE6"/>
    <w:rsid w:val="00013356"/>
    <w:rsid w:val="00013E14"/>
    <w:rsid w:val="00013EEE"/>
    <w:rsid w:val="0001462D"/>
    <w:rsid w:val="0001464B"/>
    <w:rsid w:val="00014DE2"/>
    <w:rsid w:val="00014E24"/>
    <w:rsid w:val="00014E31"/>
    <w:rsid w:val="00014ED2"/>
    <w:rsid w:val="000151E4"/>
    <w:rsid w:val="0001549E"/>
    <w:rsid w:val="00015775"/>
    <w:rsid w:val="000157B3"/>
    <w:rsid w:val="00015876"/>
    <w:rsid w:val="00015A8F"/>
    <w:rsid w:val="00015B0E"/>
    <w:rsid w:val="00015E62"/>
    <w:rsid w:val="0001609E"/>
    <w:rsid w:val="000160FF"/>
    <w:rsid w:val="0001614D"/>
    <w:rsid w:val="0001647D"/>
    <w:rsid w:val="00016E26"/>
    <w:rsid w:val="00017001"/>
    <w:rsid w:val="00017206"/>
    <w:rsid w:val="000174C2"/>
    <w:rsid w:val="000175AD"/>
    <w:rsid w:val="00017876"/>
    <w:rsid w:val="00020167"/>
    <w:rsid w:val="00020292"/>
    <w:rsid w:val="0002096E"/>
    <w:rsid w:val="00020D27"/>
    <w:rsid w:val="00020DFE"/>
    <w:rsid w:val="0002121B"/>
    <w:rsid w:val="00021407"/>
    <w:rsid w:val="000216E1"/>
    <w:rsid w:val="00021D16"/>
    <w:rsid w:val="00021F83"/>
    <w:rsid w:val="00022025"/>
    <w:rsid w:val="000229DB"/>
    <w:rsid w:val="00022BAF"/>
    <w:rsid w:val="000231C4"/>
    <w:rsid w:val="0002366A"/>
    <w:rsid w:val="0002367F"/>
    <w:rsid w:val="000237B9"/>
    <w:rsid w:val="0002384B"/>
    <w:rsid w:val="0002395F"/>
    <w:rsid w:val="00023C70"/>
    <w:rsid w:val="00023CA4"/>
    <w:rsid w:val="00023DDF"/>
    <w:rsid w:val="00024178"/>
    <w:rsid w:val="0002427A"/>
    <w:rsid w:val="000242B0"/>
    <w:rsid w:val="000244D7"/>
    <w:rsid w:val="000245AF"/>
    <w:rsid w:val="000247FB"/>
    <w:rsid w:val="00024BF1"/>
    <w:rsid w:val="0002522D"/>
    <w:rsid w:val="00025731"/>
    <w:rsid w:val="00026181"/>
    <w:rsid w:val="0002660F"/>
    <w:rsid w:val="00026688"/>
    <w:rsid w:val="00026DBA"/>
    <w:rsid w:val="0002716F"/>
    <w:rsid w:val="000273BA"/>
    <w:rsid w:val="000274A2"/>
    <w:rsid w:val="000279A4"/>
    <w:rsid w:val="00027A07"/>
    <w:rsid w:val="00027B8B"/>
    <w:rsid w:val="00027CE0"/>
    <w:rsid w:val="00030096"/>
    <w:rsid w:val="00030683"/>
    <w:rsid w:val="00030ED3"/>
    <w:rsid w:val="00031228"/>
    <w:rsid w:val="000313AD"/>
    <w:rsid w:val="0003166F"/>
    <w:rsid w:val="0003173B"/>
    <w:rsid w:val="00031836"/>
    <w:rsid w:val="000322B9"/>
    <w:rsid w:val="000322EC"/>
    <w:rsid w:val="000323B0"/>
    <w:rsid w:val="00032766"/>
    <w:rsid w:val="00032AB3"/>
    <w:rsid w:val="00032CAE"/>
    <w:rsid w:val="00032F2B"/>
    <w:rsid w:val="00033866"/>
    <w:rsid w:val="00033B6B"/>
    <w:rsid w:val="000342B0"/>
    <w:rsid w:val="00034C24"/>
    <w:rsid w:val="00034E38"/>
    <w:rsid w:val="00034EB1"/>
    <w:rsid w:val="00035284"/>
    <w:rsid w:val="000354A1"/>
    <w:rsid w:val="00035576"/>
    <w:rsid w:val="000358AB"/>
    <w:rsid w:val="00035A62"/>
    <w:rsid w:val="00035BB4"/>
    <w:rsid w:val="00035F36"/>
    <w:rsid w:val="00036222"/>
    <w:rsid w:val="0003632D"/>
    <w:rsid w:val="000369AE"/>
    <w:rsid w:val="00036A6B"/>
    <w:rsid w:val="00036B96"/>
    <w:rsid w:val="00037113"/>
    <w:rsid w:val="000371AF"/>
    <w:rsid w:val="0003752B"/>
    <w:rsid w:val="00037702"/>
    <w:rsid w:val="000404CF"/>
    <w:rsid w:val="00040574"/>
    <w:rsid w:val="000412E6"/>
    <w:rsid w:val="00041B31"/>
    <w:rsid w:val="0004264D"/>
    <w:rsid w:val="0004265E"/>
    <w:rsid w:val="00042671"/>
    <w:rsid w:val="00042EC1"/>
    <w:rsid w:val="00042F20"/>
    <w:rsid w:val="00042F8A"/>
    <w:rsid w:val="00042F97"/>
    <w:rsid w:val="00042FDF"/>
    <w:rsid w:val="0004333A"/>
    <w:rsid w:val="00043387"/>
    <w:rsid w:val="00043535"/>
    <w:rsid w:val="00043622"/>
    <w:rsid w:val="00043C49"/>
    <w:rsid w:val="00043D17"/>
    <w:rsid w:val="000447E4"/>
    <w:rsid w:val="000452B9"/>
    <w:rsid w:val="000454F9"/>
    <w:rsid w:val="0004570F"/>
    <w:rsid w:val="00045C54"/>
    <w:rsid w:val="00045FB6"/>
    <w:rsid w:val="00046117"/>
    <w:rsid w:val="00046125"/>
    <w:rsid w:val="0004614E"/>
    <w:rsid w:val="0004692C"/>
    <w:rsid w:val="00046B8C"/>
    <w:rsid w:val="00046D05"/>
    <w:rsid w:val="00046E48"/>
    <w:rsid w:val="000471DE"/>
    <w:rsid w:val="00047219"/>
    <w:rsid w:val="00047A83"/>
    <w:rsid w:val="00047BDB"/>
    <w:rsid w:val="00047E4D"/>
    <w:rsid w:val="00050D3D"/>
    <w:rsid w:val="000511CC"/>
    <w:rsid w:val="0005169C"/>
    <w:rsid w:val="0005174B"/>
    <w:rsid w:val="000519F6"/>
    <w:rsid w:val="000521AB"/>
    <w:rsid w:val="000523A0"/>
    <w:rsid w:val="0005254C"/>
    <w:rsid w:val="00052685"/>
    <w:rsid w:val="0005268D"/>
    <w:rsid w:val="00052E4E"/>
    <w:rsid w:val="00052FC4"/>
    <w:rsid w:val="00053313"/>
    <w:rsid w:val="0005344D"/>
    <w:rsid w:val="00053861"/>
    <w:rsid w:val="00053887"/>
    <w:rsid w:val="00053E6D"/>
    <w:rsid w:val="0005412C"/>
    <w:rsid w:val="00054164"/>
    <w:rsid w:val="00054195"/>
    <w:rsid w:val="0005457D"/>
    <w:rsid w:val="00054754"/>
    <w:rsid w:val="000547C1"/>
    <w:rsid w:val="00054D08"/>
    <w:rsid w:val="00054D4C"/>
    <w:rsid w:val="00054EED"/>
    <w:rsid w:val="00054FBB"/>
    <w:rsid w:val="0005540E"/>
    <w:rsid w:val="000554A2"/>
    <w:rsid w:val="00055689"/>
    <w:rsid w:val="000558E0"/>
    <w:rsid w:val="00055D02"/>
    <w:rsid w:val="00055E98"/>
    <w:rsid w:val="00055F05"/>
    <w:rsid w:val="00056225"/>
    <w:rsid w:val="000564EA"/>
    <w:rsid w:val="000566B7"/>
    <w:rsid w:val="000567C4"/>
    <w:rsid w:val="00056CB4"/>
    <w:rsid w:val="00056EB4"/>
    <w:rsid w:val="00057191"/>
    <w:rsid w:val="00057BE6"/>
    <w:rsid w:val="00057F0D"/>
    <w:rsid w:val="0006043C"/>
    <w:rsid w:val="00060517"/>
    <w:rsid w:val="00060570"/>
    <w:rsid w:val="000608CA"/>
    <w:rsid w:val="00060CE9"/>
    <w:rsid w:val="00060D85"/>
    <w:rsid w:val="00060D9D"/>
    <w:rsid w:val="00060F85"/>
    <w:rsid w:val="000616F6"/>
    <w:rsid w:val="000619A5"/>
    <w:rsid w:val="00061E29"/>
    <w:rsid w:val="000621C3"/>
    <w:rsid w:val="0006243C"/>
    <w:rsid w:val="000627D0"/>
    <w:rsid w:val="0006295D"/>
    <w:rsid w:val="00062B4E"/>
    <w:rsid w:val="00062BB6"/>
    <w:rsid w:val="00062C7D"/>
    <w:rsid w:val="00062ECD"/>
    <w:rsid w:val="000636BC"/>
    <w:rsid w:val="00064B93"/>
    <w:rsid w:val="00064F95"/>
    <w:rsid w:val="0006568B"/>
    <w:rsid w:val="0006637E"/>
    <w:rsid w:val="00066495"/>
    <w:rsid w:val="0006721E"/>
    <w:rsid w:val="00067242"/>
    <w:rsid w:val="000673CD"/>
    <w:rsid w:val="000678B1"/>
    <w:rsid w:val="00067A83"/>
    <w:rsid w:val="000700A1"/>
    <w:rsid w:val="000700AD"/>
    <w:rsid w:val="000701FA"/>
    <w:rsid w:val="000703BB"/>
    <w:rsid w:val="00071366"/>
    <w:rsid w:val="0007148D"/>
    <w:rsid w:val="00071CC0"/>
    <w:rsid w:val="0007213A"/>
    <w:rsid w:val="00072245"/>
    <w:rsid w:val="000727F0"/>
    <w:rsid w:val="00072A51"/>
    <w:rsid w:val="00072D43"/>
    <w:rsid w:val="000733FA"/>
    <w:rsid w:val="00073B17"/>
    <w:rsid w:val="00073B20"/>
    <w:rsid w:val="00073D4A"/>
    <w:rsid w:val="00073E9A"/>
    <w:rsid w:val="000742E7"/>
    <w:rsid w:val="0007434D"/>
    <w:rsid w:val="000743A1"/>
    <w:rsid w:val="00074946"/>
    <w:rsid w:val="00074B84"/>
    <w:rsid w:val="00075B34"/>
    <w:rsid w:val="00075BEE"/>
    <w:rsid w:val="00075BF1"/>
    <w:rsid w:val="00075C8B"/>
    <w:rsid w:val="0007610E"/>
    <w:rsid w:val="0007627B"/>
    <w:rsid w:val="00076EB7"/>
    <w:rsid w:val="00076F1E"/>
    <w:rsid w:val="000770E5"/>
    <w:rsid w:val="000779B9"/>
    <w:rsid w:val="00077C31"/>
    <w:rsid w:val="00080C86"/>
    <w:rsid w:val="00080EF9"/>
    <w:rsid w:val="000811E3"/>
    <w:rsid w:val="000821EA"/>
    <w:rsid w:val="0008238B"/>
    <w:rsid w:val="000823CB"/>
    <w:rsid w:val="00082431"/>
    <w:rsid w:val="0008272C"/>
    <w:rsid w:val="0008339B"/>
    <w:rsid w:val="000835F8"/>
    <w:rsid w:val="0008370E"/>
    <w:rsid w:val="00083806"/>
    <w:rsid w:val="00083B86"/>
    <w:rsid w:val="00083E13"/>
    <w:rsid w:val="0008418C"/>
    <w:rsid w:val="000843A1"/>
    <w:rsid w:val="000844B0"/>
    <w:rsid w:val="00084AA1"/>
    <w:rsid w:val="000850E7"/>
    <w:rsid w:val="000852A7"/>
    <w:rsid w:val="000857FA"/>
    <w:rsid w:val="000868D6"/>
    <w:rsid w:val="00086D11"/>
    <w:rsid w:val="000874B3"/>
    <w:rsid w:val="000874E8"/>
    <w:rsid w:val="000875A5"/>
    <w:rsid w:val="00090154"/>
    <w:rsid w:val="000902D5"/>
    <w:rsid w:val="00090382"/>
    <w:rsid w:val="000906B3"/>
    <w:rsid w:val="00090752"/>
    <w:rsid w:val="00090FCB"/>
    <w:rsid w:val="00091111"/>
    <w:rsid w:val="000917EF"/>
    <w:rsid w:val="000918D3"/>
    <w:rsid w:val="00091A05"/>
    <w:rsid w:val="0009283A"/>
    <w:rsid w:val="00092975"/>
    <w:rsid w:val="00092BBF"/>
    <w:rsid w:val="00092CDB"/>
    <w:rsid w:val="000932B8"/>
    <w:rsid w:val="0009369A"/>
    <w:rsid w:val="00093737"/>
    <w:rsid w:val="0009391D"/>
    <w:rsid w:val="000943FF"/>
    <w:rsid w:val="00094556"/>
    <w:rsid w:val="000946D0"/>
    <w:rsid w:val="000949D5"/>
    <w:rsid w:val="00094FB3"/>
    <w:rsid w:val="000951C0"/>
    <w:rsid w:val="000956E6"/>
    <w:rsid w:val="00095A7F"/>
    <w:rsid w:val="00095FD7"/>
    <w:rsid w:val="000960E2"/>
    <w:rsid w:val="00096DE0"/>
    <w:rsid w:val="00097138"/>
    <w:rsid w:val="000972C0"/>
    <w:rsid w:val="00097700"/>
    <w:rsid w:val="00097CCF"/>
    <w:rsid w:val="000A0066"/>
    <w:rsid w:val="000A046C"/>
    <w:rsid w:val="000A0D95"/>
    <w:rsid w:val="000A1110"/>
    <w:rsid w:val="000A1566"/>
    <w:rsid w:val="000A15AD"/>
    <w:rsid w:val="000A1839"/>
    <w:rsid w:val="000A1B41"/>
    <w:rsid w:val="000A1E9E"/>
    <w:rsid w:val="000A1F36"/>
    <w:rsid w:val="000A228B"/>
    <w:rsid w:val="000A2CF3"/>
    <w:rsid w:val="000A2E53"/>
    <w:rsid w:val="000A2EA8"/>
    <w:rsid w:val="000A324A"/>
    <w:rsid w:val="000A325C"/>
    <w:rsid w:val="000A3504"/>
    <w:rsid w:val="000A366A"/>
    <w:rsid w:val="000A41AB"/>
    <w:rsid w:val="000A42CE"/>
    <w:rsid w:val="000A43EE"/>
    <w:rsid w:val="000A48D2"/>
    <w:rsid w:val="000A4D2D"/>
    <w:rsid w:val="000A4DF5"/>
    <w:rsid w:val="000A5578"/>
    <w:rsid w:val="000A5BBC"/>
    <w:rsid w:val="000A5C09"/>
    <w:rsid w:val="000A5C39"/>
    <w:rsid w:val="000A5D8E"/>
    <w:rsid w:val="000A5FA3"/>
    <w:rsid w:val="000A60C2"/>
    <w:rsid w:val="000A641E"/>
    <w:rsid w:val="000A6431"/>
    <w:rsid w:val="000A6472"/>
    <w:rsid w:val="000A6A12"/>
    <w:rsid w:val="000A6A97"/>
    <w:rsid w:val="000A6AC7"/>
    <w:rsid w:val="000A6C99"/>
    <w:rsid w:val="000A7131"/>
    <w:rsid w:val="000A71CE"/>
    <w:rsid w:val="000A7B37"/>
    <w:rsid w:val="000A7C18"/>
    <w:rsid w:val="000A7DEF"/>
    <w:rsid w:val="000A7F37"/>
    <w:rsid w:val="000B05AE"/>
    <w:rsid w:val="000B06EA"/>
    <w:rsid w:val="000B06F8"/>
    <w:rsid w:val="000B07AE"/>
    <w:rsid w:val="000B07B5"/>
    <w:rsid w:val="000B0BAD"/>
    <w:rsid w:val="000B0DD6"/>
    <w:rsid w:val="000B0FCC"/>
    <w:rsid w:val="000B10E1"/>
    <w:rsid w:val="000B137B"/>
    <w:rsid w:val="000B17C8"/>
    <w:rsid w:val="000B1965"/>
    <w:rsid w:val="000B1E61"/>
    <w:rsid w:val="000B1E7D"/>
    <w:rsid w:val="000B2062"/>
    <w:rsid w:val="000B20B6"/>
    <w:rsid w:val="000B2A9F"/>
    <w:rsid w:val="000B32BD"/>
    <w:rsid w:val="000B32D5"/>
    <w:rsid w:val="000B3529"/>
    <w:rsid w:val="000B3841"/>
    <w:rsid w:val="000B40AE"/>
    <w:rsid w:val="000B42F9"/>
    <w:rsid w:val="000B43D5"/>
    <w:rsid w:val="000B43EA"/>
    <w:rsid w:val="000B448E"/>
    <w:rsid w:val="000B46DF"/>
    <w:rsid w:val="000B4B41"/>
    <w:rsid w:val="000B6AF9"/>
    <w:rsid w:val="000B6B10"/>
    <w:rsid w:val="000B7007"/>
    <w:rsid w:val="000B7AA1"/>
    <w:rsid w:val="000B7BF5"/>
    <w:rsid w:val="000B7CEA"/>
    <w:rsid w:val="000B7FD1"/>
    <w:rsid w:val="000C042B"/>
    <w:rsid w:val="000C0AB5"/>
    <w:rsid w:val="000C0B4D"/>
    <w:rsid w:val="000C0D3F"/>
    <w:rsid w:val="000C0DB9"/>
    <w:rsid w:val="000C1692"/>
    <w:rsid w:val="000C1F6C"/>
    <w:rsid w:val="000C2927"/>
    <w:rsid w:val="000C2B93"/>
    <w:rsid w:val="000C2BA0"/>
    <w:rsid w:val="000C33D2"/>
    <w:rsid w:val="000C3401"/>
    <w:rsid w:val="000C343D"/>
    <w:rsid w:val="000C34E7"/>
    <w:rsid w:val="000C3611"/>
    <w:rsid w:val="000C36A3"/>
    <w:rsid w:val="000C3827"/>
    <w:rsid w:val="000C3873"/>
    <w:rsid w:val="000C39ED"/>
    <w:rsid w:val="000C3C5D"/>
    <w:rsid w:val="000C415E"/>
    <w:rsid w:val="000C416B"/>
    <w:rsid w:val="000C4794"/>
    <w:rsid w:val="000C4861"/>
    <w:rsid w:val="000C48C1"/>
    <w:rsid w:val="000C4940"/>
    <w:rsid w:val="000C4B2A"/>
    <w:rsid w:val="000C4C81"/>
    <w:rsid w:val="000C4DE1"/>
    <w:rsid w:val="000C510C"/>
    <w:rsid w:val="000C513F"/>
    <w:rsid w:val="000C5211"/>
    <w:rsid w:val="000C538C"/>
    <w:rsid w:val="000C53D5"/>
    <w:rsid w:val="000C6BC2"/>
    <w:rsid w:val="000C6DBE"/>
    <w:rsid w:val="000C7056"/>
    <w:rsid w:val="000C7D82"/>
    <w:rsid w:val="000C7ECC"/>
    <w:rsid w:val="000D02C5"/>
    <w:rsid w:val="000D07F4"/>
    <w:rsid w:val="000D086A"/>
    <w:rsid w:val="000D09C4"/>
    <w:rsid w:val="000D0D13"/>
    <w:rsid w:val="000D1571"/>
    <w:rsid w:val="000D1F50"/>
    <w:rsid w:val="000D223F"/>
    <w:rsid w:val="000D2648"/>
    <w:rsid w:val="000D282C"/>
    <w:rsid w:val="000D2A58"/>
    <w:rsid w:val="000D30BB"/>
    <w:rsid w:val="000D342F"/>
    <w:rsid w:val="000D34FD"/>
    <w:rsid w:val="000D398B"/>
    <w:rsid w:val="000D3F4E"/>
    <w:rsid w:val="000D44EA"/>
    <w:rsid w:val="000D5004"/>
    <w:rsid w:val="000D52F0"/>
    <w:rsid w:val="000D545F"/>
    <w:rsid w:val="000D5623"/>
    <w:rsid w:val="000D63C2"/>
    <w:rsid w:val="000D65AD"/>
    <w:rsid w:val="000D6F16"/>
    <w:rsid w:val="000D7171"/>
    <w:rsid w:val="000D7955"/>
    <w:rsid w:val="000D7961"/>
    <w:rsid w:val="000D7E5C"/>
    <w:rsid w:val="000E0163"/>
    <w:rsid w:val="000E01A0"/>
    <w:rsid w:val="000E03C0"/>
    <w:rsid w:val="000E0744"/>
    <w:rsid w:val="000E083E"/>
    <w:rsid w:val="000E0F41"/>
    <w:rsid w:val="000E0FF9"/>
    <w:rsid w:val="000E10CE"/>
    <w:rsid w:val="000E13EC"/>
    <w:rsid w:val="000E1C4B"/>
    <w:rsid w:val="000E1E84"/>
    <w:rsid w:val="000E270A"/>
    <w:rsid w:val="000E2D78"/>
    <w:rsid w:val="000E3569"/>
    <w:rsid w:val="000E3650"/>
    <w:rsid w:val="000E38A8"/>
    <w:rsid w:val="000E3D12"/>
    <w:rsid w:val="000E3FEF"/>
    <w:rsid w:val="000E419F"/>
    <w:rsid w:val="000E41C3"/>
    <w:rsid w:val="000E422F"/>
    <w:rsid w:val="000E4B0A"/>
    <w:rsid w:val="000E4DBF"/>
    <w:rsid w:val="000E4E30"/>
    <w:rsid w:val="000E535F"/>
    <w:rsid w:val="000E54AB"/>
    <w:rsid w:val="000E5527"/>
    <w:rsid w:val="000E599F"/>
    <w:rsid w:val="000E5A09"/>
    <w:rsid w:val="000E5BC6"/>
    <w:rsid w:val="000E6DBB"/>
    <w:rsid w:val="000E70BC"/>
    <w:rsid w:val="000E72CB"/>
    <w:rsid w:val="000E73A4"/>
    <w:rsid w:val="000E76EE"/>
    <w:rsid w:val="000E7802"/>
    <w:rsid w:val="000E7C26"/>
    <w:rsid w:val="000E7DDE"/>
    <w:rsid w:val="000F0378"/>
    <w:rsid w:val="000F03D4"/>
    <w:rsid w:val="000F0BD4"/>
    <w:rsid w:val="000F0FF2"/>
    <w:rsid w:val="000F1BD4"/>
    <w:rsid w:val="000F1D86"/>
    <w:rsid w:val="000F2243"/>
    <w:rsid w:val="000F236F"/>
    <w:rsid w:val="000F29A9"/>
    <w:rsid w:val="000F2A1C"/>
    <w:rsid w:val="000F32C2"/>
    <w:rsid w:val="000F3597"/>
    <w:rsid w:val="000F35AD"/>
    <w:rsid w:val="000F35D5"/>
    <w:rsid w:val="000F36DB"/>
    <w:rsid w:val="000F3C96"/>
    <w:rsid w:val="000F4009"/>
    <w:rsid w:val="000F4666"/>
    <w:rsid w:val="000F47F7"/>
    <w:rsid w:val="000F48F9"/>
    <w:rsid w:val="000F49F0"/>
    <w:rsid w:val="000F4BB1"/>
    <w:rsid w:val="000F4C18"/>
    <w:rsid w:val="000F4CB4"/>
    <w:rsid w:val="000F5541"/>
    <w:rsid w:val="000F5DF6"/>
    <w:rsid w:val="000F6258"/>
    <w:rsid w:val="000F698E"/>
    <w:rsid w:val="000F6B9A"/>
    <w:rsid w:val="000F6F8F"/>
    <w:rsid w:val="000F7039"/>
    <w:rsid w:val="000F72E6"/>
    <w:rsid w:val="000F7427"/>
    <w:rsid w:val="000F77CE"/>
    <w:rsid w:val="000F790F"/>
    <w:rsid w:val="000F7CDA"/>
    <w:rsid w:val="00100418"/>
    <w:rsid w:val="0010096C"/>
    <w:rsid w:val="00100ADA"/>
    <w:rsid w:val="00100EB0"/>
    <w:rsid w:val="001019F7"/>
    <w:rsid w:val="00101E5C"/>
    <w:rsid w:val="0010226B"/>
    <w:rsid w:val="001025FA"/>
    <w:rsid w:val="001026A8"/>
    <w:rsid w:val="00102906"/>
    <w:rsid w:val="00102953"/>
    <w:rsid w:val="00102E00"/>
    <w:rsid w:val="001035AA"/>
    <w:rsid w:val="00103688"/>
    <w:rsid w:val="0010388F"/>
    <w:rsid w:val="00103957"/>
    <w:rsid w:val="00104004"/>
    <w:rsid w:val="001047F7"/>
    <w:rsid w:val="00104864"/>
    <w:rsid w:val="00104A89"/>
    <w:rsid w:val="00104C28"/>
    <w:rsid w:val="00105079"/>
    <w:rsid w:val="0010532E"/>
    <w:rsid w:val="0010543F"/>
    <w:rsid w:val="00105497"/>
    <w:rsid w:val="00105527"/>
    <w:rsid w:val="0010564B"/>
    <w:rsid w:val="00105DED"/>
    <w:rsid w:val="00105EC3"/>
    <w:rsid w:val="00106A14"/>
    <w:rsid w:val="00106B47"/>
    <w:rsid w:val="0010746D"/>
    <w:rsid w:val="0010760B"/>
    <w:rsid w:val="00107A6A"/>
    <w:rsid w:val="001100FC"/>
    <w:rsid w:val="00110290"/>
    <w:rsid w:val="0011039B"/>
    <w:rsid w:val="00110516"/>
    <w:rsid w:val="00110760"/>
    <w:rsid w:val="00111DB6"/>
    <w:rsid w:val="00111E3B"/>
    <w:rsid w:val="001122BF"/>
    <w:rsid w:val="00112781"/>
    <w:rsid w:val="001127E4"/>
    <w:rsid w:val="00112A11"/>
    <w:rsid w:val="00112C37"/>
    <w:rsid w:val="00112D24"/>
    <w:rsid w:val="0011316B"/>
    <w:rsid w:val="00113536"/>
    <w:rsid w:val="0011358D"/>
    <w:rsid w:val="0011388E"/>
    <w:rsid w:val="001138F6"/>
    <w:rsid w:val="00113EA8"/>
    <w:rsid w:val="00113F2E"/>
    <w:rsid w:val="00114085"/>
    <w:rsid w:val="00114338"/>
    <w:rsid w:val="00114506"/>
    <w:rsid w:val="0011458A"/>
    <w:rsid w:val="001149BA"/>
    <w:rsid w:val="001149DE"/>
    <w:rsid w:val="00114AC6"/>
    <w:rsid w:val="00114C67"/>
    <w:rsid w:val="00115094"/>
    <w:rsid w:val="001152FA"/>
    <w:rsid w:val="001159B4"/>
    <w:rsid w:val="00115D13"/>
    <w:rsid w:val="00116A4F"/>
    <w:rsid w:val="00117295"/>
    <w:rsid w:val="00117571"/>
    <w:rsid w:val="001175A3"/>
    <w:rsid w:val="0011767B"/>
    <w:rsid w:val="00120072"/>
    <w:rsid w:val="001211DE"/>
    <w:rsid w:val="00121260"/>
    <w:rsid w:val="001213DF"/>
    <w:rsid w:val="00122341"/>
    <w:rsid w:val="001231C2"/>
    <w:rsid w:val="001234C4"/>
    <w:rsid w:val="0012355D"/>
    <w:rsid w:val="001239B4"/>
    <w:rsid w:val="00123AE2"/>
    <w:rsid w:val="00123D8E"/>
    <w:rsid w:val="00123F62"/>
    <w:rsid w:val="00124689"/>
    <w:rsid w:val="00124854"/>
    <w:rsid w:val="001248B4"/>
    <w:rsid w:val="00124B19"/>
    <w:rsid w:val="00124EB3"/>
    <w:rsid w:val="00124FBC"/>
    <w:rsid w:val="0012537F"/>
    <w:rsid w:val="001255E8"/>
    <w:rsid w:val="00125D6E"/>
    <w:rsid w:val="001261EA"/>
    <w:rsid w:val="00126390"/>
    <w:rsid w:val="0012653D"/>
    <w:rsid w:val="001269FF"/>
    <w:rsid w:val="00126ACC"/>
    <w:rsid w:val="00127003"/>
    <w:rsid w:val="001272ED"/>
    <w:rsid w:val="00127550"/>
    <w:rsid w:val="00127707"/>
    <w:rsid w:val="0012781A"/>
    <w:rsid w:val="00127C57"/>
    <w:rsid w:val="00127E38"/>
    <w:rsid w:val="00127E62"/>
    <w:rsid w:val="00127F00"/>
    <w:rsid w:val="00127F9F"/>
    <w:rsid w:val="0013005F"/>
    <w:rsid w:val="00130094"/>
    <w:rsid w:val="0013024F"/>
    <w:rsid w:val="00130E1C"/>
    <w:rsid w:val="00130EA6"/>
    <w:rsid w:val="00131275"/>
    <w:rsid w:val="001312EF"/>
    <w:rsid w:val="00131612"/>
    <w:rsid w:val="0013179C"/>
    <w:rsid w:val="00131A20"/>
    <w:rsid w:val="00131E88"/>
    <w:rsid w:val="0013209D"/>
    <w:rsid w:val="0013231C"/>
    <w:rsid w:val="0013257F"/>
    <w:rsid w:val="00132794"/>
    <w:rsid w:val="00132CDE"/>
    <w:rsid w:val="00132D76"/>
    <w:rsid w:val="00133007"/>
    <w:rsid w:val="0013305F"/>
    <w:rsid w:val="001331C6"/>
    <w:rsid w:val="00133276"/>
    <w:rsid w:val="001344D2"/>
    <w:rsid w:val="00134BD0"/>
    <w:rsid w:val="001350A6"/>
    <w:rsid w:val="00135AC0"/>
    <w:rsid w:val="00135BC9"/>
    <w:rsid w:val="00135E7F"/>
    <w:rsid w:val="0013605B"/>
    <w:rsid w:val="001363DC"/>
    <w:rsid w:val="0013641F"/>
    <w:rsid w:val="00136571"/>
    <w:rsid w:val="001371D2"/>
    <w:rsid w:val="001373A0"/>
    <w:rsid w:val="001378A1"/>
    <w:rsid w:val="00137C0C"/>
    <w:rsid w:val="00137E44"/>
    <w:rsid w:val="0014004F"/>
    <w:rsid w:val="00140368"/>
    <w:rsid w:val="00140792"/>
    <w:rsid w:val="0014081D"/>
    <w:rsid w:val="00140C52"/>
    <w:rsid w:val="00140DB2"/>
    <w:rsid w:val="00140FDD"/>
    <w:rsid w:val="0014114F"/>
    <w:rsid w:val="00141611"/>
    <w:rsid w:val="0014183C"/>
    <w:rsid w:val="00141BF0"/>
    <w:rsid w:val="00141CE6"/>
    <w:rsid w:val="00141DBB"/>
    <w:rsid w:val="00142707"/>
    <w:rsid w:val="00142924"/>
    <w:rsid w:val="00142A12"/>
    <w:rsid w:val="00142B5B"/>
    <w:rsid w:val="00142D5D"/>
    <w:rsid w:val="00142F3E"/>
    <w:rsid w:val="0014323D"/>
    <w:rsid w:val="00143553"/>
    <w:rsid w:val="00143F80"/>
    <w:rsid w:val="001442C6"/>
    <w:rsid w:val="00144F07"/>
    <w:rsid w:val="00145250"/>
    <w:rsid w:val="0014536B"/>
    <w:rsid w:val="0014594C"/>
    <w:rsid w:val="00145B72"/>
    <w:rsid w:val="00145EE8"/>
    <w:rsid w:val="00145F2E"/>
    <w:rsid w:val="001460F2"/>
    <w:rsid w:val="001461AD"/>
    <w:rsid w:val="0014650B"/>
    <w:rsid w:val="001469CC"/>
    <w:rsid w:val="0014714A"/>
    <w:rsid w:val="0014749D"/>
    <w:rsid w:val="001477E6"/>
    <w:rsid w:val="0014793A"/>
    <w:rsid w:val="00147E7B"/>
    <w:rsid w:val="001502A6"/>
    <w:rsid w:val="0015092C"/>
    <w:rsid w:val="00150E7D"/>
    <w:rsid w:val="001514C2"/>
    <w:rsid w:val="0015174D"/>
    <w:rsid w:val="001517DE"/>
    <w:rsid w:val="001518A4"/>
    <w:rsid w:val="00152214"/>
    <w:rsid w:val="00152417"/>
    <w:rsid w:val="001530D3"/>
    <w:rsid w:val="0015312A"/>
    <w:rsid w:val="0015313D"/>
    <w:rsid w:val="001532FA"/>
    <w:rsid w:val="001533B8"/>
    <w:rsid w:val="001537F3"/>
    <w:rsid w:val="00153EBF"/>
    <w:rsid w:val="001540C7"/>
    <w:rsid w:val="0015439E"/>
    <w:rsid w:val="0015466E"/>
    <w:rsid w:val="00154670"/>
    <w:rsid w:val="001547C0"/>
    <w:rsid w:val="00154881"/>
    <w:rsid w:val="00154ADD"/>
    <w:rsid w:val="00154B97"/>
    <w:rsid w:val="00154F12"/>
    <w:rsid w:val="0015573E"/>
    <w:rsid w:val="00155B5B"/>
    <w:rsid w:val="001561F0"/>
    <w:rsid w:val="00156359"/>
    <w:rsid w:val="00156935"/>
    <w:rsid w:val="00156C1D"/>
    <w:rsid w:val="00157491"/>
    <w:rsid w:val="00157830"/>
    <w:rsid w:val="001578BF"/>
    <w:rsid w:val="0015794C"/>
    <w:rsid w:val="0015796A"/>
    <w:rsid w:val="00157A05"/>
    <w:rsid w:val="00157E50"/>
    <w:rsid w:val="00160431"/>
    <w:rsid w:val="0016116A"/>
    <w:rsid w:val="00161579"/>
    <w:rsid w:val="0016164A"/>
    <w:rsid w:val="00162252"/>
    <w:rsid w:val="00162BB4"/>
    <w:rsid w:val="00162F23"/>
    <w:rsid w:val="00163044"/>
    <w:rsid w:val="00163DC7"/>
    <w:rsid w:val="00164020"/>
    <w:rsid w:val="00164092"/>
    <w:rsid w:val="0016491C"/>
    <w:rsid w:val="00164E13"/>
    <w:rsid w:val="001654D9"/>
    <w:rsid w:val="00165537"/>
    <w:rsid w:val="00165C8B"/>
    <w:rsid w:val="00165C9D"/>
    <w:rsid w:val="00165D1B"/>
    <w:rsid w:val="00166367"/>
    <w:rsid w:val="0016666A"/>
    <w:rsid w:val="001667ED"/>
    <w:rsid w:val="00166999"/>
    <w:rsid w:val="0016715E"/>
    <w:rsid w:val="00167235"/>
    <w:rsid w:val="00167664"/>
    <w:rsid w:val="001676B8"/>
    <w:rsid w:val="00167EE4"/>
    <w:rsid w:val="00170344"/>
    <w:rsid w:val="001708D9"/>
    <w:rsid w:val="00170DA4"/>
    <w:rsid w:val="001712B4"/>
    <w:rsid w:val="00171726"/>
    <w:rsid w:val="00171DD8"/>
    <w:rsid w:val="0017217C"/>
    <w:rsid w:val="00172644"/>
    <w:rsid w:val="00172924"/>
    <w:rsid w:val="00172991"/>
    <w:rsid w:val="0017302A"/>
    <w:rsid w:val="001736D4"/>
    <w:rsid w:val="001739DE"/>
    <w:rsid w:val="00173A72"/>
    <w:rsid w:val="00174399"/>
    <w:rsid w:val="00174965"/>
    <w:rsid w:val="001750B8"/>
    <w:rsid w:val="00175151"/>
    <w:rsid w:val="00175A99"/>
    <w:rsid w:val="00175D8B"/>
    <w:rsid w:val="00175E90"/>
    <w:rsid w:val="00176BAE"/>
    <w:rsid w:val="00176D48"/>
    <w:rsid w:val="00176DF9"/>
    <w:rsid w:val="00176EBA"/>
    <w:rsid w:val="00176EEE"/>
    <w:rsid w:val="00177964"/>
    <w:rsid w:val="00177D29"/>
    <w:rsid w:val="00180527"/>
    <w:rsid w:val="0018069C"/>
    <w:rsid w:val="00180D60"/>
    <w:rsid w:val="00180DA0"/>
    <w:rsid w:val="00181028"/>
    <w:rsid w:val="00181117"/>
    <w:rsid w:val="00181446"/>
    <w:rsid w:val="001814CE"/>
    <w:rsid w:val="001818DC"/>
    <w:rsid w:val="00181B82"/>
    <w:rsid w:val="00181CCF"/>
    <w:rsid w:val="00181E06"/>
    <w:rsid w:val="00181E78"/>
    <w:rsid w:val="00181ED8"/>
    <w:rsid w:val="001824EA"/>
    <w:rsid w:val="001825A2"/>
    <w:rsid w:val="00182C7A"/>
    <w:rsid w:val="0018318B"/>
    <w:rsid w:val="001833B1"/>
    <w:rsid w:val="001834DF"/>
    <w:rsid w:val="00183730"/>
    <w:rsid w:val="0018384C"/>
    <w:rsid w:val="00183BCE"/>
    <w:rsid w:val="00183D09"/>
    <w:rsid w:val="001840D8"/>
    <w:rsid w:val="00184AB3"/>
    <w:rsid w:val="00184B68"/>
    <w:rsid w:val="0018501E"/>
    <w:rsid w:val="00185510"/>
    <w:rsid w:val="00185531"/>
    <w:rsid w:val="00185BAF"/>
    <w:rsid w:val="001864F0"/>
    <w:rsid w:val="0018766F"/>
    <w:rsid w:val="001900FA"/>
    <w:rsid w:val="001905EE"/>
    <w:rsid w:val="00190747"/>
    <w:rsid w:val="00191100"/>
    <w:rsid w:val="00191309"/>
    <w:rsid w:val="001915F7"/>
    <w:rsid w:val="001917B5"/>
    <w:rsid w:val="00191F5C"/>
    <w:rsid w:val="001920E8"/>
    <w:rsid w:val="00192281"/>
    <w:rsid w:val="00192287"/>
    <w:rsid w:val="00192401"/>
    <w:rsid w:val="00192516"/>
    <w:rsid w:val="0019252E"/>
    <w:rsid w:val="00192B7A"/>
    <w:rsid w:val="00192EAB"/>
    <w:rsid w:val="0019334E"/>
    <w:rsid w:val="001938F6"/>
    <w:rsid w:val="00193958"/>
    <w:rsid w:val="00194172"/>
    <w:rsid w:val="001947EC"/>
    <w:rsid w:val="001948A9"/>
    <w:rsid w:val="001949FB"/>
    <w:rsid w:val="00194D67"/>
    <w:rsid w:val="0019533D"/>
    <w:rsid w:val="00195359"/>
    <w:rsid w:val="001957F8"/>
    <w:rsid w:val="001961CE"/>
    <w:rsid w:val="00196F8A"/>
    <w:rsid w:val="001973B2"/>
    <w:rsid w:val="0019764C"/>
    <w:rsid w:val="0019765B"/>
    <w:rsid w:val="00197BA3"/>
    <w:rsid w:val="00197CEF"/>
    <w:rsid w:val="001A12BD"/>
    <w:rsid w:val="001A17D1"/>
    <w:rsid w:val="001A1A8E"/>
    <w:rsid w:val="001A1B33"/>
    <w:rsid w:val="001A223F"/>
    <w:rsid w:val="001A238C"/>
    <w:rsid w:val="001A2C7D"/>
    <w:rsid w:val="001A2F54"/>
    <w:rsid w:val="001A2FC9"/>
    <w:rsid w:val="001A3293"/>
    <w:rsid w:val="001A335D"/>
    <w:rsid w:val="001A3B39"/>
    <w:rsid w:val="001A3C90"/>
    <w:rsid w:val="001A44AF"/>
    <w:rsid w:val="001A49C5"/>
    <w:rsid w:val="001A4A51"/>
    <w:rsid w:val="001A4BA4"/>
    <w:rsid w:val="001A4CAB"/>
    <w:rsid w:val="001A4D20"/>
    <w:rsid w:val="001A509C"/>
    <w:rsid w:val="001A50F3"/>
    <w:rsid w:val="001A50FB"/>
    <w:rsid w:val="001A5345"/>
    <w:rsid w:val="001A5374"/>
    <w:rsid w:val="001A581E"/>
    <w:rsid w:val="001A594D"/>
    <w:rsid w:val="001A6125"/>
    <w:rsid w:val="001A62E1"/>
    <w:rsid w:val="001A642A"/>
    <w:rsid w:val="001A6B5F"/>
    <w:rsid w:val="001A7036"/>
    <w:rsid w:val="001B0B96"/>
    <w:rsid w:val="001B1358"/>
    <w:rsid w:val="001B14A2"/>
    <w:rsid w:val="001B1830"/>
    <w:rsid w:val="001B1DC0"/>
    <w:rsid w:val="001B1FCE"/>
    <w:rsid w:val="001B217A"/>
    <w:rsid w:val="001B2470"/>
    <w:rsid w:val="001B254E"/>
    <w:rsid w:val="001B2F66"/>
    <w:rsid w:val="001B30A1"/>
    <w:rsid w:val="001B31C3"/>
    <w:rsid w:val="001B3268"/>
    <w:rsid w:val="001B3977"/>
    <w:rsid w:val="001B3C03"/>
    <w:rsid w:val="001B3C60"/>
    <w:rsid w:val="001B3E6E"/>
    <w:rsid w:val="001B4459"/>
    <w:rsid w:val="001B4733"/>
    <w:rsid w:val="001B4BE0"/>
    <w:rsid w:val="001B4C38"/>
    <w:rsid w:val="001B4CE4"/>
    <w:rsid w:val="001B4DE7"/>
    <w:rsid w:val="001B4F8E"/>
    <w:rsid w:val="001B5418"/>
    <w:rsid w:val="001B5650"/>
    <w:rsid w:val="001B5E24"/>
    <w:rsid w:val="001B5F81"/>
    <w:rsid w:val="001B61C1"/>
    <w:rsid w:val="001B6308"/>
    <w:rsid w:val="001B6737"/>
    <w:rsid w:val="001B6940"/>
    <w:rsid w:val="001B69BF"/>
    <w:rsid w:val="001B6C6B"/>
    <w:rsid w:val="001B6DCA"/>
    <w:rsid w:val="001B7074"/>
    <w:rsid w:val="001B70F5"/>
    <w:rsid w:val="001B74B1"/>
    <w:rsid w:val="001B7873"/>
    <w:rsid w:val="001C002B"/>
    <w:rsid w:val="001C019D"/>
    <w:rsid w:val="001C02DA"/>
    <w:rsid w:val="001C02F8"/>
    <w:rsid w:val="001C07CD"/>
    <w:rsid w:val="001C07DD"/>
    <w:rsid w:val="001C12F0"/>
    <w:rsid w:val="001C15CF"/>
    <w:rsid w:val="001C17B6"/>
    <w:rsid w:val="001C1B32"/>
    <w:rsid w:val="001C1C1E"/>
    <w:rsid w:val="001C2EB2"/>
    <w:rsid w:val="001C31A4"/>
    <w:rsid w:val="001C36DB"/>
    <w:rsid w:val="001C3918"/>
    <w:rsid w:val="001C3D20"/>
    <w:rsid w:val="001C3E8E"/>
    <w:rsid w:val="001C3EF2"/>
    <w:rsid w:val="001C3F92"/>
    <w:rsid w:val="001C4016"/>
    <w:rsid w:val="001C4415"/>
    <w:rsid w:val="001C45DD"/>
    <w:rsid w:val="001C4887"/>
    <w:rsid w:val="001C4B2E"/>
    <w:rsid w:val="001C4F91"/>
    <w:rsid w:val="001C4F9F"/>
    <w:rsid w:val="001C5142"/>
    <w:rsid w:val="001C60B3"/>
    <w:rsid w:val="001C6613"/>
    <w:rsid w:val="001C676C"/>
    <w:rsid w:val="001C6A4E"/>
    <w:rsid w:val="001C6DBE"/>
    <w:rsid w:val="001C6F6C"/>
    <w:rsid w:val="001C7272"/>
    <w:rsid w:val="001C77F3"/>
    <w:rsid w:val="001C798C"/>
    <w:rsid w:val="001C7A1B"/>
    <w:rsid w:val="001C7B62"/>
    <w:rsid w:val="001D0024"/>
    <w:rsid w:val="001D02E1"/>
    <w:rsid w:val="001D0301"/>
    <w:rsid w:val="001D0B82"/>
    <w:rsid w:val="001D0CD0"/>
    <w:rsid w:val="001D0DA5"/>
    <w:rsid w:val="001D0E0C"/>
    <w:rsid w:val="001D0EA3"/>
    <w:rsid w:val="001D238C"/>
    <w:rsid w:val="001D2E29"/>
    <w:rsid w:val="001D395C"/>
    <w:rsid w:val="001D3D6E"/>
    <w:rsid w:val="001D46BC"/>
    <w:rsid w:val="001D4844"/>
    <w:rsid w:val="001D4D5D"/>
    <w:rsid w:val="001D500B"/>
    <w:rsid w:val="001D545E"/>
    <w:rsid w:val="001D5594"/>
    <w:rsid w:val="001D55B4"/>
    <w:rsid w:val="001D5A70"/>
    <w:rsid w:val="001D5B11"/>
    <w:rsid w:val="001D5CE9"/>
    <w:rsid w:val="001D619C"/>
    <w:rsid w:val="001D67B5"/>
    <w:rsid w:val="001D68AC"/>
    <w:rsid w:val="001D6DAD"/>
    <w:rsid w:val="001D7E87"/>
    <w:rsid w:val="001D7EBA"/>
    <w:rsid w:val="001D7FB5"/>
    <w:rsid w:val="001D7FCF"/>
    <w:rsid w:val="001E07E9"/>
    <w:rsid w:val="001E0AE9"/>
    <w:rsid w:val="001E10F2"/>
    <w:rsid w:val="001E1AC6"/>
    <w:rsid w:val="001E1B1A"/>
    <w:rsid w:val="001E1C8E"/>
    <w:rsid w:val="001E1CB8"/>
    <w:rsid w:val="001E22F6"/>
    <w:rsid w:val="001E2AE9"/>
    <w:rsid w:val="001E2EBC"/>
    <w:rsid w:val="001E31FD"/>
    <w:rsid w:val="001E350A"/>
    <w:rsid w:val="001E352E"/>
    <w:rsid w:val="001E373D"/>
    <w:rsid w:val="001E4649"/>
    <w:rsid w:val="001E4AE2"/>
    <w:rsid w:val="001E4C6F"/>
    <w:rsid w:val="001E4CE7"/>
    <w:rsid w:val="001E4D84"/>
    <w:rsid w:val="001E4E84"/>
    <w:rsid w:val="001E50B2"/>
    <w:rsid w:val="001E50CD"/>
    <w:rsid w:val="001E512D"/>
    <w:rsid w:val="001E5A89"/>
    <w:rsid w:val="001E5AB4"/>
    <w:rsid w:val="001E5F2B"/>
    <w:rsid w:val="001E64C0"/>
    <w:rsid w:val="001E660B"/>
    <w:rsid w:val="001E6811"/>
    <w:rsid w:val="001E6FE5"/>
    <w:rsid w:val="001E7357"/>
    <w:rsid w:val="001E75C5"/>
    <w:rsid w:val="001E7D80"/>
    <w:rsid w:val="001F01E5"/>
    <w:rsid w:val="001F0A0C"/>
    <w:rsid w:val="001F0A39"/>
    <w:rsid w:val="001F0FCB"/>
    <w:rsid w:val="001F144D"/>
    <w:rsid w:val="001F1455"/>
    <w:rsid w:val="001F18B0"/>
    <w:rsid w:val="001F1B75"/>
    <w:rsid w:val="001F1DE5"/>
    <w:rsid w:val="001F1E28"/>
    <w:rsid w:val="001F1E4D"/>
    <w:rsid w:val="001F2063"/>
    <w:rsid w:val="001F2625"/>
    <w:rsid w:val="001F27A5"/>
    <w:rsid w:val="001F2DA1"/>
    <w:rsid w:val="001F35F0"/>
    <w:rsid w:val="001F3AED"/>
    <w:rsid w:val="001F41ED"/>
    <w:rsid w:val="001F4CAE"/>
    <w:rsid w:val="001F5013"/>
    <w:rsid w:val="001F59E8"/>
    <w:rsid w:val="001F5AC8"/>
    <w:rsid w:val="001F5BDD"/>
    <w:rsid w:val="001F5C6D"/>
    <w:rsid w:val="001F5D88"/>
    <w:rsid w:val="001F5E81"/>
    <w:rsid w:val="001F662A"/>
    <w:rsid w:val="001F6F9F"/>
    <w:rsid w:val="001F736B"/>
    <w:rsid w:val="001F771B"/>
    <w:rsid w:val="001F7A23"/>
    <w:rsid w:val="002004BA"/>
    <w:rsid w:val="002007B6"/>
    <w:rsid w:val="00200CD8"/>
    <w:rsid w:val="00200D7A"/>
    <w:rsid w:val="00200E43"/>
    <w:rsid w:val="00200EF8"/>
    <w:rsid w:val="00201288"/>
    <w:rsid w:val="0020139B"/>
    <w:rsid w:val="0020158F"/>
    <w:rsid w:val="00201714"/>
    <w:rsid w:val="002019EB"/>
    <w:rsid w:val="00202505"/>
    <w:rsid w:val="002025D4"/>
    <w:rsid w:val="00202B3C"/>
    <w:rsid w:val="00202B4F"/>
    <w:rsid w:val="00202C76"/>
    <w:rsid w:val="002033CE"/>
    <w:rsid w:val="002037F1"/>
    <w:rsid w:val="00203832"/>
    <w:rsid w:val="00203C06"/>
    <w:rsid w:val="00203C6A"/>
    <w:rsid w:val="00203E1C"/>
    <w:rsid w:val="00203EDA"/>
    <w:rsid w:val="002042A7"/>
    <w:rsid w:val="0020438F"/>
    <w:rsid w:val="00204392"/>
    <w:rsid w:val="002044AF"/>
    <w:rsid w:val="0020472C"/>
    <w:rsid w:val="00205036"/>
    <w:rsid w:val="002050CF"/>
    <w:rsid w:val="00205147"/>
    <w:rsid w:val="00205EC3"/>
    <w:rsid w:val="002060C1"/>
    <w:rsid w:val="002064F1"/>
    <w:rsid w:val="002067E4"/>
    <w:rsid w:val="00206E84"/>
    <w:rsid w:val="00206E8F"/>
    <w:rsid w:val="00207421"/>
    <w:rsid w:val="00207652"/>
    <w:rsid w:val="002076BA"/>
    <w:rsid w:val="00207883"/>
    <w:rsid w:val="00207DD6"/>
    <w:rsid w:val="002102AC"/>
    <w:rsid w:val="00210634"/>
    <w:rsid w:val="00210B20"/>
    <w:rsid w:val="00210E0F"/>
    <w:rsid w:val="00210E25"/>
    <w:rsid w:val="00210EA5"/>
    <w:rsid w:val="002111CD"/>
    <w:rsid w:val="0021128D"/>
    <w:rsid w:val="00211707"/>
    <w:rsid w:val="002123DA"/>
    <w:rsid w:val="0021245A"/>
    <w:rsid w:val="00212A3D"/>
    <w:rsid w:val="00212E81"/>
    <w:rsid w:val="00212F55"/>
    <w:rsid w:val="00213171"/>
    <w:rsid w:val="002131AF"/>
    <w:rsid w:val="0021366F"/>
    <w:rsid w:val="00213740"/>
    <w:rsid w:val="002137B8"/>
    <w:rsid w:val="00213A50"/>
    <w:rsid w:val="00214120"/>
    <w:rsid w:val="00214518"/>
    <w:rsid w:val="00214894"/>
    <w:rsid w:val="002148C1"/>
    <w:rsid w:val="00214919"/>
    <w:rsid w:val="00214A66"/>
    <w:rsid w:val="00215AF3"/>
    <w:rsid w:val="00215C6A"/>
    <w:rsid w:val="00216101"/>
    <w:rsid w:val="00216205"/>
    <w:rsid w:val="002163AA"/>
    <w:rsid w:val="002166E1"/>
    <w:rsid w:val="00216BED"/>
    <w:rsid w:val="00216D78"/>
    <w:rsid w:val="00217192"/>
    <w:rsid w:val="002174A8"/>
    <w:rsid w:val="00217C3A"/>
    <w:rsid w:val="0022001B"/>
    <w:rsid w:val="0022006D"/>
    <w:rsid w:val="00220619"/>
    <w:rsid w:val="0022080D"/>
    <w:rsid w:val="00220810"/>
    <w:rsid w:val="00220921"/>
    <w:rsid w:val="0022092F"/>
    <w:rsid w:val="00220B2D"/>
    <w:rsid w:val="002212D3"/>
    <w:rsid w:val="002214A6"/>
    <w:rsid w:val="0022176E"/>
    <w:rsid w:val="00221A64"/>
    <w:rsid w:val="00222111"/>
    <w:rsid w:val="0022213F"/>
    <w:rsid w:val="00222460"/>
    <w:rsid w:val="00222938"/>
    <w:rsid w:val="00222E5B"/>
    <w:rsid w:val="002231E2"/>
    <w:rsid w:val="0022347F"/>
    <w:rsid w:val="0022358A"/>
    <w:rsid w:val="002238C5"/>
    <w:rsid w:val="00223A64"/>
    <w:rsid w:val="00223A98"/>
    <w:rsid w:val="00223AEC"/>
    <w:rsid w:val="0022430D"/>
    <w:rsid w:val="00224382"/>
    <w:rsid w:val="0022456A"/>
    <w:rsid w:val="00224A97"/>
    <w:rsid w:val="00224D0C"/>
    <w:rsid w:val="00225062"/>
    <w:rsid w:val="002256F6"/>
    <w:rsid w:val="0022582B"/>
    <w:rsid w:val="002259E2"/>
    <w:rsid w:val="0022622F"/>
    <w:rsid w:val="0022682F"/>
    <w:rsid w:val="00226B0A"/>
    <w:rsid w:val="00226C63"/>
    <w:rsid w:val="00226DE5"/>
    <w:rsid w:val="00227263"/>
    <w:rsid w:val="002277B2"/>
    <w:rsid w:val="00227936"/>
    <w:rsid w:val="00227B06"/>
    <w:rsid w:val="00227CD0"/>
    <w:rsid w:val="00227DC9"/>
    <w:rsid w:val="00230000"/>
    <w:rsid w:val="0023030F"/>
    <w:rsid w:val="00230734"/>
    <w:rsid w:val="002311FF"/>
    <w:rsid w:val="00231277"/>
    <w:rsid w:val="002312E4"/>
    <w:rsid w:val="002314B6"/>
    <w:rsid w:val="00231602"/>
    <w:rsid w:val="002318E8"/>
    <w:rsid w:val="00231ECC"/>
    <w:rsid w:val="002322AF"/>
    <w:rsid w:val="002327A0"/>
    <w:rsid w:val="0023288C"/>
    <w:rsid w:val="00232955"/>
    <w:rsid w:val="00232971"/>
    <w:rsid w:val="00232A4E"/>
    <w:rsid w:val="00232B60"/>
    <w:rsid w:val="00232BCE"/>
    <w:rsid w:val="00232CA8"/>
    <w:rsid w:val="002335D6"/>
    <w:rsid w:val="00233735"/>
    <w:rsid w:val="00233829"/>
    <w:rsid w:val="00233A81"/>
    <w:rsid w:val="00233B06"/>
    <w:rsid w:val="00233B10"/>
    <w:rsid w:val="00233D03"/>
    <w:rsid w:val="00233D26"/>
    <w:rsid w:val="00234432"/>
    <w:rsid w:val="0023447B"/>
    <w:rsid w:val="00234E1F"/>
    <w:rsid w:val="002350AA"/>
    <w:rsid w:val="0023563D"/>
    <w:rsid w:val="00235C99"/>
    <w:rsid w:val="002369A6"/>
    <w:rsid w:val="00236B7C"/>
    <w:rsid w:val="00236C64"/>
    <w:rsid w:val="00236F51"/>
    <w:rsid w:val="0023750A"/>
    <w:rsid w:val="0023778C"/>
    <w:rsid w:val="00237A72"/>
    <w:rsid w:val="00237D8F"/>
    <w:rsid w:val="00237E90"/>
    <w:rsid w:val="002400C2"/>
    <w:rsid w:val="0024022E"/>
    <w:rsid w:val="0024027A"/>
    <w:rsid w:val="00240673"/>
    <w:rsid w:val="0024074B"/>
    <w:rsid w:val="00240B50"/>
    <w:rsid w:val="00240C5A"/>
    <w:rsid w:val="00240F76"/>
    <w:rsid w:val="00241A44"/>
    <w:rsid w:val="002420AC"/>
    <w:rsid w:val="002420FB"/>
    <w:rsid w:val="0024211B"/>
    <w:rsid w:val="0024247D"/>
    <w:rsid w:val="002424E2"/>
    <w:rsid w:val="00242A7A"/>
    <w:rsid w:val="00242E8D"/>
    <w:rsid w:val="00243102"/>
    <w:rsid w:val="00243176"/>
    <w:rsid w:val="00243299"/>
    <w:rsid w:val="00243944"/>
    <w:rsid w:val="00243968"/>
    <w:rsid w:val="00243EA7"/>
    <w:rsid w:val="00244026"/>
    <w:rsid w:val="00244396"/>
    <w:rsid w:val="0024459D"/>
    <w:rsid w:val="00244DA5"/>
    <w:rsid w:val="00244DE2"/>
    <w:rsid w:val="0024574C"/>
    <w:rsid w:val="00245BA8"/>
    <w:rsid w:val="00245FB1"/>
    <w:rsid w:val="00246037"/>
    <w:rsid w:val="00246BC5"/>
    <w:rsid w:val="00246CBD"/>
    <w:rsid w:val="00246EA6"/>
    <w:rsid w:val="0024753A"/>
    <w:rsid w:val="002477DD"/>
    <w:rsid w:val="0024781C"/>
    <w:rsid w:val="002479B7"/>
    <w:rsid w:val="00247AC9"/>
    <w:rsid w:val="002501E0"/>
    <w:rsid w:val="00250454"/>
    <w:rsid w:val="00250677"/>
    <w:rsid w:val="002506AE"/>
    <w:rsid w:val="00250EAC"/>
    <w:rsid w:val="002510E9"/>
    <w:rsid w:val="00251342"/>
    <w:rsid w:val="00251A50"/>
    <w:rsid w:val="00251CD8"/>
    <w:rsid w:val="00251DDA"/>
    <w:rsid w:val="0025319C"/>
    <w:rsid w:val="002536F3"/>
    <w:rsid w:val="002539AA"/>
    <w:rsid w:val="00253A8A"/>
    <w:rsid w:val="00253BA4"/>
    <w:rsid w:val="00253BD9"/>
    <w:rsid w:val="00253E1A"/>
    <w:rsid w:val="0025410A"/>
    <w:rsid w:val="002543C6"/>
    <w:rsid w:val="002544FE"/>
    <w:rsid w:val="00254D90"/>
    <w:rsid w:val="00254F7E"/>
    <w:rsid w:val="00255055"/>
    <w:rsid w:val="00255395"/>
    <w:rsid w:val="002557DC"/>
    <w:rsid w:val="002559C8"/>
    <w:rsid w:val="002559D2"/>
    <w:rsid w:val="002559EF"/>
    <w:rsid w:val="00255F06"/>
    <w:rsid w:val="00256143"/>
    <w:rsid w:val="0025632E"/>
    <w:rsid w:val="0025657B"/>
    <w:rsid w:val="00256F20"/>
    <w:rsid w:val="0025730A"/>
    <w:rsid w:val="00257612"/>
    <w:rsid w:val="0025784C"/>
    <w:rsid w:val="00257CC5"/>
    <w:rsid w:val="00257E93"/>
    <w:rsid w:val="002600B7"/>
    <w:rsid w:val="00260F4F"/>
    <w:rsid w:val="00261367"/>
    <w:rsid w:val="002615E3"/>
    <w:rsid w:val="002618DC"/>
    <w:rsid w:val="00261990"/>
    <w:rsid w:val="00261A26"/>
    <w:rsid w:val="00261E94"/>
    <w:rsid w:val="002622B0"/>
    <w:rsid w:val="0026298D"/>
    <w:rsid w:val="002629DD"/>
    <w:rsid w:val="00263003"/>
    <w:rsid w:val="00263211"/>
    <w:rsid w:val="0026322F"/>
    <w:rsid w:val="0026348B"/>
    <w:rsid w:val="002634B5"/>
    <w:rsid w:val="002635C6"/>
    <w:rsid w:val="002635CC"/>
    <w:rsid w:val="00263A7D"/>
    <w:rsid w:val="00263B32"/>
    <w:rsid w:val="00263F6F"/>
    <w:rsid w:val="0026486F"/>
    <w:rsid w:val="00264AD4"/>
    <w:rsid w:val="00264ADE"/>
    <w:rsid w:val="00264B71"/>
    <w:rsid w:val="00264FEF"/>
    <w:rsid w:val="0026543F"/>
    <w:rsid w:val="0026565C"/>
    <w:rsid w:val="00265734"/>
    <w:rsid w:val="00265E66"/>
    <w:rsid w:val="002661D0"/>
    <w:rsid w:val="00266621"/>
    <w:rsid w:val="00266961"/>
    <w:rsid w:val="00266BAE"/>
    <w:rsid w:val="00267374"/>
    <w:rsid w:val="0026741D"/>
    <w:rsid w:val="002674C0"/>
    <w:rsid w:val="00267538"/>
    <w:rsid w:val="00267732"/>
    <w:rsid w:val="00267E2A"/>
    <w:rsid w:val="002704BE"/>
    <w:rsid w:val="00270528"/>
    <w:rsid w:val="00270658"/>
    <w:rsid w:val="00270721"/>
    <w:rsid w:val="002708E6"/>
    <w:rsid w:val="002709BA"/>
    <w:rsid w:val="00270D1B"/>
    <w:rsid w:val="00270D6B"/>
    <w:rsid w:val="002711E3"/>
    <w:rsid w:val="00271622"/>
    <w:rsid w:val="00271A6C"/>
    <w:rsid w:val="00271C4F"/>
    <w:rsid w:val="00271D89"/>
    <w:rsid w:val="00271EF9"/>
    <w:rsid w:val="00272179"/>
    <w:rsid w:val="00272321"/>
    <w:rsid w:val="00272A4B"/>
    <w:rsid w:val="00272FAD"/>
    <w:rsid w:val="002730F7"/>
    <w:rsid w:val="002734B6"/>
    <w:rsid w:val="002740EF"/>
    <w:rsid w:val="0027414E"/>
    <w:rsid w:val="00274C33"/>
    <w:rsid w:val="0027523C"/>
    <w:rsid w:val="00275404"/>
    <w:rsid w:val="00275613"/>
    <w:rsid w:val="0027568E"/>
    <w:rsid w:val="00275902"/>
    <w:rsid w:val="00275911"/>
    <w:rsid w:val="00275BF9"/>
    <w:rsid w:val="00276500"/>
    <w:rsid w:val="00276711"/>
    <w:rsid w:val="00276A8D"/>
    <w:rsid w:val="00276C16"/>
    <w:rsid w:val="00276D17"/>
    <w:rsid w:val="00276EAD"/>
    <w:rsid w:val="0028003D"/>
    <w:rsid w:val="00280041"/>
    <w:rsid w:val="0028020C"/>
    <w:rsid w:val="002805FB"/>
    <w:rsid w:val="00280A03"/>
    <w:rsid w:val="00280F2B"/>
    <w:rsid w:val="00281404"/>
    <w:rsid w:val="002814FE"/>
    <w:rsid w:val="00281669"/>
    <w:rsid w:val="002817CD"/>
    <w:rsid w:val="00282135"/>
    <w:rsid w:val="00282741"/>
    <w:rsid w:val="002827E4"/>
    <w:rsid w:val="0028304C"/>
    <w:rsid w:val="002831AD"/>
    <w:rsid w:val="002833BC"/>
    <w:rsid w:val="00283546"/>
    <w:rsid w:val="002837DA"/>
    <w:rsid w:val="00283C4F"/>
    <w:rsid w:val="00284820"/>
    <w:rsid w:val="002848F3"/>
    <w:rsid w:val="00284CAE"/>
    <w:rsid w:val="00284EC2"/>
    <w:rsid w:val="002853AF"/>
    <w:rsid w:val="00285496"/>
    <w:rsid w:val="002858F4"/>
    <w:rsid w:val="00285A65"/>
    <w:rsid w:val="00285C5F"/>
    <w:rsid w:val="00286097"/>
    <w:rsid w:val="002868F7"/>
    <w:rsid w:val="00286DFB"/>
    <w:rsid w:val="00286E84"/>
    <w:rsid w:val="002876F6"/>
    <w:rsid w:val="0028779F"/>
    <w:rsid w:val="002877E8"/>
    <w:rsid w:val="00287897"/>
    <w:rsid w:val="00287CFA"/>
    <w:rsid w:val="00287D0C"/>
    <w:rsid w:val="002900D0"/>
    <w:rsid w:val="00290186"/>
    <w:rsid w:val="002902ED"/>
    <w:rsid w:val="0029036C"/>
    <w:rsid w:val="002904C4"/>
    <w:rsid w:val="0029088E"/>
    <w:rsid w:val="00290F26"/>
    <w:rsid w:val="00291066"/>
    <w:rsid w:val="002911A1"/>
    <w:rsid w:val="00291362"/>
    <w:rsid w:val="0029178C"/>
    <w:rsid w:val="00291E3E"/>
    <w:rsid w:val="00291ED5"/>
    <w:rsid w:val="00292004"/>
    <w:rsid w:val="0029208E"/>
    <w:rsid w:val="0029236A"/>
    <w:rsid w:val="0029253E"/>
    <w:rsid w:val="0029257B"/>
    <w:rsid w:val="00292D7A"/>
    <w:rsid w:val="00293010"/>
    <w:rsid w:val="0029302B"/>
    <w:rsid w:val="002930F7"/>
    <w:rsid w:val="0029374B"/>
    <w:rsid w:val="00293887"/>
    <w:rsid w:val="00293B01"/>
    <w:rsid w:val="00293BB2"/>
    <w:rsid w:val="00293C3F"/>
    <w:rsid w:val="00293FF0"/>
    <w:rsid w:val="002941C8"/>
    <w:rsid w:val="002942DB"/>
    <w:rsid w:val="00294345"/>
    <w:rsid w:val="0029447B"/>
    <w:rsid w:val="00294582"/>
    <w:rsid w:val="00294BE8"/>
    <w:rsid w:val="00294CC1"/>
    <w:rsid w:val="00295372"/>
    <w:rsid w:val="002953AB"/>
    <w:rsid w:val="00295630"/>
    <w:rsid w:val="00295AA2"/>
    <w:rsid w:val="00295AA4"/>
    <w:rsid w:val="00295B18"/>
    <w:rsid w:val="00295EDC"/>
    <w:rsid w:val="00296237"/>
    <w:rsid w:val="00296663"/>
    <w:rsid w:val="00296695"/>
    <w:rsid w:val="0029688A"/>
    <w:rsid w:val="00296CAC"/>
    <w:rsid w:val="00296E84"/>
    <w:rsid w:val="00296FD8"/>
    <w:rsid w:val="00297803"/>
    <w:rsid w:val="00297869"/>
    <w:rsid w:val="00297A41"/>
    <w:rsid w:val="002A0BFD"/>
    <w:rsid w:val="002A1090"/>
    <w:rsid w:val="002A14D9"/>
    <w:rsid w:val="002A156A"/>
    <w:rsid w:val="002A1BBC"/>
    <w:rsid w:val="002A1EA0"/>
    <w:rsid w:val="002A1EB3"/>
    <w:rsid w:val="002A233B"/>
    <w:rsid w:val="002A26A2"/>
    <w:rsid w:val="002A26DF"/>
    <w:rsid w:val="002A27CB"/>
    <w:rsid w:val="002A2CD2"/>
    <w:rsid w:val="002A31F4"/>
    <w:rsid w:val="002A3646"/>
    <w:rsid w:val="002A3EF6"/>
    <w:rsid w:val="002A432A"/>
    <w:rsid w:val="002A45B3"/>
    <w:rsid w:val="002A47E0"/>
    <w:rsid w:val="002A4932"/>
    <w:rsid w:val="002A4C07"/>
    <w:rsid w:val="002A5117"/>
    <w:rsid w:val="002A5259"/>
    <w:rsid w:val="002A53E1"/>
    <w:rsid w:val="002A569E"/>
    <w:rsid w:val="002A5C50"/>
    <w:rsid w:val="002A5DA3"/>
    <w:rsid w:val="002A5DF6"/>
    <w:rsid w:val="002A5F23"/>
    <w:rsid w:val="002A5F24"/>
    <w:rsid w:val="002A61DA"/>
    <w:rsid w:val="002A6357"/>
    <w:rsid w:val="002A6894"/>
    <w:rsid w:val="002A6CF1"/>
    <w:rsid w:val="002A724C"/>
    <w:rsid w:val="002A7693"/>
    <w:rsid w:val="002A7A0A"/>
    <w:rsid w:val="002A7AEF"/>
    <w:rsid w:val="002A7DD0"/>
    <w:rsid w:val="002B1C11"/>
    <w:rsid w:val="002B1E63"/>
    <w:rsid w:val="002B20B3"/>
    <w:rsid w:val="002B22EB"/>
    <w:rsid w:val="002B2B76"/>
    <w:rsid w:val="002B2BA8"/>
    <w:rsid w:val="002B32DE"/>
    <w:rsid w:val="002B35A5"/>
    <w:rsid w:val="002B36EB"/>
    <w:rsid w:val="002B38AC"/>
    <w:rsid w:val="002B3C91"/>
    <w:rsid w:val="002B4571"/>
    <w:rsid w:val="002B49C0"/>
    <w:rsid w:val="002B4BED"/>
    <w:rsid w:val="002B54A4"/>
    <w:rsid w:val="002B55EA"/>
    <w:rsid w:val="002B5916"/>
    <w:rsid w:val="002B5D02"/>
    <w:rsid w:val="002B6022"/>
    <w:rsid w:val="002B642C"/>
    <w:rsid w:val="002B6544"/>
    <w:rsid w:val="002B6CE9"/>
    <w:rsid w:val="002B6D1C"/>
    <w:rsid w:val="002B70BF"/>
    <w:rsid w:val="002C012A"/>
    <w:rsid w:val="002C025F"/>
    <w:rsid w:val="002C070D"/>
    <w:rsid w:val="002C0973"/>
    <w:rsid w:val="002C0B6F"/>
    <w:rsid w:val="002C140D"/>
    <w:rsid w:val="002C162C"/>
    <w:rsid w:val="002C16A4"/>
    <w:rsid w:val="002C219E"/>
    <w:rsid w:val="002C2526"/>
    <w:rsid w:val="002C2642"/>
    <w:rsid w:val="002C26EF"/>
    <w:rsid w:val="002C2A45"/>
    <w:rsid w:val="002C2C0C"/>
    <w:rsid w:val="002C2CCC"/>
    <w:rsid w:val="002C2DC4"/>
    <w:rsid w:val="002C3076"/>
    <w:rsid w:val="002C3392"/>
    <w:rsid w:val="002C3C3C"/>
    <w:rsid w:val="002C4091"/>
    <w:rsid w:val="002C459F"/>
    <w:rsid w:val="002C46C0"/>
    <w:rsid w:val="002C4776"/>
    <w:rsid w:val="002C4C3F"/>
    <w:rsid w:val="002C4D1A"/>
    <w:rsid w:val="002C4EFE"/>
    <w:rsid w:val="002C4FEF"/>
    <w:rsid w:val="002C519E"/>
    <w:rsid w:val="002C55B2"/>
    <w:rsid w:val="002C56A5"/>
    <w:rsid w:val="002C5784"/>
    <w:rsid w:val="002C5AAA"/>
    <w:rsid w:val="002C5C8E"/>
    <w:rsid w:val="002C6497"/>
    <w:rsid w:val="002C6A5B"/>
    <w:rsid w:val="002C6B70"/>
    <w:rsid w:val="002C6DC6"/>
    <w:rsid w:val="002C6E4F"/>
    <w:rsid w:val="002C72C2"/>
    <w:rsid w:val="002C781C"/>
    <w:rsid w:val="002C785A"/>
    <w:rsid w:val="002C7D90"/>
    <w:rsid w:val="002D0262"/>
    <w:rsid w:val="002D02B7"/>
    <w:rsid w:val="002D05B9"/>
    <w:rsid w:val="002D0D21"/>
    <w:rsid w:val="002D0E31"/>
    <w:rsid w:val="002D0F69"/>
    <w:rsid w:val="002D1307"/>
    <w:rsid w:val="002D141B"/>
    <w:rsid w:val="002D16AF"/>
    <w:rsid w:val="002D220C"/>
    <w:rsid w:val="002D2284"/>
    <w:rsid w:val="002D2652"/>
    <w:rsid w:val="002D2783"/>
    <w:rsid w:val="002D28C5"/>
    <w:rsid w:val="002D29C7"/>
    <w:rsid w:val="002D2B43"/>
    <w:rsid w:val="002D3308"/>
    <w:rsid w:val="002D3591"/>
    <w:rsid w:val="002D37E0"/>
    <w:rsid w:val="002D3DBC"/>
    <w:rsid w:val="002D3F01"/>
    <w:rsid w:val="002D3FA7"/>
    <w:rsid w:val="002D409D"/>
    <w:rsid w:val="002D47EB"/>
    <w:rsid w:val="002D4A0F"/>
    <w:rsid w:val="002D4CC2"/>
    <w:rsid w:val="002D4F43"/>
    <w:rsid w:val="002D514A"/>
    <w:rsid w:val="002D549F"/>
    <w:rsid w:val="002D55AA"/>
    <w:rsid w:val="002D5785"/>
    <w:rsid w:val="002D5A90"/>
    <w:rsid w:val="002D6572"/>
    <w:rsid w:val="002D66F4"/>
    <w:rsid w:val="002D6C0D"/>
    <w:rsid w:val="002D6D49"/>
    <w:rsid w:val="002D6D5F"/>
    <w:rsid w:val="002D6D63"/>
    <w:rsid w:val="002D72EF"/>
    <w:rsid w:val="002D7556"/>
    <w:rsid w:val="002D7F86"/>
    <w:rsid w:val="002E00EA"/>
    <w:rsid w:val="002E035C"/>
    <w:rsid w:val="002E09BE"/>
    <w:rsid w:val="002E1032"/>
    <w:rsid w:val="002E1635"/>
    <w:rsid w:val="002E1784"/>
    <w:rsid w:val="002E20D4"/>
    <w:rsid w:val="002E21EF"/>
    <w:rsid w:val="002E2283"/>
    <w:rsid w:val="002E2C3C"/>
    <w:rsid w:val="002E37B3"/>
    <w:rsid w:val="002E39C0"/>
    <w:rsid w:val="002E3A8D"/>
    <w:rsid w:val="002E3C11"/>
    <w:rsid w:val="002E3CFD"/>
    <w:rsid w:val="002E3FDC"/>
    <w:rsid w:val="002E41C1"/>
    <w:rsid w:val="002E4239"/>
    <w:rsid w:val="002E438B"/>
    <w:rsid w:val="002E4AA5"/>
    <w:rsid w:val="002E4E82"/>
    <w:rsid w:val="002E51E9"/>
    <w:rsid w:val="002E5231"/>
    <w:rsid w:val="002E52C7"/>
    <w:rsid w:val="002E5B45"/>
    <w:rsid w:val="002E6151"/>
    <w:rsid w:val="002E6643"/>
    <w:rsid w:val="002E70B8"/>
    <w:rsid w:val="002E7162"/>
    <w:rsid w:val="002E765E"/>
    <w:rsid w:val="002E7BED"/>
    <w:rsid w:val="002E7E56"/>
    <w:rsid w:val="002F0733"/>
    <w:rsid w:val="002F09F6"/>
    <w:rsid w:val="002F17ED"/>
    <w:rsid w:val="002F1862"/>
    <w:rsid w:val="002F1EA6"/>
    <w:rsid w:val="002F1F29"/>
    <w:rsid w:val="002F2089"/>
    <w:rsid w:val="002F2243"/>
    <w:rsid w:val="002F2562"/>
    <w:rsid w:val="002F2AF1"/>
    <w:rsid w:val="002F2EE7"/>
    <w:rsid w:val="002F31A2"/>
    <w:rsid w:val="002F32A1"/>
    <w:rsid w:val="002F3828"/>
    <w:rsid w:val="002F3BAC"/>
    <w:rsid w:val="002F3BC5"/>
    <w:rsid w:val="002F3FB8"/>
    <w:rsid w:val="002F4158"/>
    <w:rsid w:val="002F423B"/>
    <w:rsid w:val="002F45CA"/>
    <w:rsid w:val="002F47FB"/>
    <w:rsid w:val="002F4898"/>
    <w:rsid w:val="002F5555"/>
    <w:rsid w:val="002F5619"/>
    <w:rsid w:val="002F5970"/>
    <w:rsid w:val="002F5AC1"/>
    <w:rsid w:val="002F5ED7"/>
    <w:rsid w:val="002F62C8"/>
    <w:rsid w:val="002F6431"/>
    <w:rsid w:val="002F68C9"/>
    <w:rsid w:val="002F6A35"/>
    <w:rsid w:val="002F6FE1"/>
    <w:rsid w:val="002F7503"/>
    <w:rsid w:val="002F767A"/>
    <w:rsid w:val="002F7F13"/>
    <w:rsid w:val="0030027E"/>
    <w:rsid w:val="003006CF"/>
    <w:rsid w:val="0030111E"/>
    <w:rsid w:val="003016EC"/>
    <w:rsid w:val="00301797"/>
    <w:rsid w:val="00301AA4"/>
    <w:rsid w:val="00301D17"/>
    <w:rsid w:val="0030216A"/>
    <w:rsid w:val="003021CE"/>
    <w:rsid w:val="00302961"/>
    <w:rsid w:val="00302B6D"/>
    <w:rsid w:val="0030313A"/>
    <w:rsid w:val="003031F0"/>
    <w:rsid w:val="0030373F"/>
    <w:rsid w:val="003039C0"/>
    <w:rsid w:val="00303BA7"/>
    <w:rsid w:val="003041AE"/>
    <w:rsid w:val="0030452D"/>
    <w:rsid w:val="0030459B"/>
    <w:rsid w:val="003049B5"/>
    <w:rsid w:val="00304A06"/>
    <w:rsid w:val="00304A69"/>
    <w:rsid w:val="00304B93"/>
    <w:rsid w:val="00304BFA"/>
    <w:rsid w:val="00304E26"/>
    <w:rsid w:val="00305266"/>
    <w:rsid w:val="0030549C"/>
    <w:rsid w:val="00305688"/>
    <w:rsid w:val="00306011"/>
    <w:rsid w:val="00306092"/>
    <w:rsid w:val="00306361"/>
    <w:rsid w:val="003063F1"/>
    <w:rsid w:val="00306711"/>
    <w:rsid w:val="00306748"/>
    <w:rsid w:val="00307087"/>
    <w:rsid w:val="00307133"/>
    <w:rsid w:val="003079D0"/>
    <w:rsid w:val="00307A88"/>
    <w:rsid w:val="00307C52"/>
    <w:rsid w:val="0031039C"/>
    <w:rsid w:val="00310822"/>
    <w:rsid w:val="003109E7"/>
    <w:rsid w:val="003113C0"/>
    <w:rsid w:val="0031161D"/>
    <w:rsid w:val="00311C79"/>
    <w:rsid w:val="00311DB4"/>
    <w:rsid w:val="00312074"/>
    <w:rsid w:val="003120FA"/>
    <w:rsid w:val="00312205"/>
    <w:rsid w:val="00312601"/>
    <w:rsid w:val="0031281B"/>
    <w:rsid w:val="00312D37"/>
    <w:rsid w:val="003136E1"/>
    <w:rsid w:val="0031388C"/>
    <w:rsid w:val="00313CE2"/>
    <w:rsid w:val="00313D01"/>
    <w:rsid w:val="003147CD"/>
    <w:rsid w:val="003148B3"/>
    <w:rsid w:val="003148DE"/>
    <w:rsid w:val="0031495C"/>
    <w:rsid w:val="003149CA"/>
    <w:rsid w:val="00314B06"/>
    <w:rsid w:val="00314E47"/>
    <w:rsid w:val="00315886"/>
    <w:rsid w:val="00315C09"/>
    <w:rsid w:val="00315E92"/>
    <w:rsid w:val="00316F65"/>
    <w:rsid w:val="0031706D"/>
    <w:rsid w:val="003172F4"/>
    <w:rsid w:val="0031776F"/>
    <w:rsid w:val="003179A0"/>
    <w:rsid w:val="00317B45"/>
    <w:rsid w:val="00317C23"/>
    <w:rsid w:val="00317CE0"/>
    <w:rsid w:val="003203AD"/>
    <w:rsid w:val="0032052A"/>
    <w:rsid w:val="00320655"/>
    <w:rsid w:val="003209B7"/>
    <w:rsid w:val="00320B7E"/>
    <w:rsid w:val="00320D6F"/>
    <w:rsid w:val="00320EAB"/>
    <w:rsid w:val="003211A5"/>
    <w:rsid w:val="0032155F"/>
    <w:rsid w:val="00321AB9"/>
    <w:rsid w:val="0032210B"/>
    <w:rsid w:val="00322123"/>
    <w:rsid w:val="00322572"/>
    <w:rsid w:val="003228FB"/>
    <w:rsid w:val="003228FD"/>
    <w:rsid w:val="003237B8"/>
    <w:rsid w:val="003238CC"/>
    <w:rsid w:val="003239EB"/>
    <w:rsid w:val="00323CEF"/>
    <w:rsid w:val="003244C8"/>
    <w:rsid w:val="00324560"/>
    <w:rsid w:val="003245BF"/>
    <w:rsid w:val="00324656"/>
    <w:rsid w:val="00324C49"/>
    <w:rsid w:val="00324CE5"/>
    <w:rsid w:val="00324DFC"/>
    <w:rsid w:val="003250DC"/>
    <w:rsid w:val="003258FD"/>
    <w:rsid w:val="00325F22"/>
    <w:rsid w:val="003262CC"/>
    <w:rsid w:val="0032658A"/>
    <w:rsid w:val="003265D6"/>
    <w:rsid w:val="00327129"/>
    <w:rsid w:val="0032735D"/>
    <w:rsid w:val="00327782"/>
    <w:rsid w:val="003277D1"/>
    <w:rsid w:val="00327BE5"/>
    <w:rsid w:val="00327CF1"/>
    <w:rsid w:val="00327F31"/>
    <w:rsid w:val="003302B3"/>
    <w:rsid w:val="003305FA"/>
    <w:rsid w:val="00330A5F"/>
    <w:rsid w:val="00330BD8"/>
    <w:rsid w:val="00330E79"/>
    <w:rsid w:val="00330EDB"/>
    <w:rsid w:val="00330F8E"/>
    <w:rsid w:val="003315E9"/>
    <w:rsid w:val="00331A42"/>
    <w:rsid w:val="00331FDA"/>
    <w:rsid w:val="00332240"/>
    <w:rsid w:val="00332676"/>
    <w:rsid w:val="003328C8"/>
    <w:rsid w:val="00332D85"/>
    <w:rsid w:val="00333321"/>
    <w:rsid w:val="00334503"/>
    <w:rsid w:val="00334764"/>
    <w:rsid w:val="0033494B"/>
    <w:rsid w:val="00334A58"/>
    <w:rsid w:val="00334AAD"/>
    <w:rsid w:val="00334B68"/>
    <w:rsid w:val="00334BD0"/>
    <w:rsid w:val="003351A0"/>
    <w:rsid w:val="003351C4"/>
    <w:rsid w:val="00335843"/>
    <w:rsid w:val="00335C0B"/>
    <w:rsid w:val="003364D1"/>
    <w:rsid w:val="0033670A"/>
    <w:rsid w:val="00336C08"/>
    <w:rsid w:val="00337339"/>
    <w:rsid w:val="0033744C"/>
    <w:rsid w:val="00337C80"/>
    <w:rsid w:val="00337D49"/>
    <w:rsid w:val="0034017A"/>
    <w:rsid w:val="00340CF2"/>
    <w:rsid w:val="00340DB7"/>
    <w:rsid w:val="0034127D"/>
    <w:rsid w:val="00341966"/>
    <w:rsid w:val="00341A08"/>
    <w:rsid w:val="00341A3F"/>
    <w:rsid w:val="00341AE6"/>
    <w:rsid w:val="0034205A"/>
    <w:rsid w:val="00342381"/>
    <w:rsid w:val="00342BCE"/>
    <w:rsid w:val="00342BEA"/>
    <w:rsid w:val="00342C63"/>
    <w:rsid w:val="00342D7B"/>
    <w:rsid w:val="00343039"/>
    <w:rsid w:val="00343592"/>
    <w:rsid w:val="00343913"/>
    <w:rsid w:val="0034395F"/>
    <w:rsid w:val="00343B4B"/>
    <w:rsid w:val="00343DA4"/>
    <w:rsid w:val="00344165"/>
    <w:rsid w:val="0034447D"/>
    <w:rsid w:val="00344864"/>
    <w:rsid w:val="00344AF2"/>
    <w:rsid w:val="003450A2"/>
    <w:rsid w:val="00345197"/>
    <w:rsid w:val="00345697"/>
    <w:rsid w:val="003456E8"/>
    <w:rsid w:val="00345E63"/>
    <w:rsid w:val="0034605B"/>
    <w:rsid w:val="00346141"/>
    <w:rsid w:val="00346697"/>
    <w:rsid w:val="00346A97"/>
    <w:rsid w:val="00346D36"/>
    <w:rsid w:val="00347070"/>
    <w:rsid w:val="0034721C"/>
    <w:rsid w:val="00347532"/>
    <w:rsid w:val="003475B7"/>
    <w:rsid w:val="00347FDF"/>
    <w:rsid w:val="00350BFA"/>
    <w:rsid w:val="00351149"/>
    <w:rsid w:val="0035145F"/>
    <w:rsid w:val="003514FF"/>
    <w:rsid w:val="003515A2"/>
    <w:rsid w:val="00351999"/>
    <w:rsid w:val="00351B14"/>
    <w:rsid w:val="00351B18"/>
    <w:rsid w:val="00351B38"/>
    <w:rsid w:val="003520B9"/>
    <w:rsid w:val="00352DFA"/>
    <w:rsid w:val="003531E8"/>
    <w:rsid w:val="00353382"/>
    <w:rsid w:val="003535D2"/>
    <w:rsid w:val="003538C2"/>
    <w:rsid w:val="00353C36"/>
    <w:rsid w:val="00354077"/>
    <w:rsid w:val="003543DE"/>
    <w:rsid w:val="003548EB"/>
    <w:rsid w:val="00354C65"/>
    <w:rsid w:val="00354C6D"/>
    <w:rsid w:val="003551B0"/>
    <w:rsid w:val="00355366"/>
    <w:rsid w:val="00355485"/>
    <w:rsid w:val="003555AD"/>
    <w:rsid w:val="0035630A"/>
    <w:rsid w:val="00356566"/>
    <w:rsid w:val="003569B4"/>
    <w:rsid w:val="00356A0D"/>
    <w:rsid w:val="00356B20"/>
    <w:rsid w:val="00356F6C"/>
    <w:rsid w:val="003571BF"/>
    <w:rsid w:val="003573C2"/>
    <w:rsid w:val="00357463"/>
    <w:rsid w:val="00357A7A"/>
    <w:rsid w:val="00357C42"/>
    <w:rsid w:val="00357D19"/>
    <w:rsid w:val="00357D47"/>
    <w:rsid w:val="00360008"/>
    <w:rsid w:val="00360621"/>
    <w:rsid w:val="003611CE"/>
    <w:rsid w:val="003612EB"/>
    <w:rsid w:val="00361339"/>
    <w:rsid w:val="00361496"/>
    <w:rsid w:val="0036181E"/>
    <w:rsid w:val="003618AD"/>
    <w:rsid w:val="00361C09"/>
    <w:rsid w:val="00361F79"/>
    <w:rsid w:val="00362524"/>
    <w:rsid w:val="003625E3"/>
    <w:rsid w:val="003627E6"/>
    <w:rsid w:val="0036292B"/>
    <w:rsid w:val="003629EB"/>
    <w:rsid w:val="0036341E"/>
    <w:rsid w:val="003638DF"/>
    <w:rsid w:val="00363B25"/>
    <w:rsid w:val="00363D68"/>
    <w:rsid w:val="00363F13"/>
    <w:rsid w:val="00363F4A"/>
    <w:rsid w:val="00364264"/>
    <w:rsid w:val="003644F2"/>
    <w:rsid w:val="003649F9"/>
    <w:rsid w:val="00364AE7"/>
    <w:rsid w:val="00364DEE"/>
    <w:rsid w:val="00364F07"/>
    <w:rsid w:val="0036500E"/>
    <w:rsid w:val="00365415"/>
    <w:rsid w:val="003654AB"/>
    <w:rsid w:val="00365DED"/>
    <w:rsid w:val="00365EF1"/>
    <w:rsid w:val="00366363"/>
    <w:rsid w:val="00367038"/>
    <w:rsid w:val="003671CF"/>
    <w:rsid w:val="0036750C"/>
    <w:rsid w:val="003679BD"/>
    <w:rsid w:val="00367A13"/>
    <w:rsid w:val="00367ACC"/>
    <w:rsid w:val="00367D05"/>
    <w:rsid w:val="00367E29"/>
    <w:rsid w:val="00367E53"/>
    <w:rsid w:val="0037096B"/>
    <w:rsid w:val="00371351"/>
    <w:rsid w:val="0037148B"/>
    <w:rsid w:val="00371A46"/>
    <w:rsid w:val="00371B8C"/>
    <w:rsid w:val="003720AB"/>
    <w:rsid w:val="003720D4"/>
    <w:rsid w:val="003728AC"/>
    <w:rsid w:val="00372927"/>
    <w:rsid w:val="00373892"/>
    <w:rsid w:val="00373E24"/>
    <w:rsid w:val="0037438C"/>
    <w:rsid w:val="003743F0"/>
    <w:rsid w:val="003745A8"/>
    <w:rsid w:val="003745ED"/>
    <w:rsid w:val="0037465E"/>
    <w:rsid w:val="00374950"/>
    <w:rsid w:val="00374E48"/>
    <w:rsid w:val="003750A3"/>
    <w:rsid w:val="00375366"/>
    <w:rsid w:val="00376036"/>
    <w:rsid w:val="003761DB"/>
    <w:rsid w:val="003765A0"/>
    <w:rsid w:val="00376C14"/>
    <w:rsid w:val="00376CD1"/>
    <w:rsid w:val="00377461"/>
    <w:rsid w:val="00377494"/>
    <w:rsid w:val="00377508"/>
    <w:rsid w:val="00377CE5"/>
    <w:rsid w:val="00377F4D"/>
    <w:rsid w:val="003801B7"/>
    <w:rsid w:val="003803D1"/>
    <w:rsid w:val="00380462"/>
    <w:rsid w:val="0038049F"/>
    <w:rsid w:val="00380581"/>
    <w:rsid w:val="003808BF"/>
    <w:rsid w:val="00380C65"/>
    <w:rsid w:val="00380CA6"/>
    <w:rsid w:val="00380E7D"/>
    <w:rsid w:val="003815B0"/>
    <w:rsid w:val="003815D3"/>
    <w:rsid w:val="003816EB"/>
    <w:rsid w:val="003818C6"/>
    <w:rsid w:val="00381CDA"/>
    <w:rsid w:val="00381D7D"/>
    <w:rsid w:val="0038231C"/>
    <w:rsid w:val="00382831"/>
    <w:rsid w:val="00382B06"/>
    <w:rsid w:val="00383108"/>
    <w:rsid w:val="003831B9"/>
    <w:rsid w:val="003832E0"/>
    <w:rsid w:val="00383385"/>
    <w:rsid w:val="00383461"/>
    <w:rsid w:val="003834B7"/>
    <w:rsid w:val="0038391E"/>
    <w:rsid w:val="00383E1E"/>
    <w:rsid w:val="00383EC7"/>
    <w:rsid w:val="003840F9"/>
    <w:rsid w:val="00384C2E"/>
    <w:rsid w:val="00384C52"/>
    <w:rsid w:val="0038528A"/>
    <w:rsid w:val="00385412"/>
    <w:rsid w:val="00385711"/>
    <w:rsid w:val="00385875"/>
    <w:rsid w:val="00385964"/>
    <w:rsid w:val="00385B9D"/>
    <w:rsid w:val="00385C39"/>
    <w:rsid w:val="00385EC6"/>
    <w:rsid w:val="003869BD"/>
    <w:rsid w:val="00386E87"/>
    <w:rsid w:val="00387352"/>
    <w:rsid w:val="0038780B"/>
    <w:rsid w:val="00387D33"/>
    <w:rsid w:val="00387F9A"/>
    <w:rsid w:val="00390006"/>
    <w:rsid w:val="003904ED"/>
    <w:rsid w:val="00390778"/>
    <w:rsid w:val="003907CA"/>
    <w:rsid w:val="0039099D"/>
    <w:rsid w:val="00390B5C"/>
    <w:rsid w:val="00391307"/>
    <w:rsid w:val="003919EE"/>
    <w:rsid w:val="00391CAC"/>
    <w:rsid w:val="00391D2B"/>
    <w:rsid w:val="00391E4B"/>
    <w:rsid w:val="00391FA3"/>
    <w:rsid w:val="00392520"/>
    <w:rsid w:val="00392D7F"/>
    <w:rsid w:val="00393089"/>
    <w:rsid w:val="00393304"/>
    <w:rsid w:val="00393A7B"/>
    <w:rsid w:val="00393ABB"/>
    <w:rsid w:val="00393B8D"/>
    <w:rsid w:val="00393E3B"/>
    <w:rsid w:val="0039413A"/>
    <w:rsid w:val="003946A6"/>
    <w:rsid w:val="00394706"/>
    <w:rsid w:val="00394D23"/>
    <w:rsid w:val="00394EB3"/>
    <w:rsid w:val="00394FDA"/>
    <w:rsid w:val="003956CB"/>
    <w:rsid w:val="003958F5"/>
    <w:rsid w:val="00395CB7"/>
    <w:rsid w:val="00395E88"/>
    <w:rsid w:val="00395FFB"/>
    <w:rsid w:val="0039632A"/>
    <w:rsid w:val="0039636C"/>
    <w:rsid w:val="00396518"/>
    <w:rsid w:val="00396661"/>
    <w:rsid w:val="00396872"/>
    <w:rsid w:val="00396986"/>
    <w:rsid w:val="003969AE"/>
    <w:rsid w:val="00396A3A"/>
    <w:rsid w:val="00396BAA"/>
    <w:rsid w:val="0039718E"/>
    <w:rsid w:val="00397190"/>
    <w:rsid w:val="00397698"/>
    <w:rsid w:val="003A01E5"/>
    <w:rsid w:val="003A09AA"/>
    <w:rsid w:val="003A0B69"/>
    <w:rsid w:val="003A1432"/>
    <w:rsid w:val="003A1A0E"/>
    <w:rsid w:val="003A1B63"/>
    <w:rsid w:val="003A1CBF"/>
    <w:rsid w:val="003A1CE1"/>
    <w:rsid w:val="003A20CE"/>
    <w:rsid w:val="003A23F3"/>
    <w:rsid w:val="003A24CC"/>
    <w:rsid w:val="003A27A4"/>
    <w:rsid w:val="003A2879"/>
    <w:rsid w:val="003A295D"/>
    <w:rsid w:val="003A2CF6"/>
    <w:rsid w:val="003A3254"/>
    <w:rsid w:val="003A34A9"/>
    <w:rsid w:val="003A351E"/>
    <w:rsid w:val="003A4203"/>
    <w:rsid w:val="003A4679"/>
    <w:rsid w:val="003A497C"/>
    <w:rsid w:val="003A4B16"/>
    <w:rsid w:val="003A4D94"/>
    <w:rsid w:val="003A55D1"/>
    <w:rsid w:val="003A5AC8"/>
    <w:rsid w:val="003A5CC7"/>
    <w:rsid w:val="003A62D5"/>
    <w:rsid w:val="003A66F8"/>
    <w:rsid w:val="003A6A39"/>
    <w:rsid w:val="003A70BF"/>
    <w:rsid w:val="003A70C0"/>
    <w:rsid w:val="003A7760"/>
    <w:rsid w:val="003A7BF4"/>
    <w:rsid w:val="003A7C11"/>
    <w:rsid w:val="003A7C7B"/>
    <w:rsid w:val="003A7CA4"/>
    <w:rsid w:val="003B05A6"/>
    <w:rsid w:val="003B08B1"/>
    <w:rsid w:val="003B09F9"/>
    <w:rsid w:val="003B0B24"/>
    <w:rsid w:val="003B0CBC"/>
    <w:rsid w:val="003B0CFB"/>
    <w:rsid w:val="003B0DAF"/>
    <w:rsid w:val="003B149F"/>
    <w:rsid w:val="003B1609"/>
    <w:rsid w:val="003B16F1"/>
    <w:rsid w:val="003B1837"/>
    <w:rsid w:val="003B1B41"/>
    <w:rsid w:val="003B1F13"/>
    <w:rsid w:val="003B2283"/>
    <w:rsid w:val="003B2B92"/>
    <w:rsid w:val="003B2D77"/>
    <w:rsid w:val="003B2ECC"/>
    <w:rsid w:val="003B35B3"/>
    <w:rsid w:val="003B384E"/>
    <w:rsid w:val="003B3D60"/>
    <w:rsid w:val="003B48AF"/>
    <w:rsid w:val="003B48E7"/>
    <w:rsid w:val="003B4F75"/>
    <w:rsid w:val="003B50E2"/>
    <w:rsid w:val="003B5F6D"/>
    <w:rsid w:val="003B6003"/>
    <w:rsid w:val="003B61B8"/>
    <w:rsid w:val="003B6234"/>
    <w:rsid w:val="003B6387"/>
    <w:rsid w:val="003B6465"/>
    <w:rsid w:val="003B6B68"/>
    <w:rsid w:val="003B6CE9"/>
    <w:rsid w:val="003B6E81"/>
    <w:rsid w:val="003B6EDB"/>
    <w:rsid w:val="003B73EF"/>
    <w:rsid w:val="003B7464"/>
    <w:rsid w:val="003B7683"/>
    <w:rsid w:val="003B76F4"/>
    <w:rsid w:val="003B7C73"/>
    <w:rsid w:val="003B7C78"/>
    <w:rsid w:val="003C0214"/>
    <w:rsid w:val="003C0539"/>
    <w:rsid w:val="003C0B6F"/>
    <w:rsid w:val="003C0B91"/>
    <w:rsid w:val="003C105F"/>
    <w:rsid w:val="003C12F0"/>
    <w:rsid w:val="003C1965"/>
    <w:rsid w:val="003C2F8C"/>
    <w:rsid w:val="003C3132"/>
    <w:rsid w:val="003C3316"/>
    <w:rsid w:val="003C35E9"/>
    <w:rsid w:val="003C35ED"/>
    <w:rsid w:val="003C3871"/>
    <w:rsid w:val="003C3AF0"/>
    <w:rsid w:val="003C3C6C"/>
    <w:rsid w:val="003C4471"/>
    <w:rsid w:val="003C4AB7"/>
    <w:rsid w:val="003C4B3F"/>
    <w:rsid w:val="003C4D46"/>
    <w:rsid w:val="003C4E06"/>
    <w:rsid w:val="003C504E"/>
    <w:rsid w:val="003C57EC"/>
    <w:rsid w:val="003C6113"/>
    <w:rsid w:val="003C677F"/>
    <w:rsid w:val="003C6CE8"/>
    <w:rsid w:val="003C6F64"/>
    <w:rsid w:val="003C7539"/>
    <w:rsid w:val="003C75C6"/>
    <w:rsid w:val="003C78B0"/>
    <w:rsid w:val="003C7CCE"/>
    <w:rsid w:val="003C7FA1"/>
    <w:rsid w:val="003D013E"/>
    <w:rsid w:val="003D022D"/>
    <w:rsid w:val="003D06D1"/>
    <w:rsid w:val="003D09D4"/>
    <w:rsid w:val="003D1302"/>
    <w:rsid w:val="003D134A"/>
    <w:rsid w:val="003D1613"/>
    <w:rsid w:val="003D1813"/>
    <w:rsid w:val="003D1AE3"/>
    <w:rsid w:val="003D25DC"/>
    <w:rsid w:val="003D280F"/>
    <w:rsid w:val="003D30FC"/>
    <w:rsid w:val="003D310B"/>
    <w:rsid w:val="003D35D8"/>
    <w:rsid w:val="003D3EE8"/>
    <w:rsid w:val="003D4EA5"/>
    <w:rsid w:val="003D58DE"/>
    <w:rsid w:val="003D59F7"/>
    <w:rsid w:val="003D5D0A"/>
    <w:rsid w:val="003D60AD"/>
    <w:rsid w:val="003D60C2"/>
    <w:rsid w:val="003D6462"/>
    <w:rsid w:val="003D6563"/>
    <w:rsid w:val="003D68AA"/>
    <w:rsid w:val="003D6DC1"/>
    <w:rsid w:val="003D73CF"/>
    <w:rsid w:val="003D768D"/>
    <w:rsid w:val="003D772D"/>
    <w:rsid w:val="003D7C9F"/>
    <w:rsid w:val="003E0414"/>
    <w:rsid w:val="003E056E"/>
    <w:rsid w:val="003E09F8"/>
    <w:rsid w:val="003E18C8"/>
    <w:rsid w:val="003E1BB7"/>
    <w:rsid w:val="003E1C14"/>
    <w:rsid w:val="003E24EB"/>
    <w:rsid w:val="003E2619"/>
    <w:rsid w:val="003E28C0"/>
    <w:rsid w:val="003E2E97"/>
    <w:rsid w:val="003E31AF"/>
    <w:rsid w:val="003E355D"/>
    <w:rsid w:val="003E3855"/>
    <w:rsid w:val="003E3B8B"/>
    <w:rsid w:val="003E4A43"/>
    <w:rsid w:val="003E4E46"/>
    <w:rsid w:val="003E51DE"/>
    <w:rsid w:val="003E5372"/>
    <w:rsid w:val="003E5639"/>
    <w:rsid w:val="003E57C0"/>
    <w:rsid w:val="003E59EF"/>
    <w:rsid w:val="003E5A5C"/>
    <w:rsid w:val="003E5B42"/>
    <w:rsid w:val="003E5B7C"/>
    <w:rsid w:val="003E5C36"/>
    <w:rsid w:val="003E5FE5"/>
    <w:rsid w:val="003E61DE"/>
    <w:rsid w:val="003E6261"/>
    <w:rsid w:val="003E64A5"/>
    <w:rsid w:val="003E6CF3"/>
    <w:rsid w:val="003E6F9A"/>
    <w:rsid w:val="003E7144"/>
    <w:rsid w:val="003E7189"/>
    <w:rsid w:val="003E7DC6"/>
    <w:rsid w:val="003E7E7B"/>
    <w:rsid w:val="003F0058"/>
    <w:rsid w:val="003F01E6"/>
    <w:rsid w:val="003F0335"/>
    <w:rsid w:val="003F0521"/>
    <w:rsid w:val="003F07FE"/>
    <w:rsid w:val="003F0CF2"/>
    <w:rsid w:val="003F106A"/>
    <w:rsid w:val="003F1175"/>
    <w:rsid w:val="003F11EE"/>
    <w:rsid w:val="003F1244"/>
    <w:rsid w:val="003F14CB"/>
    <w:rsid w:val="003F1585"/>
    <w:rsid w:val="003F16D7"/>
    <w:rsid w:val="003F240B"/>
    <w:rsid w:val="003F251D"/>
    <w:rsid w:val="003F2555"/>
    <w:rsid w:val="003F2634"/>
    <w:rsid w:val="003F2763"/>
    <w:rsid w:val="003F2A2C"/>
    <w:rsid w:val="003F32D9"/>
    <w:rsid w:val="003F34A4"/>
    <w:rsid w:val="003F356C"/>
    <w:rsid w:val="003F36A1"/>
    <w:rsid w:val="003F3A2A"/>
    <w:rsid w:val="003F3D58"/>
    <w:rsid w:val="003F410B"/>
    <w:rsid w:val="003F4222"/>
    <w:rsid w:val="003F43BC"/>
    <w:rsid w:val="003F4538"/>
    <w:rsid w:val="003F45C2"/>
    <w:rsid w:val="003F4927"/>
    <w:rsid w:val="003F4BA0"/>
    <w:rsid w:val="003F4ED7"/>
    <w:rsid w:val="003F5391"/>
    <w:rsid w:val="003F5411"/>
    <w:rsid w:val="003F560D"/>
    <w:rsid w:val="003F57BC"/>
    <w:rsid w:val="003F6106"/>
    <w:rsid w:val="003F632F"/>
    <w:rsid w:val="003F6767"/>
    <w:rsid w:val="003F6F80"/>
    <w:rsid w:val="003F76E9"/>
    <w:rsid w:val="003F7938"/>
    <w:rsid w:val="003F7CBE"/>
    <w:rsid w:val="0040002B"/>
    <w:rsid w:val="004002A3"/>
    <w:rsid w:val="0040067E"/>
    <w:rsid w:val="00400A31"/>
    <w:rsid w:val="00400B06"/>
    <w:rsid w:val="00400C0C"/>
    <w:rsid w:val="00400E06"/>
    <w:rsid w:val="0040109A"/>
    <w:rsid w:val="00401400"/>
    <w:rsid w:val="00401465"/>
    <w:rsid w:val="004016C5"/>
    <w:rsid w:val="0040192F"/>
    <w:rsid w:val="00402170"/>
    <w:rsid w:val="00402318"/>
    <w:rsid w:val="004023A4"/>
    <w:rsid w:val="00403713"/>
    <w:rsid w:val="00403F11"/>
    <w:rsid w:val="004041C1"/>
    <w:rsid w:val="00404256"/>
    <w:rsid w:val="0040425D"/>
    <w:rsid w:val="00404926"/>
    <w:rsid w:val="004050A7"/>
    <w:rsid w:val="0040514A"/>
    <w:rsid w:val="00405280"/>
    <w:rsid w:val="0040553F"/>
    <w:rsid w:val="004056E8"/>
    <w:rsid w:val="00405759"/>
    <w:rsid w:val="00406063"/>
    <w:rsid w:val="00407064"/>
    <w:rsid w:val="004070C4"/>
    <w:rsid w:val="0040713C"/>
    <w:rsid w:val="004074DE"/>
    <w:rsid w:val="00407881"/>
    <w:rsid w:val="00407D24"/>
    <w:rsid w:val="00407EE6"/>
    <w:rsid w:val="00410327"/>
    <w:rsid w:val="00410862"/>
    <w:rsid w:val="00410C92"/>
    <w:rsid w:val="004110B2"/>
    <w:rsid w:val="004113FC"/>
    <w:rsid w:val="00411546"/>
    <w:rsid w:val="004116C1"/>
    <w:rsid w:val="00411961"/>
    <w:rsid w:val="00411F08"/>
    <w:rsid w:val="004122E1"/>
    <w:rsid w:val="00412386"/>
    <w:rsid w:val="004130E0"/>
    <w:rsid w:val="00413279"/>
    <w:rsid w:val="004133D4"/>
    <w:rsid w:val="004133FE"/>
    <w:rsid w:val="0041374C"/>
    <w:rsid w:val="004137EA"/>
    <w:rsid w:val="004138F3"/>
    <w:rsid w:val="004139AC"/>
    <w:rsid w:val="00413B68"/>
    <w:rsid w:val="004147CB"/>
    <w:rsid w:val="004149ED"/>
    <w:rsid w:val="00414C51"/>
    <w:rsid w:val="00414CEB"/>
    <w:rsid w:val="00414E90"/>
    <w:rsid w:val="0041596D"/>
    <w:rsid w:val="00415A7D"/>
    <w:rsid w:val="00415F31"/>
    <w:rsid w:val="00416452"/>
    <w:rsid w:val="00416725"/>
    <w:rsid w:val="004167F6"/>
    <w:rsid w:val="00416CA1"/>
    <w:rsid w:val="00417643"/>
    <w:rsid w:val="004177FB"/>
    <w:rsid w:val="00417A8C"/>
    <w:rsid w:val="00417DD2"/>
    <w:rsid w:val="00420195"/>
    <w:rsid w:val="004205D6"/>
    <w:rsid w:val="00420B32"/>
    <w:rsid w:val="00420E1E"/>
    <w:rsid w:val="00421307"/>
    <w:rsid w:val="00421315"/>
    <w:rsid w:val="00421648"/>
    <w:rsid w:val="00421677"/>
    <w:rsid w:val="00421734"/>
    <w:rsid w:val="00421AA2"/>
    <w:rsid w:val="00421CB5"/>
    <w:rsid w:val="00422055"/>
    <w:rsid w:val="00422B83"/>
    <w:rsid w:val="00422B93"/>
    <w:rsid w:val="00422E53"/>
    <w:rsid w:val="004231D3"/>
    <w:rsid w:val="00423230"/>
    <w:rsid w:val="00423395"/>
    <w:rsid w:val="004238A9"/>
    <w:rsid w:val="004238AD"/>
    <w:rsid w:val="00423A7F"/>
    <w:rsid w:val="00423E59"/>
    <w:rsid w:val="00423FBA"/>
    <w:rsid w:val="00424616"/>
    <w:rsid w:val="004248F1"/>
    <w:rsid w:val="004248FC"/>
    <w:rsid w:val="00424DCA"/>
    <w:rsid w:val="00424E29"/>
    <w:rsid w:val="00424E71"/>
    <w:rsid w:val="00424ED0"/>
    <w:rsid w:val="00425064"/>
    <w:rsid w:val="0042595A"/>
    <w:rsid w:val="004266F5"/>
    <w:rsid w:val="00426D8C"/>
    <w:rsid w:val="004274B1"/>
    <w:rsid w:val="00427619"/>
    <w:rsid w:val="004276DE"/>
    <w:rsid w:val="00427B3B"/>
    <w:rsid w:val="00427B5E"/>
    <w:rsid w:val="00427BF5"/>
    <w:rsid w:val="004300E7"/>
    <w:rsid w:val="0043056C"/>
    <w:rsid w:val="00430CDB"/>
    <w:rsid w:val="00430E37"/>
    <w:rsid w:val="00431145"/>
    <w:rsid w:val="00431491"/>
    <w:rsid w:val="004315F8"/>
    <w:rsid w:val="0043196B"/>
    <w:rsid w:val="00431C92"/>
    <w:rsid w:val="00431EE6"/>
    <w:rsid w:val="00432067"/>
    <w:rsid w:val="00432760"/>
    <w:rsid w:val="00432B23"/>
    <w:rsid w:val="00432E16"/>
    <w:rsid w:val="00432EF3"/>
    <w:rsid w:val="0043336A"/>
    <w:rsid w:val="004336E3"/>
    <w:rsid w:val="0043374E"/>
    <w:rsid w:val="00433EA5"/>
    <w:rsid w:val="00434109"/>
    <w:rsid w:val="00434480"/>
    <w:rsid w:val="004345EA"/>
    <w:rsid w:val="0043463C"/>
    <w:rsid w:val="00434702"/>
    <w:rsid w:val="00434BCD"/>
    <w:rsid w:val="0043570E"/>
    <w:rsid w:val="0043573D"/>
    <w:rsid w:val="004357AE"/>
    <w:rsid w:val="004357B6"/>
    <w:rsid w:val="004357F0"/>
    <w:rsid w:val="00435AC3"/>
    <w:rsid w:val="00435F4C"/>
    <w:rsid w:val="00436945"/>
    <w:rsid w:val="00436987"/>
    <w:rsid w:val="004370CA"/>
    <w:rsid w:val="00437402"/>
    <w:rsid w:val="0043750A"/>
    <w:rsid w:val="00437E1D"/>
    <w:rsid w:val="004401F6"/>
    <w:rsid w:val="004403D3"/>
    <w:rsid w:val="0044103E"/>
    <w:rsid w:val="00441646"/>
    <w:rsid w:val="00441D3D"/>
    <w:rsid w:val="00441DA5"/>
    <w:rsid w:val="00441F26"/>
    <w:rsid w:val="00441FCA"/>
    <w:rsid w:val="004425BE"/>
    <w:rsid w:val="00442C77"/>
    <w:rsid w:val="004430AD"/>
    <w:rsid w:val="00443360"/>
    <w:rsid w:val="00443583"/>
    <w:rsid w:val="00444030"/>
    <w:rsid w:val="0044479A"/>
    <w:rsid w:val="00444BC3"/>
    <w:rsid w:val="00444BCC"/>
    <w:rsid w:val="0044520B"/>
    <w:rsid w:val="004455C8"/>
    <w:rsid w:val="004458B8"/>
    <w:rsid w:val="00445A16"/>
    <w:rsid w:val="004461D1"/>
    <w:rsid w:val="00446273"/>
    <w:rsid w:val="0044656F"/>
    <w:rsid w:val="00446613"/>
    <w:rsid w:val="004468C7"/>
    <w:rsid w:val="00446921"/>
    <w:rsid w:val="00447168"/>
    <w:rsid w:val="00447429"/>
    <w:rsid w:val="00447629"/>
    <w:rsid w:val="0044784D"/>
    <w:rsid w:val="00447BC5"/>
    <w:rsid w:val="0045091A"/>
    <w:rsid w:val="00450ACA"/>
    <w:rsid w:val="00450CA0"/>
    <w:rsid w:val="0045124E"/>
    <w:rsid w:val="0045187E"/>
    <w:rsid w:val="00451B96"/>
    <w:rsid w:val="00452453"/>
    <w:rsid w:val="004527D5"/>
    <w:rsid w:val="00452A6A"/>
    <w:rsid w:val="00452ACB"/>
    <w:rsid w:val="00452D4A"/>
    <w:rsid w:val="004534F4"/>
    <w:rsid w:val="00453519"/>
    <w:rsid w:val="0045353A"/>
    <w:rsid w:val="00453A8D"/>
    <w:rsid w:val="00453EA4"/>
    <w:rsid w:val="00453F88"/>
    <w:rsid w:val="0045407A"/>
    <w:rsid w:val="0045455A"/>
    <w:rsid w:val="00454D83"/>
    <w:rsid w:val="00455028"/>
    <w:rsid w:val="004554F1"/>
    <w:rsid w:val="00455819"/>
    <w:rsid w:val="00455BE0"/>
    <w:rsid w:val="00455DCE"/>
    <w:rsid w:val="00455DE4"/>
    <w:rsid w:val="00455F5A"/>
    <w:rsid w:val="00456026"/>
    <w:rsid w:val="00456A8E"/>
    <w:rsid w:val="00456E39"/>
    <w:rsid w:val="00457522"/>
    <w:rsid w:val="004575DF"/>
    <w:rsid w:val="00457A30"/>
    <w:rsid w:val="00457CDB"/>
    <w:rsid w:val="00460011"/>
    <w:rsid w:val="004601A2"/>
    <w:rsid w:val="0046078F"/>
    <w:rsid w:val="00460891"/>
    <w:rsid w:val="00460AA7"/>
    <w:rsid w:val="00460B08"/>
    <w:rsid w:val="00460CE8"/>
    <w:rsid w:val="00460E16"/>
    <w:rsid w:val="0046151B"/>
    <w:rsid w:val="004619A5"/>
    <w:rsid w:val="004625D8"/>
    <w:rsid w:val="004637AF"/>
    <w:rsid w:val="004639F6"/>
    <w:rsid w:val="00463BEF"/>
    <w:rsid w:val="00463C89"/>
    <w:rsid w:val="00464057"/>
    <w:rsid w:val="00464181"/>
    <w:rsid w:val="00464760"/>
    <w:rsid w:val="00464841"/>
    <w:rsid w:val="00464A76"/>
    <w:rsid w:val="00464DE4"/>
    <w:rsid w:val="00465024"/>
    <w:rsid w:val="0046540D"/>
    <w:rsid w:val="0046576F"/>
    <w:rsid w:val="004660E1"/>
    <w:rsid w:val="004661AF"/>
    <w:rsid w:val="0046641E"/>
    <w:rsid w:val="004667C9"/>
    <w:rsid w:val="00466AC0"/>
    <w:rsid w:val="00466AEE"/>
    <w:rsid w:val="00466E57"/>
    <w:rsid w:val="00466EEB"/>
    <w:rsid w:val="004674A3"/>
    <w:rsid w:val="004677CD"/>
    <w:rsid w:val="00467A1B"/>
    <w:rsid w:val="00470343"/>
    <w:rsid w:val="00470463"/>
    <w:rsid w:val="004708A6"/>
    <w:rsid w:val="00470CE0"/>
    <w:rsid w:val="00471523"/>
    <w:rsid w:val="004717B3"/>
    <w:rsid w:val="00472113"/>
    <w:rsid w:val="00472436"/>
    <w:rsid w:val="00472612"/>
    <w:rsid w:val="004727E7"/>
    <w:rsid w:val="00472BA6"/>
    <w:rsid w:val="00472EAE"/>
    <w:rsid w:val="0047305F"/>
    <w:rsid w:val="004730F4"/>
    <w:rsid w:val="00473530"/>
    <w:rsid w:val="00473631"/>
    <w:rsid w:val="00473CF6"/>
    <w:rsid w:val="0047400A"/>
    <w:rsid w:val="00474078"/>
    <w:rsid w:val="00474452"/>
    <w:rsid w:val="00474454"/>
    <w:rsid w:val="00474731"/>
    <w:rsid w:val="00474B1D"/>
    <w:rsid w:val="00474E48"/>
    <w:rsid w:val="004755D9"/>
    <w:rsid w:val="00475EF2"/>
    <w:rsid w:val="00476324"/>
    <w:rsid w:val="004766D8"/>
    <w:rsid w:val="00476899"/>
    <w:rsid w:val="00476A8D"/>
    <w:rsid w:val="004770B5"/>
    <w:rsid w:val="0047744C"/>
    <w:rsid w:val="004774BA"/>
    <w:rsid w:val="00480192"/>
    <w:rsid w:val="004802C7"/>
    <w:rsid w:val="00480762"/>
    <w:rsid w:val="004809AE"/>
    <w:rsid w:val="00480AA7"/>
    <w:rsid w:val="00480D1F"/>
    <w:rsid w:val="0048129C"/>
    <w:rsid w:val="00481490"/>
    <w:rsid w:val="00481A31"/>
    <w:rsid w:val="00481FFD"/>
    <w:rsid w:val="004822AD"/>
    <w:rsid w:val="00482301"/>
    <w:rsid w:val="004823D2"/>
    <w:rsid w:val="00482A58"/>
    <w:rsid w:val="00482AB7"/>
    <w:rsid w:val="00482DE4"/>
    <w:rsid w:val="00482E29"/>
    <w:rsid w:val="00483007"/>
    <w:rsid w:val="0048320E"/>
    <w:rsid w:val="0048328B"/>
    <w:rsid w:val="004834FF"/>
    <w:rsid w:val="00483E45"/>
    <w:rsid w:val="00484292"/>
    <w:rsid w:val="0048462B"/>
    <w:rsid w:val="00484DCC"/>
    <w:rsid w:val="00484E6F"/>
    <w:rsid w:val="004850F8"/>
    <w:rsid w:val="00485176"/>
    <w:rsid w:val="00485190"/>
    <w:rsid w:val="00485242"/>
    <w:rsid w:val="0048539F"/>
    <w:rsid w:val="0048541A"/>
    <w:rsid w:val="004854E2"/>
    <w:rsid w:val="004861A5"/>
    <w:rsid w:val="004863EE"/>
    <w:rsid w:val="004865D1"/>
    <w:rsid w:val="00486771"/>
    <w:rsid w:val="00487464"/>
    <w:rsid w:val="00487C11"/>
    <w:rsid w:val="00487D7C"/>
    <w:rsid w:val="00487F2F"/>
    <w:rsid w:val="0049035C"/>
    <w:rsid w:val="00490366"/>
    <w:rsid w:val="0049045A"/>
    <w:rsid w:val="0049059F"/>
    <w:rsid w:val="00490889"/>
    <w:rsid w:val="00490967"/>
    <w:rsid w:val="0049097E"/>
    <w:rsid w:val="00490E04"/>
    <w:rsid w:val="00491480"/>
    <w:rsid w:val="004916AB"/>
    <w:rsid w:val="004916BC"/>
    <w:rsid w:val="004917F7"/>
    <w:rsid w:val="00491C00"/>
    <w:rsid w:val="00491D97"/>
    <w:rsid w:val="00491F23"/>
    <w:rsid w:val="00491F2F"/>
    <w:rsid w:val="0049202C"/>
    <w:rsid w:val="0049208A"/>
    <w:rsid w:val="00492120"/>
    <w:rsid w:val="0049272C"/>
    <w:rsid w:val="00492DE9"/>
    <w:rsid w:val="00493325"/>
    <w:rsid w:val="004938A1"/>
    <w:rsid w:val="004945B1"/>
    <w:rsid w:val="004945BA"/>
    <w:rsid w:val="00494B6F"/>
    <w:rsid w:val="00494F5A"/>
    <w:rsid w:val="00495A36"/>
    <w:rsid w:val="00495C88"/>
    <w:rsid w:val="0049618E"/>
    <w:rsid w:val="00496A4B"/>
    <w:rsid w:val="00496BB7"/>
    <w:rsid w:val="00496E3C"/>
    <w:rsid w:val="00497413"/>
    <w:rsid w:val="004977ED"/>
    <w:rsid w:val="00497C28"/>
    <w:rsid w:val="00497C70"/>
    <w:rsid w:val="004A04A4"/>
    <w:rsid w:val="004A04BA"/>
    <w:rsid w:val="004A0711"/>
    <w:rsid w:val="004A0A09"/>
    <w:rsid w:val="004A15F4"/>
    <w:rsid w:val="004A1CB0"/>
    <w:rsid w:val="004A1CE5"/>
    <w:rsid w:val="004A1D08"/>
    <w:rsid w:val="004A208F"/>
    <w:rsid w:val="004A24EE"/>
    <w:rsid w:val="004A2783"/>
    <w:rsid w:val="004A2D31"/>
    <w:rsid w:val="004A2E94"/>
    <w:rsid w:val="004A3030"/>
    <w:rsid w:val="004A4195"/>
    <w:rsid w:val="004A459B"/>
    <w:rsid w:val="004A4966"/>
    <w:rsid w:val="004A525A"/>
    <w:rsid w:val="004A5833"/>
    <w:rsid w:val="004A5F0B"/>
    <w:rsid w:val="004A7620"/>
    <w:rsid w:val="004A796C"/>
    <w:rsid w:val="004B00E6"/>
    <w:rsid w:val="004B01B5"/>
    <w:rsid w:val="004B0405"/>
    <w:rsid w:val="004B0693"/>
    <w:rsid w:val="004B0821"/>
    <w:rsid w:val="004B08C3"/>
    <w:rsid w:val="004B0C4B"/>
    <w:rsid w:val="004B0CD9"/>
    <w:rsid w:val="004B0FC7"/>
    <w:rsid w:val="004B0FEB"/>
    <w:rsid w:val="004B118F"/>
    <w:rsid w:val="004B14AE"/>
    <w:rsid w:val="004B1B79"/>
    <w:rsid w:val="004B22F2"/>
    <w:rsid w:val="004B238D"/>
    <w:rsid w:val="004B249B"/>
    <w:rsid w:val="004B24E8"/>
    <w:rsid w:val="004B2AD8"/>
    <w:rsid w:val="004B2C51"/>
    <w:rsid w:val="004B2DFB"/>
    <w:rsid w:val="004B3284"/>
    <w:rsid w:val="004B3A91"/>
    <w:rsid w:val="004B3BA6"/>
    <w:rsid w:val="004B4117"/>
    <w:rsid w:val="004B4410"/>
    <w:rsid w:val="004B4564"/>
    <w:rsid w:val="004B480A"/>
    <w:rsid w:val="004B4922"/>
    <w:rsid w:val="004B492A"/>
    <w:rsid w:val="004B5A43"/>
    <w:rsid w:val="004B5AC9"/>
    <w:rsid w:val="004B5BF0"/>
    <w:rsid w:val="004B5D63"/>
    <w:rsid w:val="004B60EC"/>
    <w:rsid w:val="004B6824"/>
    <w:rsid w:val="004B6C65"/>
    <w:rsid w:val="004B6EF2"/>
    <w:rsid w:val="004B7851"/>
    <w:rsid w:val="004B7A4C"/>
    <w:rsid w:val="004B7BA7"/>
    <w:rsid w:val="004B7CFD"/>
    <w:rsid w:val="004C064D"/>
    <w:rsid w:val="004C0AF5"/>
    <w:rsid w:val="004C0B70"/>
    <w:rsid w:val="004C0F6C"/>
    <w:rsid w:val="004C0F94"/>
    <w:rsid w:val="004C1015"/>
    <w:rsid w:val="004C1537"/>
    <w:rsid w:val="004C169D"/>
    <w:rsid w:val="004C1792"/>
    <w:rsid w:val="004C1A81"/>
    <w:rsid w:val="004C1C79"/>
    <w:rsid w:val="004C1FC3"/>
    <w:rsid w:val="004C217A"/>
    <w:rsid w:val="004C2392"/>
    <w:rsid w:val="004C259E"/>
    <w:rsid w:val="004C274C"/>
    <w:rsid w:val="004C2C17"/>
    <w:rsid w:val="004C3573"/>
    <w:rsid w:val="004C38D1"/>
    <w:rsid w:val="004C3E2F"/>
    <w:rsid w:val="004C4018"/>
    <w:rsid w:val="004C4365"/>
    <w:rsid w:val="004C48F9"/>
    <w:rsid w:val="004C4B4E"/>
    <w:rsid w:val="004C4E1C"/>
    <w:rsid w:val="004C5369"/>
    <w:rsid w:val="004C57E8"/>
    <w:rsid w:val="004C5838"/>
    <w:rsid w:val="004C58D7"/>
    <w:rsid w:val="004C5978"/>
    <w:rsid w:val="004C5C9B"/>
    <w:rsid w:val="004C633E"/>
    <w:rsid w:val="004C6C80"/>
    <w:rsid w:val="004C6EBF"/>
    <w:rsid w:val="004C6FED"/>
    <w:rsid w:val="004C71DF"/>
    <w:rsid w:val="004C7514"/>
    <w:rsid w:val="004C7B88"/>
    <w:rsid w:val="004C7E11"/>
    <w:rsid w:val="004D00E6"/>
    <w:rsid w:val="004D0159"/>
    <w:rsid w:val="004D02EA"/>
    <w:rsid w:val="004D05FA"/>
    <w:rsid w:val="004D0828"/>
    <w:rsid w:val="004D0850"/>
    <w:rsid w:val="004D09AE"/>
    <w:rsid w:val="004D1036"/>
    <w:rsid w:val="004D1155"/>
    <w:rsid w:val="004D12FB"/>
    <w:rsid w:val="004D1358"/>
    <w:rsid w:val="004D19BA"/>
    <w:rsid w:val="004D1B51"/>
    <w:rsid w:val="004D1B98"/>
    <w:rsid w:val="004D25A6"/>
    <w:rsid w:val="004D2738"/>
    <w:rsid w:val="004D2939"/>
    <w:rsid w:val="004D2AA3"/>
    <w:rsid w:val="004D35B7"/>
    <w:rsid w:val="004D3B92"/>
    <w:rsid w:val="004D3F46"/>
    <w:rsid w:val="004D3FFF"/>
    <w:rsid w:val="004D45D4"/>
    <w:rsid w:val="004D46AD"/>
    <w:rsid w:val="004D473A"/>
    <w:rsid w:val="004D4786"/>
    <w:rsid w:val="004D4B53"/>
    <w:rsid w:val="004D5B27"/>
    <w:rsid w:val="004D5EEE"/>
    <w:rsid w:val="004D6239"/>
    <w:rsid w:val="004D62F4"/>
    <w:rsid w:val="004D6734"/>
    <w:rsid w:val="004D67BD"/>
    <w:rsid w:val="004D6C2B"/>
    <w:rsid w:val="004D6D59"/>
    <w:rsid w:val="004D6EC3"/>
    <w:rsid w:val="004D6F34"/>
    <w:rsid w:val="004D6FBE"/>
    <w:rsid w:val="004D74E6"/>
    <w:rsid w:val="004D7837"/>
    <w:rsid w:val="004D796C"/>
    <w:rsid w:val="004E02AD"/>
    <w:rsid w:val="004E0319"/>
    <w:rsid w:val="004E0C55"/>
    <w:rsid w:val="004E1031"/>
    <w:rsid w:val="004E106B"/>
    <w:rsid w:val="004E1244"/>
    <w:rsid w:val="004E1D20"/>
    <w:rsid w:val="004E240E"/>
    <w:rsid w:val="004E3352"/>
    <w:rsid w:val="004E3871"/>
    <w:rsid w:val="004E3939"/>
    <w:rsid w:val="004E3AF3"/>
    <w:rsid w:val="004E4904"/>
    <w:rsid w:val="004E4D39"/>
    <w:rsid w:val="004E526A"/>
    <w:rsid w:val="004E5B45"/>
    <w:rsid w:val="004E5E2D"/>
    <w:rsid w:val="004E5EAF"/>
    <w:rsid w:val="004E668D"/>
    <w:rsid w:val="004E6B5C"/>
    <w:rsid w:val="004E6D0D"/>
    <w:rsid w:val="004E7751"/>
    <w:rsid w:val="004E795A"/>
    <w:rsid w:val="004E7CB9"/>
    <w:rsid w:val="004F0028"/>
    <w:rsid w:val="004F0852"/>
    <w:rsid w:val="004F0CB0"/>
    <w:rsid w:val="004F14D8"/>
    <w:rsid w:val="004F1718"/>
    <w:rsid w:val="004F1752"/>
    <w:rsid w:val="004F191F"/>
    <w:rsid w:val="004F1F01"/>
    <w:rsid w:val="004F2388"/>
    <w:rsid w:val="004F2415"/>
    <w:rsid w:val="004F24CB"/>
    <w:rsid w:val="004F26DF"/>
    <w:rsid w:val="004F31F1"/>
    <w:rsid w:val="004F32EE"/>
    <w:rsid w:val="004F364D"/>
    <w:rsid w:val="004F373A"/>
    <w:rsid w:val="004F3966"/>
    <w:rsid w:val="004F4071"/>
    <w:rsid w:val="004F4663"/>
    <w:rsid w:val="004F4CA1"/>
    <w:rsid w:val="004F4D21"/>
    <w:rsid w:val="004F4DAE"/>
    <w:rsid w:val="004F506B"/>
    <w:rsid w:val="004F5210"/>
    <w:rsid w:val="004F550A"/>
    <w:rsid w:val="004F569A"/>
    <w:rsid w:val="004F578B"/>
    <w:rsid w:val="004F5949"/>
    <w:rsid w:val="004F5A82"/>
    <w:rsid w:val="004F5E40"/>
    <w:rsid w:val="004F611B"/>
    <w:rsid w:val="004F63F8"/>
    <w:rsid w:val="004F6725"/>
    <w:rsid w:val="004F6ECD"/>
    <w:rsid w:val="004F6F9E"/>
    <w:rsid w:val="004F70FA"/>
    <w:rsid w:val="004F7596"/>
    <w:rsid w:val="004F7B51"/>
    <w:rsid w:val="004F7C6E"/>
    <w:rsid w:val="004F7D28"/>
    <w:rsid w:val="0050069D"/>
    <w:rsid w:val="005007D5"/>
    <w:rsid w:val="0050095D"/>
    <w:rsid w:val="005009EC"/>
    <w:rsid w:val="005016A7"/>
    <w:rsid w:val="005016D7"/>
    <w:rsid w:val="0050188C"/>
    <w:rsid w:val="005019C7"/>
    <w:rsid w:val="00502B7D"/>
    <w:rsid w:val="00502BA7"/>
    <w:rsid w:val="00502BEE"/>
    <w:rsid w:val="00502CDB"/>
    <w:rsid w:val="005035B7"/>
    <w:rsid w:val="00503682"/>
    <w:rsid w:val="00503863"/>
    <w:rsid w:val="00503946"/>
    <w:rsid w:val="00503CC6"/>
    <w:rsid w:val="00503F38"/>
    <w:rsid w:val="00504DCB"/>
    <w:rsid w:val="00505619"/>
    <w:rsid w:val="0050562D"/>
    <w:rsid w:val="00505A5B"/>
    <w:rsid w:val="005061C5"/>
    <w:rsid w:val="00506965"/>
    <w:rsid w:val="005069C3"/>
    <w:rsid w:val="00506AAD"/>
    <w:rsid w:val="00506B14"/>
    <w:rsid w:val="00506E52"/>
    <w:rsid w:val="00506E7B"/>
    <w:rsid w:val="00506E86"/>
    <w:rsid w:val="00506EC3"/>
    <w:rsid w:val="00507249"/>
    <w:rsid w:val="005074F5"/>
    <w:rsid w:val="005077E9"/>
    <w:rsid w:val="005078E4"/>
    <w:rsid w:val="00507B66"/>
    <w:rsid w:val="005101A9"/>
    <w:rsid w:val="00510473"/>
    <w:rsid w:val="00510697"/>
    <w:rsid w:val="00510920"/>
    <w:rsid w:val="00510CAF"/>
    <w:rsid w:val="00510CCF"/>
    <w:rsid w:val="00510EB4"/>
    <w:rsid w:val="00511465"/>
    <w:rsid w:val="00511467"/>
    <w:rsid w:val="005115B1"/>
    <w:rsid w:val="005115F6"/>
    <w:rsid w:val="0051162E"/>
    <w:rsid w:val="00511D4C"/>
    <w:rsid w:val="00511DAA"/>
    <w:rsid w:val="00512221"/>
    <w:rsid w:val="005122AE"/>
    <w:rsid w:val="0051289E"/>
    <w:rsid w:val="00512B82"/>
    <w:rsid w:val="00512FD5"/>
    <w:rsid w:val="005131F6"/>
    <w:rsid w:val="00513401"/>
    <w:rsid w:val="00513C27"/>
    <w:rsid w:val="0051414D"/>
    <w:rsid w:val="00514570"/>
    <w:rsid w:val="00514B76"/>
    <w:rsid w:val="005154EF"/>
    <w:rsid w:val="00515511"/>
    <w:rsid w:val="0051571F"/>
    <w:rsid w:val="00515A9E"/>
    <w:rsid w:val="00515AD3"/>
    <w:rsid w:val="00515AF0"/>
    <w:rsid w:val="00515D49"/>
    <w:rsid w:val="00515DF6"/>
    <w:rsid w:val="0051607E"/>
    <w:rsid w:val="005167D3"/>
    <w:rsid w:val="00516CCB"/>
    <w:rsid w:val="00517BE4"/>
    <w:rsid w:val="00517C8E"/>
    <w:rsid w:val="0052020A"/>
    <w:rsid w:val="0052028B"/>
    <w:rsid w:val="005204A8"/>
    <w:rsid w:val="005205CD"/>
    <w:rsid w:val="005206D2"/>
    <w:rsid w:val="00520969"/>
    <w:rsid w:val="00520E6D"/>
    <w:rsid w:val="0052124C"/>
    <w:rsid w:val="005216A8"/>
    <w:rsid w:val="0052180A"/>
    <w:rsid w:val="00521E23"/>
    <w:rsid w:val="005220B6"/>
    <w:rsid w:val="00522233"/>
    <w:rsid w:val="0052256E"/>
    <w:rsid w:val="005233F8"/>
    <w:rsid w:val="00523546"/>
    <w:rsid w:val="00523971"/>
    <w:rsid w:val="00523A25"/>
    <w:rsid w:val="00523B01"/>
    <w:rsid w:val="00523C10"/>
    <w:rsid w:val="005242D5"/>
    <w:rsid w:val="005246A4"/>
    <w:rsid w:val="00524DB0"/>
    <w:rsid w:val="00524EAB"/>
    <w:rsid w:val="005251C6"/>
    <w:rsid w:val="00525232"/>
    <w:rsid w:val="005252B3"/>
    <w:rsid w:val="0052537E"/>
    <w:rsid w:val="00525584"/>
    <w:rsid w:val="0052570E"/>
    <w:rsid w:val="00525733"/>
    <w:rsid w:val="0052577B"/>
    <w:rsid w:val="00525A5C"/>
    <w:rsid w:val="00525B5E"/>
    <w:rsid w:val="00525CE5"/>
    <w:rsid w:val="0052622D"/>
    <w:rsid w:val="005268A4"/>
    <w:rsid w:val="00526F9F"/>
    <w:rsid w:val="0052743C"/>
    <w:rsid w:val="0052765D"/>
    <w:rsid w:val="00527A00"/>
    <w:rsid w:val="00527CDD"/>
    <w:rsid w:val="005303D3"/>
    <w:rsid w:val="0053077C"/>
    <w:rsid w:val="00530816"/>
    <w:rsid w:val="005308A9"/>
    <w:rsid w:val="00530D6F"/>
    <w:rsid w:val="00531145"/>
    <w:rsid w:val="0053142F"/>
    <w:rsid w:val="00531C97"/>
    <w:rsid w:val="00531E07"/>
    <w:rsid w:val="00531E55"/>
    <w:rsid w:val="0053233F"/>
    <w:rsid w:val="005323C0"/>
    <w:rsid w:val="00532598"/>
    <w:rsid w:val="00532A59"/>
    <w:rsid w:val="00532D61"/>
    <w:rsid w:val="005332BA"/>
    <w:rsid w:val="0053339B"/>
    <w:rsid w:val="0053344E"/>
    <w:rsid w:val="00533F91"/>
    <w:rsid w:val="005343D8"/>
    <w:rsid w:val="005347D7"/>
    <w:rsid w:val="00534BF1"/>
    <w:rsid w:val="00534CCC"/>
    <w:rsid w:val="005350DE"/>
    <w:rsid w:val="005353A4"/>
    <w:rsid w:val="00535602"/>
    <w:rsid w:val="005357B0"/>
    <w:rsid w:val="00535AF1"/>
    <w:rsid w:val="00535E05"/>
    <w:rsid w:val="005363B8"/>
    <w:rsid w:val="00536551"/>
    <w:rsid w:val="0053660F"/>
    <w:rsid w:val="00536728"/>
    <w:rsid w:val="00536DEF"/>
    <w:rsid w:val="005373C9"/>
    <w:rsid w:val="0053752B"/>
    <w:rsid w:val="00537921"/>
    <w:rsid w:val="00537C5E"/>
    <w:rsid w:val="00537D7A"/>
    <w:rsid w:val="00537F52"/>
    <w:rsid w:val="00540693"/>
    <w:rsid w:val="005407B7"/>
    <w:rsid w:val="00540817"/>
    <w:rsid w:val="00540C4B"/>
    <w:rsid w:val="0054107D"/>
    <w:rsid w:val="005411C5"/>
    <w:rsid w:val="005417F1"/>
    <w:rsid w:val="00541CDD"/>
    <w:rsid w:val="00541E4C"/>
    <w:rsid w:val="00541EEE"/>
    <w:rsid w:val="005423EC"/>
    <w:rsid w:val="0054247E"/>
    <w:rsid w:val="00542485"/>
    <w:rsid w:val="0054284B"/>
    <w:rsid w:val="00542B57"/>
    <w:rsid w:val="00542BD0"/>
    <w:rsid w:val="00542C0C"/>
    <w:rsid w:val="00542C74"/>
    <w:rsid w:val="005435BC"/>
    <w:rsid w:val="00543661"/>
    <w:rsid w:val="00543978"/>
    <w:rsid w:val="005447FE"/>
    <w:rsid w:val="00544824"/>
    <w:rsid w:val="00544C50"/>
    <w:rsid w:val="00544DA7"/>
    <w:rsid w:val="00544E71"/>
    <w:rsid w:val="005451A5"/>
    <w:rsid w:val="00545256"/>
    <w:rsid w:val="00545268"/>
    <w:rsid w:val="00545909"/>
    <w:rsid w:val="005459E7"/>
    <w:rsid w:val="005460D4"/>
    <w:rsid w:val="005463CB"/>
    <w:rsid w:val="005469DB"/>
    <w:rsid w:val="00546B08"/>
    <w:rsid w:val="00547111"/>
    <w:rsid w:val="00547973"/>
    <w:rsid w:val="005501AC"/>
    <w:rsid w:val="00550584"/>
    <w:rsid w:val="00550889"/>
    <w:rsid w:val="005508AE"/>
    <w:rsid w:val="005508B1"/>
    <w:rsid w:val="00550977"/>
    <w:rsid w:val="00550A87"/>
    <w:rsid w:val="005510A5"/>
    <w:rsid w:val="005511E0"/>
    <w:rsid w:val="00551316"/>
    <w:rsid w:val="00551BA8"/>
    <w:rsid w:val="00551D78"/>
    <w:rsid w:val="005522D8"/>
    <w:rsid w:val="005523D3"/>
    <w:rsid w:val="00552899"/>
    <w:rsid w:val="00552943"/>
    <w:rsid w:val="00553035"/>
    <w:rsid w:val="005533CC"/>
    <w:rsid w:val="00553ECB"/>
    <w:rsid w:val="0055413D"/>
    <w:rsid w:val="00554A8B"/>
    <w:rsid w:val="00554B63"/>
    <w:rsid w:val="00554D47"/>
    <w:rsid w:val="00554DD7"/>
    <w:rsid w:val="00554E46"/>
    <w:rsid w:val="00554F55"/>
    <w:rsid w:val="005554B5"/>
    <w:rsid w:val="0055568D"/>
    <w:rsid w:val="005556F6"/>
    <w:rsid w:val="00555A24"/>
    <w:rsid w:val="00555CB4"/>
    <w:rsid w:val="00555E2F"/>
    <w:rsid w:val="00555F10"/>
    <w:rsid w:val="00555FEF"/>
    <w:rsid w:val="00555FF3"/>
    <w:rsid w:val="005560E0"/>
    <w:rsid w:val="005562A8"/>
    <w:rsid w:val="005566ED"/>
    <w:rsid w:val="00556FC9"/>
    <w:rsid w:val="00557332"/>
    <w:rsid w:val="005575A9"/>
    <w:rsid w:val="0055788C"/>
    <w:rsid w:val="0056006D"/>
    <w:rsid w:val="005604AC"/>
    <w:rsid w:val="00560FE8"/>
    <w:rsid w:val="005610A1"/>
    <w:rsid w:val="005610C7"/>
    <w:rsid w:val="005613B5"/>
    <w:rsid w:val="00561A4A"/>
    <w:rsid w:val="00561DBC"/>
    <w:rsid w:val="00561DDA"/>
    <w:rsid w:val="0056240C"/>
    <w:rsid w:val="0056279E"/>
    <w:rsid w:val="00562D82"/>
    <w:rsid w:val="00562D8D"/>
    <w:rsid w:val="0056328D"/>
    <w:rsid w:val="005634FA"/>
    <w:rsid w:val="005635B0"/>
    <w:rsid w:val="005636EE"/>
    <w:rsid w:val="00563838"/>
    <w:rsid w:val="0056385F"/>
    <w:rsid w:val="00563D7B"/>
    <w:rsid w:val="005643B3"/>
    <w:rsid w:val="0056464D"/>
    <w:rsid w:val="00564D3D"/>
    <w:rsid w:val="00564F73"/>
    <w:rsid w:val="00564F85"/>
    <w:rsid w:val="00564FD9"/>
    <w:rsid w:val="0056510F"/>
    <w:rsid w:val="005653B9"/>
    <w:rsid w:val="005659C7"/>
    <w:rsid w:val="00565A01"/>
    <w:rsid w:val="00565AAA"/>
    <w:rsid w:val="00565B19"/>
    <w:rsid w:val="005660A0"/>
    <w:rsid w:val="005661AD"/>
    <w:rsid w:val="00567491"/>
    <w:rsid w:val="0056750B"/>
    <w:rsid w:val="0056777F"/>
    <w:rsid w:val="0056786D"/>
    <w:rsid w:val="005678B3"/>
    <w:rsid w:val="00567BB2"/>
    <w:rsid w:val="00570081"/>
    <w:rsid w:val="00570265"/>
    <w:rsid w:val="005709DC"/>
    <w:rsid w:val="00570CF2"/>
    <w:rsid w:val="00572A4B"/>
    <w:rsid w:val="00573034"/>
    <w:rsid w:val="0057316E"/>
    <w:rsid w:val="00573311"/>
    <w:rsid w:val="005734D7"/>
    <w:rsid w:val="0057350D"/>
    <w:rsid w:val="00573554"/>
    <w:rsid w:val="00573B40"/>
    <w:rsid w:val="00574740"/>
    <w:rsid w:val="00574A01"/>
    <w:rsid w:val="00574E48"/>
    <w:rsid w:val="00574E94"/>
    <w:rsid w:val="005751F1"/>
    <w:rsid w:val="00575629"/>
    <w:rsid w:val="00575672"/>
    <w:rsid w:val="0057582D"/>
    <w:rsid w:val="00576098"/>
    <w:rsid w:val="00576527"/>
    <w:rsid w:val="005765E4"/>
    <w:rsid w:val="0057662B"/>
    <w:rsid w:val="00577333"/>
    <w:rsid w:val="0057755F"/>
    <w:rsid w:val="00580202"/>
    <w:rsid w:val="00580485"/>
    <w:rsid w:val="005809CE"/>
    <w:rsid w:val="00580E36"/>
    <w:rsid w:val="00581096"/>
    <w:rsid w:val="0058146F"/>
    <w:rsid w:val="005815D4"/>
    <w:rsid w:val="00581B53"/>
    <w:rsid w:val="00581B72"/>
    <w:rsid w:val="00582064"/>
    <w:rsid w:val="00582487"/>
    <w:rsid w:val="00582585"/>
    <w:rsid w:val="005827C6"/>
    <w:rsid w:val="00582D32"/>
    <w:rsid w:val="00582D80"/>
    <w:rsid w:val="00583543"/>
    <w:rsid w:val="0058384C"/>
    <w:rsid w:val="00583C9B"/>
    <w:rsid w:val="00583F13"/>
    <w:rsid w:val="005840CC"/>
    <w:rsid w:val="0058477B"/>
    <w:rsid w:val="00584D55"/>
    <w:rsid w:val="005852B2"/>
    <w:rsid w:val="00585F3A"/>
    <w:rsid w:val="0058664A"/>
    <w:rsid w:val="0058668A"/>
    <w:rsid w:val="00586C92"/>
    <w:rsid w:val="005870A4"/>
    <w:rsid w:val="0058725F"/>
    <w:rsid w:val="00587288"/>
    <w:rsid w:val="005872C7"/>
    <w:rsid w:val="00587553"/>
    <w:rsid w:val="0058759D"/>
    <w:rsid w:val="00587784"/>
    <w:rsid w:val="005877BC"/>
    <w:rsid w:val="0058790E"/>
    <w:rsid w:val="00587B58"/>
    <w:rsid w:val="00587B7F"/>
    <w:rsid w:val="00588D03"/>
    <w:rsid w:val="00590492"/>
    <w:rsid w:val="0059058B"/>
    <w:rsid w:val="00590921"/>
    <w:rsid w:val="00590BEA"/>
    <w:rsid w:val="00590DD1"/>
    <w:rsid w:val="00590F85"/>
    <w:rsid w:val="00590FAF"/>
    <w:rsid w:val="00591843"/>
    <w:rsid w:val="00591C8E"/>
    <w:rsid w:val="00591DF5"/>
    <w:rsid w:val="005923E8"/>
    <w:rsid w:val="00592836"/>
    <w:rsid w:val="00592960"/>
    <w:rsid w:val="00592D52"/>
    <w:rsid w:val="00592DE8"/>
    <w:rsid w:val="00592EEE"/>
    <w:rsid w:val="0059364F"/>
    <w:rsid w:val="00594912"/>
    <w:rsid w:val="00594B09"/>
    <w:rsid w:val="0059504C"/>
    <w:rsid w:val="005952A3"/>
    <w:rsid w:val="005954AC"/>
    <w:rsid w:val="005955AF"/>
    <w:rsid w:val="005955EA"/>
    <w:rsid w:val="005958D8"/>
    <w:rsid w:val="00595ECB"/>
    <w:rsid w:val="0059601A"/>
    <w:rsid w:val="00596227"/>
    <w:rsid w:val="0059666A"/>
    <w:rsid w:val="00596DC4"/>
    <w:rsid w:val="00596E23"/>
    <w:rsid w:val="005970D8"/>
    <w:rsid w:val="005972DC"/>
    <w:rsid w:val="00597C5B"/>
    <w:rsid w:val="00597C95"/>
    <w:rsid w:val="005A0CB9"/>
    <w:rsid w:val="005A0D4C"/>
    <w:rsid w:val="005A13BB"/>
    <w:rsid w:val="005A1A2D"/>
    <w:rsid w:val="005A1C5E"/>
    <w:rsid w:val="005A1C6E"/>
    <w:rsid w:val="005A1D97"/>
    <w:rsid w:val="005A24CE"/>
    <w:rsid w:val="005A2B57"/>
    <w:rsid w:val="005A30F2"/>
    <w:rsid w:val="005A3101"/>
    <w:rsid w:val="005A32DF"/>
    <w:rsid w:val="005A34D9"/>
    <w:rsid w:val="005A3A10"/>
    <w:rsid w:val="005A3A2E"/>
    <w:rsid w:val="005A3AB7"/>
    <w:rsid w:val="005A3E62"/>
    <w:rsid w:val="005A46B7"/>
    <w:rsid w:val="005A47F2"/>
    <w:rsid w:val="005A4D3E"/>
    <w:rsid w:val="005A4D8D"/>
    <w:rsid w:val="005A4DC9"/>
    <w:rsid w:val="005A4F31"/>
    <w:rsid w:val="005A5154"/>
    <w:rsid w:val="005A523B"/>
    <w:rsid w:val="005A53D0"/>
    <w:rsid w:val="005A5430"/>
    <w:rsid w:val="005A5589"/>
    <w:rsid w:val="005A5602"/>
    <w:rsid w:val="005A5A5E"/>
    <w:rsid w:val="005A5C34"/>
    <w:rsid w:val="005A5F27"/>
    <w:rsid w:val="005A64B8"/>
    <w:rsid w:val="005A6FFC"/>
    <w:rsid w:val="005A7142"/>
    <w:rsid w:val="005A7145"/>
    <w:rsid w:val="005A724D"/>
    <w:rsid w:val="005A7546"/>
    <w:rsid w:val="005A75F3"/>
    <w:rsid w:val="005B01A5"/>
    <w:rsid w:val="005B0475"/>
    <w:rsid w:val="005B052B"/>
    <w:rsid w:val="005B07D0"/>
    <w:rsid w:val="005B0A42"/>
    <w:rsid w:val="005B100A"/>
    <w:rsid w:val="005B108F"/>
    <w:rsid w:val="005B133C"/>
    <w:rsid w:val="005B1711"/>
    <w:rsid w:val="005B1BF9"/>
    <w:rsid w:val="005B2163"/>
    <w:rsid w:val="005B220A"/>
    <w:rsid w:val="005B235F"/>
    <w:rsid w:val="005B2A0C"/>
    <w:rsid w:val="005B2A6B"/>
    <w:rsid w:val="005B2C52"/>
    <w:rsid w:val="005B2D06"/>
    <w:rsid w:val="005B2D0B"/>
    <w:rsid w:val="005B34E7"/>
    <w:rsid w:val="005B3543"/>
    <w:rsid w:val="005B3CEE"/>
    <w:rsid w:val="005B40FC"/>
    <w:rsid w:val="005B4531"/>
    <w:rsid w:val="005B4688"/>
    <w:rsid w:val="005B4CEC"/>
    <w:rsid w:val="005B4FC7"/>
    <w:rsid w:val="005B5071"/>
    <w:rsid w:val="005B5134"/>
    <w:rsid w:val="005B53BD"/>
    <w:rsid w:val="005B594A"/>
    <w:rsid w:val="005B5AE1"/>
    <w:rsid w:val="005B5AF3"/>
    <w:rsid w:val="005B5DF4"/>
    <w:rsid w:val="005B62A7"/>
    <w:rsid w:val="005B62DA"/>
    <w:rsid w:val="005B65E2"/>
    <w:rsid w:val="005B6635"/>
    <w:rsid w:val="005B696D"/>
    <w:rsid w:val="005B6B56"/>
    <w:rsid w:val="005B71B4"/>
    <w:rsid w:val="005B7295"/>
    <w:rsid w:val="005B73F7"/>
    <w:rsid w:val="005B75AA"/>
    <w:rsid w:val="005B7D6A"/>
    <w:rsid w:val="005B7D9D"/>
    <w:rsid w:val="005C00D3"/>
    <w:rsid w:val="005C069B"/>
    <w:rsid w:val="005C087A"/>
    <w:rsid w:val="005C0B4B"/>
    <w:rsid w:val="005C0C79"/>
    <w:rsid w:val="005C0E67"/>
    <w:rsid w:val="005C0F39"/>
    <w:rsid w:val="005C0FA1"/>
    <w:rsid w:val="005C0FCA"/>
    <w:rsid w:val="005C112C"/>
    <w:rsid w:val="005C164E"/>
    <w:rsid w:val="005C16E7"/>
    <w:rsid w:val="005C188F"/>
    <w:rsid w:val="005C1C30"/>
    <w:rsid w:val="005C1FB6"/>
    <w:rsid w:val="005C2950"/>
    <w:rsid w:val="005C2CC6"/>
    <w:rsid w:val="005C2D30"/>
    <w:rsid w:val="005C2D78"/>
    <w:rsid w:val="005C31BC"/>
    <w:rsid w:val="005C324F"/>
    <w:rsid w:val="005C3743"/>
    <w:rsid w:val="005C38A3"/>
    <w:rsid w:val="005C3BD8"/>
    <w:rsid w:val="005C42C8"/>
    <w:rsid w:val="005C4367"/>
    <w:rsid w:val="005C453B"/>
    <w:rsid w:val="005C45D9"/>
    <w:rsid w:val="005C4646"/>
    <w:rsid w:val="005C4865"/>
    <w:rsid w:val="005C4CDC"/>
    <w:rsid w:val="005C59F8"/>
    <w:rsid w:val="005C5F22"/>
    <w:rsid w:val="005C5F76"/>
    <w:rsid w:val="005C60A6"/>
    <w:rsid w:val="005C63D6"/>
    <w:rsid w:val="005C669F"/>
    <w:rsid w:val="005C68CC"/>
    <w:rsid w:val="005C7280"/>
    <w:rsid w:val="005C735A"/>
    <w:rsid w:val="005C73C5"/>
    <w:rsid w:val="005C75EB"/>
    <w:rsid w:val="005C792A"/>
    <w:rsid w:val="005C7976"/>
    <w:rsid w:val="005D007F"/>
    <w:rsid w:val="005D024D"/>
    <w:rsid w:val="005D077D"/>
    <w:rsid w:val="005D0D95"/>
    <w:rsid w:val="005D1179"/>
    <w:rsid w:val="005D1A90"/>
    <w:rsid w:val="005D1F8C"/>
    <w:rsid w:val="005D2236"/>
    <w:rsid w:val="005D2291"/>
    <w:rsid w:val="005D3032"/>
    <w:rsid w:val="005D3AA8"/>
    <w:rsid w:val="005D3B0C"/>
    <w:rsid w:val="005D40B9"/>
    <w:rsid w:val="005D4538"/>
    <w:rsid w:val="005D4FBA"/>
    <w:rsid w:val="005D53BD"/>
    <w:rsid w:val="005D541D"/>
    <w:rsid w:val="005D54C7"/>
    <w:rsid w:val="005D5609"/>
    <w:rsid w:val="005D582B"/>
    <w:rsid w:val="005D584D"/>
    <w:rsid w:val="005D5A19"/>
    <w:rsid w:val="005D5C31"/>
    <w:rsid w:val="005D5F16"/>
    <w:rsid w:val="005D6414"/>
    <w:rsid w:val="005D6532"/>
    <w:rsid w:val="005D65AC"/>
    <w:rsid w:val="005D6B00"/>
    <w:rsid w:val="005D7012"/>
    <w:rsid w:val="005D72F2"/>
    <w:rsid w:val="005D7856"/>
    <w:rsid w:val="005D795C"/>
    <w:rsid w:val="005D79F8"/>
    <w:rsid w:val="005D7CFA"/>
    <w:rsid w:val="005E042E"/>
    <w:rsid w:val="005E05C2"/>
    <w:rsid w:val="005E084B"/>
    <w:rsid w:val="005E0874"/>
    <w:rsid w:val="005E0A6F"/>
    <w:rsid w:val="005E0C80"/>
    <w:rsid w:val="005E103E"/>
    <w:rsid w:val="005E1302"/>
    <w:rsid w:val="005E1756"/>
    <w:rsid w:val="005E1946"/>
    <w:rsid w:val="005E20D5"/>
    <w:rsid w:val="005E227F"/>
    <w:rsid w:val="005E2B28"/>
    <w:rsid w:val="005E2B91"/>
    <w:rsid w:val="005E2E8F"/>
    <w:rsid w:val="005E2F63"/>
    <w:rsid w:val="005E2FAA"/>
    <w:rsid w:val="005E306B"/>
    <w:rsid w:val="005E3127"/>
    <w:rsid w:val="005E357A"/>
    <w:rsid w:val="005E3588"/>
    <w:rsid w:val="005E38EA"/>
    <w:rsid w:val="005E3AAC"/>
    <w:rsid w:val="005E3B4C"/>
    <w:rsid w:val="005E3F56"/>
    <w:rsid w:val="005E4578"/>
    <w:rsid w:val="005E475E"/>
    <w:rsid w:val="005E4A5A"/>
    <w:rsid w:val="005E4D55"/>
    <w:rsid w:val="005E4EF4"/>
    <w:rsid w:val="005E525F"/>
    <w:rsid w:val="005E580B"/>
    <w:rsid w:val="005E5836"/>
    <w:rsid w:val="005E5E98"/>
    <w:rsid w:val="005E61AD"/>
    <w:rsid w:val="005E647E"/>
    <w:rsid w:val="005E671E"/>
    <w:rsid w:val="005E6AFB"/>
    <w:rsid w:val="005E70B9"/>
    <w:rsid w:val="005E719D"/>
    <w:rsid w:val="005E7A06"/>
    <w:rsid w:val="005E7B54"/>
    <w:rsid w:val="005E7FB3"/>
    <w:rsid w:val="005F063F"/>
    <w:rsid w:val="005F0961"/>
    <w:rsid w:val="005F0E66"/>
    <w:rsid w:val="005F0F58"/>
    <w:rsid w:val="005F1186"/>
    <w:rsid w:val="005F1326"/>
    <w:rsid w:val="005F14B8"/>
    <w:rsid w:val="005F1DAF"/>
    <w:rsid w:val="005F261C"/>
    <w:rsid w:val="005F2661"/>
    <w:rsid w:val="005F2A07"/>
    <w:rsid w:val="005F2FC4"/>
    <w:rsid w:val="005F33F7"/>
    <w:rsid w:val="005F401B"/>
    <w:rsid w:val="005F41E1"/>
    <w:rsid w:val="005F4CC4"/>
    <w:rsid w:val="005F4CEA"/>
    <w:rsid w:val="005F4E5F"/>
    <w:rsid w:val="005F4F0C"/>
    <w:rsid w:val="005F4F59"/>
    <w:rsid w:val="005F507D"/>
    <w:rsid w:val="005F53F1"/>
    <w:rsid w:val="005F57D9"/>
    <w:rsid w:val="005F5C9E"/>
    <w:rsid w:val="005F63BB"/>
    <w:rsid w:val="005F67EA"/>
    <w:rsid w:val="005F6C6C"/>
    <w:rsid w:val="005F6E7D"/>
    <w:rsid w:val="005F7139"/>
    <w:rsid w:val="005F719C"/>
    <w:rsid w:val="005F761A"/>
    <w:rsid w:val="005F770B"/>
    <w:rsid w:val="005F7C17"/>
    <w:rsid w:val="00600457"/>
    <w:rsid w:val="006005C1"/>
    <w:rsid w:val="00600FF4"/>
    <w:rsid w:val="00601484"/>
    <w:rsid w:val="00601503"/>
    <w:rsid w:val="006015DE"/>
    <w:rsid w:val="00601B25"/>
    <w:rsid w:val="00602039"/>
    <w:rsid w:val="00602414"/>
    <w:rsid w:val="00602562"/>
    <w:rsid w:val="006028E3"/>
    <w:rsid w:val="00602A07"/>
    <w:rsid w:val="00603704"/>
    <w:rsid w:val="00603726"/>
    <w:rsid w:val="006037E6"/>
    <w:rsid w:val="00603EAF"/>
    <w:rsid w:val="00603FD3"/>
    <w:rsid w:val="006040A8"/>
    <w:rsid w:val="006041C8"/>
    <w:rsid w:val="00604994"/>
    <w:rsid w:val="006049E3"/>
    <w:rsid w:val="00604A7C"/>
    <w:rsid w:val="00604E29"/>
    <w:rsid w:val="00605D67"/>
    <w:rsid w:val="00605E39"/>
    <w:rsid w:val="00606367"/>
    <w:rsid w:val="00606587"/>
    <w:rsid w:val="00606B86"/>
    <w:rsid w:val="00606ED1"/>
    <w:rsid w:val="00606FC5"/>
    <w:rsid w:val="00607021"/>
    <w:rsid w:val="0060769F"/>
    <w:rsid w:val="00607A05"/>
    <w:rsid w:val="00607C94"/>
    <w:rsid w:val="0061058A"/>
    <w:rsid w:val="00610962"/>
    <w:rsid w:val="00610A52"/>
    <w:rsid w:val="00610EF5"/>
    <w:rsid w:val="00611324"/>
    <w:rsid w:val="0061183D"/>
    <w:rsid w:val="00611875"/>
    <w:rsid w:val="006118DD"/>
    <w:rsid w:val="00611D08"/>
    <w:rsid w:val="00612857"/>
    <w:rsid w:val="006129D6"/>
    <w:rsid w:val="00612C3F"/>
    <w:rsid w:val="0061360F"/>
    <w:rsid w:val="006137A8"/>
    <w:rsid w:val="006138DE"/>
    <w:rsid w:val="00613E0A"/>
    <w:rsid w:val="00613E65"/>
    <w:rsid w:val="00613EAF"/>
    <w:rsid w:val="00613F59"/>
    <w:rsid w:val="006143DB"/>
    <w:rsid w:val="00614818"/>
    <w:rsid w:val="00614DC0"/>
    <w:rsid w:val="00615288"/>
    <w:rsid w:val="006153D4"/>
    <w:rsid w:val="0061576F"/>
    <w:rsid w:val="00615D43"/>
    <w:rsid w:val="00615FDB"/>
    <w:rsid w:val="00616095"/>
    <w:rsid w:val="00616B60"/>
    <w:rsid w:val="00616E75"/>
    <w:rsid w:val="006171EC"/>
    <w:rsid w:val="0061721A"/>
    <w:rsid w:val="006175D0"/>
    <w:rsid w:val="00617691"/>
    <w:rsid w:val="0061787F"/>
    <w:rsid w:val="006179C5"/>
    <w:rsid w:val="006200E7"/>
    <w:rsid w:val="0062020D"/>
    <w:rsid w:val="006206D4"/>
    <w:rsid w:val="00620722"/>
    <w:rsid w:val="00620748"/>
    <w:rsid w:val="0062095C"/>
    <w:rsid w:val="00620B1C"/>
    <w:rsid w:val="00620B79"/>
    <w:rsid w:val="00620E4C"/>
    <w:rsid w:val="00621CBF"/>
    <w:rsid w:val="00622119"/>
    <w:rsid w:val="006221F4"/>
    <w:rsid w:val="00622316"/>
    <w:rsid w:val="00622454"/>
    <w:rsid w:val="0062253F"/>
    <w:rsid w:val="00622A83"/>
    <w:rsid w:val="00622CEC"/>
    <w:rsid w:val="00622D5D"/>
    <w:rsid w:val="00622D8B"/>
    <w:rsid w:val="006233C4"/>
    <w:rsid w:val="00623A8C"/>
    <w:rsid w:val="00623ECC"/>
    <w:rsid w:val="00624062"/>
    <w:rsid w:val="00624552"/>
    <w:rsid w:val="0062486A"/>
    <w:rsid w:val="00624900"/>
    <w:rsid w:val="006249E9"/>
    <w:rsid w:val="006256F1"/>
    <w:rsid w:val="006259AF"/>
    <w:rsid w:val="006259F3"/>
    <w:rsid w:val="00625A7C"/>
    <w:rsid w:val="00626503"/>
    <w:rsid w:val="0062663B"/>
    <w:rsid w:val="006267EE"/>
    <w:rsid w:val="0062688D"/>
    <w:rsid w:val="00626F64"/>
    <w:rsid w:val="006279F1"/>
    <w:rsid w:val="00627A7F"/>
    <w:rsid w:val="00630350"/>
    <w:rsid w:val="00630559"/>
    <w:rsid w:val="006307F5"/>
    <w:rsid w:val="00630930"/>
    <w:rsid w:val="00630A97"/>
    <w:rsid w:val="00630D10"/>
    <w:rsid w:val="00630EEA"/>
    <w:rsid w:val="00630F8B"/>
    <w:rsid w:val="00631477"/>
    <w:rsid w:val="00631F5C"/>
    <w:rsid w:val="006325D3"/>
    <w:rsid w:val="00632852"/>
    <w:rsid w:val="00632EA0"/>
    <w:rsid w:val="00633335"/>
    <w:rsid w:val="006333D3"/>
    <w:rsid w:val="00633746"/>
    <w:rsid w:val="0063379B"/>
    <w:rsid w:val="00633EBB"/>
    <w:rsid w:val="00634031"/>
    <w:rsid w:val="00634464"/>
    <w:rsid w:val="00634C14"/>
    <w:rsid w:val="006350B2"/>
    <w:rsid w:val="0063561E"/>
    <w:rsid w:val="00635945"/>
    <w:rsid w:val="00635C3C"/>
    <w:rsid w:val="00635F75"/>
    <w:rsid w:val="006360BB"/>
    <w:rsid w:val="00636120"/>
    <w:rsid w:val="00636571"/>
    <w:rsid w:val="0063667D"/>
    <w:rsid w:val="00636B8E"/>
    <w:rsid w:val="00636BC5"/>
    <w:rsid w:val="00636C7A"/>
    <w:rsid w:val="00636EB9"/>
    <w:rsid w:val="006372BF"/>
    <w:rsid w:val="0063734A"/>
    <w:rsid w:val="00637350"/>
    <w:rsid w:val="00637449"/>
    <w:rsid w:val="00637638"/>
    <w:rsid w:val="00637772"/>
    <w:rsid w:val="00637850"/>
    <w:rsid w:val="006378AA"/>
    <w:rsid w:val="006401C9"/>
    <w:rsid w:val="00640316"/>
    <w:rsid w:val="00640EB7"/>
    <w:rsid w:val="00641316"/>
    <w:rsid w:val="006414A1"/>
    <w:rsid w:val="0064151E"/>
    <w:rsid w:val="00641576"/>
    <w:rsid w:val="00641AAF"/>
    <w:rsid w:val="0064253F"/>
    <w:rsid w:val="006428E9"/>
    <w:rsid w:val="006428EB"/>
    <w:rsid w:val="00642941"/>
    <w:rsid w:val="00642DB0"/>
    <w:rsid w:val="00643082"/>
    <w:rsid w:val="0064337F"/>
    <w:rsid w:val="00643478"/>
    <w:rsid w:val="006435A6"/>
    <w:rsid w:val="006439F2"/>
    <w:rsid w:val="00643C08"/>
    <w:rsid w:val="00643C87"/>
    <w:rsid w:val="0064408C"/>
    <w:rsid w:val="00644154"/>
    <w:rsid w:val="00644493"/>
    <w:rsid w:val="00644650"/>
    <w:rsid w:val="006450AC"/>
    <w:rsid w:val="0064558B"/>
    <w:rsid w:val="00646BD6"/>
    <w:rsid w:val="00646DD9"/>
    <w:rsid w:val="006472DB"/>
    <w:rsid w:val="006479EC"/>
    <w:rsid w:val="00647C20"/>
    <w:rsid w:val="00647F8F"/>
    <w:rsid w:val="00650052"/>
    <w:rsid w:val="00650476"/>
    <w:rsid w:val="00650506"/>
    <w:rsid w:val="00650DF3"/>
    <w:rsid w:val="00650FEB"/>
    <w:rsid w:val="006516A8"/>
    <w:rsid w:val="0065186F"/>
    <w:rsid w:val="006518BF"/>
    <w:rsid w:val="00651903"/>
    <w:rsid w:val="0065190A"/>
    <w:rsid w:val="00651C01"/>
    <w:rsid w:val="006524A3"/>
    <w:rsid w:val="0065252F"/>
    <w:rsid w:val="00652F42"/>
    <w:rsid w:val="006530CF"/>
    <w:rsid w:val="0065405B"/>
    <w:rsid w:val="00654176"/>
    <w:rsid w:val="00654B81"/>
    <w:rsid w:val="00654DE0"/>
    <w:rsid w:val="00654E05"/>
    <w:rsid w:val="00655311"/>
    <w:rsid w:val="0065584F"/>
    <w:rsid w:val="00655A20"/>
    <w:rsid w:val="00656E0D"/>
    <w:rsid w:val="00656E73"/>
    <w:rsid w:val="00657046"/>
    <w:rsid w:val="0065741E"/>
    <w:rsid w:val="0066007C"/>
    <w:rsid w:val="0066013A"/>
    <w:rsid w:val="00660265"/>
    <w:rsid w:val="006607BB"/>
    <w:rsid w:val="00660852"/>
    <w:rsid w:val="00660B3A"/>
    <w:rsid w:val="00660C97"/>
    <w:rsid w:val="006610DE"/>
    <w:rsid w:val="00661261"/>
    <w:rsid w:val="0066131B"/>
    <w:rsid w:val="006614E4"/>
    <w:rsid w:val="006617A4"/>
    <w:rsid w:val="0066183D"/>
    <w:rsid w:val="00661886"/>
    <w:rsid w:val="00661BA4"/>
    <w:rsid w:val="00661BAB"/>
    <w:rsid w:val="00661C6E"/>
    <w:rsid w:val="00661D97"/>
    <w:rsid w:val="0066216C"/>
    <w:rsid w:val="0066264F"/>
    <w:rsid w:val="006639D1"/>
    <w:rsid w:val="0066405B"/>
    <w:rsid w:val="00664265"/>
    <w:rsid w:val="006642E2"/>
    <w:rsid w:val="00664BF2"/>
    <w:rsid w:val="00664F24"/>
    <w:rsid w:val="00665142"/>
    <w:rsid w:val="00665659"/>
    <w:rsid w:val="00665E13"/>
    <w:rsid w:val="00666637"/>
    <w:rsid w:val="006667F1"/>
    <w:rsid w:val="00666A54"/>
    <w:rsid w:val="00666DDE"/>
    <w:rsid w:val="0066710C"/>
    <w:rsid w:val="00667289"/>
    <w:rsid w:val="00667CC7"/>
    <w:rsid w:val="006705E2"/>
    <w:rsid w:val="006709E4"/>
    <w:rsid w:val="00670A01"/>
    <w:rsid w:val="00670B2D"/>
    <w:rsid w:val="00670D53"/>
    <w:rsid w:val="00671388"/>
    <w:rsid w:val="00671F99"/>
    <w:rsid w:val="006721DA"/>
    <w:rsid w:val="0067277A"/>
    <w:rsid w:val="00672EE4"/>
    <w:rsid w:val="00673216"/>
    <w:rsid w:val="00673C72"/>
    <w:rsid w:val="00674560"/>
    <w:rsid w:val="00674732"/>
    <w:rsid w:val="00674841"/>
    <w:rsid w:val="00674AD3"/>
    <w:rsid w:val="00674B9A"/>
    <w:rsid w:val="00674C1E"/>
    <w:rsid w:val="006753CC"/>
    <w:rsid w:val="006755BF"/>
    <w:rsid w:val="00675CE9"/>
    <w:rsid w:val="006760D9"/>
    <w:rsid w:val="006768FA"/>
    <w:rsid w:val="00676F08"/>
    <w:rsid w:val="00677378"/>
    <w:rsid w:val="00680B95"/>
    <w:rsid w:val="00680EDA"/>
    <w:rsid w:val="006810E2"/>
    <w:rsid w:val="006811C6"/>
    <w:rsid w:val="006812E7"/>
    <w:rsid w:val="00681601"/>
    <w:rsid w:val="006817C2"/>
    <w:rsid w:val="0068215F"/>
    <w:rsid w:val="00682466"/>
    <w:rsid w:val="006825A2"/>
    <w:rsid w:val="00682BC1"/>
    <w:rsid w:val="00682C84"/>
    <w:rsid w:val="00682D09"/>
    <w:rsid w:val="00682D4B"/>
    <w:rsid w:val="0068319C"/>
    <w:rsid w:val="006831F4"/>
    <w:rsid w:val="006832C9"/>
    <w:rsid w:val="0068358F"/>
    <w:rsid w:val="00683BB9"/>
    <w:rsid w:val="00683E0D"/>
    <w:rsid w:val="006843E5"/>
    <w:rsid w:val="006844A8"/>
    <w:rsid w:val="00684534"/>
    <w:rsid w:val="00684B58"/>
    <w:rsid w:val="00684B72"/>
    <w:rsid w:val="00684BAB"/>
    <w:rsid w:val="00684D87"/>
    <w:rsid w:val="00684E89"/>
    <w:rsid w:val="006853C1"/>
    <w:rsid w:val="0068545A"/>
    <w:rsid w:val="00685F75"/>
    <w:rsid w:val="00686510"/>
    <w:rsid w:val="006865F8"/>
    <w:rsid w:val="00686AA0"/>
    <w:rsid w:val="00686DB9"/>
    <w:rsid w:val="00687226"/>
    <w:rsid w:val="0068739C"/>
    <w:rsid w:val="0068745B"/>
    <w:rsid w:val="00687A76"/>
    <w:rsid w:val="00687BA1"/>
    <w:rsid w:val="006901F2"/>
    <w:rsid w:val="006903AA"/>
    <w:rsid w:val="006904C3"/>
    <w:rsid w:val="0069071F"/>
    <w:rsid w:val="00690CFB"/>
    <w:rsid w:val="00691165"/>
    <w:rsid w:val="00691C3A"/>
    <w:rsid w:val="00691F7E"/>
    <w:rsid w:val="006924C6"/>
    <w:rsid w:val="00692791"/>
    <w:rsid w:val="00692AC6"/>
    <w:rsid w:val="00692BD1"/>
    <w:rsid w:val="006930B8"/>
    <w:rsid w:val="006937D9"/>
    <w:rsid w:val="00693A1E"/>
    <w:rsid w:val="00693A59"/>
    <w:rsid w:val="00693E31"/>
    <w:rsid w:val="00693FEA"/>
    <w:rsid w:val="006942E4"/>
    <w:rsid w:val="00694336"/>
    <w:rsid w:val="006947D5"/>
    <w:rsid w:val="00694E9C"/>
    <w:rsid w:val="00695158"/>
    <w:rsid w:val="006953F7"/>
    <w:rsid w:val="00695A9D"/>
    <w:rsid w:val="00695DCC"/>
    <w:rsid w:val="00695E0C"/>
    <w:rsid w:val="00696100"/>
    <w:rsid w:val="00696781"/>
    <w:rsid w:val="0069678A"/>
    <w:rsid w:val="006969A1"/>
    <w:rsid w:val="00696D71"/>
    <w:rsid w:val="00697442"/>
    <w:rsid w:val="006979D3"/>
    <w:rsid w:val="006A03B3"/>
    <w:rsid w:val="006A0B27"/>
    <w:rsid w:val="006A175D"/>
    <w:rsid w:val="006A18F9"/>
    <w:rsid w:val="006A1AB1"/>
    <w:rsid w:val="006A1C7D"/>
    <w:rsid w:val="006A1CB2"/>
    <w:rsid w:val="006A1ED4"/>
    <w:rsid w:val="006A22F4"/>
    <w:rsid w:val="006A2706"/>
    <w:rsid w:val="006A29FE"/>
    <w:rsid w:val="006A3475"/>
    <w:rsid w:val="006A387B"/>
    <w:rsid w:val="006A3E26"/>
    <w:rsid w:val="006A3FDB"/>
    <w:rsid w:val="006A409D"/>
    <w:rsid w:val="006A4562"/>
    <w:rsid w:val="006A4A5F"/>
    <w:rsid w:val="006A4E41"/>
    <w:rsid w:val="006A4EC0"/>
    <w:rsid w:val="006A565D"/>
    <w:rsid w:val="006A5DA3"/>
    <w:rsid w:val="006A5ED7"/>
    <w:rsid w:val="006A6005"/>
    <w:rsid w:val="006A6311"/>
    <w:rsid w:val="006A6644"/>
    <w:rsid w:val="006A668D"/>
    <w:rsid w:val="006A6759"/>
    <w:rsid w:val="006A6B0C"/>
    <w:rsid w:val="006A6D00"/>
    <w:rsid w:val="006A6E34"/>
    <w:rsid w:val="006A7267"/>
    <w:rsid w:val="006A7717"/>
    <w:rsid w:val="006A7757"/>
    <w:rsid w:val="006A77CF"/>
    <w:rsid w:val="006A7802"/>
    <w:rsid w:val="006A7A17"/>
    <w:rsid w:val="006B039E"/>
    <w:rsid w:val="006B08C7"/>
    <w:rsid w:val="006B0BC4"/>
    <w:rsid w:val="006B1C70"/>
    <w:rsid w:val="006B206E"/>
    <w:rsid w:val="006B246A"/>
    <w:rsid w:val="006B26F7"/>
    <w:rsid w:val="006B27A6"/>
    <w:rsid w:val="006B3A71"/>
    <w:rsid w:val="006B3EBB"/>
    <w:rsid w:val="006B4240"/>
    <w:rsid w:val="006B43C1"/>
    <w:rsid w:val="006B46B4"/>
    <w:rsid w:val="006B470F"/>
    <w:rsid w:val="006B47A3"/>
    <w:rsid w:val="006B496A"/>
    <w:rsid w:val="006B4CE5"/>
    <w:rsid w:val="006B4DBE"/>
    <w:rsid w:val="006B512E"/>
    <w:rsid w:val="006B568C"/>
    <w:rsid w:val="006B5E28"/>
    <w:rsid w:val="006B6084"/>
    <w:rsid w:val="006B6123"/>
    <w:rsid w:val="006B61F0"/>
    <w:rsid w:val="006B63A4"/>
    <w:rsid w:val="006B6468"/>
    <w:rsid w:val="006B6730"/>
    <w:rsid w:val="006B6C19"/>
    <w:rsid w:val="006B6ECD"/>
    <w:rsid w:val="006B763C"/>
    <w:rsid w:val="006B7784"/>
    <w:rsid w:val="006B7CD6"/>
    <w:rsid w:val="006B7F93"/>
    <w:rsid w:val="006C0737"/>
    <w:rsid w:val="006C07B1"/>
    <w:rsid w:val="006C0C12"/>
    <w:rsid w:val="006C0CF9"/>
    <w:rsid w:val="006C11D1"/>
    <w:rsid w:val="006C12B1"/>
    <w:rsid w:val="006C1482"/>
    <w:rsid w:val="006C17DA"/>
    <w:rsid w:val="006C1946"/>
    <w:rsid w:val="006C2385"/>
    <w:rsid w:val="006C2A09"/>
    <w:rsid w:val="006C2B6A"/>
    <w:rsid w:val="006C2CA2"/>
    <w:rsid w:val="006C33DE"/>
    <w:rsid w:val="006C343D"/>
    <w:rsid w:val="006C3834"/>
    <w:rsid w:val="006C3871"/>
    <w:rsid w:val="006C38F8"/>
    <w:rsid w:val="006C39BA"/>
    <w:rsid w:val="006C4605"/>
    <w:rsid w:val="006C4CA9"/>
    <w:rsid w:val="006C4DE6"/>
    <w:rsid w:val="006C4F39"/>
    <w:rsid w:val="006C4FBC"/>
    <w:rsid w:val="006C5127"/>
    <w:rsid w:val="006C569C"/>
    <w:rsid w:val="006C5701"/>
    <w:rsid w:val="006C58AB"/>
    <w:rsid w:val="006C5AC0"/>
    <w:rsid w:val="006C6082"/>
    <w:rsid w:val="006C6421"/>
    <w:rsid w:val="006C6C9C"/>
    <w:rsid w:val="006C6CE1"/>
    <w:rsid w:val="006C6DF0"/>
    <w:rsid w:val="006C7093"/>
    <w:rsid w:val="006C78F4"/>
    <w:rsid w:val="006C7D83"/>
    <w:rsid w:val="006D05D5"/>
    <w:rsid w:val="006D0B43"/>
    <w:rsid w:val="006D0C60"/>
    <w:rsid w:val="006D0D23"/>
    <w:rsid w:val="006D0EB8"/>
    <w:rsid w:val="006D1388"/>
    <w:rsid w:val="006D14D6"/>
    <w:rsid w:val="006D1E5D"/>
    <w:rsid w:val="006D1F2C"/>
    <w:rsid w:val="006D1F66"/>
    <w:rsid w:val="006D2B84"/>
    <w:rsid w:val="006D2F2B"/>
    <w:rsid w:val="006D2F91"/>
    <w:rsid w:val="006D3122"/>
    <w:rsid w:val="006D3880"/>
    <w:rsid w:val="006D4377"/>
    <w:rsid w:val="006D43A4"/>
    <w:rsid w:val="006D4F7D"/>
    <w:rsid w:val="006D4FCF"/>
    <w:rsid w:val="006D51A4"/>
    <w:rsid w:val="006D53B8"/>
    <w:rsid w:val="006D59F5"/>
    <w:rsid w:val="006D5EE0"/>
    <w:rsid w:val="006D6009"/>
    <w:rsid w:val="006D6593"/>
    <w:rsid w:val="006D66FB"/>
    <w:rsid w:val="006D6A08"/>
    <w:rsid w:val="006D6A52"/>
    <w:rsid w:val="006D73E6"/>
    <w:rsid w:val="006D772F"/>
    <w:rsid w:val="006E032E"/>
    <w:rsid w:val="006E0EB4"/>
    <w:rsid w:val="006E0FFC"/>
    <w:rsid w:val="006E1281"/>
    <w:rsid w:val="006E1499"/>
    <w:rsid w:val="006E16A8"/>
    <w:rsid w:val="006E1796"/>
    <w:rsid w:val="006E183A"/>
    <w:rsid w:val="006E1E21"/>
    <w:rsid w:val="006E2131"/>
    <w:rsid w:val="006E27BF"/>
    <w:rsid w:val="006E286E"/>
    <w:rsid w:val="006E296C"/>
    <w:rsid w:val="006E2DEE"/>
    <w:rsid w:val="006E318B"/>
    <w:rsid w:val="006E347A"/>
    <w:rsid w:val="006E390D"/>
    <w:rsid w:val="006E3A66"/>
    <w:rsid w:val="006E3C27"/>
    <w:rsid w:val="006E43BB"/>
    <w:rsid w:val="006E4530"/>
    <w:rsid w:val="006E485A"/>
    <w:rsid w:val="006E540D"/>
    <w:rsid w:val="006E55ED"/>
    <w:rsid w:val="006E5AC7"/>
    <w:rsid w:val="006E6202"/>
    <w:rsid w:val="006E6604"/>
    <w:rsid w:val="006E6819"/>
    <w:rsid w:val="006E6AC7"/>
    <w:rsid w:val="006E6BFE"/>
    <w:rsid w:val="006E6CBD"/>
    <w:rsid w:val="006E6D04"/>
    <w:rsid w:val="006E74DA"/>
    <w:rsid w:val="006E7593"/>
    <w:rsid w:val="006E7608"/>
    <w:rsid w:val="006E77BC"/>
    <w:rsid w:val="006E7851"/>
    <w:rsid w:val="006E7A6E"/>
    <w:rsid w:val="006E7C76"/>
    <w:rsid w:val="006F0461"/>
    <w:rsid w:val="006F056D"/>
    <w:rsid w:val="006F0581"/>
    <w:rsid w:val="006F0CD7"/>
    <w:rsid w:val="006F134C"/>
    <w:rsid w:val="006F1937"/>
    <w:rsid w:val="006F1CEA"/>
    <w:rsid w:val="006F1DC5"/>
    <w:rsid w:val="006F2A55"/>
    <w:rsid w:val="006F3071"/>
    <w:rsid w:val="006F362F"/>
    <w:rsid w:val="006F3642"/>
    <w:rsid w:val="006F3857"/>
    <w:rsid w:val="006F385D"/>
    <w:rsid w:val="006F3958"/>
    <w:rsid w:val="006F3A81"/>
    <w:rsid w:val="006F3DDA"/>
    <w:rsid w:val="006F41EC"/>
    <w:rsid w:val="006F43F0"/>
    <w:rsid w:val="006F4E4C"/>
    <w:rsid w:val="006F506E"/>
    <w:rsid w:val="006F54CF"/>
    <w:rsid w:val="006F558F"/>
    <w:rsid w:val="006F5CD0"/>
    <w:rsid w:val="006F6AEF"/>
    <w:rsid w:val="006F6BA2"/>
    <w:rsid w:val="006F6E2D"/>
    <w:rsid w:val="007001F7"/>
    <w:rsid w:val="00700405"/>
    <w:rsid w:val="0070103D"/>
    <w:rsid w:val="00701318"/>
    <w:rsid w:val="00701408"/>
    <w:rsid w:val="00701F4A"/>
    <w:rsid w:val="007021E6"/>
    <w:rsid w:val="00702202"/>
    <w:rsid w:val="007025DF"/>
    <w:rsid w:val="0070262A"/>
    <w:rsid w:val="0070298E"/>
    <w:rsid w:val="00702B8E"/>
    <w:rsid w:val="007033FB"/>
    <w:rsid w:val="00703C85"/>
    <w:rsid w:val="00703F9E"/>
    <w:rsid w:val="007044C3"/>
    <w:rsid w:val="007045FD"/>
    <w:rsid w:val="007047A0"/>
    <w:rsid w:val="00704854"/>
    <w:rsid w:val="00704BA4"/>
    <w:rsid w:val="00704CBE"/>
    <w:rsid w:val="007054B0"/>
    <w:rsid w:val="007054B8"/>
    <w:rsid w:val="00705575"/>
    <w:rsid w:val="007059B3"/>
    <w:rsid w:val="00705BEC"/>
    <w:rsid w:val="00705D75"/>
    <w:rsid w:val="00705F00"/>
    <w:rsid w:val="00705F36"/>
    <w:rsid w:val="0070646C"/>
    <w:rsid w:val="00706578"/>
    <w:rsid w:val="00706DCE"/>
    <w:rsid w:val="00707045"/>
    <w:rsid w:val="00707A04"/>
    <w:rsid w:val="00707E64"/>
    <w:rsid w:val="00710172"/>
    <w:rsid w:val="00710227"/>
    <w:rsid w:val="00710336"/>
    <w:rsid w:val="00710D20"/>
    <w:rsid w:val="00710DB2"/>
    <w:rsid w:val="0071150A"/>
    <w:rsid w:val="0071161B"/>
    <w:rsid w:val="00711739"/>
    <w:rsid w:val="007117E4"/>
    <w:rsid w:val="00711B02"/>
    <w:rsid w:val="00711F24"/>
    <w:rsid w:val="00711FBD"/>
    <w:rsid w:val="0071277C"/>
    <w:rsid w:val="00712B60"/>
    <w:rsid w:val="00712FD3"/>
    <w:rsid w:val="0071303A"/>
    <w:rsid w:val="00713212"/>
    <w:rsid w:val="007133AF"/>
    <w:rsid w:val="0071395B"/>
    <w:rsid w:val="00713C54"/>
    <w:rsid w:val="00713DA0"/>
    <w:rsid w:val="00714413"/>
    <w:rsid w:val="007144B3"/>
    <w:rsid w:val="0071479D"/>
    <w:rsid w:val="007149E1"/>
    <w:rsid w:val="007149ED"/>
    <w:rsid w:val="00714A1A"/>
    <w:rsid w:val="00714A61"/>
    <w:rsid w:val="00714AE6"/>
    <w:rsid w:val="00714DF1"/>
    <w:rsid w:val="00715380"/>
    <w:rsid w:val="0071555E"/>
    <w:rsid w:val="00715DA9"/>
    <w:rsid w:val="007160A4"/>
    <w:rsid w:val="007161A2"/>
    <w:rsid w:val="00716538"/>
    <w:rsid w:val="00716E3A"/>
    <w:rsid w:val="00716F4B"/>
    <w:rsid w:val="00717353"/>
    <w:rsid w:val="00717367"/>
    <w:rsid w:val="0071768B"/>
    <w:rsid w:val="00717728"/>
    <w:rsid w:val="00717AA7"/>
    <w:rsid w:val="007200FA"/>
    <w:rsid w:val="00720175"/>
    <w:rsid w:val="00720DAD"/>
    <w:rsid w:val="00720E2E"/>
    <w:rsid w:val="00720ED4"/>
    <w:rsid w:val="00721339"/>
    <w:rsid w:val="00721A80"/>
    <w:rsid w:val="00721F79"/>
    <w:rsid w:val="00721F87"/>
    <w:rsid w:val="00721FAD"/>
    <w:rsid w:val="007220DE"/>
    <w:rsid w:val="007223D0"/>
    <w:rsid w:val="007224E0"/>
    <w:rsid w:val="0072263B"/>
    <w:rsid w:val="00722650"/>
    <w:rsid w:val="007226EA"/>
    <w:rsid w:val="00723251"/>
    <w:rsid w:val="00723969"/>
    <w:rsid w:val="007239C4"/>
    <w:rsid w:val="00723AE2"/>
    <w:rsid w:val="0072412E"/>
    <w:rsid w:val="00724394"/>
    <w:rsid w:val="0072475A"/>
    <w:rsid w:val="00724D36"/>
    <w:rsid w:val="0072526B"/>
    <w:rsid w:val="0072557C"/>
    <w:rsid w:val="00725642"/>
    <w:rsid w:val="00725B6F"/>
    <w:rsid w:val="0072601D"/>
    <w:rsid w:val="007260A5"/>
    <w:rsid w:val="007264C3"/>
    <w:rsid w:val="0072665E"/>
    <w:rsid w:val="00726789"/>
    <w:rsid w:val="0072691E"/>
    <w:rsid w:val="00726A04"/>
    <w:rsid w:val="00726F0C"/>
    <w:rsid w:val="0072719A"/>
    <w:rsid w:val="007276A6"/>
    <w:rsid w:val="00727957"/>
    <w:rsid w:val="00727A8D"/>
    <w:rsid w:val="007302B2"/>
    <w:rsid w:val="0073060D"/>
    <w:rsid w:val="00730C7B"/>
    <w:rsid w:val="00730E9E"/>
    <w:rsid w:val="007313CD"/>
    <w:rsid w:val="00731E78"/>
    <w:rsid w:val="00732295"/>
    <w:rsid w:val="0073253B"/>
    <w:rsid w:val="00732B64"/>
    <w:rsid w:val="00732BCE"/>
    <w:rsid w:val="00732E28"/>
    <w:rsid w:val="00732FE7"/>
    <w:rsid w:val="00733059"/>
    <w:rsid w:val="0073336C"/>
    <w:rsid w:val="0073337E"/>
    <w:rsid w:val="0073355C"/>
    <w:rsid w:val="007339C3"/>
    <w:rsid w:val="00733A09"/>
    <w:rsid w:val="00734252"/>
    <w:rsid w:val="00734307"/>
    <w:rsid w:val="00734759"/>
    <w:rsid w:val="0073502A"/>
    <w:rsid w:val="00735447"/>
    <w:rsid w:val="00735470"/>
    <w:rsid w:val="007354A6"/>
    <w:rsid w:val="0073556C"/>
    <w:rsid w:val="00735CD4"/>
    <w:rsid w:val="00735E27"/>
    <w:rsid w:val="007361CF"/>
    <w:rsid w:val="00736428"/>
    <w:rsid w:val="00736790"/>
    <w:rsid w:val="007368D3"/>
    <w:rsid w:val="00736939"/>
    <w:rsid w:val="00736ACA"/>
    <w:rsid w:val="00736E6C"/>
    <w:rsid w:val="0073721A"/>
    <w:rsid w:val="0073788A"/>
    <w:rsid w:val="00737AA0"/>
    <w:rsid w:val="00737EC1"/>
    <w:rsid w:val="00737EE8"/>
    <w:rsid w:val="00737F41"/>
    <w:rsid w:val="00737F5B"/>
    <w:rsid w:val="0074019D"/>
    <w:rsid w:val="0074033F"/>
    <w:rsid w:val="0074065B"/>
    <w:rsid w:val="00740664"/>
    <w:rsid w:val="00740957"/>
    <w:rsid w:val="007409BC"/>
    <w:rsid w:val="00740A95"/>
    <w:rsid w:val="00740C41"/>
    <w:rsid w:val="00740EA4"/>
    <w:rsid w:val="00740F83"/>
    <w:rsid w:val="00741527"/>
    <w:rsid w:val="0074158C"/>
    <w:rsid w:val="00741678"/>
    <w:rsid w:val="0074194C"/>
    <w:rsid w:val="00741D1F"/>
    <w:rsid w:val="00741DFC"/>
    <w:rsid w:val="00741E67"/>
    <w:rsid w:val="00741EF5"/>
    <w:rsid w:val="007425C4"/>
    <w:rsid w:val="00742838"/>
    <w:rsid w:val="00742C33"/>
    <w:rsid w:val="00743064"/>
    <w:rsid w:val="00743548"/>
    <w:rsid w:val="007435AE"/>
    <w:rsid w:val="00743A0B"/>
    <w:rsid w:val="00743A7F"/>
    <w:rsid w:val="00743A9E"/>
    <w:rsid w:val="00743C3D"/>
    <w:rsid w:val="007443FE"/>
    <w:rsid w:val="00744703"/>
    <w:rsid w:val="00744C73"/>
    <w:rsid w:val="00744CE3"/>
    <w:rsid w:val="00744E37"/>
    <w:rsid w:val="007458F9"/>
    <w:rsid w:val="00745C68"/>
    <w:rsid w:val="00745E3B"/>
    <w:rsid w:val="0074600E"/>
    <w:rsid w:val="0074646E"/>
    <w:rsid w:val="0074672F"/>
    <w:rsid w:val="00746A61"/>
    <w:rsid w:val="00746C51"/>
    <w:rsid w:val="00746CFB"/>
    <w:rsid w:val="0074704A"/>
    <w:rsid w:val="007473F4"/>
    <w:rsid w:val="0074742A"/>
    <w:rsid w:val="007475A4"/>
    <w:rsid w:val="00747950"/>
    <w:rsid w:val="00747D7B"/>
    <w:rsid w:val="007501DE"/>
    <w:rsid w:val="00750498"/>
    <w:rsid w:val="0075093F"/>
    <w:rsid w:val="00750A9F"/>
    <w:rsid w:val="00750E59"/>
    <w:rsid w:val="007515D3"/>
    <w:rsid w:val="00751E08"/>
    <w:rsid w:val="00752155"/>
    <w:rsid w:val="007523B6"/>
    <w:rsid w:val="00752643"/>
    <w:rsid w:val="00752672"/>
    <w:rsid w:val="00753323"/>
    <w:rsid w:val="00753573"/>
    <w:rsid w:val="0075385C"/>
    <w:rsid w:val="00753C07"/>
    <w:rsid w:val="00753D57"/>
    <w:rsid w:val="007546F7"/>
    <w:rsid w:val="00754B5C"/>
    <w:rsid w:val="00755221"/>
    <w:rsid w:val="00755563"/>
    <w:rsid w:val="0075562D"/>
    <w:rsid w:val="007559F1"/>
    <w:rsid w:val="00755B93"/>
    <w:rsid w:val="00755BBD"/>
    <w:rsid w:val="00755FC0"/>
    <w:rsid w:val="0075611C"/>
    <w:rsid w:val="007563FD"/>
    <w:rsid w:val="00757461"/>
    <w:rsid w:val="007575BF"/>
    <w:rsid w:val="0075778B"/>
    <w:rsid w:val="00757B61"/>
    <w:rsid w:val="007603B4"/>
    <w:rsid w:val="00760464"/>
    <w:rsid w:val="00760A00"/>
    <w:rsid w:val="00760CA5"/>
    <w:rsid w:val="00760D55"/>
    <w:rsid w:val="007613A1"/>
    <w:rsid w:val="0076175E"/>
    <w:rsid w:val="007617F9"/>
    <w:rsid w:val="00761876"/>
    <w:rsid w:val="00761C12"/>
    <w:rsid w:val="00761DD5"/>
    <w:rsid w:val="00762171"/>
    <w:rsid w:val="00762362"/>
    <w:rsid w:val="007624D7"/>
    <w:rsid w:val="00762702"/>
    <w:rsid w:val="007628F5"/>
    <w:rsid w:val="00762A57"/>
    <w:rsid w:val="00762EE2"/>
    <w:rsid w:val="00762F5D"/>
    <w:rsid w:val="007636D4"/>
    <w:rsid w:val="007636DA"/>
    <w:rsid w:val="00763C1C"/>
    <w:rsid w:val="00763D28"/>
    <w:rsid w:val="00763DA5"/>
    <w:rsid w:val="0076406E"/>
    <w:rsid w:val="00764563"/>
    <w:rsid w:val="007645E5"/>
    <w:rsid w:val="00764EC2"/>
    <w:rsid w:val="007650F8"/>
    <w:rsid w:val="007651C8"/>
    <w:rsid w:val="00765717"/>
    <w:rsid w:val="00765881"/>
    <w:rsid w:val="00765B34"/>
    <w:rsid w:val="00765EA5"/>
    <w:rsid w:val="00766A12"/>
    <w:rsid w:val="00766FB9"/>
    <w:rsid w:val="007673D3"/>
    <w:rsid w:val="00770ACF"/>
    <w:rsid w:val="00770D3A"/>
    <w:rsid w:val="00770F70"/>
    <w:rsid w:val="00771684"/>
    <w:rsid w:val="007719E2"/>
    <w:rsid w:val="00771A88"/>
    <w:rsid w:val="00771CFF"/>
    <w:rsid w:val="00772387"/>
    <w:rsid w:val="00772BB0"/>
    <w:rsid w:val="00772E50"/>
    <w:rsid w:val="00773080"/>
    <w:rsid w:val="00773370"/>
    <w:rsid w:val="007739B5"/>
    <w:rsid w:val="00773AAE"/>
    <w:rsid w:val="00773E96"/>
    <w:rsid w:val="00774048"/>
    <w:rsid w:val="007741F0"/>
    <w:rsid w:val="007748D3"/>
    <w:rsid w:val="00774A0B"/>
    <w:rsid w:val="00774C58"/>
    <w:rsid w:val="00774EA5"/>
    <w:rsid w:val="00774F59"/>
    <w:rsid w:val="00775541"/>
    <w:rsid w:val="00775D31"/>
    <w:rsid w:val="00775D78"/>
    <w:rsid w:val="00775E76"/>
    <w:rsid w:val="007760BD"/>
    <w:rsid w:val="007760EE"/>
    <w:rsid w:val="007769D9"/>
    <w:rsid w:val="00776D6B"/>
    <w:rsid w:val="00776F92"/>
    <w:rsid w:val="007773DD"/>
    <w:rsid w:val="0077749B"/>
    <w:rsid w:val="00777709"/>
    <w:rsid w:val="00777A42"/>
    <w:rsid w:val="00777A53"/>
    <w:rsid w:val="00777BCC"/>
    <w:rsid w:val="00777DC4"/>
    <w:rsid w:val="00777FF5"/>
    <w:rsid w:val="00777FFA"/>
    <w:rsid w:val="007802BB"/>
    <w:rsid w:val="00780357"/>
    <w:rsid w:val="0078063A"/>
    <w:rsid w:val="0078087C"/>
    <w:rsid w:val="0078089C"/>
    <w:rsid w:val="00780A8D"/>
    <w:rsid w:val="00780C35"/>
    <w:rsid w:val="00780E6C"/>
    <w:rsid w:val="0078115D"/>
    <w:rsid w:val="00781602"/>
    <w:rsid w:val="00782270"/>
    <w:rsid w:val="007825EE"/>
    <w:rsid w:val="007828D9"/>
    <w:rsid w:val="00782CC9"/>
    <w:rsid w:val="00782DC2"/>
    <w:rsid w:val="007835B0"/>
    <w:rsid w:val="00783AC3"/>
    <w:rsid w:val="00783EC8"/>
    <w:rsid w:val="00784009"/>
    <w:rsid w:val="007842C9"/>
    <w:rsid w:val="007846E1"/>
    <w:rsid w:val="00784E7A"/>
    <w:rsid w:val="0078518B"/>
    <w:rsid w:val="00785377"/>
    <w:rsid w:val="00785607"/>
    <w:rsid w:val="00785A4E"/>
    <w:rsid w:val="00785D25"/>
    <w:rsid w:val="0078653C"/>
    <w:rsid w:val="0078738F"/>
    <w:rsid w:val="00787B36"/>
    <w:rsid w:val="00787EF8"/>
    <w:rsid w:val="007900E4"/>
    <w:rsid w:val="00790507"/>
    <w:rsid w:val="0079053B"/>
    <w:rsid w:val="00790A4E"/>
    <w:rsid w:val="00790B7B"/>
    <w:rsid w:val="00790BEE"/>
    <w:rsid w:val="00790E43"/>
    <w:rsid w:val="00791258"/>
    <w:rsid w:val="00791266"/>
    <w:rsid w:val="00791D60"/>
    <w:rsid w:val="007921D8"/>
    <w:rsid w:val="0079240E"/>
    <w:rsid w:val="007927CA"/>
    <w:rsid w:val="00792DC6"/>
    <w:rsid w:val="00793B6A"/>
    <w:rsid w:val="00793D3C"/>
    <w:rsid w:val="007942B7"/>
    <w:rsid w:val="007943BA"/>
    <w:rsid w:val="007944EF"/>
    <w:rsid w:val="007946BF"/>
    <w:rsid w:val="0079478A"/>
    <w:rsid w:val="007956D8"/>
    <w:rsid w:val="00795B7F"/>
    <w:rsid w:val="00795E48"/>
    <w:rsid w:val="00796254"/>
    <w:rsid w:val="00796410"/>
    <w:rsid w:val="00796474"/>
    <w:rsid w:val="0079650B"/>
    <w:rsid w:val="00796A91"/>
    <w:rsid w:val="00796D87"/>
    <w:rsid w:val="00797190"/>
    <w:rsid w:val="0079761B"/>
    <w:rsid w:val="00797CAE"/>
    <w:rsid w:val="00797D7A"/>
    <w:rsid w:val="007A08C7"/>
    <w:rsid w:val="007A0992"/>
    <w:rsid w:val="007A09E2"/>
    <w:rsid w:val="007A0B49"/>
    <w:rsid w:val="007A0D4B"/>
    <w:rsid w:val="007A1422"/>
    <w:rsid w:val="007A155A"/>
    <w:rsid w:val="007A1744"/>
    <w:rsid w:val="007A1B95"/>
    <w:rsid w:val="007A1BE5"/>
    <w:rsid w:val="007A1C1C"/>
    <w:rsid w:val="007A1EDE"/>
    <w:rsid w:val="007A1F23"/>
    <w:rsid w:val="007A1FE9"/>
    <w:rsid w:val="007A2200"/>
    <w:rsid w:val="007A23DC"/>
    <w:rsid w:val="007A2615"/>
    <w:rsid w:val="007A29BB"/>
    <w:rsid w:val="007A2A34"/>
    <w:rsid w:val="007A2A84"/>
    <w:rsid w:val="007A2B84"/>
    <w:rsid w:val="007A2D18"/>
    <w:rsid w:val="007A3749"/>
    <w:rsid w:val="007A3C74"/>
    <w:rsid w:val="007A3E2A"/>
    <w:rsid w:val="007A43E8"/>
    <w:rsid w:val="007A458D"/>
    <w:rsid w:val="007A46F5"/>
    <w:rsid w:val="007A4894"/>
    <w:rsid w:val="007A49B5"/>
    <w:rsid w:val="007A49E0"/>
    <w:rsid w:val="007A4C1E"/>
    <w:rsid w:val="007A4CE5"/>
    <w:rsid w:val="007A507A"/>
    <w:rsid w:val="007A5351"/>
    <w:rsid w:val="007A5704"/>
    <w:rsid w:val="007A582D"/>
    <w:rsid w:val="007A5E1C"/>
    <w:rsid w:val="007A6529"/>
    <w:rsid w:val="007A6E8E"/>
    <w:rsid w:val="007A72CC"/>
    <w:rsid w:val="007A793A"/>
    <w:rsid w:val="007B09F1"/>
    <w:rsid w:val="007B0B25"/>
    <w:rsid w:val="007B0C46"/>
    <w:rsid w:val="007B1314"/>
    <w:rsid w:val="007B132C"/>
    <w:rsid w:val="007B1A0D"/>
    <w:rsid w:val="007B1AAA"/>
    <w:rsid w:val="007B21E9"/>
    <w:rsid w:val="007B23F5"/>
    <w:rsid w:val="007B2998"/>
    <w:rsid w:val="007B2FDA"/>
    <w:rsid w:val="007B3520"/>
    <w:rsid w:val="007B44C8"/>
    <w:rsid w:val="007B4B89"/>
    <w:rsid w:val="007B4C87"/>
    <w:rsid w:val="007B5129"/>
    <w:rsid w:val="007B51E5"/>
    <w:rsid w:val="007B5467"/>
    <w:rsid w:val="007B5673"/>
    <w:rsid w:val="007B5960"/>
    <w:rsid w:val="007B5F33"/>
    <w:rsid w:val="007B6112"/>
    <w:rsid w:val="007B6203"/>
    <w:rsid w:val="007B6425"/>
    <w:rsid w:val="007B69F2"/>
    <w:rsid w:val="007B6CA8"/>
    <w:rsid w:val="007B7260"/>
    <w:rsid w:val="007B7273"/>
    <w:rsid w:val="007B751C"/>
    <w:rsid w:val="007B764E"/>
    <w:rsid w:val="007B7CCF"/>
    <w:rsid w:val="007C0276"/>
    <w:rsid w:val="007C0525"/>
    <w:rsid w:val="007C05ED"/>
    <w:rsid w:val="007C0836"/>
    <w:rsid w:val="007C08BD"/>
    <w:rsid w:val="007C09C6"/>
    <w:rsid w:val="007C0A65"/>
    <w:rsid w:val="007C0E8D"/>
    <w:rsid w:val="007C187C"/>
    <w:rsid w:val="007C192D"/>
    <w:rsid w:val="007C1AF1"/>
    <w:rsid w:val="007C1BF5"/>
    <w:rsid w:val="007C1EC1"/>
    <w:rsid w:val="007C2A90"/>
    <w:rsid w:val="007C2A91"/>
    <w:rsid w:val="007C3001"/>
    <w:rsid w:val="007C33B3"/>
    <w:rsid w:val="007C33EF"/>
    <w:rsid w:val="007C3606"/>
    <w:rsid w:val="007C3D2A"/>
    <w:rsid w:val="007C3D60"/>
    <w:rsid w:val="007C3E2A"/>
    <w:rsid w:val="007C3F88"/>
    <w:rsid w:val="007C4279"/>
    <w:rsid w:val="007C42B7"/>
    <w:rsid w:val="007C4AC4"/>
    <w:rsid w:val="007C4AFF"/>
    <w:rsid w:val="007C4C25"/>
    <w:rsid w:val="007C4E02"/>
    <w:rsid w:val="007C4E54"/>
    <w:rsid w:val="007C5206"/>
    <w:rsid w:val="007C536E"/>
    <w:rsid w:val="007C5460"/>
    <w:rsid w:val="007C5BAD"/>
    <w:rsid w:val="007C5EA3"/>
    <w:rsid w:val="007C6148"/>
    <w:rsid w:val="007C6191"/>
    <w:rsid w:val="007C61CF"/>
    <w:rsid w:val="007C64CC"/>
    <w:rsid w:val="007C6842"/>
    <w:rsid w:val="007C68DB"/>
    <w:rsid w:val="007C6AC4"/>
    <w:rsid w:val="007C6C31"/>
    <w:rsid w:val="007C7346"/>
    <w:rsid w:val="007C73A2"/>
    <w:rsid w:val="007C73E4"/>
    <w:rsid w:val="007C755B"/>
    <w:rsid w:val="007C786A"/>
    <w:rsid w:val="007C7DE0"/>
    <w:rsid w:val="007D027B"/>
    <w:rsid w:val="007D04FA"/>
    <w:rsid w:val="007D05D2"/>
    <w:rsid w:val="007D0BFB"/>
    <w:rsid w:val="007D0D6E"/>
    <w:rsid w:val="007D0D72"/>
    <w:rsid w:val="007D1395"/>
    <w:rsid w:val="007D139D"/>
    <w:rsid w:val="007D1497"/>
    <w:rsid w:val="007D1898"/>
    <w:rsid w:val="007D1FED"/>
    <w:rsid w:val="007D218A"/>
    <w:rsid w:val="007D232E"/>
    <w:rsid w:val="007D2E20"/>
    <w:rsid w:val="007D2FA0"/>
    <w:rsid w:val="007D34BE"/>
    <w:rsid w:val="007D38A0"/>
    <w:rsid w:val="007D390F"/>
    <w:rsid w:val="007D3924"/>
    <w:rsid w:val="007D3A29"/>
    <w:rsid w:val="007D3BF6"/>
    <w:rsid w:val="007D3BFF"/>
    <w:rsid w:val="007D3E97"/>
    <w:rsid w:val="007D4434"/>
    <w:rsid w:val="007D49E4"/>
    <w:rsid w:val="007D4A21"/>
    <w:rsid w:val="007D4E8E"/>
    <w:rsid w:val="007D5226"/>
    <w:rsid w:val="007D542A"/>
    <w:rsid w:val="007D5892"/>
    <w:rsid w:val="007D59A5"/>
    <w:rsid w:val="007D5A0A"/>
    <w:rsid w:val="007D5A1D"/>
    <w:rsid w:val="007D5ABD"/>
    <w:rsid w:val="007D6552"/>
    <w:rsid w:val="007D6683"/>
    <w:rsid w:val="007D681D"/>
    <w:rsid w:val="007D685B"/>
    <w:rsid w:val="007D6C3C"/>
    <w:rsid w:val="007D6FFD"/>
    <w:rsid w:val="007D71FD"/>
    <w:rsid w:val="007D743E"/>
    <w:rsid w:val="007D764E"/>
    <w:rsid w:val="007D7678"/>
    <w:rsid w:val="007D7A70"/>
    <w:rsid w:val="007D7B98"/>
    <w:rsid w:val="007D7CFE"/>
    <w:rsid w:val="007E08B3"/>
    <w:rsid w:val="007E0AB4"/>
    <w:rsid w:val="007E0FEC"/>
    <w:rsid w:val="007E174E"/>
    <w:rsid w:val="007E177F"/>
    <w:rsid w:val="007E17A6"/>
    <w:rsid w:val="007E1D61"/>
    <w:rsid w:val="007E200D"/>
    <w:rsid w:val="007E2183"/>
    <w:rsid w:val="007E2453"/>
    <w:rsid w:val="007E25CC"/>
    <w:rsid w:val="007E27C3"/>
    <w:rsid w:val="007E2C50"/>
    <w:rsid w:val="007E2D8D"/>
    <w:rsid w:val="007E32BD"/>
    <w:rsid w:val="007E39B4"/>
    <w:rsid w:val="007E39F7"/>
    <w:rsid w:val="007E3C97"/>
    <w:rsid w:val="007E42FF"/>
    <w:rsid w:val="007E4460"/>
    <w:rsid w:val="007E4629"/>
    <w:rsid w:val="007E4758"/>
    <w:rsid w:val="007E489C"/>
    <w:rsid w:val="007E4945"/>
    <w:rsid w:val="007E4BAC"/>
    <w:rsid w:val="007E508E"/>
    <w:rsid w:val="007E509C"/>
    <w:rsid w:val="007E50FA"/>
    <w:rsid w:val="007E5115"/>
    <w:rsid w:val="007E56C4"/>
    <w:rsid w:val="007E5A51"/>
    <w:rsid w:val="007E5F7C"/>
    <w:rsid w:val="007E6167"/>
    <w:rsid w:val="007E61A7"/>
    <w:rsid w:val="007E63F0"/>
    <w:rsid w:val="007E6698"/>
    <w:rsid w:val="007E6A88"/>
    <w:rsid w:val="007E6AEC"/>
    <w:rsid w:val="007E70F3"/>
    <w:rsid w:val="007E733C"/>
    <w:rsid w:val="007E76F6"/>
    <w:rsid w:val="007E7C59"/>
    <w:rsid w:val="007F0A05"/>
    <w:rsid w:val="007F0C9F"/>
    <w:rsid w:val="007F0F4E"/>
    <w:rsid w:val="007F0F81"/>
    <w:rsid w:val="007F115B"/>
    <w:rsid w:val="007F1357"/>
    <w:rsid w:val="007F1661"/>
    <w:rsid w:val="007F173D"/>
    <w:rsid w:val="007F1DE5"/>
    <w:rsid w:val="007F1EAE"/>
    <w:rsid w:val="007F211A"/>
    <w:rsid w:val="007F2957"/>
    <w:rsid w:val="007F2DCD"/>
    <w:rsid w:val="007F3125"/>
    <w:rsid w:val="007F31EA"/>
    <w:rsid w:val="007F31EB"/>
    <w:rsid w:val="007F3459"/>
    <w:rsid w:val="007F370B"/>
    <w:rsid w:val="007F3898"/>
    <w:rsid w:val="007F390F"/>
    <w:rsid w:val="007F3F29"/>
    <w:rsid w:val="007F3F2B"/>
    <w:rsid w:val="007F4216"/>
    <w:rsid w:val="007F4695"/>
    <w:rsid w:val="007F4A5F"/>
    <w:rsid w:val="007F53AC"/>
    <w:rsid w:val="007F54DA"/>
    <w:rsid w:val="007F5502"/>
    <w:rsid w:val="007F5A84"/>
    <w:rsid w:val="007F5F64"/>
    <w:rsid w:val="007F5F6B"/>
    <w:rsid w:val="007F62B6"/>
    <w:rsid w:val="007F6644"/>
    <w:rsid w:val="007F6E02"/>
    <w:rsid w:val="007F7797"/>
    <w:rsid w:val="007F7A76"/>
    <w:rsid w:val="007F7F71"/>
    <w:rsid w:val="00800414"/>
    <w:rsid w:val="008005CB"/>
    <w:rsid w:val="00800852"/>
    <w:rsid w:val="00800C24"/>
    <w:rsid w:val="00801086"/>
    <w:rsid w:val="008012DC"/>
    <w:rsid w:val="008014A5"/>
    <w:rsid w:val="008015E3"/>
    <w:rsid w:val="00801622"/>
    <w:rsid w:val="00801668"/>
    <w:rsid w:val="008028AA"/>
    <w:rsid w:val="00802974"/>
    <w:rsid w:val="008029D1"/>
    <w:rsid w:val="00802E1D"/>
    <w:rsid w:val="0080311F"/>
    <w:rsid w:val="008032AF"/>
    <w:rsid w:val="008035AA"/>
    <w:rsid w:val="00803982"/>
    <w:rsid w:val="00803C66"/>
    <w:rsid w:val="008042E4"/>
    <w:rsid w:val="00804B0D"/>
    <w:rsid w:val="00804CCE"/>
    <w:rsid w:val="008059DE"/>
    <w:rsid w:val="00805A6A"/>
    <w:rsid w:val="00805CBE"/>
    <w:rsid w:val="00805E92"/>
    <w:rsid w:val="0080639B"/>
    <w:rsid w:val="00806759"/>
    <w:rsid w:val="00806781"/>
    <w:rsid w:val="00806A4A"/>
    <w:rsid w:val="00807EBB"/>
    <w:rsid w:val="00810007"/>
    <w:rsid w:val="008108AB"/>
    <w:rsid w:val="0081095F"/>
    <w:rsid w:val="00810C1B"/>
    <w:rsid w:val="00810D4B"/>
    <w:rsid w:val="00810FF6"/>
    <w:rsid w:val="008114BD"/>
    <w:rsid w:val="00811A0D"/>
    <w:rsid w:val="00811AA2"/>
    <w:rsid w:val="00811D63"/>
    <w:rsid w:val="008122E8"/>
    <w:rsid w:val="008123A9"/>
    <w:rsid w:val="00812960"/>
    <w:rsid w:val="00812C40"/>
    <w:rsid w:val="00813536"/>
    <w:rsid w:val="00813762"/>
    <w:rsid w:val="00814141"/>
    <w:rsid w:val="008142C9"/>
    <w:rsid w:val="008145F7"/>
    <w:rsid w:val="00814E02"/>
    <w:rsid w:val="00814F6F"/>
    <w:rsid w:val="008153A0"/>
    <w:rsid w:val="00815F59"/>
    <w:rsid w:val="008164F6"/>
    <w:rsid w:val="00816687"/>
    <w:rsid w:val="00816AB3"/>
    <w:rsid w:val="00816D67"/>
    <w:rsid w:val="00817140"/>
    <w:rsid w:val="00817BD2"/>
    <w:rsid w:val="00817F7B"/>
    <w:rsid w:val="00820003"/>
    <w:rsid w:val="008200F3"/>
    <w:rsid w:val="008201EC"/>
    <w:rsid w:val="0082053B"/>
    <w:rsid w:val="008211DA"/>
    <w:rsid w:val="008224CA"/>
    <w:rsid w:val="008225AB"/>
    <w:rsid w:val="00822705"/>
    <w:rsid w:val="0082311C"/>
    <w:rsid w:val="008237AD"/>
    <w:rsid w:val="00823E91"/>
    <w:rsid w:val="00823EB2"/>
    <w:rsid w:val="00823F57"/>
    <w:rsid w:val="0082446E"/>
    <w:rsid w:val="008249FE"/>
    <w:rsid w:val="00824AEB"/>
    <w:rsid w:val="00825438"/>
    <w:rsid w:val="008254AD"/>
    <w:rsid w:val="00825E40"/>
    <w:rsid w:val="00826001"/>
    <w:rsid w:val="008260CC"/>
    <w:rsid w:val="00826146"/>
    <w:rsid w:val="008261C5"/>
    <w:rsid w:val="008261C8"/>
    <w:rsid w:val="008263BA"/>
    <w:rsid w:val="008265D7"/>
    <w:rsid w:val="0082668F"/>
    <w:rsid w:val="0082675E"/>
    <w:rsid w:val="008267A0"/>
    <w:rsid w:val="00826B83"/>
    <w:rsid w:val="00827696"/>
    <w:rsid w:val="00827C6E"/>
    <w:rsid w:val="00830090"/>
    <w:rsid w:val="008300E3"/>
    <w:rsid w:val="00830331"/>
    <w:rsid w:val="00830543"/>
    <w:rsid w:val="0083061A"/>
    <w:rsid w:val="00830AB8"/>
    <w:rsid w:val="00830AD9"/>
    <w:rsid w:val="00830E18"/>
    <w:rsid w:val="008310F2"/>
    <w:rsid w:val="0083127B"/>
    <w:rsid w:val="00831414"/>
    <w:rsid w:val="00831957"/>
    <w:rsid w:val="00831EA3"/>
    <w:rsid w:val="00832133"/>
    <w:rsid w:val="008323A2"/>
    <w:rsid w:val="008325F9"/>
    <w:rsid w:val="008328B8"/>
    <w:rsid w:val="00832CE9"/>
    <w:rsid w:val="00832DA7"/>
    <w:rsid w:val="00832FCD"/>
    <w:rsid w:val="008330DB"/>
    <w:rsid w:val="0083367C"/>
    <w:rsid w:val="0083391B"/>
    <w:rsid w:val="00833B36"/>
    <w:rsid w:val="00833B58"/>
    <w:rsid w:val="00833BE0"/>
    <w:rsid w:val="0083412A"/>
    <w:rsid w:val="0083473D"/>
    <w:rsid w:val="0083482A"/>
    <w:rsid w:val="0083507D"/>
    <w:rsid w:val="008350DA"/>
    <w:rsid w:val="0083542A"/>
    <w:rsid w:val="00835482"/>
    <w:rsid w:val="00835967"/>
    <w:rsid w:val="008359FB"/>
    <w:rsid w:val="00835A23"/>
    <w:rsid w:val="00836241"/>
    <w:rsid w:val="008364BE"/>
    <w:rsid w:val="0083683E"/>
    <w:rsid w:val="00836D39"/>
    <w:rsid w:val="0083744F"/>
    <w:rsid w:val="008376DE"/>
    <w:rsid w:val="008377ED"/>
    <w:rsid w:val="008378EA"/>
    <w:rsid w:val="00837903"/>
    <w:rsid w:val="00837BDC"/>
    <w:rsid w:val="00837C1B"/>
    <w:rsid w:val="00837E34"/>
    <w:rsid w:val="008400AF"/>
    <w:rsid w:val="008401D3"/>
    <w:rsid w:val="00840580"/>
    <w:rsid w:val="008408EA"/>
    <w:rsid w:val="00840A17"/>
    <w:rsid w:val="00840A53"/>
    <w:rsid w:val="0084147C"/>
    <w:rsid w:val="008415F3"/>
    <w:rsid w:val="00841662"/>
    <w:rsid w:val="008419CF"/>
    <w:rsid w:val="00842310"/>
    <w:rsid w:val="00842B9D"/>
    <w:rsid w:val="00842E3D"/>
    <w:rsid w:val="0084350E"/>
    <w:rsid w:val="00843B9F"/>
    <w:rsid w:val="00843C85"/>
    <w:rsid w:val="0084402C"/>
    <w:rsid w:val="0084403C"/>
    <w:rsid w:val="008440C0"/>
    <w:rsid w:val="00844115"/>
    <w:rsid w:val="00844322"/>
    <w:rsid w:val="008446D5"/>
    <w:rsid w:val="008447CC"/>
    <w:rsid w:val="00844816"/>
    <w:rsid w:val="00844894"/>
    <w:rsid w:val="00844942"/>
    <w:rsid w:val="00844B5D"/>
    <w:rsid w:val="00844C91"/>
    <w:rsid w:val="00844E48"/>
    <w:rsid w:val="00844FC9"/>
    <w:rsid w:val="00844FEB"/>
    <w:rsid w:val="008450D9"/>
    <w:rsid w:val="0084515D"/>
    <w:rsid w:val="0084560C"/>
    <w:rsid w:val="008456F3"/>
    <w:rsid w:val="00845767"/>
    <w:rsid w:val="00845872"/>
    <w:rsid w:val="00845A9B"/>
    <w:rsid w:val="00845B29"/>
    <w:rsid w:val="00845C03"/>
    <w:rsid w:val="00845DE7"/>
    <w:rsid w:val="00846014"/>
    <w:rsid w:val="0084641D"/>
    <w:rsid w:val="00846730"/>
    <w:rsid w:val="0084693F"/>
    <w:rsid w:val="00846D58"/>
    <w:rsid w:val="00847212"/>
    <w:rsid w:val="0084729B"/>
    <w:rsid w:val="00847357"/>
    <w:rsid w:val="00847823"/>
    <w:rsid w:val="0084782B"/>
    <w:rsid w:val="00847BF1"/>
    <w:rsid w:val="0085026C"/>
    <w:rsid w:val="00850417"/>
    <w:rsid w:val="00850898"/>
    <w:rsid w:val="00850A40"/>
    <w:rsid w:val="00850A43"/>
    <w:rsid w:val="00850A8B"/>
    <w:rsid w:val="00851234"/>
    <w:rsid w:val="008515F7"/>
    <w:rsid w:val="008516D6"/>
    <w:rsid w:val="00851D98"/>
    <w:rsid w:val="008521C5"/>
    <w:rsid w:val="008521CD"/>
    <w:rsid w:val="00852840"/>
    <w:rsid w:val="00852BC1"/>
    <w:rsid w:val="00852EB4"/>
    <w:rsid w:val="00853063"/>
    <w:rsid w:val="00853370"/>
    <w:rsid w:val="0085363B"/>
    <w:rsid w:val="00853CBC"/>
    <w:rsid w:val="008547CA"/>
    <w:rsid w:val="008547FD"/>
    <w:rsid w:val="00854BC3"/>
    <w:rsid w:val="00854E29"/>
    <w:rsid w:val="008551AA"/>
    <w:rsid w:val="00855293"/>
    <w:rsid w:val="0085553F"/>
    <w:rsid w:val="00855638"/>
    <w:rsid w:val="00855786"/>
    <w:rsid w:val="00856040"/>
    <w:rsid w:val="0085617E"/>
    <w:rsid w:val="008561B1"/>
    <w:rsid w:val="00856277"/>
    <w:rsid w:val="008566AB"/>
    <w:rsid w:val="00856814"/>
    <w:rsid w:val="00856849"/>
    <w:rsid w:val="00856A16"/>
    <w:rsid w:val="00856A5F"/>
    <w:rsid w:val="00856D32"/>
    <w:rsid w:val="0085702A"/>
    <w:rsid w:val="008574F3"/>
    <w:rsid w:val="00857A66"/>
    <w:rsid w:val="00857E3D"/>
    <w:rsid w:val="00857E3E"/>
    <w:rsid w:val="00860128"/>
    <w:rsid w:val="008601A4"/>
    <w:rsid w:val="00861142"/>
    <w:rsid w:val="00861841"/>
    <w:rsid w:val="00861B82"/>
    <w:rsid w:val="0086205B"/>
    <w:rsid w:val="00862615"/>
    <w:rsid w:val="008629BF"/>
    <w:rsid w:val="00863713"/>
    <w:rsid w:val="00863EC6"/>
    <w:rsid w:val="0086473D"/>
    <w:rsid w:val="00864845"/>
    <w:rsid w:val="00864866"/>
    <w:rsid w:val="008649D3"/>
    <w:rsid w:val="00864A49"/>
    <w:rsid w:val="008651F2"/>
    <w:rsid w:val="00865310"/>
    <w:rsid w:val="0086561F"/>
    <w:rsid w:val="008656D7"/>
    <w:rsid w:val="00865843"/>
    <w:rsid w:val="00865965"/>
    <w:rsid w:val="00865A82"/>
    <w:rsid w:val="0086614D"/>
    <w:rsid w:val="00866166"/>
    <w:rsid w:val="008662CF"/>
    <w:rsid w:val="00866355"/>
    <w:rsid w:val="00866749"/>
    <w:rsid w:val="008667F1"/>
    <w:rsid w:val="00866DE8"/>
    <w:rsid w:val="00866F70"/>
    <w:rsid w:val="008670FA"/>
    <w:rsid w:val="0086710B"/>
    <w:rsid w:val="008672E7"/>
    <w:rsid w:val="0086739C"/>
    <w:rsid w:val="0086756F"/>
    <w:rsid w:val="00867A58"/>
    <w:rsid w:val="00867E72"/>
    <w:rsid w:val="00870029"/>
    <w:rsid w:val="008704C7"/>
    <w:rsid w:val="0087063A"/>
    <w:rsid w:val="00870DB1"/>
    <w:rsid w:val="00870DD2"/>
    <w:rsid w:val="00870E9E"/>
    <w:rsid w:val="0087103E"/>
    <w:rsid w:val="00871306"/>
    <w:rsid w:val="008714D3"/>
    <w:rsid w:val="008716AD"/>
    <w:rsid w:val="008717CE"/>
    <w:rsid w:val="00871B34"/>
    <w:rsid w:val="00871BD5"/>
    <w:rsid w:val="0087234B"/>
    <w:rsid w:val="008723B8"/>
    <w:rsid w:val="008738CD"/>
    <w:rsid w:val="00873CA7"/>
    <w:rsid w:val="00874411"/>
    <w:rsid w:val="008748BF"/>
    <w:rsid w:val="00874B0B"/>
    <w:rsid w:val="00874BEE"/>
    <w:rsid w:val="00874F0D"/>
    <w:rsid w:val="00875102"/>
    <w:rsid w:val="00875162"/>
    <w:rsid w:val="00875686"/>
    <w:rsid w:val="0087599F"/>
    <w:rsid w:val="00875AB5"/>
    <w:rsid w:val="00875C07"/>
    <w:rsid w:val="00875D61"/>
    <w:rsid w:val="00875E8A"/>
    <w:rsid w:val="00875FA4"/>
    <w:rsid w:val="008760B3"/>
    <w:rsid w:val="00876A4A"/>
    <w:rsid w:val="00876B7F"/>
    <w:rsid w:val="00876D04"/>
    <w:rsid w:val="00877038"/>
    <w:rsid w:val="0087722A"/>
    <w:rsid w:val="00877534"/>
    <w:rsid w:val="0087786E"/>
    <w:rsid w:val="008778AD"/>
    <w:rsid w:val="00877A59"/>
    <w:rsid w:val="00877BB0"/>
    <w:rsid w:val="00877DED"/>
    <w:rsid w:val="00877ED9"/>
    <w:rsid w:val="00880E19"/>
    <w:rsid w:val="008811C9"/>
    <w:rsid w:val="008818AB"/>
    <w:rsid w:val="0088199E"/>
    <w:rsid w:val="00881BE2"/>
    <w:rsid w:val="00881BEB"/>
    <w:rsid w:val="00881C02"/>
    <w:rsid w:val="00881EE4"/>
    <w:rsid w:val="0088216F"/>
    <w:rsid w:val="00882203"/>
    <w:rsid w:val="0088233B"/>
    <w:rsid w:val="008826CA"/>
    <w:rsid w:val="00882BF2"/>
    <w:rsid w:val="0088305A"/>
    <w:rsid w:val="0088324D"/>
    <w:rsid w:val="008834E8"/>
    <w:rsid w:val="00883E78"/>
    <w:rsid w:val="00884747"/>
    <w:rsid w:val="008847A2"/>
    <w:rsid w:val="008849E5"/>
    <w:rsid w:val="00884A92"/>
    <w:rsid w:val="00884D35"/>
    <w:rsid w:val="00885385"/>
    <w:rsid w:val="00885BC9"/>
    <w:rsid w:val="00885E19"/>
    <w:rsid w:val="00885EBF"/>
    <w:rsid w:val="008863D8"/>
    <w:rsid w:val="008864A7"/>
    <w:rsid w:val="00886B43"/>
    <w:rsid w:val="00886F7C"/>
    <w:rsid w:val="00887002"/>
    <w:rsid w:val="00887347"/>
    <w:rsid w:val="008874EB"/>
    <w:rsid w:val="00887E1A"/>
    <w:rsid w:val="008901C4"/>
    <w:rsid w:val="0089027F"/>
    <w:rsid w:val="00890286"/>
    <w:rsid w:val="00890CDE"/>
    <w:rsid w:val="008911D2"/>
    <w:rsid w:val="008915EE"/>
    <w:rsid w:val="008917FD"/>
    <w:rsid w:val="00891EF1"/>
    <w:rsid w:val="008921F5"/>
    <w:rsid w:val="0089265F"/>
    <w:rsid w:val="00892E63"/>
    <w:rsid w:val="0089305D"/>
    <w:rsid w:val="008934C0"/>
    <w:rsid w:val="0089368E"/>
    <w:rsid w:val="008936B8"/>
    <w:rsid w:val="0089378D"/>
    <w:rsid w:val="008938A4"/>
    <w:rsid w:val="00893D91"/>
    <w:rsid w:val="00893E7F"/>
    <w:rsid w:val="00894045"/>
    <w:rsid w:val="0089423A"/>
    <w:rsid w:val="0089439A"/>
    <w:rsid w:val="008948B8"/>
    <w:rsid w:val="0089498D"/>
    <w:rsid w:val="00894B72"/>
    <w:rsid w:val="00895457"/>
    <w:rsid w:val="00895670"/>
    <w:rsid w:val="008959BE"/>
    <w:rsid w:val="00895B35"/>
    <w:rsid w:val="00895D11"/>
    <w:rsid w:val="0089602E"/>
    <w:rsid w:val="0089674D"/>
    <w:rsid w:val="00896B42"/>
    <w:rsid w:val="00896BBC"/>
    <w:rsid w:val="00896EDF"/>
    <w:rsid w:val="00897ACD"/>
    <w:rsid w:val="00897BB6"/>
    <w:rsid w:val="00897BC9"/>
    <w:rsid w:val="00897BD8"/>
    <w:rsid w:val="008A022A"/>
    <w:rsid w:val="008A060B"/>
    <w:rsid w:val="008A0623"/>
    <w:rsid w:val="008A0776"/>
    <w:rsid w:val="008A081B"/>
    <w:rsid w:val="008A0879"/>
    <w:rsid w:val="008A0CC1"/>
    <w:rsid w:val="008A10E9"/>
    <w:rsid w:val="008A1182"/>
    <w:rsid w:val="008A140D"/>
    <w:rsid w:val="008A1602"/>
    <w:rsid w:val="008A1739"/>
    <w:rsid w:val="008A2311"/>
    <w:rsid w:val="008A2B0E"/>
    <w:rsid w:val="008A2B55"/>
    <w:rsid w:val="008A3129"/>
    <w:rsid w:val="008A3181"/>
    <w:rsid w:val="008A327F"/>
    <w:rsid w:val="008A3504"/>
    <w:rsid w:val="008A37C3"/>
    <w:rsid w:val="008A393E"/>
    <w:rsid w:val="008A3D49"/>
    <w:rsid w:val="008A3E59"/>
    <w:rsid w:val="008A3EDC"/>
    <w:rsid w:val="008A4893"/>
    <w:rsid w:val="008A4B10"/>
    <w:rsid w:val="008A4CA6"/>
    <w:rsid w:val="008A4FA9"/>
    <w:rsid w:val="008A52A4"/>
    <w:rsid w:val="008A59D1"/>
    <w:rsid w:val="008A5A1C"/>
    <w:rsid w:val="008A5C65"/>
    <w:rsid w:val="008A5E1C"/>
    <w:rsid w:val="008A60A1"/>
    <w:rsid w:val="008A641B"/>
    <w:rsid w:val="008A6479"/>
    <w:rsid w:val="008A706B"/>
    <w:rsid w:val="008A722B"/>
    <w:rsid w:val="008A777B"/>
    <w:rsid w:val="008A7CC1"/>
    <w:rsid w:val="008A7D14"/>
    <w:rsid w:val="008B003B"/>
    <w:rsid w:val="008B025D"/>
    <w:rsid w:val="008B0462"/>
    <w:rsid w:val="008B057B"/>
    <w:rsid w:val="008B05E9"/>
    <w:rsid w:val="008B0603"/>
    <w:rsid w:val="008B088A"/>
    <w:rsid w:val="008B0920"/>
    <w:rsid w:val="008B0DDF"/>
    <w:rsid w:val="008B0E43"/>
    <w:rsid w:val="008B1512"/>
    <w:rsid w:val="008B1A67"/>
    <w:rsid w:val="008B1A87"/>
    <w:rsid w:val="008B2449"/>
    <w:rsid w:val="008B2831"/>
    <w:rsid w:val="008B2BA6"/>
    <w:rsid w:val="008B2BAC"/>
    <w:rsid w:val="008B2BB8"/>
    <w:rsid w:val="008B2C4F"/>
    <w:rsid w:val="008B3103"/>
    <w:rsid w:val="008B3195"/>
    <w:rsid w:val="008B3640"/>
    <w:rsid w:val="008B37A6"/>
    <w:rsid w:val="008B3A1E"/>
    <w:rsid w:val="008B3B42"/>
    <w:rsid w:val="008B3B8A"/>
    <w:rsid w:val="008B3E08"/>
    <w:rsid w:val="008B4139"/>
    <w:rsid w:val="008B4316"/>
    <w:rsid w:val="008B47AD"/>
    <w:rsid w:val="008B48C4"/>
    <w:rsid w:val="008B4AF8"/>
    <w:rsid w:val="008B4FAA"/>
    <w:rsid w:val="008B549D"/>
    <w:rsid w:val="008B5764"/>
    <w:rsid w:val="008B5A1D"/>
    <w:rsid w:val="008B5B0E"/>
    <w:rsid w:val="008B5DD3"/>
    <w:rsid w:val="008B60A4"/>
    <w:rsid w:val="008B618E"/>
    <w:rsid w:val="008B61BE"/>
    <w:rsid w:val="008B66DE"/>
    <w:rsid w:val="008B692C"/>
    <w:rsid w:val="008B7CED"/>
    <w:rsid w:val="008B7E92"/>
    <w:rsid w:val="008C0304"/>
    <w:rsid w:val="008C07FF"/>
    <w:rsid w:val="008C09E6"/>
    <w:rsid w:val="008C0FF4"/>
    <w:rsid w:val="008C14D4"/>
    <w:rsid w:val="008C19C9"/>
    <w:rsid w:val="008C19EC"/>
    <w:rsid w:val="008C20C8"/>
    <w:rsid w:val="008C2445"/>
    <w:rsid w:val="008C257E"/>
    <w:rsid w:val="008C25E9"/>
    <w:rsid w:val="008C27AE"/>
    <w:rsid w:val="008C2BCC"/>
    <w:rsid w:val="008C31A5"/>
    <w:rsid w:val="008C3925"/>
    <w:rsid w:val="008C3BF8"/>
    <w:rsid w:val="008C3E37"/>
    <w:rsid w:val="008C3EF6"/>
    <w:rsid w:val="008C4330"/>
    <w:rsid w:val="008C452B"/>
    <w:rsid w:val="008C4C3C"/>
    <w:rsid w:val="008C4DC0"/>
    <w:rsid w:val="008C59AE"/>
    <w:rsid w:val="008C5A78"/>
    <w:rsid w:val="008C5C7F"/>
    <w:rsid w:val="008C640E"/>
    <w:rsid w:val="008C6727"/>
    <w:rsid w:val="008C69A4"/>
    <w:rsid w:val="008C69C0"/>
    <w:rsid w:val="008C6A84"/>
    <w:rsid w:val="008C6FA9"/>
    <w:rsid w:val="008C771B"/>
    <w:rsid w:val="008C7B06"/>
    <w:rsid w:val="008C7F51"/>
    <w:rsid w:val="008C7F52"/>
    <w:rsid w:val="008D018A"/>
    <w:rsid w:val="008D0245"/>
    <w:rsid w:val="008D051E"/>
    <w:rsid w:val="008D07ED"/>
    <w:rsid w:val="008D087B"/>
    <w:rsid w:val="008D094E"/>
    <w:rsid w:val="008D0B28"/>
    <w:rsid w:val="008D0CA6"/>
    <w:rsid w:val="008D0FB7"/>
    <w:rsid w:val="008D141F"/>
    <w:rsid w:val="008D14F7"/>
    <w:rsid w:val="008D1653"/>
    <w:rsid w:val="008D1856"/>
    <w:rsid w:val="008D1C18"/>
    <w:rsid w:val="008D1C68"/>
    <w:rsid w:val="008D1D1A"/>
    <w:rsid w:val="008D1FBE"/>
    <w:rsid w:val="008D215F"/>
    <w:rsid w:val="008D2323"/>
    <w:rsid w:val="008D2676"/>
    <w:rsid w:val="008D2755"/>
    <w:rsid w:val="008D28A4"/>
    <w:rsid w:val="008D2AE7"/>
    <w:rsid w:val="008D2B60"/>
    <w:rsid w:val="008D2C9C"/>
    <w:rsid w:val="008D2D96"/>
    <w:rsid w:val="008D30B9"/>
    <w:rsid w:val="008D31BA"/>
    <w:rsid w:val="008D332A"/>
    <w:rsid w:val="008D39E4"/>
    <w:rsid w:val="008D3DDE"/>
    <w:rsid w:val="008D3ED0"/>
    <w:rsid w:val="008D473E"/>
    <w:rsid w:val="008D4791"/>
    <w:rsid w:val="008D4D2F"/>
    <w:rsid w:val="008D5525"/>
    <w:rsid w:val="008D5977"/>
    <w:rsid w:val="008D5C4F"/>
    <w:rsid w:val="008D5CB7"/>
    <w:rsid w:val="008D64D0"/>
    <w:rsid w:val="008D6750"/>
    <w:rsid w:val="008D7DA5"/>
    <w:rsid w:val="008E0348"/>
    <w:rsid w:val="008E05EF"/>
    <w:rsid w:val="008E0976"/>
    <w:rsid w:val="008E0AB5"/>
    <w:rsid w:val="008E0D58"/>
    <w:rsid w:val="008E0FE7"/>
    <w:rsid w:val="008E1008"/>
    <w:rsid w:val="008E10D4"/>
    <w:rsid w:val="008E1388"/>
    <w:rsid w:val="008E1481"/>
    <w:rsid w:val="008E1CBE"/>
    <w:rsid w:val="008E20EF"/>
    <w:rsid w:val="008E299C"/>
    <w:rsid w:val="008E2BD0"/>
    <w:rsid w:val="008E2C30"/>
    <w:rsid w:val="008E2D91"/>
    <w:rsid w:val="008E2E9E"/>
    <w:rsid w:val="008E32B0"/>
    <w:rsid w:val="008E357B"/>
    <w:rsid w:val="008E4C31"/>
    <w:rsid w:val="008E4CC9"/>
    <w:rsid w:val="008E4F31"/>
    <w:rsid w:val="008E5B6B"/>
    <w:rsid w:val="008E5BC2"/>
    <w:rsid w:val="008E5FE5"/>
    <w:rsid w:val="008E60FF"/>
    <w:rsid w:val="008E6154"/>
    <w:rsid w:val="008E659F"/>
    <w:rsid w:val="008E673C"/>
    <w:rsid w:val="008E69B8"/>
    <w:rsid w:val="008E6BE5"/>
    <w:rsid w:val="008E6E70"/>
    <w:rsid w:val="008E7247"/>
    <w:rsid w:val="008E74D0"/>
    <w:rsid w:val="008F01C9"/>
    <w:rsid w:val="008F0E8D"/>
    <w:rsid w:val="008F1341"/>
    <w:rsid w:val="008F1484"/>
    <w:rsid w:val="008F16FE"/>
    <w:rsid w:val="008F1953"/>
    <w:rsid w:val="008F1C0E"/>
    <w:rsid w:val="008F1DF1"/>
    <w:rsid w:val="008F21D4"/>
    <w:rsid w:val="008F243D"/>
    <w:rsid w:val="008F24AA"/>
    <w:rsid w:val="008F2E81"/>
    <w:rsid w:val="008F35D7"/>
    <w:rsid w:val="008F3607"/>
    <w:rsid w:val="008F3AAB"/>
    <w:rsid w:val="008F3D62"/>
    <w:rsid w:val="008F3F14"/>
    <w:rsid w:val="008F4086"/>
    <w:rsid w:val="008F4096"/>
    <w:rsid w:val="008F4479"/>
    <w:rsid w:val="008F4542"/>
    <w:rsid w:val="008F4B7C"/>
    <w:rsid w:val="008F4ECF"/>
    <w:rsid w:val="008F57FD"/>
    <w:rsid w:val="008F5863"/>
    <w:rsid w:val="008F5984"/>
    <w:rsid w:val="008F5B84"/>
    <w:rsid w:val="008F5E36"/>
    <w:rsid w:val="008F66A1"/>
    <w:rsid w:val="008F7087"/>
    <w:rsid w:val="008F71BC"/>
    <w:rsid w:val="008F74F3"/>
    <w:rsid w:val="008F753C"/>
    <w:rsid w:val="008F7616"/>
    <w:rsid w:val="008F793D"/>
    <w:rsid w:val="008F7B23"/>
    <w:rsid w:val="008F7F21"/>
    <w:rsid w:val="0090045B"/>
    <w:rsid w:val="009009EB"/>
    <w:rsid w:val="00900BC8"/>
    <w:rsid w:val="00900FE0"/>
    <w:rsid w:val="009014DD"/>
    <w:rsid w:val="00901C98"/>
    <w:rsid w:val="00901CD6"/>
    <w:rsid w:val="00902357"/>
    <w:rsid w:val="009025A9"/>
    <w:rsid w:val="009025BF"/>
    <w:rsid w:val="00902626"/>
    <w:rsid w:val="0090266B"/>
    <w:rsid w:val="00902930"/>
    <w:rsid w:val="00902D6A"/>
    <w:rsid w:val="0090369A"/>
    <w:rsid w:val="00903FD5"/>
    <w:rsid w:val="00904017"/>
    <w:rsid w:val="009040F9"/>
    <w:rsid w:val="00904147"/>
    <w:rsid w:val="00904193"/>
    <w:rsid w:val="00904736"/>
    <w:rsid w:val="00904879"/>
    <w:rsid w:val="00904A51"/>
    <w:rsid w:val="00904D87"/>
    <w:rsid w:val="009051CA"/>
    <w:rsid w:val="0090572A"/>
    <w:rsid w:val="009059C1"/>
    <w:rsid w:val="009059DB"/>
    <w:rsid w:val="00905A7E"/>
    <w:rsid w:val="00905B20"/>
    <w:rsid w:val="00905D88"/>
    <w:rsid w:val="00906FF1"/>
    <w:rsid w:val="009070E6"/>
    <w:rsid w:val="009071CC"/>
    <w:rsid w:val="00907A3C"/>
    <w:rsid w:val="009100FC"/>
    <w:rsid w:val="0091012B"/>
    <w:rsid w:val="00910CB8"/>
    <w:rsid w:val="0091105A"/>
    <w:rsid w:val="0091107A"/>
    <w:rsid w:val="00911563"/>
    <w:rsid w:val="00911DD0"/>
    <w:rsid w:val="00911E5C"/>
    <w:rsid w:val="00912026"/>
    <w:rsid w:val="00912435"/>
    <w:rsid w:val="00912464"/>
    <w:rsid w:val="00912648"/>
    <w:rsid w:val="00912B44"/>
    <w:rsid w:val="009130D2"/>
    <w:rsid w:val="00913408"/>
    <w:rsid w:val="00913438"/>
    <w:rsid w:val="009134C9"/>
    <w:rsid w:val="00913BDC"/>
    <w:rsid w:val="00913D66"/>
    <w:rsid w:val="00914B09"/>
    <w:rsid w:val="00915034"/>
    <w:rsid w:val="00915040"/>
    <w:rsid w:val="009150C5"/>
    <w:rsid w:val="0091510A"/>
    <w:rsid w:val="00915162"/>
    <w:rsid w:val="0091545E"/>
    <w:rsid w:val="0091548E"/>
    <w:rsid w:val="00915618"/>
    <w:rsid w:val="00915657"/>
    <w:rsid w:val="00915A7C"/>
    <w:rsid w:val="00915ED4"/>
    <w:rsid w:val="00915ED6"/>
    <w:rsid w:val="009160D3"/>
    <w:rsid w:val="009161B9"/>
    <w:rsid w:val="009162CD"/>
    <w:rsid w:val="009165A1"/>
    <w:rsid w:val="00916776"/>
    <w:rsid w:val="009167BC"/>
    <w:rsid w:val="009168AE"/>
    <w:rsid w:val="00916B57"/>
    <w:rsid w:val="00916BC4"/>
    <w:rsid w:val="00916C19"/>
    <w:rsid w:val="00916EC6"/>
    <w:rsid w:val="009170C6"/>
    <w:rsid w:val="009170C7"/>
    <w:rsid w:val="009173AD"/>
    <w:rsid w:val="00917870"/>
    <w:rsid w:val="00917965"/>
    <w:rsid w:val="00917B61"/>
    <w:rsid w:val="00917C68"/>
    <w:rsid w:val="009202ED"/>
    <w:rsid w:val="00920BE3"/>
    <w:rsid w:val="009214AE"/>
    <w:rsid w:val="00921907"/>
    <w:rsid w:val="00922CE2"/>
    <w:rsid w:val="00922EFC"/>
    <w:rsid w:val="00923283"/>
    <w:rsid w:val="009232C2"/>
    <w:rsid w:val="00923551"/>
    <w:rsid w:val="00923671"/>
    <w:rsid w:val="00923A7C"/>
    <w:rsid w:val="00923AE4"/>
    <w:rsid w:val="00923B0D"/>
    <w:rsid w:val="00923E68"/>
    <w:rsid w:val="00923F55"/>
    <w:rsid w:val="00924178"/>
    <w:rsid w:val="009245C6"/>
    <w:rsid w:val="009246E3"/>
    <w:rsid w:val="00924778"/>
    <w:rsid w:val="00924ACC"/>
    <w:rsid w:val="00924B17"/>
    <w:rsid w:val="00925283"/>
    <w:rsid w:val="00925379"/>
    <w:rsid w:val="009256C5"/>
    <w:rsid w:val="00925BAC"/>
    <w:rsid w:val="00925CC4"/>
    <w:rsid w:val="00925DA0"/>
    <w:rsid w:val="00926C99"/>
    <w:rsid w:val="00926CC9"/>
    <w:rsid w:val="00926FFA"/>
    <w:rsid w:val="009274A6"/>
    <w:rsid w:val="0092751B"/>
    <w:rsid w:val="00927556"/>
    <w:rsid w:val="0092765D"/>
    <w:rsid w:val="00927767"/>
    <w:rsid w:val="00927DD4"/>
    <w:rsid w:val="00927EDF"/>
    <w:rsid w:val="009301B1"/>
    <w:rsid w:val="009301E5"/>
    <w:rsid w:val="00930244"/>
    <w:rsid w:val="00930729"/>
    <w:rsid w:val="009308E2"/>
    <w:rsid w:val="00930A59"/>
    <w:rsid w:val="00930AEC"/>
    <w:rsid w:val="00930C90"/>
    <w:rsid w:val="00930EC6"/>
    <w:rsid w:val="00930F4F"/>
    <w:rsid w:val="00930F51"/>
    <w:rsid w:val="009311C1"/>
    <w:rsid w:val="00931A6E"/>
    <w:rsid w:val="00931AC4"/>
    <w:rsid w:val="00931CD0"/>
    <w:rsid w:val="00931EFC"/>
    <w:rsid w:val="0093205C"/>
    <w:rsid w:val="00932088"/>
    <w:rsid w:val="00932125"/>
    <w:rsid w:val="0093231C"/>
    <w:rsid w:val="009325BB"/>
    <w:rsid w:val="0093277B"/>
    <w:rsid w:val="009327CE"/>
    <w:rsid w:val="009327D0"/>
    <w:rsid w:val="00932FE4"/>
    <w:rsid w:val="00933531"/>
    <w:rsid w:val="009339B9"/>
    <w:rsid w:val="00933A82"/>
    <w:rsid w:val="0093443F"/>
    <w:rsid w:val="0093480A"/>
    <w:rsid w:val="00934E84"/>
    <w:rsid w:val="00934EF2"/>
    <w:rsid w:val="00935151"/>
    <w:rsid w:val="0093594C"/>
    <w:rsid w:val="00935C5D"/>
    <w:rsid w:val="00935F81"/>
    <w:rsid w:val="00935FC3"/>
    <w:rsid w:val="009360EC"/>
    <w:rsid w:val="00936A01"/>
    <w:rsid w:val="00936D5B"/>
    <w:rsid w:val="00936D79"/>
    <w:rsid w:val="00936E98"/>
    <w:rsid w:val="00937378"/>
    <w:rsid w:val="009373FD"/>
    <w:rsid w:val="00937BAF"/>
    <w:rsid w:val="009404C1"/>
    <w:rsid w:val="00940C5E"/>
    <w:rsid w:val="009412D4"/>
    <w:rsid w:val="0094179F"/>
    <w:rsid w:val="009418E9"/>
    <w:rsid w:val="009419AF"/>
    <w:rsid w:val="00941C63"/>
    <w:rsid w:val="00941CAC"/>
    <w:rsid w:val="00941F99"/>
    <w:rsid w:val="00942527"/>
    <w:rsid w:val="009429BA"/>
    <w:rsid w:val="00942B89"/>
    <w:rsid w:val="00943338"/>
    <w:rsid w:val="00943551"/>
    <w:rsid w:val="00944CD1"/>
    <w:rsid w:val="009458A5"/>
    <w:rsid w:val="009459DA"/>
    <w:rsid w:val="00945AEE"/>
    <w:rsid w:val="0094614A"/>
    <w:rsid w:val="00946562"/>
    <w:rsid w:val="009474EC"/>
    <w:rsid w:val="0094753A"/>
    <w:rsid w:val="009479C3"/>
    <w:rsid w:val="00947BD6"/>
    <w:rsid w:val="0095056F"/>
    <w:rsid w:val="00950843"/>
    <w:rsid w:val="00950860"/>
    <w:rsid w:val="00950D6E"/>
    <w:rsid w:val="0095108F"/>
    <w:rsid w:val="009510EA"/>
    <w:rsid w:val="00951B79"/>
    <w:rsid w:val="00951EAC"/>
    <w:rsid w:val="00952027"/>
    <w:rsid w:val="00952257"/>
    <w:rsid w:val="00952597"/>
    <w:rsid w:val="00952869"/>
    <w:rsid w:val="00952AF0"/>
    <w:rsid w:val="00953065"/>
    <w:rsid w:val="00953237"/>
    <w:rsid w:val="00953588"/>
    <w:rsid w:val="00953703"/>
    <w:rsid w:val="00953784"/>
    <w:rsid w:val="00953F9D"/>
    <w:rsid w:val="00953FE2"/>
    <w:rsid w:val="0095462D"/>
    <w:rsid w:val="00954BAC"/>
    <w:rsid w:val="00954C11"/>
    <w:rsid w:val="009556E1"/>
    <w:rsid w:val="009558A2"/>
    <w:rsid w:val="00955F38"/>
    <w:rsid w:val="009564BE"/>
    <w:rsid w:val="00956552"/>
    <w:rsid w:val="00956811"/>
    <w:rsid w:val="00956B4D"/>
    <w:rsid w:val="009572B5"/>
    <w:rsid w:val="009578AC"/>
    <w:rsid w:val="009578D2"/>
    <w:rsid w:val="00957A21"/>
    <w:rsid w:val="00957B32"/>
    <w:rsid w:val="009609EC"/>
    <w:rsid w:val="00960D08"/>
    <w:rsid w:val="00960D7F"/>
    <w:rsid w:val="00960DF6"/>
    <w:rsid w:val="00960E09"/>
    <w:rsid w:val="00960E31"/>
    <w:rsid w:val="009612B5"/>
    <w:rsid w:val="00961658"/>
    <w:rsid w:val="009616CB"/>
    <w:rsid w:val="00961E63"/>
    <w:rsid w:val="0096313C"/>
    <w:rsid w:val="00964406"/>
    <w:rsid w:val="0096445C"/>
    <w:rsid w:val="0096481C"/>
    <w:rsid w:val="00964C93"/>
    <w:rsid w:val="009650AD"/>
    <w:rsid w:val="009656A1"/>
    <w:rsid w:val="00965A6C"/>
    <w:rsid w:val="00966528"/>
    <w:rsid w:val="0096693D"/>
    <w:rsid w:val="00966D36"/>
    <w:rsid w:val="00966DFB"/>
    <w:rsid w:val="00966EAC"/>
    <w:rsid w:val="0096742D"/>
    <w:rsid w:val="00967478"/>
    <w:rsid w:val="009674BB"/>
    <w:rsid w:val="009674F6"/>
    <w:rsid w:val="00967600"/>
    <w:rsid w:val="009677F1"/>
    <w:rsid w:val="00967E7B"/>
    <w:rsid w:val="00967EB2"/>
    <w:rsid w:val="0097010E"/>
    <w:rsid w:val="0097061E"/>
    <w:rsid w:val="009709E8"/>
    <w:rsid w:val="00970B99"/>
    <w:rsid w:val="00970E29"/>
    <w:rsid w:val="00970E90"/>
    <w:rsid w:val="009711FC"/>
    <w:rsid w:val="00971625"/>
    <w:rsid w:val="00971769"/>
    <w:rsid w:val="00971A3F"/>
    <w:rsid w:val="00971E21"/>
    <w:rsid w:val="00971FB9"/>
    <w:rsid w:val="00972011"/>
    <w:rsid w:val="00972119"/>
    <w:rsid w:val="00972207"/>
    <w:rsid w:val="009724D5"/>
    <w:rsid w:val="0097255E"/>
    <w:rsid w:val="009725A3"/>
    <w:rsid w:val="009726E7"/>
    <w:rsid w:val="00972DC4"/>
    <w:rsid w:val="0097326E"/>
    <w:rsid w:val="00973433"/>
    <w:rsid w:val="0097343E"/>
    <w:rsid w:val="009734FF"/>
    <w:rsid w:val="00973559"/>
    <w:rsid w:val="00973B5F"/>
    <w:rsid w:val="009740E8"/>
    <w:rsid w:val="00974BF6"/>
    <w:rsid w:val="00974D5F"/>
    <w:rsid w:val="00975228"/>
    <w:rsid w:val="00975431"/>
    <w:rsid w:val="009755DB"/>
    <w:rsid w:val="00976498"/>
    <w:rsid w:val="00976517"/>
    <w:rsid w:val="009768DC"/>
    <w:rsid w:val="00976DF2"/>
    <w:rsid w:val="00976E41"/>
    <w:rsid w:val="0097718B"/>
    <w:rsid w:val="00977330"/>
    <w:rsid w:val="0097748A"/>
    <w:rsid w:val="00977961"/>
    <w:rsid w:val="00977D83"/>
    <w:rsid w:val="00977DCC"/>
    <w:rsid w:val="00977E7D"/>
    <w:rsid w:val="0098050C"/>
    <w:rsid w:val="00980831"/>
    <w:rsid w:val="0098116F"/>
    <w:rsid w:val="0098147F"/>
    <w:rsid w:val="0098179B"/>
    <w:rsid w:val="0098202F"/>
    <w:rsid w:val="009821C9"/>
    <w:rsid w:val="00982B31"/>
    <w:rsid w:val="00982B34"/>
    <w:rsid w:val="00982B80"/>
    <w:rsid w:val="00983450"/>
    <w:rsid w:val="009836D0"/>
    <w:rsid w:val="00983F6F"/>
    <w:rsid w:val="0098400B"/>
    <w:rsid w:val="00984433"/>
    <w:rsid w:val="0098474D"/>
    <w:rsid w:val="0098477F"/>
    <w:rsid w:val="009847DE"/>
    <w:rsid w:val="0098516E"/>
    <w:rsid w:val="00985281"/>
    <w:rsid w:val="009853EF"/>
    <w:rsid w:val="009858D0"/>
    <w:rsid w:val="00985E56"/>
    <w:rsid w:val="00986172"/>
    <w:rsid w:val="0098633B"/>
    <w:rsid w:val="00986952"/>
    <w:rsid w:val="009869B8"/>
    <w:rsid w:val="00986F53"/>
    <w:rsid w:val="009876A0"/>
    <w:rsid w:val="00987856"/>
    <w:rsid w:val="00987BE6"/>
    <w:rsid w:val="00987EEF"/>
    <w:rsid w:val="009909F4"/>
    <w:rsid w:val="00990E97"/>
    <w:rsid w:val="00991275"/>
    <w:rsid w:val="00991493"/>
    <w:rsid w:val="0099167A"/>
    <w:rsid w:val="00991CDA"/>
    <w:rsid w:val="00991ECA"/>
    <w:rsid w:val="00992280"/>
    <w:rsid w:val="00992A02"/>
    <w:rsid w:val="00992EBA"/>
    <w:rsid w:val="00992F52"/>
    <w:rsid w:val="0099314E"/>
    <w:rsid w:val="00993307"/>
    <w:rsid w:val="009934FC"/>
    <w:rsid w:val="00993535"/>
    <w:rsid w:val="00993732"/>
    <w:rsid w:val="009937C3"/>
    <w:rsid w:val="00993843"/>
    <w:rsid w:val="00993D5A"/>
    <w:rsid w:val="00993E4C"/>
    <w:rsid w:val="00994160"/>
    <w:rsid w:val="009947ED"/>
    <w:rsid w:val="009953A0"/>
    <w:rsid w:val="00995911"/>
    <w:rsid w:val="00995AD4"/>
    <w:rsid w:val="00995DB4"/>
    <w:rsid w:val="009963F0"/>
    <w:rsid w:val="00996417"/>
    <w:rsid w:val="0099647F"/>
    <w:rsid w:val="0099648F"/>
    <w:rsid w:val="0099664A"/>
    <w:rsid w:val="009966EB"/>
    <w:rsid w:val="00996A04"/>
    <w:rsid w:val="00996B93"/>
    <w:rsid w:val="00996D10"/>
    <w:rsid w:val="00996E17"/>
    <w:rsid w:val="00996F9F"/>
    <w:rsid w:val="0099760E"/>
    <w:rsid w:val="00997783"/>
    <w:rsid w:val="00997A4F"/>
    <w:rsid w:val="009A03E5"/>
    <w:rsid w:val="009A0472"/>
    <w:rsid w:val="009A0960"/>
    <w:rsid w:val="009A0BAF"/>
    <w:rsid w:val="009A0D00"/>
    <w:rsid w:val="009A0E75"/>
    <w:rsid w:val="009A0F9D"/>
    <w:rsid w:val="009A12AB"/>
    <w:rsid w:val="009A1B4D"/>
    <w:rsid w:val="009A2B16"/>
    <w:rsid w:val="009A2DC3"/>
    <w:rsid w:val="009A3332"/>
    <w:rsid w:val="009A4062"/>
    <w:rsid w:val="009A40A8"/>
    <w:rsid w:val="009A41DD"/>
    <w:rsid w:val="009A41EB"/>
    <w:rsid w:val="009A45B1"/>
    <w:rsid w:val="009A5090"/>
    <w:rsid w:val="009A50C4"/>
    <w:rsid w:val="009A5358"/>
    <w:rsid w:val="009A53F3"/>
    <w:rsid w:val="009A5827"/>
    <w:rsid w:val="009A5E2B"/>
    <w:rsid w:val="009A6B9D"/>
    <w:rsid w:val="009A6D5D"/>
    <w:rsid w:val="009A6F97"/>
    <w:rsid w:val="009A77E8"/>
    <w:rsid w:val="009A78BF"/>
    <w:rsid w:val="009A7D82"/>
    <w:rsid w:val="009B0B95"/>
    <w:rsid w:val="009B0D1C"/>
    <w:rsid w:val="009B0DAE"/>
    <w:rsid w:val="009B1870"/>
    <w:rsid w:val="009B1AB3"/>
    <w:rsid w:val="009B1E18"/>
    <w:rsid w:val="009B1EBF"/>
    <w:rsid w:val="009B1F85"/>
    <w:rsid w:val="009B24DC"/>
    <w:rsid w:val="009B2B25"/>
    <w:rsid w:val="009B2F37"/>
    <w:rsid w:val="009B3891"/>
    <w:rsid w:val="009B3910"/>
    <w:rsid w:val="009B3A1A"/>
    <w:rsid w:val="009B3AD3"/>
    <w:rsid w:val="009B3EB3"/>
    <w:rsid w:val="009B3ED9"/>
    <w:rsid w:val="009B41D3"/>
    <w:rsid w:val="009B430E"/>
    <w:rsid w:val="009B434F"/>
    <w:rsid w:val="009B47B5"/>
    <w:rsid w:val="009B4EDF"/>
    <w:rsid w:val="009B580C"/>
    <w:rsid w:val="009B5AB2"/>
    <w:rsid w:val="009B5B30"/>
    <w:rsid w:val="009B6016"/>
    <w:rsid w:val="009B6704"/>
    <w:rsid w:val="009B7349"/>
    <w:rsid w:val="009B76B4"/>
    <w:rsid w:val="009C0368"/>
    <w:rsid w:val="009C0B24"/>
    <w:rsid w:val="009C0B51"/>
    <w:rsid w:val="009C0E31"/>
    <w:rsid w:val="009C110F"/>
    <w:rsid w:val="009C1255"/>
    <w:rsid w:val="009C15E2"/>
    <w:rsid w:val="009C16FB"/>
    <w:rsid w:val="009C1967"/>
    <w:rsid w:val="009C1A7A"/>
    <w:rsid w:val="009C1ADF"/>
    <w:rsid w:val="009C1E8E"/>
    <w:rsid w:val="009C20E7"/>
    <w:rsid w:val="009C29DB"/>
    <w:rsid w:val="009C2B2E"/>
    <w:rsid w:val="009C2FC4"/>
    <w:rsid w:val="009C328C"/>
    <w:rsid w:val="009C33BE"/>
    <w:rsid w:val="009C35A3"/>
    <w:rsid w:val="009C36B8"/>
    <w:rsid w:val="009C39F5"/>
    <w:rsid w:val="009C3E02"/>
    <w:rsid w:val="009C4030"/>
    <w:rsid w:val="009C403B"/>
    <w:rsid w:val="009C443E"/>
    <w:rsid w:val="009C4569"/>
    <w:rsid w:val="009C4E79"/>
    <w:rsid w:val="009C50AC"/>
    <w:rsid w:val="009C5319"/>
    <w:rsid w:val="009C54F2"/>
    <w:rsid w:val="009C5C92"/>
    <w:rsid w:val="009C5E13"/>
    <w:rsid w:val="009C62A3"/>
    <w:rsid w:val="009C6366"/>
    <w:rsid w:val="009C6402"/>
    <w:rsid w:val="009C670B"/>
    <w:rsid w:val="009C6987"/>
    <w:rsid w:val="009C6E19"/>
    <w:rsid w:val="009C732A"/>
    <w:rsid w:val="009C762D"/>
    <w:rsid w:val="009D0212"/>
    <w:rsid w:val="009D0787"/>
    <w:rsid w:val="009D0CDC"/>
    <w:rsid w:val="009D0F2F"/>
    <w:rsid w:val="009D1CB0"/>
    <w:rsid w:val="009D1E24"/>
    <w:rsid w:val="009D202F"/>
    <w:rsid w:val="009D2101"/>
    <w:rsid w:val="009D2518"/>
    <w:rsid w:val="009D254E"/>
    <w:rsid w:val="009D2C14"/>
    <w:rsid w:val="009D2D8D"/>
    <w:rsid w:val="009D3025"/>
    <w:rsid w:val="009D3650"/>
    <w:rsid w:val="009D3683"/>
    <w:rsid w:val="009D374A"/>
    <w:rsid w:val="009D3A8A"/>
    <w:rsid w:val="009D3B42"/>
    <w:rsid w:val="009D3F05"/>
    <w:rsid w:val="009D4544"/>
    <w:rsid w:val="009D4DD5"/>
    <w:rsid w:val="009D5008"/>
    <w:rsid w:val="009D560E"/>
    <w:rsid w:val="009D57D9"/>
    <w:rsid w:val="009D5826"/>
    <w:rsid w:val="009D5A72"/>
    <w:rsid w:val="009D5F80"/>
    <w:rsid w:val="009D6217"/>
    <w:rsid w:val="009D658B"/>
    <w:rsid w:val="009D66B5"/>
    <w:rsid w:val="009D66EE"/>
    <w:rsid w:val="009D696C"/>
    <w:rsid w:val="009D6A02"/>
    <w:rsid w:val="009D6C1B"/>
    <w:rsid w:val="009D6C1F"/>
    <w:rsid w:val="009D6C99"/>
    <w:rsid w:val="009D6EE4"/>
    <w:rsid w:val="009D7032"/>
    <w:rsid w:val="009D732E"/>
    <w:rsid w:val="009D7646"/>
    <w:rsid w:val="009D777D"/>
    <w:rsid w:val="009D7C0B"/>
    <w:rsid w:val="009D7C86"/>
    <w:rsid w:val="009D7F4D"/>
    <w:rsid w:val="009E05A0"/>
    <w:rsid w:val="009E0B0C"/>
    <w:rsid w:val="009E1002"/>
    <w:rsid w:val="009E11B7"/>
    <w:rsid w:val="009E173C"/>
    <w:rsid w:val="009E1F05"/>
    <w:rsid w:val="009E2333"/>
    <w:rsid w:val="009E267A"/>
    <w:rsid w:val="009E292C"/>
    <w:rsid w:val="009E2967"/>
    <w:rsid w:val="009E2CE1"/>
    <w:rsid w:val="009E2CE7"/>
    <w:rsid w:val="009E2E5E"/>
    <w:rsid w:val="009E2EFA"/>
    <w:rsid w:val="009E37A5"/>
    <w:rsid w:val="009E3E56"/>
    <w:rsid w:val="009E4054"/>
    <w:rsid w:val="009E45DF"/>
    <w:rsid w:val="009E4A28"/>
    <w:rsid w:val="009E4ABA"/>
    <w:rsid w:val="009E56E2"/>
    <w:rsid w:val="009E5B51"/>
    <w:rsid w:val="009E5BD3"/>
    <w:rsid w:val="009E5D67"/>
    <w:rsid w:val="009E6007"/>
    <w:rsid w:val="009E6A8C"/>
    <w:rsid w:val="009E6D2F"/>
    <w:rsid w:val="009E6E01"/>
    <w:rsid w:val="009E71E3"/>
    <w:rsid w:val="009E7472"/>
    <w:rsid w:val="009E74B0"/>
    <w:rsid w:val="009E775B"/>
    <w:rsid w:val="009E7B0B"/>
    <w:rsid w:val="009E7C3D"/>
    <w:rsid w:val="009E7C76"/>
    <w:rsid w:val="009E7DB0"/>
    <w:rsid w:val="009F00C0"/>
    <w:rsid w:val="009F04B0"/>
    <w:rsid w:val="009F0E42"/>
    <w:rsid w:val="009F0F88"/>
    <w:rsid w:val="009F0FC6"/>
    <w:rsid w:val="009F1362"/>
    <w:rsid w:val="009F1BBC"/>
    <w:rsid w:val="009F1C27"/>
    <w:rsid w:val="009F2387"/>
    <w:rsid w:val="009F262E"/>
    <w:rsid w:val="009F26FC"/>
    <w:rsid w:val="009F2BAE"/>
    <w:rsid w:val="009F3797"/>
    <w:rsid w:val="009F382F"/>
    <w:rsid w:val="009F3C2B"/>
    <w:rsid w:val="009F420E"/>
    <w:rsid w:val="009F4D15"/>
    <w:rsid w:val="009F4D84"/>
    <w:rsid w:val="009F5117"/>
    <w:rsid w:val="009F566B"/>
    <w:rsid w:val="009F5864"/>
    <w:rsid w:val="009F5A2F"/>
    <w:rsid w:val="009F5ED0"/>
    <w:rsid w:val="009F638B"/>
    <w:rsid w:val="009F6D83"/>
    <w:rsid w:val="009F7796"/>
    <w:rsid w:val="009F795F"/>
    <w:rsid w:val="009F7DF6"/>
    <w:rsid w:val="009F7E7D"/>
    <w:rsid w:val="00A003DE"/>
    <w:rsid w:val="00A006A8"/>
    <w:rsid w:val="00A007DC"/>
    <w:rsid w:val="00A00C97"/>
    <w:rsid w:val="00A00DD8"/>
    <w:rsid w:val="00A00FD8"/>
    <w:rsid w:val="00A01659"/>
    <w:rsid w:val="00A0179C"/>
    <w:rsid w:val="00A01C90"/>
    <w:rsid w:val="00A02C31"/>
    <w:rsid w:val="00A02D53"/>
    <w:rsid w:val="00A02FA0"/>
    <w:rsid w:val="00A03033"/>
    <w:rsid w:val="00A03D1F"/>
    <w:rsid w:val="00A046D4"/>
    <w:rsid w:val="00A047A7"/>
    <w:rsid w:val="00A04ABF"/>
    <w:rsid w:val="00A04E5C"/>
    <w:rsid w:val="00A0510B"/>
    <w:rsid w:val="00A05400"/>
    <w:rsid w:val="00A0648A"/>
    <w:rsid w:val="00A06566"/>
    <w:rsid w:val="00A0682E"/>
    <w:rsid w:val="00A07262"/>
    <w:rsid w:val="00A07413"/>
    <w:rsid w:val="00A07BFC"/>
    <w:rsid w:val="00A102B5"/>
    <w:rsid w:val="00A104EC"/>
    <w:rsid w:val="00A10656"/>
    <w:rsid w:val="00A11868"/>
    <w:rsid w:val="00A119AB"/>
    <w:rsid w:val="00A11AE5"/>
    <w:rsid w:val="00A11C69"/>
    <w:rsid w:val="00A11CC3"/>
    <w:rsid w:val="00A123D9"/>
    <w:rsid w:val="00A1241A"/>
    <w:rsid w:val="00A12528"/>
    <w:rsid w:val="00A12732"/>
    <w:rsid w:val="00A12853"/>
    <w:rsid w:val="00A12B1C"/>
    <w:rsid w:val="00A12CC9"/>
    <w:rsid w:val="00A12E0D"/>
    <w:rsid w:val="00A1317C"/>
    <w:rsid w:val="00A1363E"/>
    <w:rsid w:val="00A13A60"/>
    <w:rsid w:val="00A13FA1"/>
    <w:rsid w:val="00A14289"/>
    <w:rsid w:val="00A1437B"/>
    <w:rsid w:val="00A1480C"/>
    <w:rsid w:val="00A14C99"/>
    <w:rsid w:val="00A14E43"/>
    <w:rsid w:val="00A15709"/>
    <w:rsid w:val="00A158B3"/>
    <w:rsid w:val="00A159C8"/>
    <w:rsid w:val="00A15A24"/>
    <w:rsid w:val="00A15C6A"/>
    <w:rsid w:val="00A15D23"/>
    <w:rsid w:val="00A15E01"/>
    <w:rsid w:val="00A15EFF"/>
    <w:rsid w:val="00A16367"/>
    <w:rsid w:val="00A164C5"/>
    <w:rsid w:val="00A16A3A"/>
    <w:rsid w:val="00A16C1C"/>
    <w:rsid w:val="00A16DE1"/>
    <w:rsid w:val="00A1732D"/>
    <w:rsid w:val="00A178F0"/>
    <w:rsid w:val="00A17CE5"/>
    <w:rsid w:val="00A17FD3"/>
    <w:rsid w:val="00A20229"/>
    <w:rsid w:val="00A203B1"/>
    <w:rsid w:val="00A20532"/>
    <w:rsid w:val="00A20698"/>
    <w:rsid w:val="00A2089D"/>
    <w:rsid w:val="00A20991"/>
    <w:rsid w:val="00A2149A"/>
    <w:rsid w:val="00A215CC"/>
    <w:rsid w:val="00A216DE"/>
    <w:rsid w:val="00A2183B"/>
    <w:rsid w:val="00A21ABB"/>
    <w:rsid w:val="00A21D07"/>
    <w:rsid w:val="00A21E9B"/>
    <w:rsid w:val="00A223A6"/>
    <w:rsid w:val="00A22716"/>
    <w:rsid w:val="00A22A02"/>
    <w:rsid w:val="00A22A7E"/>
    <w:rsid w:val="00A22DD6"/>
    <w:rsid w:val="00A22DE5"/>
    <w:rsid w:val="00A22FFB"/>
    <w:rsid w:val="00A231E1"/>
    <w:rsid w:val="00A234D0"/>
    <w:rsid w:val="00A23698"/>
    <w:rsid w:val="00A2382F"/>
    <w:rsid w:val="00A23AAE"/>
    <w:rsid w:val="00A23AC5"/>
    <w:rsid w:val="00A23C9C"/>
    <w:rsid w:val="00A23E7B"/>
    <w:rsid w:val="00A240AB"/>
    <w:rsid w:val="00A241B6"/>
    <w:rsid w:val="00A242DB"/>
    <w:rsid w:val="00A24466"/>
    <w:rsid w:val="00A244CE"/>
    <w:rsid w:val="00A2499F"/>
    <w:rsid w:val="00A24AD5"/>
    <w:rsid w:val="00A24FA7"/>
    <w:rsid w:val="00A25018"/>
    <w:rsid w:val="00A25D24"/>
    <w:rsid w:val="00A2607D"/>
    <w:rsid w:val="00A263DA"/>
    <w:rsid w:val="00A26D53"/>
    <w:rsid w:val="00A26E6C"/>
    <w:rsid w:val="00A2716B"/>
    <w:rsid w:val="00A27233"/>
    <w:rsid w:val="00A27263"/>
    <w:rsid w:val="00A277DA"/>
    <w:rsid w:val="00A2791B"/>
    <w:rsid w:val="00A30078"/>
    <w:rsid w:val="00A30229"/>
    <w:rsid w:val="00A30253"/>
    <w:rsid w:val="00A304DB"/>
    <w:rsid w:val="00A30866"/>
    <w:rsid w:val="00A30F1D"/>
    <w:rsid w:val="00A30FC1"/>
    <w:rsid w:val="00A31326"/>
    <w:rsid w:val="00A31938"/>
    <w:rsid w:val="00A32A64"/>
    <w:rsid w:val="00A32AAF"/>
    <w:rsid w:val="00A32D0C"/>
    <w:rsid w:val="00A33017"/>
    <w:rsid w:val="00A333B4"/>
    <w:rsid w:val="00A335E9"/>
    <w:rsid w:val="00A33647"/>
    <w:rsid w:val="00A33664"/>
    <w:rsid w:val="00A33ABD"/>
    <w:rsid w:val="00A33C98"/>
    <w:rsid w:val="00A33DCA"/>
    <w:rsid w:val="00A3418D"/>
    <w:rsid w:val="00A345FC"/>
    <w:rsid w:val="00A3478A"/>
    <w:rsid w:val="00A348C3"/>
    <w:rsid w:val="00A349FA"/>
    <w:rsid w:val="00A34B20"/>
    <w:rsid w:val="00A34DC6"/>
    <w:rsid w:val="00A34ECD"/>
    <w:rsid w:val="00A352B6"/>
    <w:rsid w:val="00A35403"/>
    <w:rsid w:val="00A35539"/>
    <w:rsid w:val="00A35B52"/>
    <w:rsid w:val="00A364FF"/>
    <w:rsid w:val="00A3660B"/>
    <w:rsid w:val="00A36B89"/>
    <w:rsid w:val="00A36E9D"/>
    <w:rsid w:val="00A36ECD"/>
    <w:rsid w:val="00A3706C"/>
    <w:rsid w:val="00A3729C"/>
    <w:rsid w:val="00A373CC"/>
    <w:rsid w:val="00A373DA"/>
    <w:rsid w:val="00A37712"/>
    <w:rsid w:val="00A379A6"/>
    <w:rsid w:val="00A37FA9"/>
    <w:rsid w:val="00A400A2"/>
    <w:rsid w:val="00A401ED"/>
    <w:rsid w:val="00A4053A"/>
    <w:rsid w:val="00A409C9"/>
    <w:rsid w:val="00A40A6B"/>
    <w:rsid w:val="00A40C24"/>
    <w:rsid w:val="00A40CD8"/>
    <w:rsid w:val="00A40DD8"/>
    <w:rsid w:val="00A40E7B"/>
    <w:rsid w:val="00A41636"/>
    <w:rsid w:val="00A4164D"/>
    <w:rsid w:val="00A41BA4"/>
    <w:rsid w:val="00A41BEF"/>
    <w:rsid w:val="00A424DB"/>
    <w:rsid w:val="00A426BC"/>
    <w:rsid w:val="00A42A1C"/>
    <w:rsid w:val="00A43442"/>
    <w:rsid w:val="00A4387D"/>
    <w:rsid w:val="00A43A9B"/>
    <w:rsid w:val="00A43C35"/>
    <w:rsid w:val="00A43D66"/>
    <w:rsid w:val="00A43E68"/>
    <w:rsid w:val="00A43F26"/>
    <w:rsid w:val="00A43F36"/>
    <w:rsid w:val="00A4418A"/>
    <w:rsid w:val="00A444E0"/>
    <w:rsid w:val="00A44D87"/>
    <w:rsid w:val="00A44E37"/>
    <w:rsid w:val="00A455AC"/>
    <w:rsid w:val="00A45878"/>
    <w:rsid w:val="00A45920"/>
    <w:rsid w:val="00A45B5B"/>
    <w:rsid w:val="00A45BCC"/>
    <w:rsid w:val="00A45C87"/>
    <w:rsid w:val="00A45CA7"/>
    <w:rsid w:val="00A45DBD"/>
    <w:rsid w:val="00A46302"/>
    <w:rsid w:val="00A46592"/>
    <w:rsid w:val="00A46BD8"/>
    <w:rsid w:val="00A46E5C"/>
    <w:rsid w:val="00A46FA5"/>
    <w:rsid w:val="00A4769A"/>
    <w:rsid w:val="00A47C27"/>
    <w:rsid w:val="00A47E06"/>
    <w:rsid w:val="00A47E58"/>
    <w:rsid w:val="00A500C3"/>
    <w:rsid w:val="00A501A2"/>
    <w:rsid w:val="00A50653"/>
    <w:rsid w:val="00A506DA"/>
    <w:rsid w:val="00A50C03"/>
    <w:rsid w:val="00A50D98"/>
    <w:rsid w:val="00A510E6"/>
    <w:rsid w:val="00A511DC"/>
    <w:rsid w:val="00A51720"/>
    <w:rsid w:val="00A51C5F"/>
    <w:rsid w:val="00A51C87"/>
    <w:rsid w:val="00A52096"/>
    <w:rsid w:val="00A520BD"/>
    <w:rsid w:val="00A52161"/>
    <w:rsid w:val="00A52186"/>
    <w:rsid w:val="00A5233D"/>
    <w:rsid w:val="00A5260C"/>
    <w:rsid w:val="00A528F0"/>
    <w:rsid w:val="00A528F1"/>
    <w:rsid w:val="00A529AF"/>
    <w:rsid w:val="00A52AF2"/>
    <w:rsid w:val="00A52B9B"/>
    <w:rsid w:val="00A52CBC"/>
    <w:rsid w:val="00A53430"/>
    <w:rsid w:val="00A53552"/>
    <w:rsid w:val="00A53648"/>
    <w:rsid w:val="00A53F39"/>
    <w:rsid w:val="00A54BF2"/>
    <w:rsid w:val="00A56455"/>
    <w:rsid w:val="00A56684"/>
    <w:rsid w:val="00A56830"/>
    <w:rsid w:val="00A56B73"/>
    <w:rsid w:val="00A5752E"/>
    <w:rsid w:val="00A57660"/>
    <w:rsid w:val="00A57CFA"/>
    <w:rsid w:val="00A57EC7"/>
    <w:rsid w:val="00A6014B"/>
    <w:rsid w:val="00A601B7"/>
    <w:rsid w:val="00A608CA"/>
    <w:rsid w:val="00A60927"/>
    <w:rsid w:val="00A60E5B"/>
    <w:rsid w:val="00A60E6F"/>
    <w:rsid w:val="00A616E3"/>
    <w:rsid w:val="00A61B0A"/>
    <w:rsid w:val="00A61E2C"/>
    <w:rsid w:val="00A61E97"/>
    <w:rsid w:val="00A622F2"/>
    <w:rsid w:val="00A622F8"/>
    <w:rsid w:val="00A62DC6"/>
    <w:rsid w:val="00A63103"/>
    <w:rsid w:val="00A632C8"/>
    <w:rsid w:val="00A6365B"/>
    <w:rsid w:val="00A638B4"/>
    <w:rsid w:val="00A639FD"/>
    <w:rsid w:val="00A63D31"/>
    <w:rsid w:val="00A6448E"/>
    <w:rsid w:val="00A645FE"/>
    <w:rsid w:val="00A64763"/>
    <w:rsid w:val="00A64F85"/>
    <w:rsid w:val="00A654D9"/>
    <w:rsid w:val="00A6556C"/>
    <w:rsid w:val="00A655AD"/>
    <w:rsid w:val="00A65F34"/>
    <w:rsid w:val="00A6661D"/>
    <w:rsid w:val="00A666B2"/>
    <w:rsid w:val="00A66865"/>
    <w:rsid w:val="00A66BC9"/>
    <w:rsid w:val="00A66BE4"/>
    <w:rsid w:val="00A67018"/>
    <w:rsid w:val="00A67256"/>
    <w:rsid w:val="00A6731D"/>
    <w:rsid w:val="00A6762C"/>
    <w:rsid w:val="00A679B4"/>
    <w:rsid w:val="00A67B31"/>
    <w:rsid w:val="00A67BD1"/>
    <w:rsid w:val="00A70135"/>
    <w:rsid w:val="00A7031E"/>
    <w:rsid w:val="00A70441"/>
    <w:rsid w:val="00A706B9"/>
    <w:rsid w:val="00A70B1D"/>
    <w:rsid w:val="00A71109"/>
    <w:rsid w:val="00A71537"/>
    <w:rsid w:val="00A7187C"/>
    <w:rsid w:val="00A71B2A"/>
    <w:rsid w:val="00A7245D"/>
    <w:rsid w:val="00A7278C"/>
    <w:rsid w:val="00A72B08"/>
    <w:rsid w:val="00A72B17"/>
    <w:rsid w:val="00A72CFE"/>
    <w:rsid w:val="00A72D56"/>
    <w:rsid w:val="00A72F36"/>
    <w:rsid w:val="00A72F46"/>
    <w:rsid w:val="00A7324D"/>
    <w:rsid w:val="00A73321"/>
    <w:rsid w:val="00A735A8"/>
    <w:rsid w:val="00A736C6"/>
    <w:rsid w:val="00A73BBC"/>
    <w:rsid w:val="00A73ED1"/>
    <w:rsid w:val="00A743E6"/>
    <w:rsid w:val="00A744C4"/>
    <w:rsid w:val="00A746E9"/>
    <w:rsid w:val="00A74845"/>
    <w:rsid w:val="00A74853"/>
    <w:rsid w:val="00A74C31"/>
    <w:rsid w:val="00A74D50"/>
    <w:rsid w:val="00A75216"/>
    <w:rsid w:val="00A755DE"/>
    <w:rsid w:val="00A756B7"/>
    <w:rsid w:val="00A75735"/>
    <w:rsid w:val="00A7593F"/>
    <w:rsid w:val="00A765A5"/>
    <w:rsid w:val="00A76946"/>
    <w:rsid w:val="00A76EAA"/>
    <w:rsid w:val="00A76EC4"/>
    <w:rsid w:val="00A76F81"/>
    <w:rsid w:val="00A770C0"/>
    <w:rsid w:val="00A77126"/>
    <w:rsid w:val="00A775BF"/>
    <w:rsid w:val="00A80204"/>
    <w:rsid w:val="00A803D7"/>
    <w:rsid w:val="00A8084A"/>
    <w:rsid w:val="00A80895"/>
    <w:rsid w:val="00A80970"/>
    <w:rsid w:val="00A80AAB"/>
    <w:rsid w:val="00A80C86"/>
    <w:rsid w:val="00A80C94"/>
    <w:rsid w:val="00A80EB8"/>
    <w:rsid w:val="00A81026"/>
    <w:rsid w:val="00A8164A"/>
    <w:rsid w:val="00A816D1"/>
    <w:rsid w:val="00A81716"/>
    <w:rsid w:val="00A8187D"/>
    <w:rsid w:val="00A81ADC"/>
    <w:rsid w:val="00A81B80"/>
    <w:rsid w:val="00A81D0C"/>
    <w:rsid w:val="00A82AF7"/>
    <w:rsid w:val="00A83285"/>
    <w:rsid w:val="00A83293"/>
    <w:rsid w:val="00A837D9"/>
    <w:rsid w:val="00A83862"/>
    <w:rsid w:val="00A83B05"/>
    <w:rsid w:val="00A83B2D"/>
    <w:rsid w:val="00A83C76"/>
    <w:rsid w:val="00A83EA0"/>
    <w:rsid w:val="00A83FE8"/>
    <w:rsid w:val="00A841B9"/>
    <w:rsid w:val="00A848DA"/>
    <w:rsid w:val="00A8491E"/>
    <w:rsid w:val="00A8495E"/>
    <w:rsid w:val="00A849A5"/>
    <w:rsid w:val="00A84EA9"/>
    <w:rsid w:val="00A855F2"/>
    <w:rsid w:val="00A85AC7"/>
    <w:rsid w:val="00A85C0B"/>
    <w:rsid w:val="00A85C71"/>
    <w:rsid w:val="00A862F2"/>
    <w:rsid w:val="00A863C0"/>
    <w:rsid w:val="00A864F5"/>
    <w:rsid w:val="00A8661C"/>
    <w:rsid w:val="00A86912"/>
    <w:rsid w:val="00A869AB"/>
    <w:rsid w:val="00A86F78"/>
    <w:rsid w:val="00A9054D"/>
    <w:rsid w:val="00A905BD"/>
    <w:rsid w:val="00A9080A"/>
    <w:rsid w:val="00A90851"/>
    <w:rsid w:val="00A909E7"/>
    <w:rsid w:val="00A90C31"/>
    <w:rsid w:val="00A90DC1"/>
    <w:rsid w:val="00A91032"/>
    <w:rsid w:val="00A91205"/>
    <w:rsid w:val="00A916EC"/>
    <w:rsid w:val="00A91725"/>
    <w:rsid w:val="00A91923"/>
    <w:rsid w:val="00A9199A"/>
    <w:rsid w:val="00A9213A"/>
    <w:rsid w:val="00A92181"/>
    <w:rsid w:val="00A924C4"/>
    <w:rsid w:val="00A92565"/>
    <w:rsid w:val="00A9266E"/>
    <w:rsid w:val="00A948A8"/>
    <w:rsid w:val="00A949B2"/>
    <w:rsid w:val="00A95DB5"/>
    <w:rsid w:val="00A95F3E"/>
    <w:rsid w:val="00A95FA1"/>
    <w:rsid w:val="00A965EE"/>
    <w:rsid w:val="00A969DE"/>
    <w:rsid w:val="00A96CB1"/>
    <w:rsid w:val="00A96D5B"/>
    <w:rsid w:val="00A9709A"/>
    <w:rsid w:val="00A97675"/>
    <w:rsid w:val="00A97EB2"/>
    <w:rsid w:val="00AA063C"/>
    <w:rsid w:val="00AA06A5"/>
    <w:rsid w:val="00AA08F7"/>
    <w:rsid w:val="00AA0B90"/>
    <w:rsid w:val="00AA13BB"/>
    <w:rsid w:val="00AA1657"/>
    <w:rsid w:val="00AA1743"/>
    <w:rsid w:val="00AA1906"/>
    <w:rsid w:val="00AA1986"/>
    <w:rsid w:val="00AA1FB1"/>
    <w:rsid w:val="00AA1FC0"/>
    <w:rsid w:val="00AA23A5"/>
    <w:rsid w:val="00AA28EF"/>
    <w:rsid w:val="00AA2C6A"/>
    <w:rsid w:val="00AA2CD6"/>
    <w:rsid w:val="00AA2E07"/>
    <w:rsid w:val="00AA31EB"/>
    <w:rsid w:val="00AA3934"/>
    <w:rsid w:val="00AA39F6"/>
    <w:rsid w:val="00AA3AF9"/>
    <w:rsid w:val="00AA3BA8"/>
    <w:rsid w:val="00AA45A3"/>
    <w:rsid w:val="00AA4E63"/>
    <w:rsid w:val="00AA4F4F"/>
    <w:rsid w:val="00AA4FCC"/>
    <w:rsid w:val="00AA5297"/>
    <w:rsid w:val="00AA58FE"/>
    <w:rsid w:val="00AA5B90"/>
    <w:rsid w:val="00AA6138"/>
    <w:rsid w:val="00AA6779"/>
    <w:rsid w:val="00AA6BBE"/>
    <w:rsid w:val="00AA6F76"/>
    <w:rsid w:val="00AA7072"/>
    <w:rsid w:val="00AA70CA"/>
    <w:rsid w:val="00AA73EE"/>
    <w:rsid w:val="00AA7A9C"/>
    <w:rsid w:val="00AA7B07"/>
    <w:rsid w:val="00AA7B3F"/>
    <w:rsid w:val="00AA7C27"/>
    <w:rsid w:val="00AA7E3D"/>
    <w:rsid w:val="00AA7E80"/>
    <w:rsid w:val="00AA7F37"/>
    <w:rsid w:val="00AB039F"/>
    <w:rsid w:val="00AB07B0"/>
    <w:rsid w:val="00AB082F"/>
    <w:rsid w:val="00AB09A8"/>
    <w:rsid w:val="00AB0C55"/>
    <w:rsid w:val="00AB0D6A"/>
    <w:rsid w:val="00AB0DB5"/>
    <w:rsid w:val="00AB0FB6"/>
    <w:rsid w:val="00AB1A53"/>
    <w:rsid w:val="00AB1E2B"/>
    <w:rsid w:val="00AB2005"/>
    <w:rsid w:val="00AB205C"/>
    <w:rsid w:val="00AB2365"/>
    <w:rsid w:val="00AB2DD8"/>
    <w:rsid w:val="00AB303B"/>
    <w:rsid w:val="00AB3275"/>
    <w:rsid w:val="00AB327A"/>
    <w:rsid w:val="00AB3353"/>
    <w:rsid w:val="00AB33E1"/>
    <w:rsid w:val="00AB35F6"/>
    <w:rsid w:val="00AB397F"/>
    <w:rsid w:val="00AB3E31"/>
    <w:rsid w:val="00AB401C"/>
    <w:rsid w:val="00AB42FF"/>
    <w:rsid w:val="00AB446B"/>
    <w:rsid w:val="00AB4775"/>
    <w:rsid w:val="00AB4B03"/>
    <w:rsid w:val="00AB56C8"/>
    <w:rsid w:val="00AB5DDC"/>
    <w:rsid w:val="00AB6B82"/>
    <w:rsid w:val="00AB77B4"/>
    <w:rsid w:val="00AB77EA"/>
    <w:rsid w:val="00AB7A2E"/>
    <w:rsid w:val="00AC0578"/>
    <w:rsid w:val="00AC0A0D"/>
    <w:rsid w:val="00AC0BD6"/>
    <w:rsid w:val="00AC0F79"/>
    <w:rsid w:val="00AC10E7"/>
    <w:rsid w:val="00AC11DF"/>
    <w:rsid w:val="00AC145B"/>
    <w:rsid w:val="00AC165E"/>
    <w:rsid w:val="00AC1821"/>
    <w:rsid w:val="00AC1D61"/>
    <w:rsid w:val="00AC272E"/>
    <w:rsid w:val="00AC30FC"/>
    <w:rsid w:val="00AC3317"/>
    <w:rsid w:val="00AC3973"/>
    <w:rsid w:val="00AC3E85"/>
    <w:rsid w:val="00AC3F81"/>
    <w:rsid w:val="00AC4061"/>
    <w:rsid w:val="00AC417C"/>
    <w:rsid w:val="00AC433B"/>
    <w:rsid w:val="00AC435D"/>
    <w:rsid w:val="00AC45B2"/>
    <w:rsid w:val="00AC4811"/>
    <w:rsid w:val="00AC4C8C"/>
    <w:rsid w:val="00AC4DCE"/>
    <w:rsid w:val="00AC4E07"/>
    <w:rsid w:val="00AC4FB6"/>
    <w:rsid w:val="00AC504F"/>
    <w:rsid w:val="00AC5845"/>
    <w:rsid w:val="00AC5F7E"/>
    <w:rsid w:val="00AC629C"/>
    <w:rsid w:val="00AC649B"/>
    <w:rsid w:val="00AC66E2"/>
    <w:rsid w:val="00AC6D7B"/>
    <w:rsid w:val="00AC7260"/>
    <w:rsid w:val="00AC7263"/>
    <w:rsid w:val="00AC72C1"/>
    <w:rsid w:val="00AC764E"/>
    <w:rsid w:val="00AC7C5B"/>
    <w:rsid w:val="00AC7E5E"/>
    <w:rsid w:val="00AC7F11"/>
    <w:rsid w:val="00AD042E"/>
    <w:rsid w:val="00AD095A"/>
    <w:rsid w:val="00AD0AE5"/>
    <w:rsid w:val="00AD0B58"/>
    <w:rsid w:val="00AD0BF4"/>
    <w:rsid w:val="00AD0FA3"/>
    <w:rsid w:val="00AD1280"/>
    <w:rsid w:val="00AD147F"/>
    <w:rsid w:val="00AD16D2"/>
    <w:rsid w:val="00AD1BFB"/>
    <w:rsid w:val="00AD1D54"/>
    <w:rsid w:val="00AD2118"/>
    <w:rsid w:val="00AD248E"/>
    <w:rsid w:val="00AD2702"/>
    <w:rsid w:val="00AD2C3C"/>
    <w:rsid w:val="00AD2E3E"/>
    <w:rsid w:val="00AD2E94"/>
    <w:rsid w:val="00AD314E"/>
    <w:rsid w:val="00AD3E01"/>
    <w:rsid w:val="00AD3E1A"/>
    <w:rsid w:val="00AD4FC0"/>
    <w:rsid w:val="00AD5137"/>
    <w:rsid w:val="00AD5906"/>
    <w:rsid w:val="00AD5FD7"/>
    <w:rsid w:val="00AD62DF"/>
    <w:rsid w:val="00AD635F"/>
    <w:rsid w:val="00AD655A"/>
    <w:rsid w:val="00AD6905"/>
    <w:rsid w:val="00AD69D2"/>
    <w:rsid w:val="00AD7023"/>
    <w:rsid w:val="00AD7276"/>
    <w:rsid w:val="00AD7860"/>
    <w:rsid w:val="00AD7A0A"/>
    <w:rsid w:val="00AD7A3A"/>
    <w:rsid w:val="00AD7E44"/>
    <w:rsid w:val="00AD7E84"/>
    <w:rsid w:val="00AD7E93"/>
    <w:rsid w:val="00AE0619"/>
    <w:rsid w:val="00AE0B15"/>
    <w:rsid w:val="00AE0D91"/>
    <w:rsid w:val="00AE14F4"/>
    <w:rsid w:val="00AE152D"/>
    <w:rsid w:val="00AE1563"/>
    <w:rsid w:val="00AE1767"/>
    <w:rsid w:val="00AE17FC"/>
    <w:rsid w:val="00AE283D"/>
    <w:rsid w:val="00AE2F7D"/>
    <w:rsid w:val="00AE30A0"/>
    <w:rsid w:val="00AE32B4"/>
    <w:rsid w:val="00AE33D1"/>
    <w:rsid w:val="00AE3659"/>
    <w:rsid w:val="00AE367E"/>
    <w:rsid w:val="00AE47C4"/>
    <w:rsid w:val="00AE4D35"/>
    <w:rsid w:val="00AE55E2"/>
    <w:rsid w:val="00AE5856"/>
    <w:rsid w:val="00AE5D36"/>
    <w:rsid w:val="00AE5E0E"/>
    <w:rsid w:val="00AE62A6"/>
    <w:rsid w:val="00AE636F"/>
    <w:rsid w:val="00AE6582"/>
    <w:rsid w:val="00AE65A3"/>
    <w:rsid w:val="00AE6888"/>
    <w:rsid w:val="00AE698D"/>
    <w:rsid w:val="00AE69B6"/>
    <w:rsid w:val="00AE74CA"/>
    <w:rsid w:val="00AE781C"/>
    <w:rsid w:val="00AE7B05"/>
    <w:rsid w:val="00AF010C"/>
    <w:rsid w:val="00AF0174"/>
    <w:rsid w:val="00AF0321"/>
    <w:rsid w:val="00AF06B1"/>
    <w:rsid w:val="00AF15B6"/>
    <w:rsid w:val="00AF1913"/>
    <w:rsid w:val="00AF1B1F"/>
    <w:rsid w:val="00AF1B29"/>
    <w:rsid w:val="00AF307B"/>
    <w:rsid w:val="00AF35B6"/>
    <w:rsid w:val="00AF3675"/>
    <w:rsid w:val="00AF3F9B"/>
    <w:rsid w:val="00AF40C7"/>
    <w:rsid w:val="00AF40E4"/>
    <w:rsid w:val="00AF4372"/>
    <w:rsid w:val="00AF4C17"/>
    <w:rsid w:val="00AF4C69"/>
    <w:rsid w:val="00AF4F3C"/>
    <w:rsid w:val="00AF5117"/>
    <w:rsid w:val="00AF533E"/>
    <w:rsid w:val="00AF541A"/>
    <w:rsid w:val="00AF5E86"/>
    <w:rsid w:val="00AF5FA2"/>
    <w:rsid w:val="00AF628F"/>
    <w:rsid w:val="00AF64A7"/>
    <w:rsid w:val="00AF678C"/>
    <w:rsid w:val="00AF6924"/>
    <w:rsid w:val="00AF6C83"/>
    <w:rsid w:val="00AF6CC2"/>
    <w:rsid w:val="00AF6DF3"/>
    <w:rsid w:val="00AF6E48"/>
    <w:rsid w:val="00AF70B2"/>
    <w:rsid w:val="00AF711E"/>
    <w:rsid w:val="00AF72B1"/>
    <w:rsid w:val="00AF75FD"/>
    <w:rsid w:val="00AF77AD"/>
    <w:rsid w:val="00AF7A14"/>
    <w:rsid w:val="00AF7AA8"/>
    <w:rsid w:val="00AF7C4C"/>
    <w:rsid w:val="00AF7D31"/>
    <w:rsid w:val="00AF7FE3"/>
    <w:rsid w:val="00B00142"/>
    <w:rsid w:val="00B002E4"/>
    <w:rsid w:val="00B00414"/>
    <w:rsid w:val="00B00613"/>
    <w:rsid w:val="00B007DD"/>
    <w:rsid w:val="00B0166D"/>
    <w:rsid w:val="00B01884"/>
    <w:rsid w:val="00B02413"/>
    <w:rsid w:val="00B02A78"/>
    <w:rsid w:val="00B02FD0"/>
    <w:rsid w:val="00B03180"/>
    <w:rsid w:val="00B03212"/>
    <w:rsid w:val="00B038F8"/>
    <w:rsid w:val="00B039D0"/>
    <w:rsid w:val="00B04056"/>
    <w:rsid w:val="00B0407C"/>
    <w:rsid w:val="00B04418"/>
    <w:rsid w:val="00B04978"/>
    <w:rsid w:val="00B04A09"/>
    <w:rsid w:val="00B04BB2"/>
    <w:rsid w:val="00B04C40"/>
    <w:rsid w:val="00B04CFD"/>
    <w:rsid w:val="00B04E34"/>
    <w:rsid w:val="00B04E69"/>
    <w:rsid w:val="00B0598B"/>
    <w:rsid w:val="00B06526"/>
    <w:rsid w:val="00B06B3B"/>
    <w:rsid w:val="00B06F4C"/>
    <w:rsid w:val="00B07586"/>
    <w:rsid w:val="00B07929"/>
    <w:rsid w:val="00B07AAD"/>
    <w:rsid w:val="00B07C13"/>
    <w:rsid w:val="00B07C39"/>
    <w:rsid w:val="00B07C42"/>
    <w:rsid w:val="00B07D12"/>
    <w:rsid w:val="00B07E10"/>
    <w:rsid w:val="00B07FC5"/>
    <w:rsid w:val="00B07FDD"/>
    <w:rsid w:val="00B105D0"/>
    <w:rsid w:val="00B10711"/>
    <w:rsid w:val="00B109B1"/>
    <w:rsid w:val="00B10BAA"/>
    <w:rsid w:val="00B10C40"/>
    <w:rsid w:val="00B10F09"/>
    <w:rsid w:val="00B11656"/>
    <w:rsid w:val="00B11BF4"/>
    <w:rsid w:val="00B11C01"/>
    <w:rsid w:val="00B11E1D"/>
    <w:rsid w:val="00B12305"/>
    <w:rsid w:val="00B1243A"/>
    <w:rsid w:val="00B128AB"/>
    <w:rsid w:val="00B12BC5"/>
    <w:rsid w:val="00B12E61"/>
    <w:rsid w:val="00B12F27"/>
    <w:rsid w:val="00B135A4"/>
    <w:rsid w:val="00B137D5"/>
    <w:rsid w:val="00B139DF"/>
    <w:rsid w:val="00B13EE0"/>
    <w:rsid w:val="00B13F47"/>
    <w:rsid w:val="00B141D0"/>
    <w:rsid w:val="00B146C0"/>
    <w:rsid w:val="00B14B9F"/>
    <w:rsid w:val="00B14CA3"/>
    <w:rsid w:val="00B1565F"/>
    <w:rsid w:val="00B15928"/>
    <w:rsid w:val="00B1620B"/>
    <w:rsid w:val="00B168F4"/>
    <w:rsid w:val="00B169EF"/>
    <w:rsid w:val="00B16ADA"/>
    <w:rsid w:val="00B16FA8"/>
    <w:rsid w:val="00B16FED"/>
    <w:rsid w:val="00B171DA"/>
    <w:rsid w:val="00B172D6"/>
    <w:rsid w:val="00B177B2"/>
    <w:rsid w:val="00B17AF2"/>
    <w:rsid w:val="00B2024D"/>
    <w:rsid w:val="00B2050A"/>
    <w:rsid w:val="00B2070F"/>
    <w:rsid w:val="00B20A3C"/>
    <w:rsid w:val="00B20B8B"/>
    <w:rsid w:val="00B21067"/>
    <w:rsid w:val="00B210A0"/>
    <w:rsid w:val="00B215F3"/>
    <w:rsid w:val="00B216EE"/>
    <w:rsid w:val="00B21CEA"/>
    <w:rsid w:val="00B21CFC"/>
    <w:rsid w:val="00B21E27"/>
    <w:rsid w:val="00B22574"/>
    <w:rsid w:val="00B226FD"/>
    <w:rsid w:val="00B228F0"/>
    <w:rsid w:val="00B22CC3"/>
    <w:rsid w:val="00B22E63"/>
    <w:rsid w:val="00B23563"/>
    <w:rsid w:val="00B23838"/>
    <w:rsid w:val="00B2393A"/>
    <w:rsid w:val="00B23990"/>
    <w:rsid w:val="00B23E72"/>
    <w:rsid w:val="00B23FA1"/>
    <w:rsid w:val="00B241FC"/>
    <w:rsid w:val="00B24202"/>
    <w:rsid w:val="00B242F5"/>
    <w:rsid w:val="00B247FF"/>
    <w:rsid w:val="00B24956"/>
    <w:rsid w:val="00B249D3"/>
    <w:rsid w:val="00B24C36"/>
    <w:rsid w:val="00B24C64"/>
    <w:rsid w:val="00B2503F"/>
    <w:rsid w:val="00B2506B"/>
    <w:rsid w:val="00B252E4"/>
    <w:rsid w:val="00B25BA2"/>
    <w:rsid w:val="00B25E62"/>
    <w:rsid w:val="00B25E64"/>
    <w:rsid w:val="00B26327"/>
    <w:rsid w:val="00B2632E"/>
    <w:rsid w:val="00B2635A"/>
    <w:rsid w:val="00B265D3"/>
    <w:rsid w:val="00B26F55"/>
    <w:rsid w:val="00B2750E"/>
    <w:rsid w:val="00B279CA"/>
    <w:rsid w:val="00B27A3B"/>
    <w:rsid w:val="00B27B0E"/>
    <w:rsid w:val="00B30047"/>
    <w:rsid w:val="00B300B1"/>
    <w:rsid w:val="00B30188"/>
    <w:rsid w:val="00B30AF1"/>
    <w:rsid w:val="00B311EB"/>
    <w:rsid w:val="00B3123A"/>
    <w:rsid w:val="00B31860"/>
    <w:rsid w:val="00B319DA"/>
    <w:rsid w:val="00B31F00"/>
    <w:rsid w:val="00B32587"/>
    <w:rsid w:val="00B3260C"/>
    <w:rsid w:val="00B32A18"/>
    <w:rsid w:val="00B333AB"/>
    <w:rsid w:val="00B3342D"/>
    <w:rsid w:val="00B33651"/>
    <w:rsid w:val="00B336A8"/>
    <w:rsid w:val="00B33DAE"/>
    <w:rsid w:val="00B33F9F"/>
    <w:rsid w:val="00B3433F"/>
    <w:rsid w:val="00B34969"/>
    <w:rsid w:val="00B34A50"/>
    <w:rsid w:val="00B34E2E"/>
    <w:rsid w:val="00B3500B"/>
    <w:rsid w:val="00B35384"/>
    <w:rsid w:val="00B35482"/>
    <w:rsid w:val="00B355FC"/>
    <w:rsid w:val="00B35CF3"/>
    <w:rsid w:val="00B35D29"/>
    <w:rsid w:val="00B35D7C"/>
    <w:rsid w:val="00B36050"/>
    <w:rsid w:val="00B3623D"/>
    <w:rsid w:val="00B36468"/>
    <w:rsid w:val="00B36E61"/>
    <w:rsid w:val="00B36F15"/>
    <w:rsid w:val="00B3704D"/>
    <w:rsid w:val="00B371A8"/>
    <w:rsid w:val="00B37A65"/>
    <w:rsid w:val="00B37CA3"/>
    <w:rsid w:val="00B408A0"/>
    <w:rsid w:val="00B4090B"/>
    <w:rsid w:val="00B4189C"/>
    <w:rsid w:val="00B41D4B"/>
    <w:rsid w:val="00B42676"/>
    <w:rsid w:val="00B429B8"/>
    <w:rsid w:val="00B42E74"/>
    <w:rsid w:val="00B42EB2"/>
    <w:rsid w:val="00B42F30"/>
    <w:rsid w:val="00B4316E"/>
    <w:rsid w:val="00B4334D"/>
    <w:rsid w:val="00B4345D"/>
    <w:rsid w:val="00B43CD2"/>
    <w:rsid w:val="00B4402A"/>
    <w:rsid w:val="00B449E5"/>
    <w:rsid w:val="00B4511F"/>
    <w:rsid w:val="00B4521A"/>
    <w:rsid w:val="00B459E8"/>
    <w:rsid w:val="00B45BE4"/>
    <w:rsid w:val="00B4605F"/>
    <w:rsid w:val="00B46518"/>
    <w:rsid w:val="00B466D9"/>
    <w:rsid w:val="00B46771"/>
    <w:rsid w:val="00B47504"/>
    <w:rsid w:val="00B4752D"/>
    <w:rsid w:val="00B47687"/>
    <w:rsid w:val="00B47954"/>
    <w:rsid w:val="00B47CA6"/>
    <w:rsid w:val="00B5031C"/>
    <w:rsid w:val="00B504FC"/>
    <w:rsid w:val="00B507FD"/>
    <w:rsid w:val="00B50CC9"/>
    <w:rsid w:val="00B50D22"/>
    <w:rsid w:val="00B50F05"/>
    <w:rsid w:val="00B50FEA"/>
    <w:rsid w:val="00B51670"/>
    <w:rsid w:val="00B517E2"/>
    <w:rsid w:val="00B517F6"/>
    <w:rsid w:val="00B51E47"/>
    <w:rsid w:val="00B51E4A"/>
    <w:rsid w:val="00B51E6A"/>
    <w:rsid w:val="00B52018"/>
    <w:rsid w:val="00B523CC"/>
    <w:rsid w:val="00B52B0F"/>
    <w:rsid w:val="00B52F1E"/>
    <w:rsid w:val="00B5313B"/>
    <w:rsid w:val="00B537C8"/>
    <w:rsid w:val="00B538EB"/>
    <w:rsid w:val="00B53C1C"/>
    <w:rsid w:val="00B53CBF"/>
    <w:rsid w:val="00B54057"/>
    <w:rsid w:val="00B540B7"/>
    <w:rsid w:val="00B541A9"/>
    <w:rsid w:val="00B54518"/>
    <w:rsid w:val="00B54A3F"/>
    <w:rsid w:val="00B54E58"/>
    <w:rsid w:val="00B55255"/>
    <w:rsid w:val="00B552AD"/>
    <w:rsid w:val="00B5543D"/>
    <w:rsid w:val="00B55FEB"/>
    <w:rsid w:val="00B56144"/>
    <w:rsid w:val="00B5662E"/>
    <w:rsid w:val="00B56765"/>
    <w:rsid w:val="00B5687B"/>
    <w:rsid w:val="00B56C6C"/>
    <w:rsid w:val="00B56E3D"/>
    <w:rsid w:val="00B578A3"/>
    <w:rsid w:val="00B57941"/>
    <w:rsid w:val="00B57B3C"/>
    <w:rsid w:val="00B57D1D"/>
    <w:rsid w:val="00B57F6B"/>
    <w:rsid w:val="00B60132"/>
    <w:rsid w:val="00B60309"/>
    <w:rsid w:val="00B60422"/>
    <w:rsid w:val="00B60621"/>
    <w:rsid w:val="00B6107C"/>
    <w:rsid w:val="00B6172F"/>
    <w:rsid w:val="00B61762"/>
    <w:rsid w:val="00B6205F"/>
    <w:rsid w:val="00B62629"/>
    <w:rsid w:val="00B62894"/>
    <w:rsid w:val="00B62B8A"/>
    <w:rsid w:val="00B62D71"/>
    <w:rsid w:val="00B62F53"/>
    <w:rsid w:val="00B63609"/>
    <w:rsid w:val="00B6387C"/>
    <w:rsid w:val="00B639AF"/>
    <w:rsid w:val="00B63D8F"/>
    <w:rsid w:val="00B63F48"/>
    <w:rsid w:val="00B63FC7"/>
    <w:rsid w:val="00B64308"/>
    <w:rsid w:val="00B64585"/>
    <w:rsid w:val="00B64948"/>
    <w:rsid w:val="00B649DD"/>
    <w:rsid w:val="00B65054"/>
    <w:rsid w:val="00B6548D"/>
    <w:rsid w:val="00B65698"/>
    <w:rsid w:val="00B656B5"/>
    <w:rsid w:val="00B6575E"/>
    <w:rsid w:val="00B657A2"/>
    <w:rsid w:val="00B657FA"/>
    <w:rsid w:val="00B6603F"/>
    <w:rsid w:val="00B66444"/>
    <w:rsid w:val="00B6665F"/>
    <w:rsid w:val="00B66CB8"/>
    <w:rsid w:val="00B67319"/>
    <w:rsid w:val="00B67348"/>
    <w:rsid w:val="00B674DF"/>
    <w:rsid w:val="00B6761D"/>
    <w:rsid w:val="00B67B23"/>
    <w:rsid w:val="00B67D46"/>
    <w:rsid w:val="00B67E2A"/>
    <w:rsid w:val="00B67F0C"/>
    <w:rsid w:val="00B70768"/>
    <w:rsid w:val="00B70769"/>
    <w:rsid w:val="00B710C1"/>
    <w:rsid w:val="00B7162D"/>
    <w:rsid w:val="00B717E1"/>
    <w:rsid w:val="00B718C5"/>
    <w:rsid w:val="00B718F6"/>
    <w:rsid w:val="00B722CA"/>
    <w:rsid w:val="00B727DE"/>
    <w:rsid w:val="00B728B2"/>
    <w:rsid w:val="00B72AA9"/>
    <w:rsid w:val="00B72BB5"/>
    <w:rsid w:val="00B7304D"/>
    <w:rsid w:val="00B731A4"/>
    <w:rsid w:val="00B73D61"/>
    <w:rsid w:val="00B73E89"/>
    <w:rsid w:val="00B7428C"/>
    <w:rsid w:val="00B74922"/>
    <w:rsid w:val="00B7497A"/>
    <w:rsid w:val="00B74EEE"/>
    <w:rsid w:val="00B751C3"/>
    <w:rsid w:val="00B7575A"/>
    <w:rsid w:val="00B759C0"/>
    <w:rsid w:val="00B75D46"/>
    <w:rsid w:val="00B75DA3"/>
    <w:rsid w:val="00B75FFD"/>
    <w:rsid w:val="00B762C1"/>
    <w:rsid w:val="00B765B8"/>
    <w:rsid w:val="00B767BF"/>
    <w:rsid w:val="00B767E2"/>
    <w:rsid w:val="00B768D9"/>
    <w:rsid w:val="00B76ADC"/>
    <w:rsid w:val="00B76BCE"/>
    <w:rsid w:val="00B76D9E"/>
    <w:rsid w:val="00B77082"/>
    <w:rsid w:val="00B77218"/>
    <w:rsid w:val="00B77389"/>
    <w:rsid w:val="00B776ED"/>
    <w:rsid w:val="00B7783F"/>
    <w:rsid w:val="00B77953"/>
    <w:rsid w:val="00B77AF9"/>
    <w:rsid w:val="00B77B84"/>
    <w:rsid w:val="00B802C4"/>
    <w:rsid w:val="00B8085F"/>
    <w:rsid w:val="00B80910"/>
    <w:rsid w:val="00B80C7A"/>
    <w:rsid w:val="00B80E00"/>
    <w:rsid w:val="00B80FFA"/>
    <w:rsid w:val="00B8138E"/>
    <w:rsid w:val="00B81BAA"/>
    <w:rsid w:val="00B81F7E"/>
    <w:rsid w:val="00B82421"/>
    <w:rsid w:val="00B8244D"/>
    <w:rsid w:val="00B8263D"/>
    <w:rsid w:val="00B82CBF"/>
    <w:rsid w:val="00B82E97"/>
    <w:rsid w:val="00B830D3"/>
    <w:rsid w:val="00B83584"/>
    <w:rsid w:val="00B83ACD"/>
    <w:rsid w:val="00B83AD8"/>
    <w:rsid w:val="00B83B23"/>
    <w:rsid w:val="00B83B6E"/>
    <w:rsid w:val="00B83E4D"/>
    <w:rsid w:val="00B842DA"/>
    <w:rsid w:val="00B842EB"/>
    <w:rsid w:val="00B8447B"/>
    <w:rsid w:val="00B84675"/>
    <w:rsid w:val="00B848C3"/>
    <w:rsid w:val="00B84BD2"/>
    <w:rsid w:val="00B84C40"/>
    <w:rsid w:val="00B84E45"/>
    <w:rsid w:val="00B84EF7"/>
    <w:rsid w:val="00B85313"/>
    <w:rsid w:val="00B85449"/>
    <w:rsid w:val="00B85688"/>
    <w:rsid w:val="00B85BA3"/>
    <w:rsid w:val="00B85C22"/>
    <w:rsid w:val="00B85CE2"/>
    <w:rsid w:val="00B85D01"/>
    <w:rsid w:val="00B85D7D"/>
    <w:rsid w:val="00B85DFB"/>
    <w:rsid w:val="00B860D4"/>
    <w:rsid w:val="00B8656C"/>
    <w:rsid w:val="00B86608"/>
    <w:rsid w:val="00B86833"/>
    <w:rsid w:val="00B8691D"/>
    <w:rsid w:val="00B86B9F"/>
    <w:rsid w:val="00B86E17"/>
    <w:rsid w:val="00B871B1"/>
    <w:rsid w:val="00B87241"/>
    <w:rsid w:val="00B87655"/>
    <w:rsid w:val="00B876A1"/>
    <w:rsid w:val="00B87790"/>
    <w:rsid w:val="00B901E9"/>
    <w:rsid w:val="00B902C8"/>
    <w:rsid w:val="00B90357"/>
    <w:rsid w:val="00B90B24"/>
    <w:rsid w:val="00B90EB2"/>
    <w:rsid w:val="00B9110A"/>
    <w:rsid w:val="00B91265"/>
    <w:rsid w:val="00B913BC"/>
    <w:rsid w:val="00B913C9"/>
    <w:rsid w:val="00B914DD"/>
    <w:rsid w:val="00B9179B"/>
    <w:rsid w:val="00B9191F"/>
    <w:rsid w:val="00B91A08"/>
    <w:rsid w:val="00B91A6D"/>
    <w:rsid w:val="00B91B54"/>
    <w:rsid w:val="00B91BCD"/>
    <w:rsid w:val="00B91BEC"/>
    <w:rsid w:val="00B91C17"/>
    <w:rsid w:val="00B9261D"/>
    <w:rsid w:val="00B92B0F"/>
    <w:rsid w:val="00B92B5E"/>
    <w:rsid w:val="00B92C14"/>
    <w:rsid w:val="00B92C51"/>
    <w:rsid w:val="00B92E2F"/>
    <w:rsid w:val="00B92ED4"/>
    <w:rsid w:val="00B93115"/>
    <w:rsid w:val="00B9318D"/>
    <w:rsid w:val="00B931A9"/>
    <w:rsid w:val="00B9327A"/>
    <w:rsid w:val="00B93672"/>
    <w:rsid w:val="00B9392D"/>
    <w:rsid w:val="00B93B4C"/>
    <w:rsid w:val="00B93DA4"/>
    <w:rsid w:val="00B945B0"/>
    <w:rsid w:val="00B94622"/>
    <w:rsid w:val="00B94D64"/>
    <w:rsid w:val="00B951F3"/>
    <w:rsid w:val="00B95B8B"/>
    <w:rsid w:val="00B95C19"/>
    <w:rsid w:val="00B96255"/>
    <w:rsid w:val="00B963DD"/>
    <w:rsid w:val="00B96400"/>
    <w:rsid w:val="00B96604"/>
    <w:rsid w:val="00B96D27"/>
    <w:rsid w:val="00B97034"/>
    <w:rsid w:val="00B97144"/>
    <w:rsid w:val="00B978FC"/>
    <w:rsid w:val="00B979C9"/>
    <w:rsid w:val="00BA01A1"/>
    <w:rsid w:val="00BA05B5"/>
    <w:rsid w:val="00BA0A26"/>
    <w:rsid w:val="00BA0CBA"/>
    <w:rsid w:val="00BA0E3C"/>
    <w:rsid w:val="00BA10BE"/>
    <w:rsid w:val="00BA1381"/>
    <w:rsid w:val="00BA1DD3"/>
    <w:rsid w:val="00BA1F98"/>
    <w:rsid w:val="00BA25B9"/>
    <w:rsid w:val="00BA2D28"/>
    <w:rsid w:val="00BA2DC5"/>
    <w:rsid w:val="00BA2DD4"/>
    <w:rsid w:val="00BA2F83"/>
    <w:rsid w:val="00BA2FD5"/>
    <w:rsid w:val="00BA3048"/>
    <w:rsid w:val="00BA327E"/>
    <w:rsid w:val="00BA373A"/>
    <w:rsid w:val="00BA37E7"/>
    <w:rsid w:val="00BA3B29"/>
    <w:rsid w:val="00BA4474"/>
    <w:rsid w:val="00BA46B4"/>
    <w:rsid w:val="00BA4B7D"/>
    <w:rsid w:val="00BA4CD1"/>
    <w:rsid w:val="00BA51E6"/>
    <w:rsid w:val="00BA5336"/>
    <w:rsid w:val="00BA53CC"/>
    <w:rsid w:val="00BA5A3E"/>
    <w:rsid w:val="00BA5AB6"/>
    <w:rsid w:val="00BA6274"/>
    <w:rsid w:val="00BA6674"/>
    <w:rsid w:val="00BA67CA"/>
    <w:rsid w:val="00BA6D62"/>
    <w:rsid w:val="00BA6EE1"/>
    <w:rsid w:val="00BA71CB"/>
    <w:rsid w:val="00BB0039"/>
    <w:rsid w:val="00BB01E6"/>
    <w:rsid w:val="00BB07FA"/>
    <w:rsid w:val="00BB0860"/>
    <w:rsid w:val="00BB08EE"/>
    <w:rsid w:val="00BB0921"/>
    <w:rsid w:val="00BB0ABD"/>
    <w:rsid w:val="00BB0B9F"/>
    <w:rsid w:val="00BB147C"/>
    <w:rsid w:val="00BB158E"/>
    <w:rsid w:val="00BB17A2"/>
    <w:rsid w:val="00BB1C3C"/>
    <w:rsid w:val="00BB1E28"/>
    <w:rsid w:val="00BB1E9B"/>
    <w:rsid w:val="00BB1F07"/>
    <w:rsid w:val="00BB2094"/>
    <w:rsid w:val="00BB28BB"/>
    <w:rsid w:val="00BB2BDD"/>
    <w:rsid w:val="00BB3B2F"/>
    <w:rsid w:val="00BB3C0D"/>
    <w:rsid w:val="00BB3D89"/>
    <w:rsid w:val="00BB47F9"/>
    <w:rsid w:val="00BB4826"/>
    <w:rsid w:val="00BB4ABA"/>
    <w:rsid w:val="00BB4CA0"/>
    <w:rsid w:val="00BB4D98"/>
    <w:rsid w:val="00BB520B"/>
    <w:rsid w:val="00BB52FF"/>
    <w:rsid w:val="00BB57CD"/>
    <w:rsid w:val="00BB5A09"/>
    <w:rsid w:val="00BB5ECE"/>
    <w:rsid w:val="00BB62BD"/>
    <w:rsid w:val="00BB6E2A"/>
    <w:rsid w:val="00BB77B1"/>
    <w:rsid w:val="00BB78DF"/>
    <w:rsid w:val="00BB78E5"/>
    <w:rsid w:val="00BB793F"/>
    <w:rsid w:val="00BB7C32"/>
    <w:rsid w:val="00BB7F82"/>
    <w:rsid w:val="00BC0311"/>
    <w:rsid w:val="00BC0404"/>
    <w:rsid w:val="00BC083B"/>
    <w:rsid w:val="00BC1022"/>
    <w:rsid w:val="00BC1438"/>
    <w:rsid w:val="00BC161F"/>
    <w:rsid w:val="00BC1713"/>
    <w:rsid w:val="00BC1767"/>
    <w:rsid w:val="00BC1838"/>
    <w:rsid w:val="00BC1C69"/>
    <w:rsid w:val="00BC1C93"/>
    <w:rsid w:val="00BC2647"/>
    <w:rsid w:val="00BC26E5"/>
    <w:rsid w:val="00BC2884"/>
    <w:rsid w:val="00BC2A92"/>
    <w:rsid w:val="00BC2B4A"/>
    <w:rsid w:val="00BC303D"/>
    <w:rsid w:val="00BC3219"/>
    <w:rsid w:val="00BC34BD"/>
    <w:rsid w:val="00BC36EF"/>
    <w:rsid w:val="00BC3AF4"/>
    <w:rsid w:val="00BC3C9B"/>
    <w:rsid w:val="00BC476C"/>
    <w:rsid w:val="00BC4B4B"/>
    <w:rsid w:val="00BC4CCD"/>
    <w:rsid w:val="00BC50A1"/>
    <w:rsid w:val="00BC5458"/>
    <w:rsid w:val="00BC546A"/>
    <w:rsid w:val="00BC55FD"/>
    <w:rsid w:val="00BC562A"/>
    <w:rsid w:val="00BC5924"/>
    <w:rsid w:val="00BC6167"/>
    <w:rsid w:val="00BC6444"/>
    <w:rsid w:val="00BC67ED"/>
    <w:rsid w:val="00BC6922"/>
    <w:rsid w:val="00BC6C85"/>
    <w:rsid w:val="00BC70EF"/>
    <w:rsid w:val="00BC7190"/>
    <w:rsid w:val="00BC72AA"/>
    <w:rsid w:val="00BC7382"/>
    <w:rsid w:val="00BC7781"/>
    <w:rsid w:val="00BD0059"/>
    <w:rsid w:val="00BD02A0"/>
    <w:rsid w:val="00BD02B6"/>
    <w:rsid w:val="00BD0334"/>
    <w:rsid w:val="00BD04F2"/>
    <w:rsid w:val="00BD0B94"/>
    <w:rsid w:val="00BD0C6C"/>
    <w:rsid w:val="00BD0CED"/>
    <w:rsid w:val="00BD0F6A"/>
    <w:rsid w:val="00BD147B"/>
    <w:rsid w:val="00BD1747"/>
    <w:rsid w:val="00BD1855"/>
    <w:rsid w:val="00BD1AEF"/>
    <w:rsid w:val="00BD204B"/>
    <w:rsid w:val="00BD2A23"/>
    <w:rsid w:val="00BD2D81"/>
    <w:rsid w:val="00BD35B1"/>
    <w:rsid w:val="00BD39D1"/>
    <w:rsid w:val="00BD4075"/>
    <w:rsid w:val="00BD44C1"/>
    <w:rsid w:val="00BD4ACB"/>
    <w:rsid w:val="00BD4D68"/>
    <w:rsid w:val="00BD537C"/>
    <w:rsid w:val="00BD5B07"/>
    <w:rsid w:val="00BD622E"/>
    <w:rsid w:val="00BD6230"/>
    <w:rsid w:val="00BD76FD"/>
    <w:rsid w:val="00BE00B1"/>
    <w:rsid w:val="00BE039F"/>
    <w:rsid w:val="00BE0404"/>
    <w:rsid w:val="00BE0EF1"/>
    <w:rsid w:val="00BE1397"/>
    <w:rsid w:val="00BE14C3"/>
    <w:rsid w:val="00BE1715"/>
    <w:rsid w:val="00BE1BC8"/>
    <w:rsid w:val="00BE212B"/>
    <w:rsid w:val="00BE22C2"/>
    <w:rsid w:val="00BE2702"/>
    <w:rsid w:val="00BE32A3"/>
    <w:rsid w:val="00BE34D8"/>
    <w:rsid w:val="00BE35ED"/>
    <w:rsid w:val="00BE3635"/>
    <w:rsid w:val="00BE363F"/>
    <w:rsid w:val="00BE36A0"/>
    <w:rsid w:val="00BE3C23"/>
    <w:rsid w:val="00BE3EE0"/>
    <w:rsid w:val="00BE3F41"/>
    <w:rsid w:val="00BE409B"/>
    <w:rsid w:val="00BE4783"/>
    <w:rsid w:val="00BE48A5"/>
    <w:rsid w:val="00BE4A6A"/>
    <w:rsid w:val="00BE4EAC"/>
    <w:rsid w:val="00BE4F89"/>
    <w:rsid w:val="00BE5726"/>
    <w:rsid w:val="00BE57F6"/>
    <w:rsid w:val="00BE59DC"/>
    <w:rsid w:val="00BE5CF4"/>
    <w:rsid w:val="00BE60BD"/>
    <w:rsid w:val="00BE66D5"/>
    <w:rsid w:val="00BE680A"/>
    <w:rsid w:val="00BE69FD"/>
    <w:rsid w:val="00BE6EC3"/>
    <w:rsid w:val="00BE72E3"/>
    <w:rsid w:val="00BE7618"/>
    <w:rsid w:val="00BE7B28"/>
    <w:rsid w:val="00BE7E72"/>
    <w:rsid w:val="00BF0158"/>
    <w:rsid w:val="00BF01D9"/>
    <w:rsid w:val="00BF0E19"/>
    <w:rsid w:val="00BF0F37"/>
    <w:rsid w:val="00BF112D"/>
    <w:rsid w:val="00BF132C"/>
    <w:rsid w:val="00BF1903"/>
    <w:rsid w:val="00BF1BBC"/>
    <w:rsid w:val="00BF205A"/>
    <w:rsid w:val="00BF2425"/>
    <w:rsid w:val="00BF2481"/>
    <w:rsid w:val="00BF2930"/>
    <w:rsid w:val="00BF34EC"/>
    <w:rsid w:val="00BF3F95"/>
    <w:rsid w:val="00BF43DA"/>
    <w:rsid w:val="00BF471C"/>
    <w:rsid w:val="00BF4A92"/>
    <w:rsid w:val="00BF4D48"/>
    <w:rsid w:val="00BF4FCA"/>
    <w:rsid w:val="00BF530A"/>
    <w:rsid w:val="00BF5F0F"/>
    <w:rsid w:val="00BF6899"/>
    <w:rsid w:val="00BF68D2"/>
    <w:rsid w:val="00BF6B7B"/>
    <w:rsid w:val="00BF6FB4"/>
    <w:rsid w:val="00BF78F8"/>
    <w:rsid w:val="00BF7BD1"/>
    <w:rsid w:val="00BF7DDE"/>
    <w:rsid w:val="00BF7EAE"/>
    <w:rsid w:val="00C00405"/>
    <w:rsid w:val="00C00530"/>
    <w:rsid w:val="00C006AF"/>
    <w:rsid w:val="00C00B30"/>
    <w:rsid w:val="00C00BC3"/>
    <w:rsid w:val="00C00F67"/>
    <w:rsid w:val="00C012C2"/>
    <w:rsid w:val="00C0130A"/>
    <w:rsid w:val="00C014C2"/>
    <w:rsid w:val="00C0156E"/>
    <w:rsid w:val="00C0169C"/>
    <w:rsid w:val="00C01807"/>
    <w:rsid w:val="00C01923"/>
    <w:rsid w:val="00C01ACD"/>
    <w:rsid w:val="00C01BC9"/>
    <w:rsid w:val="00C01E36"/>
    <w:rsid w:val="00C0223D"/>
    <w:rsid w:val="00C02454"/>
    <w:rsid w:val="00C02534"/>
    <w:rsid w:val="00C02BF7"/>
    <w:rsid w:val="00C0304C"/>
    <w:rsid w:val="00C032EC"/>
    <w:rsid w:val="00C03381"/>
    <w:rsid w:val="00C0361B"/>
    <w:rsid w:val="00C03791"/>
    <w:rsid w:val="00C03BC2"/>
    <w:rsid w:val="00C03E1A"/>
    <w:rsid w:val="00C03F33"/>
    <w:rsid w:val="00C04A9B"/>
    <w:rsid w:val="00C04F0B"/>
    <w:rsid w:val="00C050FB"/>
    <w:rsid w:val="00C05465"/>
    <w:rsid w:val="00C05515"/>
    <w:rsid w:val="00C058CC"/>
    <w:rsid w:val="00C0595D"/>
    <w:rsid w:val="00C05B84"/>
    <w:rsid w:val="00C062A8"/>
    <w:rsid w:val="00C0636F"/>
    <w:rsid w:val="00C06388"/>
    <w:rsid w:val="00C0651D"/>
    <w:rsid w:val="00C068B2"/>
    <w:rsid w:val="00C068D6"/>
    <w:rsid w:val="00C06D4F"/>
    <w:rsid w:val="00C06D66"/>
    <w:rsid w:val="00C06E6C"/>
    <w:rsid w:val="00C073A6"/>
    <w:rsid w:val="00C074AB"/>
    <w:rsid w:val="00C074EE"/>
    <w:rsid w:val="00C100FA"/>
    <w:rsid w:val="00C106A1"/>
    <w:rsid w:val="00C1077E"/>
    <w:rsid w:val="00C108A6"/>
    <w:rsid w:val="00C10CC2"/>
    <w:rsid w:val="00C11077"/>
    <w:rsid w:val="00C114B0"/>
    <w:rsid w:val="00C11777"/>
    <w:rsid w:val="00C11B53"/>
    <w:rsid w:val="00C11EF6"/>
    <w:rsid w:val="00C11FA4"/>
    <w:rsid w:val="00C120B1"/>
    <w:rsid w:val="00C1279F"/>
    <w:rsid w:val="00C12802"/>
    <w:rsid w:val="00C1304E"/>
    <w:rsid w:val="00C1394B"/>
    <w:rsid w:val="00C13A26"/>
    <w:rsid w:val="00C13D6B"/>
    <w:rsid w:val="00C13EDD"/>
    <w:rsid w:val="00C1418F"/>
    <w:rsid w:val="00C14315"/>
    <w:rsid w:val="00C14A01"/>
    <w:rsid w:val="00C14D56"/>
    <w:rsid w:val="00C14F47"/>
    <w:rsid w:val="00C154AD"/>
    <w:rsid w:val="00C154E7"/>
    <w:rsid w:val="00C1580C"/>
    <w:rsid w:val="00C1690E"/>
    <w:rsid w:val="00C16951"/>
    <w:rsid w:val="00C16D3D"/>
    <w:rsid w:val="00C16DF9"/>
    <w:rsid w:val="00C16F8D"/>
    <w:rsid w:val="00C172AB"/>
    <w:rsid w:val="00C172D3"/>
    <w:rsid w:val="00C17A7A"/>
    <w:rsid w:val="00C17B7A"/>
    <w:rsid w:val="00C17C73"/>
    <w:rsid w:val="00C17C76"/>
    <w:rsid w:val="00C17ED1"/>
    <w:rsid w:val="00C202BA"/>
    <w:rsid w:val="00C20AD0"/>
    <w:rsid w:val="00C20AD9"/>
    <w:rsid w:val="00C20B8C"/>
    <w:rsid w:val="00C20D88"/>
    <w:rsid w:val="00C211A7"/>
    <w:rsid w:val="00C21334"/>
    <w:rsid w:val="00C217E5"/>
    <w:rsid w:val="00C21DDF"/>
    <w:rsid w:val="00C224A2"/>
    <w:rsid w:val="00C23CD5"/>
    <w:rsid w:val="00C24057"/>
    <w:rsid w:val="00C2406F"/>
    <w:rsid w:val="00C24338"/>
    <w:rsid w:val="00C243A2"/>
    <w:rsid w:val="00C24538"/>
    <w:rsid w:val="00C24690"/>
    <w:rsid w:val="00C247E5"/>
    <w:rsid w:val="00C24879"/>
    <w:rsid w:val="00C248B8"/>
    <w:rsid w:val="00C24F25"/>
    <w:rsid w:val="00C253D9"/>
    <w:rsid w:val="00C2541F"/>
    <w:rsid w:val="00C2572C"/>
    <w:rsid w:val="00C259B8"/>
    <w:rsid w:val="00C25B26"/>
    <w:rsid w:val="00C25D23"/>
    <w:rsid w:val="00C25FF2"/>
    <w:rsid w:val="00C2624D"/>
    <w:rsid w:val="00C26624"/>
    <w:rsid w:val="00C268FE"/>
    <w:rsid w:val="00C27410"/>
    <w:rsid w:val="00C27719"/>
    <w:rsid w:val="00C27ABE"/>
    <w:rsid w:val="00C27BD2"/>
    <w:rsid w:val="00C27BD4"/>
    <w:rsid w:val="00C27E97"/>
    <w:rsid w:val="00C27F06"/>
    <w:rsid w:val="00C3022E"/>
    <w:rsid w:val="00C305BE"/>
    <w:rsid w:val="00C3072B"/>
    <w:rsid w:val="00C30911"/>
    <w:rsid w:val="00C31043"/>
    <w:rsid w:val="00C31136"/>
    <w:rsid w:val="00C31241"/>
    <w:rsid w:val="00C314EB"/>
    <w:rsid w:val="00C31FE8"/>
    <w:rsid w:val="00C3226E"/>
    <w:rsid w:val="00C326B2"/>
    <w:rsid w:val="00C33306"/>
    <w:rsid w:val="00C33B94"/>
    <w:rsid w:val="00C33C67"/>
    <w:rsid w:val="00C33F29"/>
    <w:rsid w:val="00C3411E"/>
    <w:rsid w:val="00C34BAF"/>
    <w:rsid w:val="00C34DF5"/>
    <w:rsid w:val="00C34F09"/>
    <w:rsid w:val="00C3510E"/>
    <w:rsid w:val="00C35530"/>
    <w:rsid w:val="00C35589"/>
    <w:rsid w:val="00C35632"/>
    <w:rsid w:val="00C35785"/>
    <w:rsid w:val="00C35CF2"/>
    <w:rsid w:val="00C35FE6"/>
    <w:rsid w:val="00C36607"/>
    <w:rsid w:val="00C3666A"/>
    <w:rsid w:val="00C3666D"/>
    <w:rsid w:val="00C36FEB"/>
    <w:rsid w:val="00C37896"/>
    <w:rsid w:val="00C3797B"/>
    <w:rsid w:val="00C37F1E"/>
    <w:rsid w:val="00C404A0"/>
    <w:rsid w:val="00C4073A"/>
    <w:rsid w:val="00C409F9"/>
    <w:rsid w:val="00C40CE7"/>
    <w:rsid w:val="00C40EB6"/>
    <w:rsid w:val="00C410F5"/>
    <w:rsid w:val="00C42114"/>
    <w:rsid w:val="00C4212E"/>
    <w:rsid w:val="00C425BE"/>
    <w:rsid w:val="00C428B3"/>
    <w:rsid w:val="00C42F39"/>
    <w:rsid w:val="00C430B6"/>
    <w:rsid w:val="00C432D2"/>
    <w:rsid w:val="00C43AC1"/>
    <w:rsid w:val="00C43D39"/>
    <w:rsid w:val="00C44434"/>
    <w:rsid w:val="00C44B68"/>
    <w:rsid w:val="00C44BC2"/>
    <w:rsid w:val="00C44CE5"/>
    <w:rsid w:val="00C44D55"/>
    <w:rsid w:val="00C4509D"/>
    <w:rsid w:val="00C45188"/>
    <w:rsid w:val="00C4593E"/>
    <w:rsid w:val="00C45CE6"/>
    <w:rsid w:val="00C45D66"/>
    <w:rsid w:val="00C45D86"/>
    <w:rsid w:val="00C462F9"/>
    <w:rsid w:val="00C4658A"/>
    <w:rsid w:val="00C46A66"/>
    <w:rsid w:val="00C46CAD"/>
    <w:rsid w:val="00C46CBA"/>
    <w:rsid w:val="00C47529"/>
    <w:rsid w:val="00C4753A"/>
    <w:rsid w:val="00C47702"/>
    <w:rsid w:val="00C47F41"/>
    <w:rsid w:val="00C50031"/>
    <w:rsid w:val="00C505CD"/>
    <w:rsid w:val="00C50B76"/>
    <w:rsid w:val="00C515E4"/>
    <w:rsid w:val="00C51867"/>
    <w:rsid w:val="00C51D1B"/>
    <w:rsid w:val="00C51D54"/>
    <w:rsid w:val="00C5221F"/>
    <w:rsid w:val="00C5271D"/>
    <w:rsid w:val="00C5283F"/>
    <w:rsid w:val="00C52859"/>
    <w:rsid w:val="00C5290D"/>
    <w:rsid w:val="00C52A42"/>
    <w:rsid w:val="00C530CF"/>
    <w:rsid w:val="00C53288"/>
    <w:rsid w:val="00C535FB"/>
    <w:rsid w:val="00C53626"/>
    <w:rsid w:val="00C53A15"/>
    <w:rsid w:val="00C53A87"/>
    <w:rsid w:val="00C53BDC"/>
    <w:rsid w:val="00C546E0"/>
    <w:rsid w:val="00C547DA"/>
    <w:rsid w:val="00C547E9"/>
    <w:rsid w:val="00C54BE8"/>
    <w:rsid w:val="00C54E89"/>
    <w:rsid w:val="00C555AA"/>
    <w:rsid w:val="00C5564D"/>
    <w:rsid w:val="00C5576B"/>
    <w:rsid w:val="00C55800"/>
    <w:rsid w:val="00C55BCB"/>
    <w:rsid w:val="00C55DB4"/>
    <w:rsid w:val="00C562F0"/>
    <w:rsid w:val="00C56A96"/>
    <w:rsid w:val="00C56C02"/>
    <w:rsid w:val="00C5714B"/>
    <w:rsid w:val="00C57359"/>
    <w:rsid w:val="00C6046A"/>
    <w:rsid w:val="00C60474"/>
    <w:rsid w:val="00C604E6"/>
    <w:rsid w:val="00C6077D"/>
    <w:rsid w:val="00C60D69"/>
    <w:rsid w:val="00C60DB8"/>
    <w:rsid w:val="00C60FB2"/>
    <w:rsid w:val="00C61203"/>
    <w:rsid w:val="00C61815"/>
    <w:rsid w:val="00C618F0"/>
    <w:rsid w:val="00C61A07"/>
    <w:rsid w:val="00C61AC9"/>
    <w:rsid w:val="00C62253"/>
    <w:rsid w:val="00C626DC"/>
    <w:rsid w:val="00C629BB"/>
    <w:rsid w:val="00C62B74"/>
    <w:rsid w:val="00C62B80"/>
    <w:rsid w:val="00C62D61"/>
    <w:rsid w:val="00C62E91"/>
    <w:rsid w:val="00C63874"/>
    <w:rsid w:val="00C6438E"/>
    <w:rsid w:val="00C6441E"/>
    <w:rsid w:val="00C64F81"/>
    <w:rsid w:val="00C6523D"/>
    <w:rsid w:val="00C6536C"/>
    <w:rsid w:val="00C655DB"/>
    <w:rsid w:val="00C65757"/>
    <w:rsid w:val="00C659EA"/>
    <w:rsid w:val="00C65D49"/>
    <w:rsid w:val="00C660D4"/>
    <w:rsid w:val="00C66386"/>
    <w:rsid w:val="00C66A01"/>
    <w:rsid w:val="00C66BBF"/>
    <w:rsid w:val="00C67811"/>
    <w:rsid w:val="00C67956"/>
    <w:rsid w:val="00C67DBF"/>
    <w:rsid w:val="00C67DDE"/>
    <w:rsid w:val="00C67EF8"/>
    <w:rsid w:val="00C67FE9"/>
    <w:rsid w:val="00C703FA"/>
    <w:rsid w:val="00C70782"/>
    <w:rsid w:val="00C70EAB"/>
    <w:rsid w:val="00C71267"/>
    <w:rsid w:val="00C717FA"/>
    <w:rsid w:val="00C71832"/>
    <w:rsid w:val="00C7222B"/>
    <w:rsid w:val="00C72A54"/>
    <w:rsid w:val="00C72E79"/>
    <w:rsid w:val="00C72FEF"/>
    <w:rsid w:val="00C7324E"/>
    <w:rsid w:val="00C735AC"/>
    <w:rsid w:val="00C73C7A"/>
    <w:rsid w:val="00C73DAE"/>
    <w:rsid w:val="00C73EE3"/>
    <w:rsid w:val="00C740C6"/>
    <w:rsid w:val="00C74392"/>
    <w:rsid w:val="00C74438"/>
    <w:rsid w:val="00C74866"/>
    <w:rsid w:val="00C74D59"/>
    <w:rsid w:val="00C74D6D"/>
    <w:rsid w:val="00C74DAA"/>
    <w:rsid w:val="00C75D5A"/>
    <w:rsid w:val="00C75EBA"/>
    <w:rsid w:val="00C75F88"/>
    <w:rsid w:val="00C75FEC"/>
    <w:rsid w:val="00C764FC"/>
    <w:rsid w:val="00C769C2"/>
    <w:rsid w:val="00C770D3"/>
    <w:rsid w:val="00C7734B"/>
    <w:rsid w:val="00C8050B"/>
    <w:rsid w:val="00C80667"/>
    <w:rsid w:val="00C8080E"/>
    <w:rsid w:val="00C808DB"/>
    <w:rsid w:val="00C80BBD"/>
    <w:rsid w:val="00C80C0D"/>
    <w:rsid w:val="00C81887"/>
    <w:rsid w:val="00C818DD"/>
    <w:rsid w:val="00C81B4F"/>
    <w:rsid w:val="00C81D15"/>
    <w:rsid w:val="00C820F3"/>
    <w:rsid w:val="00C82341"/>
    <w:rsid w:val="00C8290A"/>
    <w:rsid w:val="00C82B8F"/>
    <w:rsid w:val="00C8352B"/>
    <w:rsid w:val="00C838F4"/>
    <w:rsid w:val="00C84656"/>
    <w:rsid w:val="00C849AE"/>
    <w:rsid w:val="00C84F24"/>
    <w:rsid w:val="00C851C1"/>
    <w:rsid w:val="00C85F50"/>
    <w:rsid w:val="00C85F93"/>
    <w:rsid w:val="00C86A67"/>
    <w:rsid w:val="00C86C9C"/>
    <w:rsid w:val="00C86EEC"/>
    <w:rsid w:val="00C87FC0"/>
    <w:rsid w:val="00C90302"/>
    <w:rsid w:val="00C9068F"/>
    <w:rsid w:val="00C9080A"/>
    <w:rsid w:val="00C90979"/>
    <w:rsid w:val="00C90A30"/>
    <w:rsid w:val="00C912F9"/>
    <w:rsid w:val="00C9151A"/>
    <w:rsid w:val="00C91CC8"/>
    <w:rsid w:val="00C923FB"/>
    <w:rsid w:val="00C9243A"/>
    <w:rsid w:val="00C9258D"/>
    <w:rsid w:val="00C92691"/>
    <w:rsid w:val="00C927F7"/>
    <w:rsid w:val="00C92CC4"/>
    <w:rsid w:val="00C932D3"/>
    <w:rsid w:val="00C93440"/>
    <w:rsid w:val="00C9365F"/>
    <w:rsid w:val="00C93CAB"/>
    <w:rsid w:val="00C9437C"/>
    <w:rsid w:val="00C9445F"/>
    <w:rsid w:val="00C9486F"/>
    <w:rsid w:val="00C94BDE"/>
    <w:rsid w:val="00C9519F"/>
    <w:rsid w:val="00C95221"/>
    <w:rsid w:val="00C95336"/>
    <w:rsid w:val="00C95735"/>
    <w:rsid w:val="00C9593C"/>
    <w:rsid w:val="00C95AB8"/>
    <w:rsid w:val="00C95B49"/>
    <w:rsid w:val="00C95D87"/>
    <w:rsid w:val="00C95F7A"/>
    <w:rsid w:val="00C9617E"/>
    <w:rsid w:val="00C965FD"/>
    <w:rsid w:val="00C96A88"/>
    <w:rsid w:val="00C96DC4"/>
    <w:rsid w:val="00C96EDE"/>
    <w:rsid w:val="00C96FD6"/>
    <w:rsid w:val="00C971E9"/>
    <w:rsid w:val="00CA02D1"/>
    <w:rsid w:val="00CA02EC"/>
    <w:rsid w:val="00CA0706"/>
    <w:rsid w:val="00CA0EA5"/>
    <w:rsid w:val="00CA18FC"/>
    <w:rsid w:val="00CA1D01"/>
    <w:rsid w:val="00CA1E29"/>
    <w:rsid w:val="00CA1E9F"/>
    <w:rsid w:val="00CA1FF5"/>
    <w:rsid w:val="00CA23A3"/>
    <w:rsid w:val="00CA26B7"/>
    <w:rsid w:val="00CA28FB"/>
    <w:rsid w:val="00CA318F"/>
    <w:rsid w:val="00CA329D"/>
    <w:rsid w:val="00CA33FF"/>
    <w:rsid w:val="00CA34DB"/>
    <w:rsid w:val="00CA4162"/>
    <w:rsid w:val="00CA42EE"/>
    <w:rsid w:val="00CA47F9"/>
    <w:rsid w:val="00CA4DC4"/>
    <w:rsid w:val="00CA4F8D"/>
    <w:rsid w:val="00CA4FA0"/>
    <w:rsid w:val="00CA5D33"/>
    <w:rsid w:val="00CA638F"/>
    <w:rsid w:val="00CA6489"/>
    <w:rsid w:val="00CA6722"/>
    <w:rsid w:val="00CA714F"/>
    <w:rsid w:val="00CA7498"/>
    <w:rsid w:val="00CA79D7"/>
    <w:rsid w:val="00CA7CF8"/>
    <w:rsid w:val="00CB0A6D"/>
    <w:rsid w:val="00CB0D8C"/>
    <w:rsid w:val="00CB0F82"/>
    <w:rsid w:val="00CB1625"/>
    <w:rsid w:val="00CB1E5E"/>
    <w:rsid w:val="00CB28C5"/>
    <w:rsid w:val="00CB2AA9"/>
    <w:rsid w:val="00CB3053"/>
    <w:rsid w:val="00CB3D73"/>
    <w:rsid w:val="00CB3ECA"/>
    <w:rsid w:val="00CB3F06"/>
    <w:rsid w:val="00CB4111"/>
    <w:rsid w:val="00CB416F"/>
    <w:rsid w:val="00CB4184"/>
    <w:rsid w:val="00CB4725"/>
    <w:rsid w:val="00CB48F3"/>
    <w:rsid w:val="00CB4A9A"/>
    <w:rsid w:val="00CB4D9E"/>
    <w:rsid w:val="00CB4FDA"/>
    <w:rsid w:val="00CB54B7"/>
    <w:rsid w:val="00CB55E5"/>
    <w:rsid w:val="00CB5788"/>
    <w:rsid w:val="00CB5AC4"/>
    <w:rsid w:val="00CB5D70"/>
    <w:rsid w:val="00CB5DC6"/>
    <w:rsid w:val="00CB6064"/>
    <w:rsid w:val="00CB6420"/>
    <w:rsid w:val="00CB6737"/>
    <w:rsid w:val="00CB6BF3"/>
    <w:rsid w:val="00CB6EA2"/>
    <w:rsid w:val="00CB7010"/>
    <w:rsid w:val="00CB7447"/>
    <w:rsid w:val="00CB77CC"/>
    <w:rsid w:val="00CB78C6"/>
    <w:rsid w:val="00CB7C8B"/>
    <w:rsid w:val="00CB7D2A"/>
    <w:rsid w:val="00CC005D"/>
    <w:rsid w:val="00CC0706"/>
    <w:rsid w:val="00CC08C1"/>
    <w:rsid w:val="00CC1000"/>
    <w:rsid w:val="00CC101C"/>
    <w:rsid w:val="00CC118A"/>
    <w:rsid w:val="00CC149A"/>
    <w:rsid w:val="00CC15E9"/>
    <w:rsid w:val="00CC2688"/>
    <w:rsid w:val="00CC27BB"/>
    <w:rsid w:val="00CC2EAE"/>
    <w:rsid w:val="00CC3240"/>
    <w:rsid w:val="00CC36B4"/>
    <w:rsid w:val="00CC36F5"/>
    <w:rsid w:val="00CC3C70"/>
    <w:rsid w:val="00CC4421"/>
    <w:rsid w:val="00CC4723"/>
    <w:rsid w:val="00CC4DB9"/>
    <w:rsid w:val="00CC4F7B"/>
    <w:rsid w:val="00CC5390"/>
    <w:rsid w:val="00CC55F4"/>
    <w:rsid w:val="00CC5652"/>
    <w:rsid w:val="00CC575D"/>
    <w:rsid w:val="00CC5D5E"/>
    <w:rsid w:val="00CC5EBE"/>
    <w:rsid w:val="00CC5F4C"/>
    <w:rsid w:val="00CC609E"/>
    <w:rsid w:val="00CC61DC"/>
    <w:rsid w:val="00CC6347"/>
    <w:rsid w:val="00CC6B50"/>
    <w:rsid w:val="00CC6CEA"/>
    <w:rsid w:val="00CC7016"/>
    <w:rsid w:val="00CC7336"/>
    <w:rsid w:val="00CC79D2"/>
    <w:rsid w:val="00CC7AB2"/>
    <w:rsid w:val="00CC7AC6"/>
    <w:rsid w:val="00CC7B9F"/>
    <w:rsid w:val="00CD0A2A"/>
    <w:rsid w:val="00CD0F3A"/>
    <w:rsid w:val="00CD108D"/>
    <w:rsid w:val="00CD12C0"/>
    <w:rsid w:val="00CD18E6"/>
    <w:rsid w:val="00CD1FD0"/>
    <w:rsid w:val="00CD20D1"/>
    <w:rsid w:val="00CD234D"/>
    <w:rsid w:val="00CD24C8"/>
    <w:rsid w:val="00CD26C7"/>
    <w:rsid w:val="00CD2D52"/>
    <w:rsid w:val="00CD2F17"/>
    <w:rsid w:val="00CD340A"/>
    <w:rsid w:val="00CD3ACA"/>
    <w:rsid w:val="00CD3E16"/>
    <w:rsid w:val="00CD3E49"/>
    <w:rsid w:val="00CD3E88"/>
    <w:rsid w:val="00CD44C7"/>
    <w:rsid w:val="00CD49A8"/>
    <w:rsid w:val="00CD4B63"/>
    <w:rsid w:val="00CD4F7A"/>
    <w:rsid w:val="00CD537E"/>
    <w:rsid w:val="00CD5B0C"/>
    <w:rsid w:val="00CD5E84"/>
    <w:rsid w:val="00CD60EC"/>
    <w:rsid w:val="00CD6317"/>
    <w:rsid w:val="00CD63E6"/>
    <w:rsid w:val="00CD6541"/>
    <w:rsid w:val="00CD681E"/>
    <w:rsid w:val="00CD68D6"/>
    <w:rsid w:val="00CD6BC3"/>
    <w:rsid w:val="00CD6DA1"/>
    <w:rsid w:val="00CD6E27"/>
    <w:rsid w:val="00CD704E"/>
    <w:rsid w:val="00CD76B7"/>
    <w:rsid w:val="00CD796D"/>
    <w:rsid w:val="00CE0A96"/>
    <w:rsid w:val="00CE0E59"/>
    <w:rsid w:val="00CE101B"/>
    <w:rsid w:val="00CE10FB"/>
    <w:rsid w:val="00CE112B"/>
    <w:rsid w:val="00CE112C"/>
    <w:rsid w:val="00CE1411"/>
    <w:rsid w:val="00CE2150"/>
    <w:rsid w:val="00CE314B"/>
    <w:rsid w:val="00CE318C"/>
    <w:rsid w:val="00CE32DA"/>
    <w:rsid w:val="00CE3487"/>
    <w:rsid w:val="00CE3D01"/>
    <w:rsid w:val="00CE3F62"/>
    <w:rsid w:val="00CE4402"/>
    <w:rsid w:val="00CE440A"/>
    <w:rsid w:val="00CE494C"/>
    <w:rsid w:val="00CE4C82"/>
    <w:rsid w:val="00CE4C8C"/>
    <w:rsid w:val="00CE4F5D"/>
    <w:rsid w:val="00CE5227"/>
    <w:rsid w:val="00CE52E5"/>
    <w:rsid w:val="00CE53BB"/>
    <w:rsid w:val="00CE5C37"/>
    <w:rsid w:val="00CE606D"/>
    <w:rsid w:val="00CE6073"/>
    <w:rsid w:val="00CE61D4"/>
    <w:rsid w:val="00CE67AE"/>
    <w:rsid w:val="00CE6812"/>
    <w:rsid w:val="00CE6C4D"/>
    <w:rsid w:val="00CE6E73"/>
    <w:rsid w:val="00CE706C"/>
    <w:rsid w:val="00CE71DB"/>
    <w:rsid w:val="00CE7215"/>
    <w:rsid w:val="00CE7315"/>
    <w:rsid w:val="00CE7828"/>
    <w:rsid w:val="00CF0342"/>
    <w:rsid w:val="00CF035E"/>
    <w:rsid w:val="00CF0479"/>
    <w:rsid w:val="00CF0928"/>
    <w:rsid w:val="00CF0969"/>
    <w:rsid w:val="00CF09CE"/>
    <w:rsid w:val="00CF0B72"/>
    <w:rsid w:val="00CF109A"/>
    <w:rsid w:val="00CF139C"/>
    <w:rsid w:val="00CF1433"/>
    <w:rsid w:val="00CF1629"/>
    <w:rsid w:val="00CF16EF"/>
    <w:rsid w:val="00CF1937"/>
    <w:rsid w:val="00CF1A5D"/>
    <w:rsid w:val="00CF1AD7"/>
    <w:rsid w:val="00CF1DF8"/>
    <w:rsid w:val="00CF2090"/>
    <w:rsid w:val="00CF2450"/>
    <w:rsid w:val="00CF2462"/>
    <w:rsid w:val="00CF296D"/>
    <w:rsid w:val="00CF2BA8"/>
    <w:rsid w:val="00CF2D9B"/>
    <w:rsid w:val="00CF34E0"/>
    <w:rsid w:val="00CF3788"/>
    <w:rsid w:val="00CF3949"/>
    <w:rsid w:val="00CF3AFB"/>
    <w:rsid w:val="00CF4808"/>
    <w:rsid w:val="00CF4917"/>
    <w:rsid w:val="00CF5CF4"/>
    <w:rsid w:val="00CF5F0F"/>
    <w:rsid w:val="00CF6130"/>
    <w:rsid w:val="00CF6309"/>
    <w:rsid w:val="00CF634B"/>
    <w:rsid w:val="00CF6AA7"/>
    <w:rsid w:val="00CF6B65"/>
    <w:rsid w:val="00CF718E"/>
    <w:rsid w:val="00CF71AC"/>
    <w:rsid w:val="00CF7350"/>
    <w:rsid w:val="00CF7588"/>
    <w:rsid w:val="00CF7B26"/>
    <w:rsid w:val="00D00AE6"/>
    <w:rsid w:val="00D00EDE"/>
    <w:rsid w:val="00D00F58"/>
    <w:rsid w:val="00D011B4"/>
    <w:rsid w:val="00D01248"/>
    <w:rsid w:val="00D012AC"/>
    <w:rsid w:val="00D01543"/>
    <w:rsid w:val="00D015DB"/>
    <w:rsid w:val="00D0164E"/>
    <w:rsid w:val="00D01AE5"/>
    <w:rsid w:val="00D01B73"/>
    <w:rsid w:val="00D02758"/>
    <w:rsid w:val="00D0291E"/>
    <w:rsid w:val="00D02F2A"/>
    <w:rsid w:val="00D03368"/>
    <w:rsid w:val="00D036F5"/>
    <w:rsid w:val="00D03BAE"/>
    <w:rsid w:val="00D03F10"/>
    <w:rsid w:val="00D03F57"/>
    <w:rsid w:val="00D0495F"/>
    <w:rsid w:val="00D04D37"/>
    <w:rsid w:val="00D04F85"/>
    <w:rsid w:val="00D051A8"/>
    <w:rsid w:val="00D05A7B"/>
    <w:rsid w:val="00D05ACA"/>
    <w:rsid w:val="00D05EEF"/>
    <w:rsid w:val="00D05EFA"/>
    <w:rsid w:val="00D0614B"/>
    <w:rsid w:val="00D0630D"/>
    <w:rsid w:val="00D06AD3"/>
    <w:rsid w:val="00D06D37"/>
    <w:rsid w:val="00D06E63"/>
    <w:rsid w:val="00D070B5"/>
    <w:rsid w:val="00D07682"/>
    <w:rsid w:val="00D07F2A"/>
    <w:rsid w:val="00D07F56"/>
    <w:rsid w:val="00D10378"/>
    <w:rsid w:val="00D103C7"/>
    <w:rsid w:val="00D108E5"/>
    <w:rsid w:val="00D10E9D"/>
    <w:rsid w:val="00D10F3F"/>
    <w:rsid w:val="00D11161"/>
    <w:rsid w:val="00D111D5"/>
    <w:rsid w:val="00D11564"/>
    <w:rsid w:val="00D115F8"/>
    <w:rsid w:val="00D1174C"/>
    <w:rsid w:val="00D11A01"/>
    <w:rsid w:val="00D11B08"/>
    <w:rsid w:val="00D11B7A"/>
    <w:rsid w:val="00D1214A"/>
    <w:rsid w:val="00D1254B"/>
    <w:rsid w:val="00D125F4"/>
    <w:rsid w:val="00D12E41"/>
    <w:rsid w:val="00D12F81"/>
    <w:rsid w:val="00D135C9"/>
    <w:rsid w:val="00D13703"/>
    <w:rsid w:val="00D138E8"/>
    <w:rsid w:val="00D13A77"/>
    <w:rsid w:val="00D13B3D"/>
    <w:rsid w:val="00D14203"/>
    <w:rsid w:val="00D14259"/>
    <w:rsid w:val="00D142E6"/>
    <w:rsid w:val="00D14642"/>
    <w:rsid w:val="00D146D1"/>
    <w:rsid w:val="00D14E7E"/>
    <w:rsid w:val="00D14F74"/>
    <w:rsid w:val="00D14FDE"/>
    <w:rsid w:val="00D15273"/>
    <w:rsid w:val="00D15505"/>
    <w:rsid w:val="00D15F40"/>
    <w:rsid w:val="00D160B4"/>
    <w:rsid w:val="00D16286"/>
    <w:rsid w:val="00D16D44"/>
    <w:rsid w:val="00D16DB7"/>
    <w:rsid w:val="00D173E8"/>
    <w:rsid w:val="00D17B0B"/>
    <w:rsid w:val="00D17FF5"/>
    <w:rsid w:val="00D20224"/>
    <w:rsid w:val="00D205B2"/>
    <w:rsid w:val="00D208FA"/>
    <w:rsid w:val="00D20D46"/>
    <w:rsid w:val="00D211AB"/>
    <w:rsid w:val="00D2154D"/>
    <w:rsid w:val="00D217FF"/>
    <w:rsid w:val="00D21B15"/>
    <w:rsid w:val="00D21BDA"/>
    <w:rsid w:val="00D2216E"/>
    <w:rsid w:val="00D22232"/>
    <w:rsid w:val="00D22333"/>
    <w:rsid w:val="00D22360"/>
    <w:rsid w:val="00D226D2"/>
    <w:rsid w:val="00D2286F"/>
    <w:rsid w:val="00D22CFF"/>
    <w:rsid w:val="00D22DDE"/>
    <w:rsid w:val="00D23524"/>
    <w:rsid w:val="00D23612"/>
    <w:rsid w:val="00D23826"/>
    <w:rsid w:val="00D2393F"/>
    <w:rsid w:val="00D23962"/>
    <w:rsid w:val="00D241E0"/>
    <w:rsid w:val="00D242BA"/>
    <w:rsid w:val="00D243EE"/>
    <w:rsid w:val="00D245C9"/>
    <w:rsid w:val="00D24B96"/>
    <w:rsid w:val="00D2503F"/>
    <w:rsid w:val="00D252B0"/>
    <w:rsid w:val="00D2544B"/>
    <w:rsid w:val="00D261C2"/>
    <w:rsid w:val="00D26CD8"/>
    <w:rsid w:val="00D273BE"/>
    <w:rsid w:val="00D30057"/>
    <w:rsid w:val="00D302E0"/>
    <w:rsid w:val="00D3053A"/>
    <w:rsid w:val="00D3067A"/>
    <w:rsid w:val="00D3075B"/>
    <w:rsid w:val="00D309CE"/>
    <w:rsid w:val="00D30EDE"/>
    <w:rsid w:val="00D311AC"/>
    <w:rsid w:val="00D3127F"/>
    <w:rsid w:val="00D315EF"/>
    <w:rsid w:val="00D31B28"/>
    <w:rsid w:val="00D31F17"/>
    <w:rsid w:val="00D31FBA"/>
    <w:rsid w:val="00D3217E"/>
    <w:rsid w:val="00D32775"/>
    <w:rsid w:val="00D32DBE"/>
    <w:rsid w:val="00D332AD"/>
    <w:rsid w:val="00D33474"/>
    <w:rsid w:val="00D3348B"/>
    <w:rsid w:val="00D334C3"/>
    <w:rsid w:val="00D34066"/>
    <w:rsid w:val="00D3417A"/>
    <w:rsid w:val="00D35270"/>
    <w:rsid w:val="00D352A2"/>
    <w:rsid w:val="00D355C5"/>
    <w:rsid w:val="00D359E8"/>
    <w:rsid w:val="00D35A4A"/>
    <w:rsid w:val="00D35A95"/>
    <w:rsid w:val="00D35ADD"/>
    <w:rsid w:val="00D35D54"/>
    <w:rsid w:val="00D35E4E"/>
    <w:rsid w:val="00D362A1"/>
    <w:rsid w:val="00D367ED"/>
    <w:rsid w:val="00D36A1B"/>
    <w:rsid w:val="00D36CC6"/>
    <w:rsid w:val="00D370AA"/>
    <w:rsid w:val="00D372D1"/>
    <w:rsid w:val="00D378E9"/>
    <w:rsid w:val="00D37D16"/>
    <w:rsid w:val="00D40241"/>
    <w:rsid w:val="00D40918"/>
    <w:rsid w:val="00D409DB"/>
    <w:rsid w:val="00D40E81"/>
    <w:rsid w:val="00D410B0"/>
    <w:rsid w:val="00D41532"/>
    <w:rsid w:val="00D4172C"/>
    <w:rsid w:val="00D4173D"/>
    <w:rsid w:val="00D41862"/>
    <w:rsid w:val="00D4197D"/>
    <w:rsid w:val="00D41A27"/>
    <w:rsid w:val="00D41BE1"/>
    <w:rsid w:val="00D41C2D"/>
    <w:rsid w:val="00D42040"/>
    <w:rsid w:val="00D426F6"/>
    <w:rsid w:val="00D4283A"/>
    <w:rsid w:val="00D4355E"/>
    <w:rsid w:val="00D437C1"/>
    <w:rsid w:val="00D43B71"/>
    <w:rsid w:val="00D43E4A"/>
    <w:rsid w:val="00D43F12"/>
    <w:rsid w:val="00D44099"/>
    <w:rsid w:val="00D44617"/>
    <w:rsid w:val="00D447CE"/>
    <w:rsid w:val="00D44A80"/>
    <w:rsid w:val="00D44F68"/>
    <w:rsid w:val="00D450E1"/>
    <w:rsid w:val="00D45170"/>
    <w:rsid w:val="00D4554F"/>
    <w:rsid w:val="00D456CB"/>
    <w:rsid w:val="00D4593C"/>
    <w:rsid w:val="00D45B1B"/>
    <w:rsid w:val="00D45E1F"/>
    <w:rsid w:val="00D465FE"/>
    <w:rsid w:val="00D46ACD"/>
    <w:rsid w:val="00D46C98"/>
    <w:rsid w:val="00D46E7C"/>
    <w:rsid w:val="00D47041"/>
    <w:rsid w:val="00D4718B"/>
    <w:rsid w:val="00D47582"/>
    <w:rsid w:val="00D479E4"/>
    <w:rsid w:val="00D479F5"/>
    <w:rsid w:val="00D47B46"/>
    <w:rsid w:val="00D47C30"/>
    <w:rsid w:val="00D47D04"/>
    <w:rsid w:val="00D47D8D"/>
    <w:rsid w:val="00D47DC1"/>
    <w:rsid w:val="00D5002D"/>
    <w:rsid w:val="00D50078"/>
    <w:rsid w:val="00D5052C"/>
    <w:rsid w:val="00D505FE"/>
    <w:rsid w:val="00D5083B"/>
    <w:rsid w:val="00D50A4C"/>
    <w:rsid w:val="00D50F20"/>
    <w:rsid w:val="00D51734"/>
    <w:rsid w:val="00D52501"/>
    <w:rsid w:val="00D52ACE"/>
    <w:rsid w:val="00D52F3F"/>
    <w:rsid w:val="00D530DD"/>
    <w:rsid w:val="00D5316A"/>
    <w:rsid w:val="00D5348E"/>
    <w:rsid w:val="00D53EDD"/>
    <w:rsid w:val="00D54189"/>
    <w:rsid w:val="00D54581"/>
    <w:rsid w:val="00D545B5"/>
    <w:rsid w:val="00D5466C"/>
    <w:rsid w:val="00D5508D"/>
    <w:rsid w:val="00D550B1"/>
    <w:rsid w:val="00D5513F"/>
    <w:rsid w:val="00D55169"/>
    <w:rsid w:val="00D55174"/>
    <w:rsid w:val="00D5578F"/>
    <w:rsid w:val="00D55A83"/>
    <w:rsid w:val="00D55B0E"/>
    <w:rsid w:val="00D55ED4"/>
    <w:rsid w:val="00D55EDA"/>
    <w:rsid w:val="00D564EB"/>
    <w:rsid w:val="00D56AE3"/>
    <w:rsid w:val="00D57827"/>
    <w:rsid w:val="00D57B0E"/>
    <w:rsid w:val="00D57EA3"/>
    <w:rsid w:val="00D60024"/>
    <w:rsid w:val="00D60121"/>
    <w:rsid w:val="00D60239"/>
    <w:rsid w:val="00D6025A"/>
    <w:rsid w:val="00D602B8"/>
    <w:rsid w:val="00D6034F"/>
    <w:rsid w:val="00D603F2"/>
    <w:rsid w:val="00D60420"/>
    <w:rsid w:val="00D604FF"/>
    <w:rsid w:val="00D60616"/>
    <w:rsid w:val="00D607D6"/>
    <w:rsid w:val="00D60A1C"/>
    <w:rsid w:val="00D60F7C"/>
    <w:rsid w:val="00D615D3"/>
    <w:rsid w:val="00D618D7"/>
    <w:rsid w:val="00D61CEE"/>
    <w:rsid w:val="00D620EA"/>
    <w:rsid w:val="00D6228A"/>
    <w:rsid w:val="00D6289C"/>
    <w:rsid w:val="00D62AA6"/>
    <w:rsid w:val="00D62F0E"/>
    <w:rsid w:val="00D63423"/>
    <w:rsid w:val="00D63A55"/>
    <w:rsid w:val="00D646FF"/>
    <w:rsid w:val="00D64792"/>
    <w:rsid w:val="00D649B9"/>
    <w:rsid w:val="00D64ADE"/>
    <w:rsid w:val="00D65077"/>
    <w:rsid w:val="00D65433"/>
    <w:rsid w:val="00D654F7"/>
    <w:rsid w:val="00D65711"/>
    <w:rsid w:val="00D65B86"/>
    <w:rsid w:val="00D65C3D"/>
    <w:rsid w:val="00D65CBE"/>
    <w:rsid w:val="00D65CBF"/>
    <w:rsid w:val="00D65D90"/>
    <w:rsid w:val="00D661B4"/>
    <w:rsid w:val="00D66507"/>
    <w:rsid w:val="00D66871"/>
    <w:rsid w:val="00D669B4"/>
    <w:rsid w:val="00D67428"/>
    <w:rsid w:val="00D67667"/>
    <w:rsid w:val="00D677C9"/>
    <w:rsid w:val="00D67924"/>
    <w:rsid w:val="00D70224"/>
    <w:rsid w:val="00D7029B"/>
    <w:rsid w:val="00D706D7"/>
    <w:rsid w:val="00D709F2"/>
    <w:rsid w:val="00D70F2E"/>
    <w:rsid w:val="00D7193D"/>
    <w:rsid w:val="00D71E95"/>
    <w:rsid w:val="00D71F77"/>
    <w:rsid w:val="00D72188"/>
    <w:rsid w:val="00D7248D"/>
    <w:rsid w:val="00D729EC"/>
    <w:rsid w:val="00D72F84"/>
    <w:rsid w:val="00D7331D"/>
    <w:rsid w:val="00D7342C"/>
    <w:rsid w:val="00D735B4"/>
    <w:rsid w:val="00D735CB"/>
    <w:rsid w:val="00D7363E"/>
    <w:rsid w:val="00D73B5F"/>
    <w:rsid w:val="00D73C40"/>
    <w:rsid w:val="00D74032"/>
    <w:rsid w:val="00D74100"/>
    <w:rsid w:val="00D742A6"/>
    <w:rsid w:val="00D74641"/>
    <w:rsid w:val="00D7476F"/>
    <w:rsid w:val="00D74A06"/>
    <w:rsid w:val="00D74CD8"/>
    <w:rsid w:val="00D74E80"/>
    <w:rsid w:val="00D74E83"/>
    <w:rsid w:val="00D753D2"/>
    <w:rsid w:val="00D7581B"/>
    <w:rsid w:val="00D75A52"/>
    <w:rsid w:val="00D75B5B"/>
    <w:rsid w:val="00D764A1"/>
    <w:rsid w:val="00D76606"/>
    <w:rsid w:val="00D76812"/>
    <w:rsid w:val="00D77525"/>
    <w:rsid w:val="00D7777C"/>
    <w:rsid w:val="00D77783"/>
    <w:rsid w:val="00D77BE6"/>
    <w:rsid w:val="00D77FB3"/>
    <w:rsid w:val="00D809CB"/>
    <w:rsid w:val="00D80DB5"/>
    <w:rsid w:val="00D81152"/>
    <w:rsid w:val="00D8115B"/>
    <w:rsid w:val="00D8178F"/>
    <w:rsid w:val="00D8179E"/>
    <w:rsid w:val="00D81C21"/>
    <w:rsid w:val="00D8249F"/>
    <w:rsid w:val="00D826A3"/>
    <w:rsid w:val="00D82CFD"/>
    <w:rsid w:val="00D82DB0"/>
    <w:rsid w:val="00D832DC"/>
    <w:rsid w:val="00D8371F"/>
    <w:rsid w:val="00D83AD1"/>
    <w:rsid w:val="00D83E57"/>
    <w:rsid w:val="00D840C6"/>
    <w:rsid w:val="00D84111"/>
    <w:rsid w:val="00D843D6"/>
    <w:rsid w:val="00D845A7"/>
    <w:rsid w:val="00D84B0C"/>
    <w:rsid w:val="00D84D99"/>
    <w:rsid w:val="00D84E07"/>
    <w:rsid w:val="00D8502E"/>
    <w:rsid w:val="00D851C1"/>
    <w:rsid w:val="00D852A2"/>
    <w:rsid w:val="00D85541"/>
    <w:rsid w:val="00D8560E"/>
    <w:rsid w:val="00D85E94"/>
    <w:rsid w:val="00D85FF9"/>
    <w:rsid w:val="00D86088"/>
    <w:rsid w:val="00D866B0"/>
    <w:rsid w:val="00D867EC"/>
    <w:rsid w:val="00D868B6"/>
    <w:rsid w:val="00D86E1C"/>
    <w:rsid w:val="00D86E58"/>
    <w:rsid w:val="00D873C7"/>
    <w:rsid w:val="00D87462"/>
    <w:rsid w:val="00D87729"/>
    <w:rsid w:val="00D87EDA"/>
    <w:rsid w:val="00D90244"/>
    <w:rsid w:val="00D90273"/>
    <w:rsid w:val="00D90420"/>
    <w:rsid w:val="00D904EE"/>
    <w:rsid w:val="00D905CC"/>
    <w:rsid w:val="00D909E0"/>
    <w:rsid w:val="00D90AB2"/>
    <w:rsid w:val="00D90F45"/>
    <w:rsid w:val="00D90FF3"/>
    <w:rsid w:val="00D913B3"/>
    <w:rsid w:val="00D913C4"/>
    <w:rsid w:val="00D91A9E"/>
    <w:rsid w:val="00D91C72"/>
    <w:rsid w:val="00D91D34"/>
    <w:rsid w:val="00D91EA0"/>
    <w:rsid w:val="00D91F8E"/>
    <w:rsid w:val="00D924B3"/>
    <w:rsid w:val="00D92731"/>
    <w:rsid w:val="00D92D88"/>
    <w:rsid w:val="00D93283"/>
    <w:rsid w:val="00D9338E"/>
    <w:rsid w:val="00D9375B"/>
    <w:rsid w:val="00D93794"/>
    <w:rsid w:val="00D93A53"/>
    <w:rsid w:val="00D93BA7"/>
    <w:rsid w:val="00D93D69"/>
    <w:rsid w:val="00D940FE"/>
    <w:rsid w:val="00D94117"/>
    <w:rsid w:val="00D9484D"/>
    <w:rsid w:val="00D94880"/>
    <w:rsid w:val="00D94C99"/>
    <w:rsid w:val="00D94F40"/>
    <w:rsid w:val="00D951D7"/>
    <w:rsid w:val="00D952C2"/>
    <w:rsid w:val="00D9656C"/>
    <w:rsid w:val="00D96745"/>
    <w:rsid w:val="00D96830"/>
    <w:rsid w:val="00D96CF0"/>
    <w:rsid w:val="00D96FEC"/>
    <w:rsid w:val="00D9718A"/>
    <w:rsid w:val="00D974B3"/>
    <w:rsid w:val="00D97635"/>
    <w:rsid w:val="00D9769D"/>
    <w:rsid w:val="00DA0552"/>
    <w:rsid w:val="00DA087A"/>
    <w:rsid w:val="00DA0A3A"/>
    <w:rsid w:val="00DA0CA5"/>
    <w:rsid w:val="00DA13A2"/>
    <w:rsid w:val="00DA19A6"/>
    <w:rsid w:val="00DA1FCF"/>
    <w:rsid w:val="00DA2973"/>
    <w:rsid w:val="00DA2D83"/>
    <w:rsid w:val="00DA3123"/>
    <w:rsid w:val="00DA3293"/>
    <w:rsid w:val="00DA37E9"/>
    <w:rsid w:val="00DA393C"/>
    <w:rsid w:val="00DA3B58"/>
    <w:rsid w:val="00DA3F95"/>
    <w:rsid w:val="00DA481D"/>
    <w:rsid w:val="00DA4984"/>
    <w:rsid w:val="00DA4A0F"/>
    <w:rsid w:val="00DA4C30"/>
    <w:rsid w:val="00DA4EB1"/>
    <w:rsid w:val="00DA5626"/>
    <w:rsid w:val="00DA5711"/>
    <w:rsid w:val="00DA5A04"/>
    <w:rsid w:val="00DA5B56"/>
    <w:rsid w:val="00DA5D8B"/>
    <w:rsid w:val="00DA5DD2"/>
    <w:rsid w:val="00DA6054"/>
    <w:rsid w:val="00DA61CA"/>
    <w:rsid w:val="00DA6D5A"/>
    <w:rsid w:val="00DA7279"/>
    <w:rsid w:val="00DA7BFB"/>
    <w:rsid w:val="00DA7CD2"/>
    <w:rsid w:val="00DB04A5"/>
    <w:rsid w:val="00DB0847"/>
    <w:rsid w:val="00DB09D7"/>
    <w:rsid w:val="00DB108C"/>
    <w:rsid w:val="00DB1238"/>
    <w:rsid w:val="00DB1247"/>
    <w:rsid w:val="00DB131A"/>
    <w:rsid w:val="00DB1526"/>
    <w:rsid w:val="00DB177D"/>
    <w:rsid w:val="00DB1821"/>
    <w:rsid w:val="00DB1DFE"/>
    <w:rsid w:val="00DB1F6A"/>
    <w:rsid w:val="00DB2BC3"/>
    <w:rsid w:val="00DB2CB6"/>
    <w:rsid w:val="00DB2D7B"/>
    <w:rsid w:val="00DB2DBE"/>
    <w:rsid w:val="00DB2EA4"/>
    <w:rsid w:val="00DB2EF1"/>
    <w:rsid w:val="00DB3680"/>
    <w:rsid w:val="00DB3914"/>
    <w:rsid w:val="00DB4104"/>
    <w:rsid w:val="00DB4251"/>
    <w:rsid w:val="00DB4FCD"/>
    <w:rsid w:val="00DB4FD2"/>
    <w:rsid w:val="00DB57AB"/>
    <w:rsid w:val="00DB5968"/>
    <w:rsid w:val="00DB5B55"/>
    <w:rsid w:val="00DB5CE3"/>
    <w:rsid w:val="00DB5D94"/>
    <w:rsid w:val="00DB6138"/>
    <w:rsid w:val="00DB61F4"/>
    <w:rsid w:val="00DB63FA"/>
    <w:rsid w:val="00DB65B8"/>
    <w:rsid w:val="00DB673A"/>
    <w:rsid w:val="00DB67B2"/>
    <w:rsid w:val="00DB692C"/>
    <w:rsid w:val="00DB69EB"/>
    <w:rsid w:val="00DB6CB0"/>
    <w:rsid w:val="00DB72EC"/>
    <w:rsid w:val="00DC031B"/>
    <w:rsid w:val="00DC0491"/>
    <w:rsid w:val="00DC0BEA"/>
    <w:rsid w:val="00DC130D"/>
    <w:rsid w:val="00DC1373"/>
    <w:rsid w:val="00DC16D2"/>
    <w:rsid w:val="00DC17FA"/>
    <w:rsid w:val="00DC1893"/>
    <w:rsid w:val="00DC1D98"/>
    <w:rsid w:val="00DC1E0E"/>
    <w:rsid w:val="00DC2B87"/>
    <w:rsid w:val="00DC31D2"/>
    <w:rsid w:val="00DC3282"/>
    <w:rsid w:val="00DC3288"/>
    <w:rsid w:val="00DC32D8"/>
    <w:rsid w:val="00DC3313"/>
    <w:rsid w:val="00DC3DE3"/>
    <w:rsid w:val="00DC4607"/>
    <w:rsid w:val="00DC4705"/>
    <w:rsid w:val="00DC4CA1"/>
    <w:rsid w:val="00DC544B"/>
    <w:rsid w:val="00DC54C3"/>
    <w:rsid w:val="00DC5999"/>
    <w:rsid w:val="00DC599B"/>
    <w:rsid w:val="00DC6058"/>
    <w:rsid w:val="00DC6BE9"/>
    <w:rsid w:val="00DC6E65"/>
    <w:rsid w:val="00DC703B"/>
    <w:rsid w:val="00DC73FF"/>
    <w:rsid w:val="00DC74D0"/>
    <w:rsid w:val="00DC7CB1"/>
    <w:rsid w:val="00DC7E30"/>
    <w:rsid w:val="00DC7F25"/>
    <w:rsid w:val="00DD02AB"/>
    <w:rsid w:val="00DD03A3"/>
    <w:rsid w:val="00DD0870"/>
    <w:rsid w:val="00DD0876"/>
    <w:rsid w:val="00DD09D9"/>
    <w:rsid w:val="00DD0F11"/>
    <w:rsid w:val="00DD0FD7"/>
    <w:rsid w:val="00DD17BA"/>
    <w:rsid w:val="00DD18B4"/>
    <w:rsid w:val="00DD1940"/>
    <w:rsid w:val="00DD1BF8"/>
    <w:rsid w:val="00DD1EA7"/>
    <w:rsid w:val="00DD29C3"/>
    <w:rsid w:val="00DD2DB9"/>
    <w:rsid w:val="00DD2DCB"/>
    <w:rsid w:val="00DD3318"/>
    <w:rsid w:val="00DD338C"/>
    <w:rsid w:val="00DD3C60"/>
    <w:rsid w:val="00DD3C64"/>
    <w:rsid w:val="00DD3C93"/>
    <w:rsid w:val="00DD3F93"/>
    <w:rsid w:val="00DD4AC5"/>
    <w:rsid w:val="00DD4D94"/>
    <w:rsid w:val="00DD4E8F"/>
    <w:rsid w:val="00DD4F9A"/>
    <w:rsid w:val="00DD5344"/>
    <w:rsid w:val="00DD5DB4"/>
    <w:rsid w:val="00DD601D"/>
    <w:rsid w:val="00DD6290"/>
    <w:rsid w:val="00DD641E"/>
    <w:rsid w:val="00DD6513"/>
    <w:rsid w:val="00DD7333"/>
    <w:rsid w:val="00DD7586"/>
    <w:rsid w:val="00DD75A8"/>
    <w:rsid w:val="00DD77C3"/>
    <w:rsid w:val="00DD798E"/>
    <w:rsid w:val="00DD79D1"/>
    <w:rsid w:val="00DE0546"/>
    <w:rsid w:val="00DE06C8"/>
    <w:rsid w:val="00DE0AAE"/>
    <w:rsid w:val="00DE0D6C"/>
    <w:rsid w:val="00DE118C"/>
    <w:rsid w:val="00DE11B6"/>
    <w:rsid w:val="00DE12D5"/>
    <w:rsid w:val="00DE1445"/>
    <w:rsid w:val="00DE16A9"/>
    <w:rsid w:val="00DE1946"/>
    <w:rsid w:val="00DE2B45"/>
    <w:rsid w:val="00DE2C2B"/>
    <w:rsid w:val="00DE2F7F"/>
    <w:rsid w:val="00DE35B3"/>
    <w:rsid w:val="00DE36E4"/>
    <w:rsid w:val="00DE39C2"/>
    <w:rsid w:val="00DE3DF0"/>
    <w:rsid w:val="00DE4096"/>
    <w:rsid w:val="00DE46C8"/>
    <w:rsid w:val="00DE47AA"/>
    <w:rsid w:val="00DE4ACF"/>
    <w:rsid w:val="00DE4BED"/>
    <w:rsid w:val="00DE4DB9"/>
    <w:rsid w:val="00DE4E3D"/>
    <w:rsid w:val="00DE51EC"/>
    <w:rsid w:val="00DE5585"/>
    <w:rsid w:val="00DE5633"/>
    <w:rsid w:val="00DE567C"/>
    <w:rsid w:val="00DE56CB"/>
    <w:rsid w:val="00DE571C"/>
    <w:rsid w:val="00DE5D30"/>
    <w:rsid w:val="00DE6E81"/>
    <w:rsid w:val="00DE6EF1"/>
    <w:rsid w:val="00DE7066"/>
    <w:rsid w:val="00DE779B"/>
    <w:rsid w:val="00DE7D34"/>
    <w:rsid w:val="00DF00A2"/>
    <w:rsid w:val="00DF00C5"/>
    <w:rsid w:val="00DF01BC"/>
    <w:rsid w:val="00DF06F7"/>
    <w:rsid w:val="00DF08C1"/>
    <w:rsid w:val="00DF11ED"/>
    <w:rsid w:val="00DF1D2E"/>
    <w:rsid w:val="00DF238A"/>
    <w:rsid w:val="00DF24DA"/>
    <w:rsid w:val="00DF2610"/>
    <w:rsid w:val="00DF2A2E"/>
    <w:rsid w:val="00DF2E62"/>
    <w:rsid w:val="00DF3277"/>
    <w:rsid w:val="00DF3347"/>
    <w:rsid w:val="00DF35E3"/>
    <w:rsid w:val="00DF4346"/>
    <w:rsid w:val="00DF4B2B"/>
    <w:rsid w:val="00DF5477"/>
    <w:rsid w:val="00DF56CF"/>
    <w:rsid w:val="00DF5F38"/>
    <w:rsid w:val="00DF75FB"/>
    <w:rsid w:val="00DF7A57"/>
    <w:rsid w:val="00E00129"/>
    <w:rsid w:val="00E003BC"/>
    <w:rsid w:val="00E01190"/>
    <w:rsid w:val="00E011D0"/>
    <w:rsid w:val="00E01749"/>
    <w:rsid w:val="00E01D61"/>
    <w:rsid w:val="00E023FD"/>
    <w:rsid w:val="00E0240A"/>
    <w:rsid w:val="00E02639"/>
    <w:rsid w:val="00E02699"/>
    <w:rsid w:val="00E0296F"/>
    <w:rsid w:val="00E02CC1"/>
    <w:rsid w:val="00E03523"/>
    <w:rsid w:val="00E036B2"/>
    <w:rsid w:val="00E03700"/>
    <w:rsid w:val="00E03907"/>
    <w:rsid w:val="00E03916"/>
    <w:rsid w:val="00E03B91"/>
    <w:rsid w:val="00E03C55"/>
    <w:rsid w:val="00E03E61"/>
    <w:rsid w:val="00E04182"/>
    <w:rsid w:val="00E04594"/>
    <w:rsid w:val="00E0496C"/>
    <w:rsid w:val="00E04D13"/>
    <w:rsid w:val="00E04D99"/>
    <w:rsid w:val="00E050CB"/>
    <w:rsid w:val="00E05A9F"/>
    <w:rsid w:val="00E05BFE"/>
    <w:rsid w:val="00E05E38"/>
    <w:rsid w:val="00E06702"/>
    <w:rsid w:val="00E06EB9"/>
    <w:rsid w:val="00E06FEC"/>
    <w:rsid w:val="00E07130"/>
    <w:rsid w:val="00E07AC4"/>
    <w:rsid w:val="00E07AD4"/>
    <w:rsid w:val="00E07C6C"/>
    <w:rsid w:val="00E07F16"/>
    <w:rsid w:val="00E102BA"/>
    <w:rsid w:val="00E10502"/>
    <w:rsid w:val="00E105B5"/>
    <w:rsid w:val="00E1063D"/>
    <w:rsid w:val="00E107CB"/>
    <w:rsid w:val="00E107F7"/>
    <w:rsid w:val="00E10F67"/>
    <w:rsid w:val="00E110B6"/>
    <w:rsid w:val="00E1110D"/>
    <w:rsid w:val="00E112E2"/>
    <w:rsid w:val="00E112F6"/>
    <w:rsid w:val="00E118A7"/>
    <w:rsid w:val="00E118EC"/>
    <w:rsid w:val="00E11EDF"/>
    <w:rsid w:val="00E12076"/>
    <w:rsid w:val="00E125C5"/>
    <w:rsid w:val="00E12663"/>
    <w:rsid w:val="00E127B2"/>
    <w:rsid w:val="00E12AB5"/>
    <w:rsid w:val="00E12E25"/>
    <w:rsid w:val="00E12EEE"/>
    <w:rsid w:val="00E1318E"/>
    <w:rsid w:val="00E1329C"/>
    <w:rsid w:val="00E132D5"/>
    <w:rsid w:val="00E1332D"/>
    <w:rsid w:val="00E1342E"/>
    <w:rsid w:val="00E135AF"/>
    <w:rsid w:val="00E13782"/>
    <w:rsid w:val="00E13784"/>
    <w:rsid w:val="00E13B6C"/>
    <w:rsid w:val="00E13C49"/>
    <w:rsid w:val="00E13C69"/>
    <w:rsid w:val="00E13DE4"/>
    <w:rsid w:val="00E14075"/>
    <w:rsid w:val="00E142B1"/>
    <w:rsid w:val="00E145D7"/>
    <w:rsid w:val="00E148B4"/>
    <w:rsid w:val="00E14CC1"/>
    <w:rsid w:val="00E14F27"/>
    <w:rsid w:val="00E153AC"/>
    <w:rsid w:val="00E15663"/>
    <w:rsid w:val="00E15C13"/>
    <w:rsid w:val="00E1641C"/>
    <w:rsid w:val="00E16788"/>
    <w:rsid w:val="00E16983"/>
    <w:rsid w:val="00E16ECD"/>
    <w:rsid w:val="00E17531"/>
    <w:rsid w:val="00E17571"/>
    <w:rsid w:val="00E1773F"/>
    <w:rsid w:val="00E2018C"/>
    <w:rsid w:val="00E20205"/>
    <w:rsid w:val="00E204A2"/>
    <w:rsid w:val="00E2050D"/>
    <w:rsid w:val="00E207B4"/>
    <w:rsid w:val="00E20999"/>
    <w:rsid w:val="00E20DAB"/>
    <w:rsid w:val="00E21700"/>
    <w:rsid w:val="00E21818"/>
    <w:rsid w:val="00E21C56"/>
    <w:rsid w:val="00E21CDB"/>
    <w:rsid w:val="00E21F63"/>
    <w:rsid w:val="00E22107"/>
    <w:rsid w:val="00E229D8"/>
    <w:rsid w:val="00E22B59"/>
    <w:rsid w:val="00E22DD4"/>
    <w:rsid w:val="00E23023"/>
    <w:rsid w:val="00E231F8"/>
    <w:rsid w:val="00E23BC5"/>
    <w:rsid w:val="00E23F57"/>
    <w:rsid w:val="00E241AB"/>
    <w:rsid w:val="00E24C52"/>
    <w:rsid w:val="00E24E27"/>
    <w:rsid w:val="00E24FF2"/>
    <w:rsid w:val="00E25243"/>
    <w:rsid w:val="00E252E2"/>
    <w:rsid w:val="00E25384"/>
    <w:rsid w:val="00E257A9"/>
    <w:rsid w:val="00E25B40"/>
    <w:rsid w:val="00E25D31"/>
    <w:rsid w:val="00E263FF"/>
    <w:rsid w:val="00E26AE8"/>
    <w:rsid w:val="00E27010"/>
    <w:rsid w:val="00E271DC"/>
    <w:rsid w:val="00E27211"/>
    <w:rsid w:val="00E272AE"/>
    <w:rsid w:val="00E27667"/>
    <w:rsid w:val="00E2777B"/>
    <w:rsid w:val="00E27B43"/>
    <w:rsid w:val="00E307C8"/>
    <w:rsid w:val="00E30A00"/>
    <w:rsid w:val="00E30C77"/>
    <w:rsid w:val="00E316E0"/>
    <w:rsid w:val="00E318CE"/>
    <w:rsid w:val="00E319BF"/>
    <w:rsid w:val="00E31A8D"/>
    <w:rsid w:val="00E32274"/>
    <w:rsid w:val="00E322E3"/>
    <w:rsid w:val="00E3232E"/>
    <w:rsid w:val="00E326C9"/>
    <w:rsid w:val="00E328FE"/>
    <w:rsid w:val="00E329EB"/>
    <w:rsid w:val="00E32E51"/>
    <w:rsid w:val="00E33161"/>
    <w:rsid w:val="00E3326A"/>
    <w:rsid w:val="00E336F0"/>
    <w:rsid w:val="00E33774"/>
    <w:rsid w:val="00E338A7"/>
    <w:rsid w:val="00E33B77"/>
    <w:rsid w:val="00E33C1D"/>
    <w:rsid w:val="00E341D0"/>
    <w:rsid w:val="00E343E3"/>
    <w:rsid w:val="00E34467"/>
    <w:rsid w:val="00E3479A"/>
    <w:rsid w:val="00E349C2"/>
    <w:rsid w:val="00E34A97"/>
    <w:rsid w:val="00E353D1"/>
    <w:rsid w:val="00E3559D"/>
    <w:rsid w:val="00E35D9C"/>
    <w:rsid w:val="00E35E97"/>
    <w:rsid w:val="00E36A63"/>
    <w:rsid w:val="00E36D4C"/>
    <w:rsid w:val="00E3716B"/>
    <w:rsid w:val="00E37454"/>
    <w:rsid w:val="00E3748A"/>
    <w:rsid w:val="00E378E8"/>
    <w:rsid w:val="00E379E6"/>
    <w:rsid w:val="00E37A38"/>
    <w:rsid w:val="00E37CE8"/>
    <w:rsid w:val="00E40BAD"/>
    <w:rsid w:val="00E40C96"/>
    <w:rsid w:val="00E41278"/>
    <w:rsid w:val="00E41C7A"/>
    <w:rsid w:val="00E42004"/>
    <w:rsid w:val="00E420CB"/>
    <w:rsid w:val="00E422C6"/>
    <w:rsid w:val="00E424F4"/>
    <w:rsid w:val="00E42606"/>
    <w:rsid w:val="00E42869"/>
    <w:rsid w:val="00E42B29"/>
    <w:rsid w:val="00E42D7B"/>
    <w:rsid w:val="00E42F15"/>
    <w:rsid w:val="00E430A9"/>
    <w:rsid w:val="00E434B6"/>
    <w:rsid w:val="00E434E9"/>
    <w:rsid w:val="00E434FC"/>
    <w:rsid w:val="00E43567"/>
    <w:rsid w:val="00E43684"/>
    <w:rsid w:val="00E436F5"/>
    <w:rsid w:val="00E4374A"/>
    <w:rsid w:val="00E437A8"/>
    <w:rsid w:val="00E437D6"/>
    <w:rsid w:val="00E43E76"/>
    <w:rsid w:val="00E442C3"/>
    <w:rsid w:val="00E446F0"/>
    <w:rsid w:val="00E44897"/>
    <w:rsid w:val="00E44D8A"/>
    <w:rsid w:val="00E44EE4"/>
    <w:rsid w:val="00E452A6"/>
    <w:rsid w:val="00E458F3"/>
    <w:rsid w:val="00E45BEC"/>
    <w:rsid w:val="00E46175"/>
    <w:rsid w:val="00E462D9"/>
    <w:rsid w:val="00E46CB7"/>
    <w:rsid w:val="00E46E02"/>
    <w:rsid w:val="00E470F6"/>
    <w:rsid w:val="00E47921"/>
    <w:rsid w:val="00E47EC2"/>
    <w:rsid w:val="00E5003D"/>
    <w:rsid w:val="00E50632"/>
    <w:rsid w:val="00E508B6"/>
    <w:rsid w:val="00E50D4A"/>
    <w:rsid w:val="00E516F5"/>
    <w:rsid w:val="00E519C9"/>
    <w:rsid w:val="00E52119"/>
    <w:rsid w:val="00E521B7"/>
    <w:rsid w:val="00E5241F"/>
    <w:rsid w:val="00E52509"/>
    <w:rsid w:val="00E52765"/>
    <w:rsid w:val="00E52806"/>
    <w:rsid w:val="00E52A60"/>
    <w:rsid w:val="00E52F89"/>
    <w:rsid w:val="00E5342E"/>
    <w:rsid w:val="00E53974"/>
    <w:rsid w:val="00E544C1"/>
    <w:rsid w:val="00E5460D"/>
    <w:rsid w:val="00E54BCB"/>
    <w:rsid w:val="00E54C79"/>
    <w:rsid w:val="00E54CD8"/>
    <w:rsid w:val="00E54F7D"/>
    <w:rsid w:val="00E55477"/>
    <w:rsid w:val="00E55A19"/>
    <w:rsid w:val="00E55B7D"/>
    <w:rsid w:val="00E5649D"/>
    <w:rsid w:val="00E56823"/>
    <w:rsid w:val="00E56B3C"/>
    <w:rsid w:val="00E56EEC"/>
    <w:rsid w:val="00E570EA"/>
    <w:rsid w:val="00E57167"/>
    <w:rsid w:val="00E57483"/>
    <w:rsid w:val="00E57944"/>
    <w:rsid w:val="00E57B1A"/>
    <w:rsid w:val="00E57BD7"/>
    <w:rsid w:val="00E6065E"/>
    <w:rsid w:val="00E608FB"/>
    <w:rsid w:val="00E61659"/>
    <w:rsid w:val="00E61840"/>
    <w:rsid w:val="00E61BFA"/>
    <w:rsid w:val="00E61CE6"/>
    <w:rsid w:val="00E61F2F"/>
    <w:rsid w:val="00E621F9"/>
    <w:rsid w:val="00E622D0"/>
    <w:rsid w:val="00E626C1"/>
    <w:rsid w:val="00E629B4"/>
    <w:rsid w:val="00E62A7D"/>
    <w:rsid w:val="00E62CD5"/>
    <w:rsid w:val="00E62D7F"/>
    <w:rsid w:val="00E631ED"/>
    <w:rsid w:val="00E6370B"/>
    <w:rsid w:val="00E63C6D"/>
    <w:rsid w:val="00E63F1B"/>
    <w:rsid w:val="00E64189"/>
    <w:rsid w:val="00E642E6"/>
    <w:rsid w:val="00E64441"/>
    <w:rsid w:val="00E644D7"/>
    <w:rsid w:val="00E64904"/>
    <w:rsid w:val="00E64C31"/>
    <w:rsid w:val="00E64D54"/>
    <w:rsid w:val="00E64E68"/>
    <w:rsid w:val="00E64F86"/>
    <w:rsid w:val="00E65601"/>
    <w:rsid w:val="00E659E3"/>
    <w:rsid w:val="00E662D9"/>
    <w:rsid w:val="00E66878"/>
    <w:rsid w:val="00E66A6D"/>
    <w:rsid w:val="00E674BB"/>
    <w:rsid w:val="00E678C8"/>
    <w:rsid w:val="00E67AB4"/>
    <w:rsid w:val="00E67DE5"/>
    <w:rsid w:val="00E67EAC"/>
    <w:rsid w:val="00E700CF"/>
    <w:rsid w:val="00E700F7"/>
    <w:rsid w:val="00E701DA"/>
    <w:rsid w:val="00E70584"/>
    <w:rsid w:val="00E70989"/>
    <w:rsid w:val="00E70F03"/>
    <w:rsid w:val="00E7126D"/>
    <w:rsid w:val="00E715EB"/>
    <w:rsid w:val="00E71A54"/>
    <w:rsid w:val="00E71EB5"/>
    <w:rsid w:val="00E7217B"/>
    <w:rsid w:val="00E721CB"/>
    <w:rsid w:val="00E723B8"/>
    <w:rsid w:val="00E72769"/>
    <w:rsid w:val="00E73306"/>
    <w:rsid w:val="00E73344"/>
    <w:rsid w:val="00E7335D"/>
    <w:rsid w:val="00E73474"/>
    <w:rsid w:val="00E738FE"/>
    <w:rsid w:val="00E73C14"/>
    <w:rsid w:val="00E73C59"/>
    <w:rsid w:val="00E7469F"/>
    <w:rsid w:val="00E746E2"/>
    <w:rsid w:val="00E74999"/>
    <w:rsid w:val="00E7500D"/>
    <w:rsid w:val="00E750BF"/>
    <w:rsid w:val="00E75496"/>
    <w:rsid w:val="00E7567E"/>
    <w:rsid w:val="00E7585A"/>
    <w:rsid w:val="00E759EB"/>
    <w:rsid w:val="00E75A80"/>
    <w:rsid w:val="00E76582"/>
    <w:rsid w:val="00E765AC"/>
    <w:rsid w:val="00E768F6"/>
    <w:rsid w:val="00E76A1F"/>
    <w:rsid w:val="00E77028"/>
    <w:rsid w:val="00E7745D"/>
    <w:rsid w:val="00E77698"/>
    <w:rsid w:val="00E77924"/>
    <w:rsid w:val="00E802D9"/>
    <w:rsid w:val="00E808E8"/>
    <w:rsid w:val="00E81070"/>
    <w:rsid w:val="00E8126C"/>
    <w:rsid w:val="00E81919"/>
    <w:rsid w:val="00E81B93"/>
    <w:rsid w:val="00E81F94"/>
    <w:rsid w:val="00E82425"/>
    <w:rsid w:val="00E82AF3"/>
    <w:rsid w:val="00E82C64"/>
    <w:rsid w:val="00E835EE"/>
    <w:rsid w:val="00E83755"/>
    <w:rsid w:val="00E837FF"/>
    <w:rsid w:val="00E83EA1"/>
    <w:rsid w:val="00E83F33"/>
    <w:rsid w:val="00E83F8B"/>
    <w:rsid w:val="00E8481C"/>
    <w:rsid w:val="00E84A1B"/>
    <w:rsid w:val="00E84A31"/>
    <w:rsid w:val="00E84B41"/>
    <w:rsid w:val="00E84C37"/>
    <w:rsid w:val="00E84CAB"/>
    <w:rsid w:val="00E84D6B"/>
    <w:rsid w:val="00E8530B"/>
    <w:rsid w:val="00E8573E"/>
    <w:rsid w:val="00E859F1"/>
    <w:rsid w:val="00E85D09"/>
    <w:rsid w:val="00E863FB"/>
    <w:rsid w:val="00E86891"/>
    <w:rsid w:val="00E86F4E"/>
    <w:rsid w:val="00E86FBF"/>
    <w:rsid w:val="00E86FDD"/>
    <w:rsid w:val="00E8760F"/>
    <w:rsid w:val="00E87952"/>
    <w:rsid w:val="00E87CE7"/>
    <w:rsid w:val="00E87F52"/>
    <w:rsid w:val="00E87FA9"/>
    <w:rsid w:val="00E900AF"/>
    <w:rsid w:val="00E901F2"/>
    <w:rsid w:val="00E90223"/>
    <w:rsid w:val="00E902D8"/>
    <w:rsid w:val="00E90570"/>
    <w:rsid w:val="00E9073B"/>
    <w:rsid w:val="00E90EFD"/>
    <w:rsid w:val="00E910C1"/>
    <w:rsid w:val="00E91175"/>
    <w:rsid w:val="00E913D3"/>
    <w:rsid w:val="00E91588"/>
    <w:rsid w:val="00E915D1"/>
    <w:rsid w:val="00E92BF4"/>
    <w:rsid w:val="00E93466"/>
    <w:rsid w:val="00E9375E"/>
    <w:rsid w:val="00E938C1"/>
    <w:rsid w:val="00E93A50"/>
    <w:rsid w:val="00E93BC0"/>
    <w:rsid w:val="00E94557"/>
    <w:rsid w:val="00E946A4"/>
    <w:rsid w:val="00E9493E"/>
    <w:rsid w:val="00E94B64"/>
    <w:rsid w:val="00E94E6D"/>
    <w:rsid w:val="00E94FF6"/>
    <w:rsid w:val="00E9509E"/>
    <w:rsid w:val="00E950A1"/>
    <w:rsid w:val="00E95212"/>
    <w:rsid w:val="00E95A7A"/>
    <w:rsid w:val="00E95A8D"/>
    <w:rsid w:val="00E95DE5"/>
    <w:rsid w:val="00E9610F"/>
    <w:rsid w:val="00E96BB0"/>
    <w:rsid w:val="00E96F01"/>
    <w:rsid w:val="00E96F25"/>
    <w:rsid w:val="00E978AD"/>
    <w:rsid w:val="00E97BD4"/>
    <w:rsid w:val="00E97C87"/>
    <w:rsid w:val="00E97CB6"/>
    <w:rsid w:val="00E97DE4"/>
    <w:rsid w:val="00EA05AA"/>
    <w:rsid w:val="00EA0953"/>
    <w:rsid w:val="00EA0A78"/>
    <w:rsid w:val="00EA0AB2"/>
    <w:rsid w:val="00EA0FB3"/>
    <w:rsid w:val="00EA1532"/>
    <w:rsid w:val="00EA1DE8"/>
    <w:rsid w:val="00EA2B1C"/>
    <w:rsid w:val="00EA2BC0"/>
    <w:rsid w:val="00EA308C"/>
    <w:rsid w:val="00EA32BA"/>
    <w:rsid w:val="00EA380F"/>
    <w:rsid w:val="00EA39AA"/>
    <w:rsid w:val="00EA3AF2"/>
    <w:rsid w:val="00EA44E2"/>
    <w:rsid w:val="00EA453B"/>
    <w:rsid w:val="00EA4BF1"/>
    <w:rsid w:val="00EA4EB5"/>
    <w:rsid w:val="00EA4F31"/>
    <w:rsid w:val="00EA4F4F"/>
    <w:rsid w:val="00EA589E"/>
    <w:rsid w:val="00EA5B5F"/>
    <w:rsid w:val="00EA5D3F"/>
    <w:rsid w:val="00EA605F"/>
    <w:rsid w:val="00EA61FC"/>
    <w:rsid w:val="00EA63DF"/>
    <w:rsid w:val="00EA6894"/>
    <w:rsid w:val="00EA6A9F"/>
    <w:rsid w:val="00EA6E8B"/>
    <w:rsid w:val="00EA7252"/>
    <w:rsid w:val="00EA7441"/>
    <w:rsid w:val="00EA759E"/>
    <w:rsid w:val="00EA7E88"/>
    <w:rsid w:val="00EB017E"/>
    <w:rsid w:val="00EB08A6"/>
    <w:rsid w:val="00EB0944"/>
    <w:rsid w:val="00EB0E18"/>
    <w:rsid w:val="00EB0EF9"/>
    <w:rsid w:val="00EB0FBB"/>
    <w:rsid w:val="00EB1391"/>
    <w:rsid w:val="00EB168F"/>
    <w:rsid w:val="00EB17AB"/>
    <w:rsid w:val="00EB1840"/>
    <w:rsid w:val="00EB2823"/>
    <w:rsid w:val="00EB28DF"/>
    <w:rsid w:val="00EB2917"/>
    <w:rsid w:val="00EB2F9B"/>
    <w:rsid w:val="00EB33FF"/>
    <w:rsid w:val="00EB3D48"/>
    <w:rsid w:val="00EB3DD8"/>
    <w:rsid w:val="00EB4420"/>
    <w:rsid w:val="00EB4691"/>
    <w:rsid w:val="00EB473D"/>
    <w:rsid w:val="00EB4777"/>
    <w:rsid w:val="00EB4866"/>
    <w:rsid w:val="00EB4FAD"/>
    <w:rsid w:val="00EB5243"/>
    <w:rsid w:val="00EB53A8"/>
    <w:rsid w:val="00EB541A"/>
    <w:rsid w:val="00EB5C34"/>
    <w:rsid w:val="00EB5DBC"/>
    <w:rsid w:val="00EB680F"/>
    <w:rsid w:val="00EB6EDD"/>
    <w:rsid w:val="00EB70A8"/>
    <w:rsid w:val="00EB78D9"/>
    <w:rsid w:val="00EC00EB"/>
    <w:rsid w:val="00EC014A"/>
    <w:rsid w:val="00EC0599"/>
    <w:rsid w:val="00EC092D"/>
    <w:rsid w:val="00EC1327"/>
    <w:rsid w:val="00EC1663"/>
    <w:rsid w:val="00EC1AD8"/>
    <w:rsid w:val="00EC1C3B"/>
    <w:rsid w:val="00EC2111"/>
    <w:rsid w:val="00EC236F"/>
    <w:rsid w:val="00EC24A0"/>
    <w:rsid w:val="00EC2824"/>
    <w:rsid w:val="00EC2AF4"/>
    <w:rsid w:val="00EC2BD2"/>
    <w:rsid w:val="00EC2C2F"/>
    <w:rsid w:val="00EC2EFB"/>
    <w:rsid w:val="00EC376F"/>
    <w:rsid w:val="00EC3AD1"/>
    <w:rsid w:val="00EC3BAE"/>
    <w:rsid w:val="00EC3F03"/>
    <w:rsid w:val="00EC3F8E"/>
    <w:rsid w:val="00EC3FBF"/>
    <w:rsid w:val="00EC4127"/>
    <w:rsid w:val="00EC4DF5"/>
    <w:rsid w:val="00EC5028"/>
    <w:rsid w:val="00EC5741"/>
    <w:rsid w:val="00EC59BE"/>
    <w:rsid w:val="00EC5A14"/>
    <w:rsid w:val="00EC5FAA"/>
    <w:rsid w:val="00EC61EB"/>
    <w:rsid w:val="00EC6A0B"/>
    <w:rsid w:val="00EC71FD"/>
    <w:rsid w:val="00EC77DC"/>
    <w:rsid w:val="00EC7951"/>
    <w:rsid w:val="00ED01BE"/>
    <w:rsid w:val="00ED03F9"/>
    <w:rsid w:val="00ED054A"/>
    <w:rsid w:val="00ED0B84"/>
    <w:rsid w:val="00ED1526"/>
    <w:rsid w:val="00ED167F"/>
    <w:rsid w:val="00ED1833"/>
    <w:rsid w:val="00ED2129"/>
    <w:rsid w:val="00ED22A2"/>
    <w:rsid w:val="00ED23CF"/>
    <w:rsid w:val="00ED2BA5"/>
    <w:rsid w:val="00ED2FBD"/>
    <w:rsid w:val="00ED326C"/>
    <w:rsid w:val="00ED32FF"/>
    <w:rsid w:val="00ED3592"/>
    <w:rsid w:val="00ED35F9"/>
    <w:rsid w:val="00ED3ACC"/>
    <w:rsid w:val="00ED3BB5"/>
    <w:rsid w:val="00ED3CA5"/>
    <w:rsid w:val="00ED3EE9"/>
    <w:rsid w:val="00ED3F89"/>
    <w:rsid w:val="00ED3FA4"/>
    <w:rsid w:val="00ED41B1"/>
    <w:rsid w:val="00ED4266"/>
    <w:rsid w:val="00ED46BC"/>
    <w:rsid w:val="00ED4797"/>
    <w:rsid w:val="00ED495C"/>
    <w:rsid w:val="00ED4A8E"/>
    <w:rsid w:val="00ED4BB0"/>
    <w:rsid w:val="00ED4C51"/>
    <w:rsid w:val="00ED4CB3"/>
    <w:rsid w:val="00ED4F9B"/>
    <w:rsid w:val="00ED530C"/>
    <w:rsid w:val="00ED533B"/>
    <w:rsid w:val="00ED556C"/>
    <w:rsid w:val="00ED55EE"/>
    <w:rsid w:val="00ED574F"/>
    <w:rsid w:val="00ED585B"/>
    <w:rsid w:val="00ED5E07"/>
    <w:rsid w:val="00ED5E6A"/>
    <w:rsid w:val="00ED66A0"/>
    <w:rsid w:val="00ED7098"/>
    <w:rsid w:val="00ED74DC"/>
    <w:rsid w:val="00ED7527"/>
    <w:rsid w:val="00ED79D5"/>
    <w:rsid w:val="00ED7F36"/>
    <w:rsid w:val="00EE0202"/>
    <w:rsid w:val="00EE020E"/>
    <w:rsid w:val="00EE0391"/>
    <w:rsid w:val="00EE0676"/>
    <w:rsid w:val="00EE0727"/>
    <w:rsid w:val="00EE08F3"/>
    <w:rsid w:val="00EE0AF9"/>
    <w:rsid w:val="00EE0B0B"/>
    <w:rsid w:val="00EE0D2B"/>
    <w:rsid w:val="00EE12D5"/>
    <w:rsid w:val="00EE138F"/>
    <w:rsid w:val="00EE13AE"/>
    <w:rsid w:val="00EE177E"/>
    <w:rsid w:val="00EE188F"/>
    <w:rsid w:val="00EE1D1A"/>
    <w:rsid w:val="00EE2251"/>
    <w:rsid w:val="00EE28B0"/>
    <w:rsid w:val="00EE2A50"/>
    <w:rsid w:val="00EE2C6A"/>
    <w:rsid w:val="00EE2FE1"/>
    <w:rsid w:val="00EE327E"/>
    <w:rsid w:val="00EE34CF"/>
    <w:rsid w:val="00EE37D1"/>
    <w:rsid w:val="00EE3B40"/>
    <w:rsid w:val="00EE3B51"/>
    <w:rsid w:val="00EE3DDB"/>
    <w:rsid w:val="00EE3EA3"/>
    <w:rsid w:val="00EE48BA"/>
    <w:rsid w:val="00EE4B8B"/>
    <w:rsid w:val="00EE5340"/>
    <w:rsid w:val="00EE5428"/>
    <w:rsid w:val="00EE5632"/>
    <w:rsid w:val="00EE58BB"/>
    <w:rsid w:val="00EE5D84"/>
    <w:rsid w:val="00EE5E34"/>
    <w:rsid w:val="00EE5E9B"/>
    <w:rsid w:val="00EE5F50"/>
    <w:rsid w:val="00EE61F0"/>
    <w:rsid w:val="00EE6299"/>
    <w:rsid w:val="00EE62EE"/>
    <w:rsid w:val="00EE642D"/>
    <w:rsid w:val="00EE6809"/>
    <w:rsid w:val="00EE6880"/>
    <w:rsid w:val="00EE69E1"/>
    <w:rsid w:val="00EE6CD2"/>
    <w:rsid w:val="00EE749E"/>
    <w:rsid w:val="00EE77C1"/>
    <w:rsid w:val="00EE7FD1"/>
    <w:rsid w:val="00EF0207"/>
    <w:rsid w:val="00EF0380"/>
    <w:rsid w:val="00EF0BEA"/>
    <w:rsid w:val="00EF10EA"/>
    <w:rsid w:val="00EF1130"/>
    <w:rsid w:val="00EF166C"/>
    <w:rsid w:val="00EF17A2"/>
    <w:rsid w:val="00EF197B"/>
    <w:rsid w:val="00EF1F16"/>
    <w:rsid w:val="00EF2277"/>
    <w:rsid w:val="00EF25DA"/>
    <w:rsid w:val="00EF2658"/>
    <w:rsid w:val="00EF2725"/>
    <w:rsid w:val="00EF3358"/>
    <w:rsid w:val="00EF35D6"/>
    <w:rsid w:val="00EF3624"/>
    <w:rsid w:val="00EF392A"/>
    <w:rsid w:val="00EF4A4E"/>
    <w:rsid w:val="00EF4C02"/>
    <w:rsid w:val="00EF4D45"/>
    <w:rsid w:val="00EF4FF2"/>
    <w:rsid w:val="00EF54D6"/>
    <w:rsid w:val="00EF5587"/>
    <w:rsid w:val="00EF56EC"/>
    <w:rsid w:val="00EF572B"/>
    <w:rsid w:val="00EF63B9"/>
    <w:rsid w:val="00EF67F9"/>
    <w:rsid w:val="00EF6D7D"/>
    <w:rsid w:val="00EF7246"/>
    <w:rsid w:val="00F00842"/>
    <w:rsid w:val="00F009B4"/>
    <w:rsid w:val="00F00BA1"/>
    <w:rsid w:val="00F00D9C"/>
    <w:rsid w:val="00F00DAB"/>
    <w:rsid w:val="00F00EF3"/>
    <w:rsid w:val="00F012AF"/>
    <w:rsid w:val="00F013DD"/>
    <w:rsid w:val="00F01442"/>
    <w:rsid w:val="00F0184E"/>
    <w:rsid w:val="00F01E03"/>
    <w:rsid w:val="00F02836"/>
    <w:rsid w:val="00F02995"/>
    <w:rsid w:val="00F02BBA"/>
    <w:rsid w:val="00F02CC7"/>
    <w:rsid w:val="00F02EA9"/>
    <w:rsid w:val="00F0310B"/>
    <w:rsid w:val="00F031B3"/>
    <w:rsid w:val="00F04014"/>
    <w:rsid w:val="00F04213"/>
    <w:rsid w:val="00F04320"/>
    <w:rsid w:val="00F04579"/>
    <w:rsid w:val="00F050CB"/>
    <w:rsid w:val="00F05674"/>
    <w:rsid w:val="00F05756"/>
    <w:rsid w:val="00F05949"/>
    <w:rsid w:val="00F05962"/>
    <w:rsid w:val="00F05E42"/>
    <w:rsid w:val="00F0606D"/>
    <w:rsid w:val="00F06176"/>
    <w:rsid w:val="00F06563"/>
    <w:rsid w:val="00F06B88"/>
    <w:rsid w:val="00F06EB2"/>
    <w:rsid w:val="00F06EBF"/>
    <w:rsid w:val="00F071FA"/>
    <w:rsid w:val="00F0734F"/>
    <w:rsid w:val="00F073C7"/>
    <w:rsid w:val="00F07A87"/>
    <w:rsid w:val="00F07B23"/>
    <w:rsid w:val="00F100DC"/>
    <w:rsid w:val="00F1085E"/>
    <w:rsid w:val="00F10990"/>
    <w:rsid w:val="00F10BA6"/>
    <w:rsid w:val="00F10BC1"/>
    <w:rsid w:val="00F10C61"/>
    <w:rsid w:val="00F11464"/>
    <w:rsid w:val="00F1188E"/>
    <w:rsid w:val="00F11D8B"/>
    <w:rsid w:val="00F11D9C"/>
    <w:rsid w:val="00F11DBC"/>
    <w:rsid w:val="00F12463"/>
    <w:rsid w:val="00F1279B"/>
    <w:rsid w:val="00F12F2A"/>
    <w:rsid w:val="00F12FF0"/>
    <w:rsid w:val="00F13135"/>
    <w:rsid w:val="00F132FF"/>
    <w:rsid w:val="00F13404"/>
    <w:rsid w:val="00F13C7D"/>
    <w:rsid w:val="00F13CCD"/>
    <w:rsid w:val="00F13D44"/>
    <w:rsid w:val="00F140E7"/>
    <w:rsid w:val="00F14809"/>
    <w:rsid w:val="00F14A1E"/>
    <w:rsid w:val="00F14AFD"/>
    <w:rsid w:val="00F14C9D"/>
    <w:rsid w:val="00F150B8"/>
    <w:rsid w:val="00F15456"/>
    <w:rsid w:val="00F15743"/>
    <w:rsid w:val="00F15DA8"/>
    <w:rsid w:val="00F15E96"/>
    <w:rsid w:val="00F162E0"/>
    <w:rsid w:val="00F167D6"/>
    <w:rsid w:val="00F16807"/>
    <w:rsid w:val="00F174B2"/>
    <w:rsid w:val="00F17793"/>
    <w:rsid w:val="00F1785C"/>
    <w:rsid w:val="00F179E0"/>
    <w:rsid w:val="00F17CD8"/>
    <w:rsid w:val="00F17D1D"/>
    <w:rsid w:val="00F17DE2"/>
    <w:rsid w:val="00F17EDD"/>
    <w:rsid w:val="00F2058D"/>
    <w:rsid w:val="00F205BC"/>
    <w:rsid w:val="00F20708"/>
    <w:rsid w:val="00F207F2"/>
    <w:rsid w:val="00F20BA5"/>
    <w:rsid w:val="00F212E5"/>
    <w:rsid w:val="00F217A9"/>
    <w:rsid w:val="00F21B08"/>
    <w:rsid w:val="00F21DA0"/>
    <w:rsid w:val="00F21F37"/>
    <w:rsid w:val="00F22070"/>
    <w:rsid w:val="00F22D52"/>
    <w:rsid w:val="00F22F8C"/>
    <w:rsid w:val="00F22FA6"/>
    <w:rsid w:val="00F233F7"/>
    <w:rsid w:val="00F23557"/>
    <w:rsid w:val="00F245DF"/>
    <w:rsid w:val="00F24BF3"/>
    <w:rsid w:val="00F24D43"/>
    <w:rsid w:val="00F25149"/>
    <w:rsid w:val="00F25215"/>
    <w:rsid w:val="00F254F0"/>
    <w:rsid w:val="00F25576"/>
    <w:rsid w:val="00F25A3D"/>
    <w:rsid w:val="00F2632B"/>
    <w:rsid w:val="00F26444"/>
    <w:rsid w:val="00F26541"/>
    <w:rsid w:val="00F26887"/>
    <w:rsid w:val="00F2691A"/>
    <w:rsid w:val="00F26EEC"/>
    <w:rsid w:val="00F275D3"/>
    <w:rsid w:val="00F27B0F"/>
    <w:rsid w:val="00F27D39"/>
    <w:rsid w:val="00F30237"/>
    <w:rsid w:val="00F30652"/>
    <w:rsid w:val="00F30A57"/>
    <w:rsid w:val="00F31280"/>
    <w:rsid w:val="00F315AC"/>
    <w:rsid w:val="00F31788"/>
    <w:rsid w:val="00F31935"/>
    <w:rsid w:val="00F31F2E"/>
    <w:rsid w:val="00F32E3A"/>
    <w:rsid w:val="00F33180"/>
    <w:rsid w:val="00F334FF"/>
    <w:rsid w:val="00F338D5"/>
    <w:rsid w:val="00F33B27"/>
    <w:rsid w:val="00F33ECB"/>
    <w:rsid w:val="00F33F99"/>
    <w:rsid w:val="00F344A2"/>
    <w:rsid w:val="00F34604"/>
    <w:rsid w:val="00F346D6"/>
    <w:rsid w:val="00F347FD"/>
    <w:rsid w:val="00F34AEB"/>
    <w:rsid w:val="00F34FF9"/>
    <w:rsid w:val="00F35681"/>
    <w:rsid w:val="00F358B6"/>
    <w:rsid w:val="00F35A2F"/>
    <w:rsid w:val="00F35CFB"/>
    <w:rsid w:val="00F35DFF"/>
    <w:rsid w:val="00F3629C"/>
    <w:rsid w:val="00F363B9"/>
    <w:rsid w:val="00F36793"/>
    <w:rsid w:val="00F36BC1"/>
    <w:rsid w:val="00F37820"/>
    <w:rsid w:val="00F37AD1"/>
    <w:rsid w:val="00F37B7F"/>
    <w:rsid w:val="00F37BFF"/>
    <w:rsid w:val="00F37E2F"/>
    <w:rsid w:val="00F4017F"/>
    <w:rsid w:val="00F4021D"/>
    <w:rsid w:val="00F403F0"/>
    <w:rsid w:val="00F40568"/>
    <w:rsid w:val="00F406AD"/>
    <w:rsid w:val="00F41841"/>
    <w:rsid w:val="00F42427"/>
    <w:rsid w:val="00F428C1"/>
    <w:rsid w:val="00F42D52"/>
    <w:rsid w:val="00F42EF6"/>
    <w:rsid w:val="00F43078"/>
    <w:rsid w:val="00F430DA"/>
    <w:rsid w:val="00F43284"/>
    <w:rsid w:val="00F438A9"/>
    <w:rsid w:val="00F438B7"/>
    <w:rsid w:val="00F43986"/>
    <w:rsid w:val="00F43F9F"/>
    <w:rsid w:val="00F442AD"/>
    <w:rsid w:val="00F4447B"/>
    <w:rsid w:val="00F44613"/>
    <w:rsid w:val="00F44A0C"/>
    <w:rsid w:val="00F44D45"/>
    <w:rsid w:val="00F44E5D"/>
    <w:rsid w:val="00F45077"/>
    <w:rsid w:val="00F450DE"/>
    <w:rsid w:val="00F455CA"/>
    <w:rsid w:val="00F45E22"/>
    <w:rsid w:val="00F45E54"/>
    <w:rsid w:val="00F45F68"/>
    <w:rsid w:val="00F4615A"/>
    <w:rsid w:val="00F464A4"/>
    <w:rsid w:val="00F4677C"/>
    <w:rsid w:val="00F46EBF"/>
    <w:rsid w:val="00F470CD"/>
    <w:rsid w:val="00F470D5"/>
    <w:rsid w:val="00F47339"/>
    <w:rsid w:val="00F47736"/>
    <w:rsid w:val="00F47AB0"/>
    <w:rsid w:val="00F47ED9"/>
    <w:rsid w:val="00F50336"/>
    <w:rsid w:val="00F50D3B"/>
    <w:rsid w:val="00F513C5"/>
    <w:rsid w:val="00F515BE"/>
    <w:rsid w:val="00F515D7"/>
    <w:rsid w:val="00F515ED"/>
    <w:rsid w:val="00F51813"/>
    <w:rsid w:val="00F518C6"/>
    <w:rsid w:val="00F51CFB"/>
    <w:rsid w:val="00F51DFE"/>
    <w:rsid w:val="00F52014"/>
    <w:rsid w:val="00F525D2"/>
    <w:rsid w:val="00F528A1"/>
    <w:rsid w:val="00F52D1E"/>
    <w:rsid w:val="00F52D6D"/>
    <w:rsid w:val="00F52DBD"/>
    <w:rsid w:val="00F52FBD"/>
    <w:rsid w:val="00F53075"/>
    <w:rsid w:val="00F5396D"/>
    <w:rsid w:val="00F53F4E"/>
    <w:rsid w:val="00F54207"/>
    <w:rsid w:val="00F54327"/>
    <w:rsid w:val="00F544D1"/>
    <w:rsid w:val="00F54A6E"/>
    <w:rsid w:val="00F54F1F"/>
    <w:rsid w:val="00F55029"/>
    <w:rsid w:val="00F5508E"/>
    <w:rsid w:val="00F554B8"/>
    <w:rsid w:val="00F554DB"/>
    <w:rsid w:val="00F55892"/>
    <w:rsid w:val="00F55B06"/>
    <w:rsid w:val="00F55E5F"/>
    <w:rsid w:val="00F562C6"/>
    <w:rsid w:val="00F56BDE"/>
    <w:rsid w:val="00F56F36"/>
    <w:rsid w:val="00F570CB"/>
    <w:rsid w:val="00F57101"/>
    <w:rsid w:val="00F6050A"/>
    <w:rsid w:val="00F60576"/>
    <w:rsid w:val="00F607B1"/>
    <w:rsid w:val="00F60A15"/>
    <w:rsid w:val="00F60C55"/>
    <w:rsid w:val="00F60E08"/>
    <w:rsid w:val="00F60E21"/>
    <w:rsid w:val="00F60F83"/>
    <w:rsid w:val="00F615A1"/>
    <w:rsid w:val="00F61876"/>
    <w:rsid w:val="00F61E48"/>
    <w:rsid w:val="00F6239F"/>
    <w:rsid w:val="00F625E7"/>
    <w:rsid w:val="00F62AC9"/>
    <w:rsid w:val="00F633E6"/>
    <w:rsid w:val="00F634B6"/>
    <w:rsid w:val="00F63863"/>
    <w:rsid w:val="00F64330"/>
    <w:rsid w:val="00F6467B"/>
    <w:rsid w:val="00F6473F"/>
    <w:rsid w:val="00F650D5"/>
    <w:rsid w:val="00F6524A"/>
    <w:rsid w:val="00F65B3D"/>
    <w:rsid w:val="00F6629B"/>
    <w:rsid w:val="00F664FD"/>
    <w:rsid w:val="00F67091"/>
    <w:rsid w:val="00F6744E"/>
    <w:rsid w:val="00F67507"/>
    <w:rsid w:val="00F6754C"/>
    <w:rsid w:val="00F701AD"/>
    <w:rsid w:val="00F7082E"/>
    <w:rsid w:val="00F70863"/>
    <w:rsid w:val="00F70946"/>
    <w:rsid w:val="00F70BD2"/>
    <w:rsid w:val="00F72015"/>
    <w:rsid w:val="00F723B1"/>
    <w:rsid w:val="00F725B4"/>
    <w:rsid w:val="00F7288D"/>
    <w:rsid w:val="00F72A40"/>
    <w:rsid w:val="00F72CF9"/>
    <w:rsid w:val="00F72ED2"/>
    <w:rsid w:val="00F7330B"/>
    <w:rsid w:val="00F73448"/>
    <w:rsid w:val="00F735E7"/>
    <w:rsid w:val="00F73719"/>
    <w:rsid w:val="00F7388E"/>
    <w:rsid w:val="00F7431A"/>
    <w:rsid w:val="00F75BBD"/>
    <w:rsid w:val="00F7615D"/>
    <w:rsid w:val="00F76249"/>
    <w:rsid w:val="00F76354"/>
    <w:rsid w:val="00F7637D"/>
    <w:rsid w:val="00F76419"/>
    <w:rsid w:val="00F76705"/>
    <w:rsid w:val="00F768E4"/>
    <w:rsid w:val="00F76E4E"/>
    <w:rsid w:val="00F76F78"/>
    <w:rsid w:val="00F773BF"/>
    <w:rsid w:val="00F776E1"/>
    <w:rsid w:val="00F80477"/>
    <w:rsid w:val="00F80693"/>
    <w:rsid w:val="00F80874"/>
    <w:rsid w:val="00F80904"/>
    <w:rsid w:val="00F809E4"/>
    <w:rsid w:val="00F80CE2"/>
    <w:rsid w:val="00F80F3D"/>
    <w:rsid w:val="00F81192"/>
    <w:rsid w:val="00F8168B"/>
    <w:rsid w:val="00F8189D"/>
    <w:rsid w:val="00F81B09"/>
    <w:rsid w:val="00F81BF9"/>
    <w:rsid w:val="00F822ED"/>
    <w:rsid w:val="00F824E3"/>
    <w:rsid w:val="00F82C1E"/>
    <w:rsid w:val="00F82C5B"/>
    <w:rsid w:val="00F82C9D"/>
    <w:rsid w:val="00F831A7"/>
    <w:rsid w:val="00F83831"/>
    <w:rsid w:val="00F83BC5"/>
    <w:rsid w:val="00F83FC1"/>
    <w:rsid w:val="00F844DA"/>
    <w:rsid w:val="00F84501"/>
    <w:rsid w:val="00F8466C"/>
    <w:rsid w:val="00F8468E"/>
    <w:rsid w:val="00F8481A"/>
    <w:rsid w:val="00F8515A"/>
    <w:rsid w:val="00F852CD"/>
    <w:rsid w:val="00F85424"/>
    <w:rsid w:val="00F85C24"/>
    <w:rsid w:val="00F85CFF"/>
    <w:rsid w:val="00F8604C"/>
    <w:rsid w:val="00F86147"/>
    <w:rsid w:val="00F86713"/>
    <w:rsid w:val="00F86A90"/>
    <w:rsid w:val="00F87163"/>
    <w:rsid w:val="00F8720A"/>
    <w:rsid w:val="00F87299"/>
    <w:rsid w:val="00F873B5"/>
    <w:rsid w:val="00F87614"/>
    <w:rsid w:val="00F876A9"/>
    <w:rsid w:val="00F878FF"/>
    <w:rsid w:val="00F87B72"/>
    <w:rsid w:val="00F900BB"/>
    <w:rsid w:val="00F90233"/>
    <w:rsid w:val="00F90674"/>
    <w:rsid w:val="00F90785"/>
    <w:rsid w:val="00F90842"/>
    <w:rsid w:val="00F90B77"/>
    <w:rsid w:val="00F90D47"/>
    <w:rsid w:val="00F90E94"/>
    <w:rsid w:val="00F91A24"/>
    <w:rsid w:val="00F91C24"/>
    <w:rsid w:val="00F91D05"/>
    <w:rsid w:val="00F91E1E"/>
    <w:rsid w:val="00F92434"/>
    <w:rsid w:val="00F92A23"/>
    <w:rsid w:val="00F92EEB"/>
    <w:rsid w:val="00F92FCF"/>
    <w:rsid w:val="00F930C9"/>
    <w:rsid w:val="00F93290"/>
    <w:rsid w:val="00F937FF"/>
    <w:rsid w:val="00F938D7"/>
    <w:rsid w:val="00F93CD2"/>
    <w:rsid w:val="00F9408D"/>
    <w:rsid w:val="00F940D1"/>
    <w:rsid w:val="00F9446C"/>
    <w:rsid w:val="00F945E1"/>
    <w:rsid w:val="00F94823"/>
    <w:rsid w:val="00F94C72"/>
    <w:rsid w:val="00F94C83"/>
    <w:rsid w:val="00F94E0A"/>
    <w:rsid w:val="00F952C4"/>
    <w:rsid w:val="00F95313"/>
    <w:rsid w:val="00F954C2"/>
    <w:rsid w:val="00F955C8"/>
    <w:rsid w:val="00F95997"/>
    <w:rsid w:val="00F96342"/>
    <w:rsid w:val="00F96408"/>
    <w:rsid w:val="00F9687C"/>
    <w:rsid w:val="00F96901"/>
    <w:rsid w:val="00F97298"/>
    <w:rsid w:val="00F97656"/>
    <w:rsid w:val="00F97A57"/>
    <w:rsid w:val="00F97B39"/>
    <w:rsid w:val="00F97B45"/>
    <w:rsid w:val="00F97F42"/>
    <w:rsid w:val="00FA025E"/>
    <w:rsid w:val="00FA050C"/>
    <w:rsid w:val="00FA082C"/>
    <w:rsid w:val="00FA0948"/>
    <w:rsid w:val="00FA1718"/>
    <w:rsid w:val="00FA20E7"/>
    <w:rsid w:val="00FA24F7"/>
    <w:rsid w:val="00FA2642"/>
    <w:rsid w:val="00FA2C17"/>
    <w:rsid w:val="00FA2CA6"/>
    <w:rsid w:val="00FA2CFD"/>
    <w:rsid w:val="00FA3358"/>
    <w:rsid w:val="00FA35BA"/>
    <w:rsid w:val="00FA35D9"/>
    <w:rsid w:val="00FA3AD4"/>
    <w:rsid w:val="00FA3C44"/>
    <w:rsid w:val="00FA3C65"/>
    <w:rsid w:val="00FA4476"/>
    <w:rsid w:val="00FA44A2"/>
    <w:rsid w:val="00FA4765"/>
    <w:rsid w:val="00FA4A7E"/>
    <w:rsid w:val="00FA4AEE"/>
    <w:rsid w:val="00FA50E6"/>
    <w:rsid w:val="00FA5D82"/>
    <w:rsid w:val="00FA602A"/>
    <w:rsid w:val="00FA6159"/>
    <w:rsid w:val="00FA66F7"/>
    <w:rsid w:val="00FA6B4E"/>
    <w:rsid w:val="00FA6BCC"/>
    <w:rsid w:val="00FA71B3"/>
    <w:rsid w:val="00FA7570"/>
    <w:rsid w:val="00FA79DB"/>
    <w:rsid w:val="00FA7CB1"/>
    <w:rsid w:val="00FB0855"/>
    <w:rsid w:val="00FB0C1C"/>
    <w:rsid w:val="00FB0D1F"/>
    <w:rsid w:val="00FB107C"/>
    <w:rsid w:val="00FB127F"/>
    <w:rsid w:val="00FB1412"/>
    <w:rsid w:val="00FB1435"/>
    <w:rsid w:val="00FB143C"/>
    <w:rsid w:val="00FB145A"/>
    <w:rsid w:val="00FB152E"/>
    <w:rsid w:val="00FB18EE"/>
    <w:rsid w:val="00FB20AB"/>
    <w:rsid w:val="00FB20FC"/>
    <w:rsid w:val="00FB2487"/>
    <w:rsid w:val="00FB24B8"/>
    <w:rsid w:val="00FB2665"/>
    <w:rsid w:val="00FB285D"/>
    <w:rsid w:val="00FB293B"/>
    <w:rsid w:val="00FB3501"/>
    <w:rsid w:val="00FB386A"/>
    <w:rsid w:val="00FB3AEA"/>
    <w:rsid w:val="00FB3D5D"/>
    <w:rsid w:val="00FB4216"/>
    <w:rsid w:val="00FB522B"/>
    <w:rsid w:val="00FB539B"/>
    <w:rsid w:val="00FB5BDA"/>
    <w:rsid w:val="00FB5E55"/>
    <w:rsid w:val="00FB61E1"/>
    <w:rsid w:val="00FB67B4"/>
    <w:rsid w:val="00FB6C27"/>
    <w:rsid w:val="00FB7084"/>
    <w:rsid w:val="00FB7187"/>
    <w:rsid w:val="00FB7195"/>
    <w:rsid w:val="00FB7225"/>
    <w:rsid w:val="00FB73FD"/>
    <w:rsid w:val="00FB75E5"/>
    <w:rsid w:val="00FC0082"/>
    <w:rsid w:val="00FC09A0"/>
    <w:rsid w:val="00FC110B"/>
    <w:rsid w:val="00FC1379"/>
    <w:rsid w:val="00FC173B"/>
    <w:rsid w:val="00FC20E3"/>
    <w:rsid w:val="00FC2120"/>
    <w:rsid w:val="00FC2197"/>
    <w:rsid w:val="00FC2CEF"/>
    <w:rsid w:val="00FC32B7"/>
    <w:rsid w:val="00FC346A"/>
    <w:rsid w:val="00FC55C0"/>
    <w:rsid w:val="00FC564B"/>
    <w:rsid w:val="00FC57D3"/>
    <w:rsid w:val="00FC5B06"/>
    <w:rsid w:val="00FC5CB6"/>
    <w:rsid w:val="00FC5E47"/>
    <w:rsid w:val="00FC5E50"/>
    <w:rsid w:val="00FC606C"/>
    <w:rsid w:val="00FC631A"/>
    <w:rsid w:val="00FC6422"/>
    <w:rsid w:val="00FC6946"/>
    <w:rsid w:val="00FC6983"/>
    <w:rsid w:val="00FC6A0D"/>
    <w:rsid w:val="00FC6ABE"/>
    <w:rsid w:val="00FC6CC0"/>
    <w:rsid w:val="00FC73CF"/>
    <w:rsid w:val="00FC7553"/>
    <w:rsid w:val="00FC7772"/>
    <w:rsid w:val="00FC7777"/>
    <w:rsid w:val="00FC7B9A"/>
    <w:rsid w:val="00FC7DD9"/>
    <w:rsid w:val="00FD00AF"/>
    <w:rsid w:val="00FD0159"/>
    <w:rsid w:val="00FD03BF"/>
    <w:rsid w:val="00FD0457"/>
    <w:rsid w:val="00FD1028"/>
    <w:rsid w:val="00FD1047"/>
    <w:rsid w:val="00FD12D0"/>
    <w:rsid w:val="00FD1E9D"/>
    <w:rsid w:val="00FD1F57"/>
    <w:rsid w:val="00FD2620"/>
    <w:rsid w:val="00FD265D"/>
    <w:rsid w:val="00FD2668"/>
    <w:rsid w:val="00FD2AC9"/>
    <w:rsid w:val="00FD2B90"/>
    <w:rsid w:val="00FD2CA2"/>
    <w:rsid w:val="00FD3290"/>
    <w:rsid w:val="00FD360D"/>
    <w:rsid w:val="00FD39BB"/>
    <w:rsid w:val="00FD3D45"/>
    <w:rsid w:val="00FD3E02"/>
    <w:rsid w:val="00FD3F1A"/>
    <w:rsid w:val="00FD4672"/>
    <w:rsid w:val="00FD49A7"/>
    <w:rsid w:val="00FD4D86"/>
    <w:rsid w:val="00FD4E61"/>
    <w:rsid w:val="00FD50E6"/>
    <w:rsid w:val="00FD549E"/>
    <w:rsid w:val="00FD55E6"/>
    <w:rsid w:val="00FD573D"/>
    <w:rsid w:val="00FD59AE"/>
    <w:rsid w:val="00FD5BB2"/>
    <w:rsid w:val="00FD5D34"/>
    <w:rsid w:val="00FD5F54"/>
    <w:rsid w:val="00FD65FE"/>
    <w:rsid w:val="00FD6776"/>
    <w:rsid w:val="00FD68DA"/>
    <w:rsid w:val="00FD69F5"/>
    <w:rsid w:val="00FD6F6A"/>
    <w:rsid w:val="00FD79B4"/>
    <w:rsid w:val="00FD7AFA"/>
    <w:rsid w:val="00FD7D55"/>
    <w:rsid w:val="00FD7E68"/>
    <w:rsid w:val="00FE0266"/>
    <w:rsid w:val="00FE0B65"/>
    <w:rsid w:val="00FE0BD5"/>
    <w:rsid w:val="00FE0D59"/>
    <w:rsid w:val="00FE115B"/>
    <w:rsid w:val="00FE1848"/>
    <w:rsid w:val="00FE2068"/>
    <w:rsid w:val="00FE225B"/>
    <w:rsid w:val="00FE2422"/>
    <w:rsid w:val="00FE270A"/>
    <w:rsid w:val="00FE301C"/>
    <w:rsid w:val="00FE36C4"/>
    <w:rsid w:val="00FE3CEC"/>
    <w:rsid w:val="00FE408B"/>
    <w:rsid w:val="00FE4415"/>
    <w:rsid w:val="00FE46AD"/>
    <w:rsid w:val="00FE4DD3"/>
    <w:rsid w:val="00FE4E81"/>
    <w:rsid w:val="00FE52F5"/>
    <w:rsid w:val="00FE53C8"/>
    <w:rsid w:val="00FE555B"/>
    <w:rsid w:val="00FE5956"/>
    <w:rsid w:val="00FE5988"/>
    <w:rsid w:val="00FE5A18"/>
    <w:rsid w:val="00FE5AA9"/>
    <w:rsid w:val="00FE5C74"/>
    <w:rsid w:val="00FE5D58"/>
    <w:rsid w:val="00FE5E62"/>
    <w:rsid w:val="00FE6534"/>
    <w:rsid w:val="00FE67F0"/>
    <w:rsid w:val="00FE686C"/>
    <w:rsid w:val="00FE6AC2"/>
    <w:rsid w:val="00FE6F4E"/>
    <w:rsid w:val="00FE6FB4"/>
    <w:rsid w:val="00FE743E"/>
    <w:rsid w:val="00FE77B0"/>
    <w:rsid w:val="00FE79EE"/>
    <w:rsid w:val="00FE7B8E"/>
    <w:rsid w:val="00FE7DAA"/>
    <w:rsid w:val="00FE7E33"/>
    <w:rsid w:val="00FF00E9"/>
    <w:rsid w:val="00FF0323"/>
    <w:rsid w:val="00FF0377"/>
    <w:rsid w:val="00FF1411"/>
    <w:rsid w:val="00FF16AF"/>
    <w:rsid w:val="00FF16DD"/>
    <w:rsid w:val="00FF19A9"/>
    <w:rsid w:val="00FF1B20"/>
    <w:rsid w:val="00FF1B85"/>
    <w:rsid w:val="00FF2603"/>
    <w:rsid w:val="00FF2B2D"/>
    <w:rsid w:val="00FF2B57"/>
    <w:rsid w:val="00FF2D63"/>
    <w:rsid w:val="00FF2EC9"/>
    <w:rsid w:val="00FF2F0C"/>
    <w:rsid w:val="00FF3020"/>
    <w:rsid w:val="00FF30FE"/>
    <w:rsid w:val="00FF32EA"/>
    <w:rsid w:val="00FF3810"/>
    <w:rsid w:val="00FF395A"/>
    <w:rsid w:val="00FF4327"/>
    <w:rsid w:val="00FF46AB"/>
    <w:rsid w:val="00FF55E8"/>
    <w:rsid w:val="00FF5605"/>
    <w:rsid w:val="00FF5B69"/>
    <w:rsid w:val="00FF5CFC"/>
    <w:rsid w:val="00FF60F1"/>
    <w:rsid w:val="00FF613D"/>
    <w:rsid w:val="00FF624A"/>
    <w:rsid w:val="00FF64B9"/>
    <w:rsid w:val="00FF68B3"/>
    <w:rsid w:val="00FF6AA4"/>
    <w:rsid w:val="00FF6E4B"/>
    <w:rsid w:val="00FF70FD"/>
    <w:rsid w:val="00FF734C"/>
    <w:rsid w:val="00FF7739"/>
    <w:rsid w:val="00FF7CA8"/>
    <w:rsid w:val="019E241E"/>
    <w:rsid w:val="01B0CC9A"/>
    <w:rsid w:val="022CED28"/>
    <w:rsid w:val="036E03B0"/>
    <w:rsid w:val="038FF970"/>
    <w:rsid w:val="04A5BE85"/>
    <w:rsid w:val="04B6FD69"/>
    <w:rsid w:val="04F9131D"/>
    <w:rsid w:val="05E9B154"/>
    <w:rsid w:val="065A62AD"/>
    <w:rsid w:val="06E42CDB"/>
    <w:rsid w:val="0760B595"/>
    <w:rsid w:val="077B1DBA"/>
    <w:rsid w:val="085FB802"/>
    <w:rsid w:val="0B03D7CE"/>
    <w:rsid w:val="0B7E912D"/>
    <w:rsid w:val="0BBDB485"/>
    <w:rsid w:val="0C3FF972"/>
    <w:rsid w:val="0D0E2269"/>
    <w:rsid w:val="0D8412CA"/>
    <w:rsid w:val="0EAE4756"/>
    <w:rsid w:val="0F27BD61"/>
    <w:rsid w:val="0FA7443C"/>
    <w:rsid w:val="108A50E2"/>
    <w:rsid w:val="10C2AF0D"/>
    <w:rsid w:val="11026DD4"/>
    <w:rsid w:val="116A6C42"/>
    <w:rsid w:val="125517F4"/>
    <w:rsid w:val="13163342"/>
    <w:rsid w:val="136CE780"/>
    <w:rsid w:val="13F4954C"/>
    <w:rsid w:val="14362004"/>
    <w:rsid w:val="14F39AA8"/>
    <w:rsid w:val="153B233B"/>
    <w:rsid w:val="1604A5FC"/>
    <w:rsid w:val="173182A8"/>
    <w:rsid w:val="17743A32"/>
    <w:rsid w:val="17F46419"/>
    <w:rsid w:val="190E4A1B"/>
    <w:rsid w:val="197ECEA8"/>
    <w:rsid w:val="19C1CFDF"/>
    <w:rsid w:val="19C761A8"/>
    <w:rsid w:val="1A78813D"/>
    <w:rsid w:val="1B0BEC7D"/>
    <w:rsid w:val="1B4E8874"/>
    <w:rsid w:val="1B7E4416"/>
    <w:rsid w:val="1B900E43"/>
    <w:rsid w:val="1BEC8F89"/>
    <w:rsid w:val="1BEDD7B9"/>
    <w:rsid w:val="1CA54224"/>
    <w:rsid w:val="1DC32C71"/>
    <w:rsid w:val="1F4C297A"/>
    <w:rsid w:val="204318B7"/>
    <w:rsid w:val="204B081F"/>
    <w:rsid w:val="20BF30CB"/>
    <w:rsid w:val="20CF9FBB"/>
    <w:rsid w:val="20E5CE92"/>
    <w:rsid w:val="2141C660"/>
    <w:rsid w:val="21C39E12"/>
    <w:rsid w:val="2206DEA5"/>
    <w:rsid w:val="2269104F"/>
    <w:rsid w:val="22E924C3"/>
    <w:rsid w:val="23D6B6CF"/>
    <w:rsid w:val="24F2ACA7"/>
    <w:rsid w:val="263D7FD7"/>
    <w:rsid w:val="2873FE27"/>
    <w:rsid w:val="2888D8C2"/>
    <w:rsid w:val="290F96A0"/>
    <w:rsid w:val="29E38DEE"/>
    <w:rsid w:val="2ADA7FC7"/>
    <w:rsid w:val="2AEDD2D4"/>
    <w:rsid w:val="2C6AAFD8"/>
    <w:rsid w:val="2D588351"/>
    <w:rsid w:val="2D7F2513"/>
    <w:rsid w:val="2E68B061"/>
    <w:rsid w:val="2EE6844D"/>
    <w:rsid w:val="2EF6A616"/>
    <w:rsid w:val="2FE55144"/>
    <w:rsid w:val="3027170F"/>
    <w:rsid w:val="305A3A88"/>
    <w:rsid w:val="30BBB96D"/>
    <w:rsid w:val="31C67A38"/>
    <w:rsid w:val="32AC32A8"/>
    <w:rsid w:val="32FEA326"/>
    <w:rsid w:val="36E65361"/>
    <w:rsid w:val="3AB3F25F"/>
    <w:rsid w:val="3AF75996"/>
    <w:rsid w:val="3BD89B71"/>
    <w:rsid w:val="3DDA2728"/>
    <w:rsid w:val="3DF5B831"/>
    <w:rsid w:val="3E63E3DE"/>
    <w:rsid w:val="3E83AB9C"/>
    <w:rsid w:val="3E8C4755"/>
    <w:rsid w:val="3EF11C62"/>
    <w:rsid w:val="3F8B36BD"/>
    <w:rsid w:val="3FD64D6C"/>
    <w:rsid w:val="40018C5D"/>
    <w:rsid w:val="404CD536"/>
    <w:rsid w:val="408BF26E"/>
    <w:rsid w:val="40F5582A"/>
    <w:rsid w:val="40F8B4B0"/>
    <w:rsid w:val="4105169B"/>
    <w:rsid w:val="417B6A19"/>
    <w:rsid w:val="42BD8433"/>
    <w:rsid w:val="434AC650"/>
    <w:rsid w:val="434C1192"/>
    <w:rsid w:val="4502D9B1"/>
    <w:rsid w:val="45403A60"/>
    <w:rsid w:val="46C654D5"/>
    <w:rsid w:val="4737ABAE"/>
    <w:rsid w:val="475FA109"/>
    <w:rsid w:val="47D77E64"/>
    <w:rsid w:val="47F188A6"/>
    <w:rsid w:val="4848E1F2"/>
    <w:rsid w:val="4B7625A4"/>
    <w:rsid w:val="4B9BC225"/>
    <w:rsid w:val="4D68F2DA"/>
    <w:rsid w:val="4D84F93D"/>
    <w:rsid w:val="4DB02FFB"/>
    <w:rsid w:val="4DC52605"/>
    <w:rsid w:val="4E65DFF7"/>
    <w:rsid w:val="4F7B99ED"/>
    <w:rsid w:val="4F89B82E"/>
    <w:rsid w:val="51397B5C"/>
    <w:rsid w:val="51CA2562"/>
    <w:rsid w:val="528C5CF2"/>
    <w:rsid w:val="537940EB"/>
    <w:rsid w:val="5498DAB6"/>
    <w:rsid w:val="54AC7C87"/>
    <w:rsid w:val="55A5C5FA"/>
    <w:rsid w:val="55D1FEA2"/>
    <w:rsid w:val="566FC76C"/>
    <w:rsid w:val="57466BA3"/>
    <w:rsid w:val="57CF471E"/>
    <w:rsid w:val="57FF1B04"/>
    <w:rsid w:val="58BAFE20"/>
    <w:rsid w:val="5952E1EE"/>
    <w:rsid w:val="5B08D634"/>
    <w:rsid w:val="5C6E0220"/>
    <w:rsid w:val="5CC2BD2F"/>
    <w:rsid w:val="5CD52A89"/>
    <w:rsid w:val="5DB92799"/>
    <w:rsid w:val="5E076A42"/>
    <w:rsid w:val="5F905F85"/>
    <w:rsid w:val="62A062A1"/>
    <w:rsid w:val="62CADB3D"/>
    <w:rsid w:val="62F28C8C"/>
    <w:rsid w:val="634750B8"/>
    <w:rsid w:val="63B1B1F8"/>
    <w:rsid w:val="63D8554B"/>
    <w:rsid w:val="6411FBA7"/>
    <w:rsid w:val="64546071"/>
    <w:rsid w:val="64695644"/>
    <w:rsid w:val="648751C7"/>
    <w:rsid w:val="64883ACA"/>
    <w:rsid w:val="64ED14C8"/>
    <w:rsid w:val="64F31B4E"/>
    <w:rsid w:val="66B9FB97"/>
    <w:rsid w:val="685D52BE"/>
    <w:rsid w:val="69F33A6D"/>
    <w:rsid w:val="6A2F402C"/>
    <w:rsid w:val="6A337937"/>
    <w:rsid w:val="6ACEBC5F"/>
    <w:rsid w:val="6B4E1F0D"/>
    <w:rsid w:val="6B862F40"/>
    <w:rsid w:val="6BDF6C9B"/>
    <w:rsid w:val="6C1BC22A"/>
    <w:rsid w:val="6C29B81C"/>
    <w:rsid w:val="6C481B94"/>
    <w:rsid w:val="6D5CA73D"/>
    <w:rsid w:val="6E5831DB"/>
    <w:rsid w:val="6E669BC5"/>
    <w:rsid w:val="6F48AF33"/>
    <w:rsid w:val="7101E442"/>
    <w:rsid w:val="717B3DA5"/>
    <w:rsid w:val="71A8C7A1"/>
    <w:rsid w:val="720D2F8E"/>
    <w:rsid w:val="7261B3C0"/>
    <w:rsid w:val="729FAD5A"/>
    <w:rsid w:val="7352748B"/>
    <w:rsid w:val="7490801B"/>
    <w:rsid w:val="74BF43C5"/>
    <w:rsid w:val="74D713AF"/>
    <w:rsid w:val="75B331B7"/>
    <w:rsid w:val="75DBE27A"/>
    <w:rsid w:val="75F7B578"/>
    <w:rsid w:val="762D6762"/>
    <w:rsid w:val="762F08BF"/>
    <w:rsid w:val="763172F7"/>
    <w:rsid w:val="7644DB70"/>
    <w:rsid w:val="77A9B124"/>
    <w:rsid w:val="784598B6"/>
    <w:rsid w:val="791C5052"/>
    <w:rsid w:val="79E85ED2"/>
    <w:rsid w:val="7A64FC2E"/>
    <w:rsid w:val="7A9FADFC"/>
    <w:rsid w:val="7ABC340D"/>
    <w:rsid w:val="7AC2671D"/>
    <w:rsid w:val="7B22405A"/>
    <w:rsid w:val="7B68E7DE"/>
    <w:rsid w:val="7D1029DF"/>
    <w:rsid w:val="7D89DA8C"/>
    <w:rsid w:val="7E148323"/>
    <w:rsid w:val="7F9900C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FD5A5"/>
  <w15:chartTrackingRefBased/>
  <w15:docId w15:val="{C437DD5C-6E82-45C6-96FC-81F7D6CA4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73A"/>
    <w:pPr>
      <w:spacing w:before="240" w:after="240" w:line="252" w:lineRule="auto"/>
    </w:pPr>
    <w:rPr>
      <w:rFonts w:ascii="PP Mori" w:hAnsi="PP Mori"/>
      <w:sz w:val="18"/>
    </w:rPr>
  </w:style>
  <w:style w:type="paragraph" w:styleId="Heading1">
    <w:name w:val="heading 1"/>
    <w:basedOn w:val="Normal"/>
    <w:next w:val="Normal"/>
    <w:link w:val="Heading1Char"/>
    <w:uiPriority w:val="9"/>
    <w:qFormat/>
    <w:rsid w:val="00480192"/>
    <w:pPr>
      <w:keepNext/>
      <w:keepLines/>
      <w:numPr>
        <w:numId w:val="1"/>
      </w:numPr>
      <w:spacing w:after="0"/>
      <w:outlineLvl w:val="0"/>
    </w:pPr>
    <w:rPr>
      <w:rFonts w:ascii="PP Mori SemiBold" w:eastAsiaTheme="majorEastAsia" w:hAnsi="PP Mori SemiBold" w:cstheme="majorBidi"/>
      <w:color w:val="013C4C" w:themeColor="text1"/>
      <w:sz w:val="32"/>
      <w:szCs w:val="40"/>
    </w:rPr>
  </w:style>
  <w:style w:type="paragraph" w:styleId="Heading2">
    <w:name w:val="heading 2"/>
    <w:basedOn w:val="Normal"/>
    <w:next w:val="Normal"/>
    <w:link w:val="Heading2Char"/>
    <w:uiPriority w:val="9"/>
    <w:unhideWhenUsed/>
    <w:qFormat/>
    <w:rsid w:val="00F02995"/>
    <w:pPr>
      <w:keepNext/>
      <w:keepLines/>
      <w:numPr>
        <w:ilvl w:val="1"/>
        <w:numId w:val="1"/>
      </w:numPr>
      <w:spacing w:before="360" w:after="120"/>
      <w:outlineLvl w:val="1"/>
    </w:pPr>
    <w:rPr>
      <w:rFonts w:ascii="PP Mori SemiBold" w:eastAsiaTheme="majorEastAsia" w:hAnsi="PP Mori SemiBold" w:cstheme="majorBidi"/>
      <w:color w:val="002C38" w:themeColor="accent1" w:themeShade="BF"/>
      <w:sz w:val="26"/>
      <w:szCs w:val="33"/>
    </w:rPr>
  </w:style>
  <w:style w:type="paragraph" w:styleId="Heading3">
    <w:name w:val="heading 3"/>
    <w:basedOn w:val="Normal"/>
    <w:next w:val="Normal"/>
    <w:link w:val="Heading3Char"/>
    <w:uiPriority w:val="9"/>
    <w:unhideWhenUsed/>
    <w:qFormat/>
    <w:rsid w:val="00E56B3C"/>
    <w:pPr>
      <w:keepNext/>
      <w:keepLines/>
      <w:numPr>
        <w:ilvl w:val="2"/>
        <w:numId w:val="1"/>
      </w:numPr>
      <w:spacing w:before="40" w:after="120"/>
      <w:outlineLvl w:val="2"/>
    </w:pPr>
    <w:rPr>
      <w:rFonts w:ascii="PP Mori SemiBold" w:eastAsiaTheme="majorEastAsia" w:hAnsi="PP Mori SemiBold" w:cstheme="majorBidi"/>
      <w:color w:val="001D25" w:themeColor="accent1" w:themeShade="7F"/>
      <w:sz w:val="24"/>
      <w:szCs w:val="30"/>
    </w:rPr>
  </w:style>
  <w:style w:type="paragraph" w:styleId="Heading4">
    <w:name w:val="heading 4"/>
    <w:basedOn w:val="Normal"/>
    <w:next w:val="Normal"/>
    <w:link w:val="Heading4Char"/>
    <w:uiPriority w:val="9"/>
    <w:unhideWhenUsed/>
    <w:qFormat/>
    <w:rsid w:val="000C5211"/>
    <w:pPr>
      <w:keepNext/>
      <w:keepLines/>
      <w:numPr>
        <w:ilvl w:val="3"/>
        <w:numId w:val="1"/>
      </w:numPr>
      <w:spacing w:before="40" w:after="0"/>
      <w:outlineLvl w:val="3"/>
    </w:pPr>
    <w:rPr>
      <w:rFonts w:ascii="PP Mori SemiBold" w:eastAsiaTheme="majorEastAsia" w:hAnsi="PP Mori SemiBold" w:cstheme="majorBidi"/>
      <w:i/>
      <w:iCs/>
      <w:color w:val="002C38" w:themeColor="accent1" w:themeShade="BF"/>
    </w:rPr>
  </w:style>
  <w:style w:type="paragraph" w:styleId="Heading5">
    <w:name w:val="heading 5"/>
    <w:basedOn w:val="Normal"/>
    <w:next w:val="Normal"/>
    <w:link w:val="Heading5Char"/>
    <w:uiPriority w:val="9"/>
    <w:semiHidden/>
    <w:unhideWhenUsed/>
    <w:qFormat/>
    <w:rsid w:val="00167664"/>
    <w:pPr>
      <w:keepNext/>
      <w:keepLines/>
      <w:numPr>
        <w:ilvl w:val="4"/>
        <w:numId w:val="1"/>
      </w:numPr>
      <w:spacing w:before="40" w:after="0"/>
      <w:outlineLvl w:val="4"/>
    </w:pPr>
    <w:rPr>
      <w:rFonts w:asciiTheme="majorHAnsi" w:eastAsiaTheme="majorEastAsia" w:hAnsiTheme="majorHAnsi" w:cstheme="majorBidi"/>
      <w:color w:val="002C38" w:themeColor="accent1" w:themeShade="BF"/>
    </w:rPr>
  </w:style>
  <w:style w:type="paragraph" w:styleId="Heading6">
    <w:name w:val="heading 6"/>
    <w:basedOn w:val="Normal"/>
    <w:next w:val="Normal"/>
    <w:link w:val="Heading6Char"/>
    <w:uiPriority w:val="9"/>
    <w:semiHidden/>
    <w:unhideWhenUsed/>
    <w:qFormat/>
    <w:rsid w:val="00167664"/>
    <w:pPr>
      <w:keepNext/>
      <w:keepLines/>
      <w:numPr>
        <w:ilvl w:val="5"/>
        <w:numId w:val="1"/>
      </w:numPr>
      <w:spacing w:before="40" w:after="0"/>
      <w:outlineLvl w:val="5"/>
    </w:pPr>
    <w:rPr>
      <w:rFonts w:asciiTheme="majorHAnsi" w:eastAsiaTheme="majorEastAsia" w:hAnsiTheme="majorHAnsi" w:cstheme="majorBidi"/>
      <w:color w:val="001D25" w:themeColor="accent1" w:themeShade="7F"/>
    </w:rPr>
  </w:style>
  <w:style w:type="paragraph" w:styleId="Heading7">
    <w:name w:val="heading 7"/>
    <w:basedOn w:val="Normal"/>
    <w:next w:val="Normal"/>
    <w:link w:val="Heading7Char"/>
    <w:uiPriority w:val="9"/>
    <w:semiHidden/>
    <w:unhideWhenUsed/>
    <w:qFormat/>
    <w:rsid w:val="00167664"/>
    <w:pPr>
      <w:keepNext/>
      <w:keepLines/>
      <w:numPr>
        <w:ilvl w:val="6"/>
        <w:numId w:val="1"/>
      </w:numPr>
      <w:spacing w:before="40" w:after="0"/>
      <w:outlineLvl w:val="6"/>
    </w:pPr>
    <w:rPr>
      <w:rFonts w:asciiTheme="majorHAnsi" w:eastAsiaTheme="majorEastAsia" w:hAnsiTheme="majorHAnsi" w:cstheme="majorBidi"/>
      <w:i/>
      <w:iCs/>
      <w:color w:val="001D25" w:themeColor="accent1" w:themeShade="7F"/>
    </w:rPr>
  </w:style>
  <w:style w:type="paragraph" w:styleId="Heading8">
    <w:name w:val="heading 8"/>
    <w:basedOn w:val="Normal"/>
    <w:next w:val="Normal"/>
    <w:link w:val="Heading8Char"/>
    <w:uiPriority w:val="9"/>
    <w:semiHidden/>
    <w:unhideWhenUsed/>
    <w:qFormat/>
    <w:rsid w:val="00167664"/>
    <w:pPr>
      <w:keepNext/>
      <w:keepLines/>
      <w:numPr>
        <w:ilvl w:val="7"/>
        <w:numId w:val="1"/>
      </w:numPr>
      <w:spacing w:before="40" w:after="0"/>
      <w:outlineLvl w:val="7"/>
    </w:pPr>
    <w:rPr>
      <w:rFonts w:asciiTheme="majorHAnsi" w:eastAsiaTheme="majorEastAsia" w:hAnsiTheme="majorHAnsi" w:cstheme="majorBidi"/>
      <w:color w:val="026F8D" w:themeColor="text1" w:themeTint="D8"/>
      <w:sz w:val="21"/>
      <w:szCs w:val="26"/>
    </w:rPr>
  </w:style>
  <w:style w:type="paragraph" w:styleId="Heading9">
    <w:name w:val="heading 9"/>
    <w:basedOn w:val="Normal"/>
    <w:next w:val="Normal"/>
    <w:link w:val="Heading9Char"/>
    <w:uiPriority w:val="9"/>
    <w:semiHidden/>
    <w:unhideWhenUsed/>
    <w:qFormat/>
    <w:rsid w:val="00167664"/>
    <w:pPr>
      <w:keepNext/>
      <w:keepLines/>
      <w:numPr>
        <w:ilvl w:val="8"/>
        <w:numId w:val="1"/>
      </w:numPr>
      <w:spacing w:before="40" w:after="0"/>
      <w:outlineLvl w:val="8"/>
    </w:pPr>
    <w:rPr>
      <w:rFonts w:asciiTheme="majorHAnsi" w:eastAsiaTheme="majorEastAsia" w:hAnsiTheme="majorHAnsi" w:cstheme="majorBidi"/>
      <w:i/>
      <w:iCs/>
      <w:color w:val="026F8D"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A61"/>
  </w:style>
  <w:style w:type="paragraph" w:styleId="Footer">
    <w:name w:val="footer"/>
    <w:basedOn w:val="Normal"/>
    <w:link w:val="FooterChar"/>
    <w:uiPriority w:val="99"/>
    <w:unhideWhenUsed/>
    <w:rsid w:val="00714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A61"/>
  </w:style>
  <w:style w:type="character" w:customStyle="1" w:styleId="Heading1Char">
    <w:name w:val="Heading 1 Char"/>
    <w:basedOn w:val="DefaultParagraphFont"/>
    <w:link w:val="Heading1"/>
    <w:uiPriority w:val="9"/>
    <w:rsid w:val="00480192"/>
    <w:rPr>
      <w:rFonts w:ascii="PP Mori SemiBold" w:eastAsiaTheme="majorEastAsia" w:hAnsi="PP Mori SemiBold" w:cstheme="majorBidi"/>
      <w:color w:val="013C4C" w:themeColor="text1"/>
      <w:sz w:val="32"/>
      <w:szCs w:val="40"/>
    </w:rPr>
  </w:style>
  <w:style w:type="character" w:customStyle="1" w:styleId="Heading2Char">
    <w:name w:val="Heading 2 Char"/>
    <w:basedOn w:val="DefaultParagraphFont"/>
    <w:link w:val="Heading2"/>
    <w:uiPriority w:val="9"/>
    <w:rsid w:val="00F02995"/>
    <w:rPr>
      <w:rFonts w:ascii="PP Mori SemiBold" w:eastAsiaTheme="majorEastAsia" w:hAnsi="PP Mori SemiBold" w:cstheme="majorBidi"/>
      <w:color w:val="002C38" w:themeColor="accent1" w:themeShade="BF"/>
      <w:sz w:val="26"/>
      <w:szCs w:val="33"/>
    </w:rPr>
  </w:style>
  <w:style w:type="character" w:styleId="SubtleEmphasis">
    <w:name w:val="Subtle Emphasis"/>
    <w:basedOn w:val="DefaultParagraphFont"/>
    <w:uiPriority w:val="19"/>
    <w:rsid w:val="00714A61"/>
    <w:rPr>
      <w:i/>
      <w:iCs/>
      <w:color w:val="0290B7" w:themeColor="text1" w:themeTint="BF"/>
    </w:rPr>
  </w:style>
  <w:style w:type="paragraph" w:styleId="Title">
    <w:name w:val="Title"/>
    <w:basedOn w:val="Normal"/>
    <w:next w:val="Normal"/>
    <w:link w:val="TitleChar"/>
    <w:uiPriority w:val="10"/>
    <w:qFormat/>
    <w:rsid w:val="002827E4"/>
    <w:pPr>
      <w:spacing w:before="1920" w:after="0" w:line="240" w:lineRule="auto"/>
      <w:contextualSpacing/>
    </w:pPr>
    <w:rPr>
      <w:rFonts w:ascii="PP Mori SemiBold" w:eastAsiaTheme="majorEastAsia" w:hAnsi="PP Mori SemiBold" w:cstheme="majorBidi"/>
      <w:spacing w:val="-10"/>
      <w:kern w:val="28"/>
      <w:sz w:val="56"/>
      <w:szCs w:val="71"/>
    </w:rPr>
  </w:style>
  <w:style w:type="paragraph" w:styleId="IntenseQuote">
    <w:name w:val="Intense Quote"/>
    <w:basedOn w:val="Normal"/>
    <w:next w:val="Normal"/>
    <w:link w:val="IntenseQuoteChar"/>
    <w:uiPriority w:val="30"/>
    <w:rsid w:val="00714A61"/>
    <w:pPr>
      <w:pBdr>
        <w:top w:val="single" w:sz="4" w:space="10" w:color="013C4C" w:themeColor="accent1"/>
        <w:bottom w:val="single" w:sz="4" w:space="10" w:color="013C4C" w:themeColor="accent1"/>
      </w:pBdr>
      <w:spacing w:before="360" w:after="360"/>
      <w:ind w:left="864" w:right="864"/>
      <w:jc w:val="center"/>
    </w:pPr>
    <w:rPr>
      <w:i/>
      <w:iCs/>
      <w:color w:val="013C4C" w:themeColor="accent1"/>
    </w:rPr>
  </w:style>
  <w:style w:type="character" w:customStyle="1" w:styleId="IntenseQuoteChar">
    <w:name w:val="Intense Quote Char"/>
    <w:basedOn w:val="DefaultParagraphFont"/>
    <w:link w:val="IntenseQuote"/>
    <w:uiPriority w:val="30"/>
    <w:rsid w:val="00714A61"/>
    <w:rPr>
      <w:rFonts w:ascii="Lucida Sans" w:hAnsi="Lucida Sans"/>
      <w:i/>
      <w:iCs/>
      <w:color w:val="013C4C" w:themeColor="accent1"/>
    </w:rPr>
  </w:style>
  <w:style w:type="character" w:customStyle="1" w:styleId="TitleChar">
    <w:name w:val="Title Char"/>
    <w:basedOn w:val="DefaultParagraphFont"/>
    <w:link w:val="Title"/>
    <w:uiPriority w:val="10"/>
    <w:rsid w:val="002827E4"/>
    <w:rPr>
      <w:rFonts w:ascii="PP Mori SemiBold" w:eastAsiaTheme="majorEastAsia" w:hAnsi="PP Mori SemiBold" w:cstheme="majorBidi"/>
      <w:spacing w:val="-10"/>
      <w:kern w:val="28"/>
      <w:sz w:val="56"/>
      <w:szCs w:val="71"/>
    </w:rPr>
  </w:style>
  <w:style w:type="paragraph" w:styleId="NoSpacing">
    <w:name w:val="No Spacing"/>
    <w:aliases w:val="Details"/>
    <w:uiPriority w:val="1"/>
    <w:qFormat/>
    <w:rsid w:val="00714A61"/>
    <w:pPr>
      <w:spacing w:after="0" w:line="240" w:lineRule="auto"/>
    </w:pPr>
    <w:rPr>
      <w:rFonts w:ascii="Lucida Sans" w:hAnsi="Lucida Sans"/>
    </w:rPr>
  </w:style>
  <w:style w:type="character" w:customStyle="1" w:styleId="Heading3Char">
    <w:name w:val="Heading 3 Char"/>
    <w:basedOn w:val="DefaultParagraphFont"/>
    <w:link w:val="Heading3"/>
    <w:uiPriority w:val="9"/>
    <w:rsid w:val="00E56B3C"/>
    <w:rPr>
      <w:rFonts w:ascii="PP Mori SemiBold" w:eastAsiaTheme="majorEastAsia" w:hAnsi="PP Mori SemiBold" w:cstheme="majorBidi"/>
      <w:color w:val="001D25" w:themeColor="accent1" w:themeShade="7F"/>
      <w:sz w:val="24"/>
      <w:szCs w:val="30"/>
    </w:rPr>
  </w:style>
  <w:style w:type="character" w:customStyle="1" w:styleId="Heading4Char">
    <w:name w:val="Heading 4 Char"/>
    <w:basedOn w:val="DefaultParagraphFont"/>
    <w:link w:val="Heading4"/>
    <w:uiPriority w:val="9"/>
    <w:rsid w:val="000C5211"/>
    <w:rPr>
      <w:rFonts w:ascii="PP Mori SemiBold" w:eastAsiaTheme="majorEastAsia" w:hAnsi="PP Mori SemiBold" w:cstheme="majorBidi"/>
      <w:i/>
      <w:iCs/>
      <w:color w:val="002C38" w:themeColor="accent1" w:themeShade="BF"/>
      <w:sz w:val="18"/>
    </w:rPr>
  </w:style>
  <w:style w:type="character" w:customStyle="1" w:styleId="Heading5Char">
    <w:name w:val="Heading 5 Char"/>
    <w:basedOn w:val="DefaultParagraphFont"/>
    <w:link w:val="Heading5"/>
    <w:uiPriority w:val="9"/>
    <w:semiHidden/>
    <w:rsid w:val="00167664"/>
    <w:rPr>
      <w:rFonts w:asciiTheme="majorHAnsi" w:eastAsiaTheme="majorEastAsia" w:hAnsiTheme="majorHAnsi" w:cstheme="majorBidi"/>
      <w:color w:val="002C38" w:themeColor="accent1" w:themeShade="BF"/>
      <w:sz w:val="18"/>
    </w:rPr>
  </w:style>
  <w:style w:type="character" w:customStyle="1" w:styleId="Heading6Char">
    <w:name w:val="Heading 6 Char"/>
    <w:basedOn w:val="DefaultParagraphFont"/>
    <w:link w:val="Heading6"/>
    <w:uiPriority w:val="9"/>
    <w:semiHidden/>
    <w:rsid w:val="00167664"/>
    <w:rPr>
      <w:rFonts w:asciiTheme="majorHAnsi" w:eastAsiaTheme="majorEastAsia" w:hAnsiTheme="majorHAnsi" w:cstheme="majorBidi"/>
      <w:color w:val="001D25" w:themeColor="accent1" w:themeShade="7F"/>
      <w:sz w:val="18"/>
    </w:rPr>
  </w:style>
  <w:style w:type="character" w:customStyle="1" w:styleId="Heading7Char">
    <w:name w:val="Heading 7 Char"/>
    <w:basedOn w:val="DefaultParagraphFont"/>
    <w:link w:val="Heading7"/>
    <w:uiPriority w:val="9"/>
    <w:semiHidden/>
    <w:rsid w:val="00167664"/>
    <w:rPr>
      <w:rFonts w:asciiTheme="majorHAnsi" w:eastAsiaTheme="majorEastAsia" w:hAnsiTheme="majorHAnsi" w:cstheme="majorBidi"/>
      <w:i/>
      <w:iCs/>
      <w:color w:val="001D25" w:themeColor="accent1" w:themeShade="7F"/>
      <w:sz w:val="18"/>
    </w:rPr>
  </w:style>
  <w:style w:type="character" w:customStyle="1" w:styleId="Heading8Char">
    <w:name w:val="Heading 8 Char"/>
    <w:basedOn w:val="DefaultParagraphFont"/>
    <w:link w:val="Heading8"/>
    <w:uiPriority w:val="9"/>
    <w:semiHidden/>
    <w:rsid w:val="00167664"/>
    <w:rPr>
      <w:rFonts w:asciiTheme="majorHAnsi" w:eastAsiaTheme="majorEastAsia" w:hAnsiTheme="majorHAnsi" w:cstheme="majorBidi"/>
      <w:color w:val="026F8D" w:themeColor="text1" w:themeTint="D8"/>
      <w:sz w:val="21"/>
      <w:szCs w:val="26"/>
    </w:rPr>
  </w:style>
  <w:style w:type="character" w:customStyle="1" w:styleId="Heading9Char">
    <w:name w:val="Heading 9 Char"/>
    <w:basedOn w:val="DefaultParagraphFont"/>
    <w:link w:val="Heading9"/>
    <w:uiPriority w:val="9"/>
    <w:semiHidden/>
    <w:rsid w:val="00167664"/>
    <w:rPr>
      <w:rFonts w:asciiTheme="majorHAnsi" w:eastAsiaTheme="majorEastAsia" w:hAnsiTheme="majorHAnsi" w:cstheme="majorBidi"/>
      <w:i/>
      <w:iCs/>
      <w:color w:val="026F8D" w:themeColor="text1" w:themeTint="D8"/>
      <w:sz w:val="21"/>
      <w:szCs w:val="26"/>
    </w:rPr>
  </w:style>
  <w:style w:type="paragraph" w:styleId="TOCHeading">
    <w:name w:val="TOC Heading"/>
    <w:basedOn w:val="Heading1"/>
    <w:next w:val="Normal"/>
    <w:uiPriority w:val="39"/>
    <w:unhideWhenUsed/>
    <w:qFormat/>
    <w:rsid w:val="00744C73"/>
    <w:pPr>
      <w:numPr>
        <w:numId w:val="0"/>
      </w:numPr>
      <w:spacing w:line="259" w:lineRule="auto"/>
      <w:outlineLvl w:val="9"/>
    </w:pPr>
    <w:rPr>
      <w:color w:val="002C38" w:themeColor="accent1" w:themeShade="BF"/>
      <w:kern w:val="0"/>
      <w:szCs w:val="32"/>
      <w:lang w:val="en-US" w:eastAsia="en-US" w:bidi="ar-SA"/>
      <w14:ligatures w14:val="none"/>
    </w:rPr>
  </w:style>
  <w:style w:type="paragraph" w:styleId="TOC1">
    <w:name w:val="toc 1"/>
    <w:basedOn w:val="Normal"/>
    <w:next w:val="Normal"/>
    <w:autoRedefine/>
    <w:uiPriority w:val="39"/>
    <w:unhideWhenUsed/>
    <w:rsid w:val="00201714"/>
    <w:pPr>
      <w:tabs>
        <w:tab w:val="left" w:pos="567"/>
        <w:tab w:val="right" w:leader="dot" w:pos="10348"/>
      </w:tabs>
      <w:spacing w:after="100"/>
    </w:pPr>
    <w:rPr>
      <w:rFonts w:ascii="PP Mori SemiBold" w:hAnsi="PP Mori SemiBold"/>
      <w:sz w:val="24"/>
    </w:rPr>
  </w:style>
  <w:style w:type="paragraph" w:styleId="TOC2">
    <w:name w:val="toc 2"/>
    <w:basedOn w:val="Normal"/>
    <w:next w:val="Normal"/>
    <w:autoRedefine/>
    <w:uiPriority w:val="39"/>
    <w:unhideWhenUsed/>
    <w:rsid w:val="00201714"/>
    <w:pPr>
      <w:tabs>
        <w:tab w:val="left" w:pos="1134"/>
        <w:tab w:val="right" w:leader="dot" w:pos="10348"/>
      </w:tabs>
      <w:spacing w:after="100"/>
      <w:ind w:left="1276" w:hanging="709"/>
    </w:pPr>
    <w:rPr>
      <w:sz w:val="20"/>
    </w:rPr>
  </w:style>
  <w:style w:type="character" w:styleId="Hyperlink">
    <w:name w:val="Hyperlink"/>
    <w:basedOn w:val="DefaultParagraphFont"/>
    <w:uiPriority w:val="99"/>
    <w:unhideWhenUsed/>
    <w:rsid w:val="00744C73"/>
    <w:rPr>
      <w:color w:val="F85C5D" w:themeColor="hyperlink"/>
      <w:u w:val="single"/>
    </w:rPr>
  </w:style>
  <w:style w:type="paragraph" w:styleId="TOC3">
    <w:name w:val="toc 3"/>
    <w:basedOn w:val="Normal"/>
    <w:next w:val="Normal"/>
    <w:autoRedefine/>
    <w:uiPriority w:val="39"/>
    <w:unhideWhenUsed/>
    <w:rsid w:val="00201714"/>
    <w:pPr>
      <w:tabs>
        <w:tab w:val="left" w:pos="1985"/>
        <w:tab w:val="right" w:leader="dot" w:pos="10348"/>
      </w:tabs>
      <w:spacing w:after="100"/>
      <w:ind w:left="1843" w:hanging="709"/>
    </w:pPr>
  </w:style>
  <w:style w:type="paragraph" w:styleId="ListParagraph">
    <w:name w:val="List Paragraph"/>
    <w:aliases w:val="Without Spacing"/>
    <w:basedOn w:val="Normal"/>
    <w:link w:val="ListParagraphChar"/>
    <w:uiPriority w:val="34"/>
    <w:qFormat/>
    <w:rsid w:val="008C69C0"/>
    <w:pPr>
      <w:numPr>
        <w:numId w:val="2"/>
      </w:numPr>
      <w:spacing w:before="120" w:after="120" w:line="276" w:lineRule="auto"/>
    </w:pPr>
  </w:style>
  <w:style w:type="table" w:styleId="GridTable4">
    <w:name w:val="Grid Table 4"/>
    <w:basedOn w:val="TableNormal"/>
    <w:uiPriority w:val="49"/>
    <w:rsid w:val="00F02995"/>
    <w:pPr>
      <w:spacing w:after="0" w:line="240" w:lineRule="auto"/>
    </w:pPr>
    <w:tblPr>
      <w:tblStyleRowBandSize w:val="1"/>
      <w:tblStyleColBandSize w:val="1"/>
      <w:tblBorders>
        <w:top w:val="single" w:sz="4" w:space="0" w:color="03C2F6" w:themeColor="text1" w:themeTint="99"/>
        <w:left w:val="single" w:sz="4" w:space="0" w:color="03C2F6" w:themeColor="text1" w:themeTint="99"/>
        <w:bottom w:val="single" w:sz="4" w:space="0" w:color="03C2F6" w:themeColor="text1" w:themeTint="99"/>
        <w:right w:val="single" w:sz="4" w:space="0" w:color="03C2F6" w:themeColor="text1" w:themeTint="99"/>
        <w:insideH w:val="single" w:sz="4" w:space="0" w:color="03C2F6" w:themeColor="text1" w:themeTint="99"/>
        <w:insideV w:val="single" w:sz="4" w:space="0" w:color="03C2F6" w:themeColor="text1" w:themeTint="99"/>
      </w:tblBorders>
    </w:tblPr>
    <w:tblStylePr w:type="firstRow">
      <w:rPr>
        <w:b/>
        <w:bCs/>
        <w:color w:val="FAFAFA" w:themeColor="background1"/>
      </w:rPr>
      <w:tblPr/>
      <w:tcPr>
        <w:tcBorders>
          <w:top w:val="single" w:sz="4" w:space="0" w:color="013C4C" w:themeColor="text1"/>
          <w:left w:val="single" w:sz="4" w:space="0" w:color="013C4C" w:themeColor="text1"/>
          <w:bottom w:val="single" w:sz="4" w:space="0" w:color="013C4C" w:themeColor="text1"/>
          <w:right w:val="single" w:sz="4" w:space="0" w:color="013C4C" w:themeColor="text1"/>
          <w:insideH w:val="nil"/>
          <w:insideV w:val="nil"/>
        </w:tcBorders>
        <w:shd w:val="clear" w:color="auto" w:fill="013C4C" w:themeFill="text1"/>
      </w:tcPr>
    </w:tblStylePr>
    <w:tblStylePr w:type="lastRow">
      <w:rPr>
        <w:b/>
        <w:bCs/>
      </w:rPr>
      <w:tblPr/>
      <w:tcPr>
        <w:tcBorders>
          <w:top w:val="double" w:sz="4" w:space="0" w:color="013C4C" w:themeColor="text1"/>
        </w:tcBorders>
      </w:tcPr>
    </w:tblStylePr>
    <w:tblStylePr w:type="firstCol">
      <w:rPr>
        <w:b/>
        <w:bCs/>
      </w:rPr>
    </w:tblStylePr>
    <w:tblStylePr w:type="lastCol">
      <w:rPr>
        <w:b/>
        <w:bCs/>
      </w:rPr>
    </w:tblStylePr>
    <w:tblStylePr w:type="band1Vert">
      <w:tblPr/>
      <w:tcPr>
        <w:shd w:val="clear" w:color="auto" w:fill="A9EBFE" w:themeFill="text1" w:themeFillTint="33"/>
      </w:tcPr>
    </w:tblStylePr>
    <w:tblStylePr w:type="band1Horz">
      <w:tblPr/>
      <w:tcPr>
        <w:shd w:val="clear" w:color="auto" w:fill="A9EBFE" w:themeFill="text1" w:themeFillTint="33"/>
      </w:tcPr>
    </w:tblStylePr>
  </w:style>
  <w:style w:type="paragraph" w:styleId="Quote">
    <w:name w:val="Quote"/>
    <w:basedOn w:val="Normal"/>
    <w:next w:val="Normal"/>
    <w:link w:val="QuoteChar"/>
    <w:uiPriority w:val="29"/>
    <w:qFormat/>
    <w:rsid w:val="00DE36E4"/>
    <w:pPr>
      <w:ind w:left="720"/>
    </w:pPr>
    <w:rPr>
      <w:i/>
      <w:iCs/>
    </w:rPr>
  </w:style>
  <w:style w:type="character" w:customStyle="1" w:styleId="QuoteChar">
    <w:name w:val="Quote Char"/>
    <w:basedOn w:val="DefaultParagraphFont"/>
    <w:link w:val="Quote"/>
    <w:uiPriority w:val="29"/>
    <w:rsid w:val="00DE36E4"/>
    <w:rPr>
      <w:rFonts w:ascii="PP Mori" w:hAnsi="PP Mori"/>
      <w:i/>
      <w:iCs/>
      <w:sz w:val="18"/>
    </w:rPr>
  </w:style>
  <w:style w:type="character" w:styleId="Strong">
    <w:name w:val="Strong"/>
    <w:uiPriority w:val="22"/>
    <w:qFormat/>
    <w:rsid w:val="0014714A"/>
    <w:rPr>
      <w:rFonts w:ascii="PP Mori SemiBold" w:hAnsi="PP Mori SemiBold"/>
    </w:rPr>
  </w:style>
  <w:style w:type="paragraph" w:styleId="Subtitle">
    <w:name w:val="Subtitle"/>
    <w:basedOn w:val="Normal"/>
    <w:next w:val="Normal"/>
    <w:link w:val="SubtitleChar"/>
    <w:uiPriority w:val="11"/>
    <w:qFormat/>
    <w:rsid w:val="00661261"/>
    <w:rPr>
      <w:rFonts w:ascii="PP Mori ExtraLight" w:hAnsi="PP Mori ExtraLight"/>
      <w:sz w:val="28"/>
      <w:szCs w:val="44"/>
    </w:rPr>
  </w:style>
  <w:style w:type="character" w:customStyle="1" w:styleId="SubtitleChar">
    <w:name w:val="Subtitle Char"/>
    <w:basedOn w:val="DefaultParagraphFont"/>
    <w:link w:val="Subtitle"/>
    <w:uiPriority w:val="11"/>
    <w:rsid w:val="00661261"/>
    <w:rPr>
      <w:rFonts w:ascii="PP Mori ExtraLight" w:hAnsi="PP Mori ExtraLight"/>
      <w:sz w:val="28"/>
      <w:szCs w:val="44"/>
    </w:rPr>
  </w:style>
  <w:style w:type="character" w:styleId="UnresolvedMention">
    <w:name w:val="Unresolved Mention"/>
    <w:basedOn w:val="DefaultParagraphFont"/>
    <w:uiPriority w:val="99"/>
    <w:semiHidden/>
    <w:unhideWhenUsed/>
    <w:rsid w:val="00207652"/>
    <w:rPr>
      <w:color w:val="605E5C"/>
      <w:shd w:val="clear" w:color="auto" w:fill="E1DFDD"/>
    </w:rPr>
  </w:style>
  <w:style w:type="paragraph" w:styleId="Caption">
    <w:name w:val="caption"/>
    <w:basedOn w:val="Normal"/>
    <w:next w:val="Normal"/>
    <w:uiPriority w:val="35"/>
    <w:unhideWhenUsed/>
    <w:qFormat/>
    <w:rsid w:val="00FF4327"/>
    <w:pPr>
      <w:spacing w:before="0" w:after="200" w:line="240" w:lineRule="auto"/>
      <w:jc w:val="center"/>
    </w:pPr>
    <w:rPr>
      <w:i/>
      <w:iCs/>
      <w:color w:val="013C4C" w:themeColor="text1"/>
      <w:szCs w:val="22"/>
    </w:rPr>
  </w:style>
  <w:style w:type="paragraph" w:styleId="FootnoteText">
    <w:name w:val="footnote text"/>
    <w:basedOn w:val="Normal"/>
    <w:link w:val="FootnoteTextChar"/>
    <w:uiPriority w:val="99"/>
    <w:unhideWhenUsed/>
    <w:rsid w:val="0025410A"/>
    <w:pPr>
      <w:spacing w:before="0" w:after="0" w:line="240" w:lineRule="auto"/>
    </w:pPr>
    <w:rPr>
      <w:sz w:val="20"/>
      <w:szCs w:val="25"/>
    </w:rPr>
  </w:style>
  <w:style w:type="character" w:customStyle="1" w:styleId="FootnoteTextChar">
    <w:name w:val="Footnote Text Char"/>
    <w:basedOn w:val="DefaultParagraphFont"/>
    <w:link w:val="FootnoteText"/>
    <w:uiPriority w:val="99"/>
    <w:rsid w:val="0025410A"/>
    <w:rPr>
      <w:rFonts w:ascii="PP Mori" w:hAnsi="PP Mori"/>
      <w:sz w:val="20"/>
      <w:szCs w:val="25"/>
    </w:rPr>
  </w:style>
  <w:style w:type="character" w:styleId="FootnoteReference">
    <w:name w:val="footnote reference"/>
    <w:basedOn w:val="DefaultParagraphFont"/>
    <w:uiPriority w:val="99"/>
    <w:unhideWhenUsed/>
    <w:rsid w:val="0025410A"/>
    <w:rPr>
      <w:vertAlign w:val="superscript"/>
    </w:rPr>
  </w:style>
  <w:style w:type="paragraph" w:styleId="NormalWeb">
    <w:name w:val="Normal (Web)"/>
    <w:basedOn w:val="Normal"/>
    <w:uiPriority w:val="99"/>
    <w:unhideWhenUsed/>
    <w:rsid w:val="00E66A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EndnoteText">
    <w:name w:val="endnote text"/>
    <w:basedOn w:val="Normal"/>
    <w:link w:val="EndnoteTextChar"/>
    <w:uiPriority w:val="99"/>
    <w:semiHidden/>
    <w:unhideWhenUsed/>
    <w:rsid w:val="00FC6983"/>
    <w:pPr>
      <w:spacing w:before="0" w:after="0" w:line="240" w:lineRule="auto"/>
    </w:pPr>
    <w:rPr>
      <w:sz w:val="20"/>
      <w:szCs w:val="25"/>
    </w:rPr>
  </w:style>
  <w:style w:type="character" w:customStyle="1" w:styleId="EndnoteTextChar">
    <w:name w:val="Endnote Text Char"/>
    <w:basedOn w:val="DefaultParagraphFont"/>
    <w:link w:val="EndnoteText"/>
    <w:uiPriority w:val="99"/>
    <w:semiHidden/>
    <w:rsid w:val="00FC6983"/>
    <w:rPr>
      <w:rFonts w:ascii="PP Mori" w:hAnsi="PP Mori"/>
      <w:sz w:val="20"/>
      <w:szCs w:val="25"/>
    </w:rPr>
  </w:style>
  <w:style w:type="character" w:styleId="EndnoteReference">
    <w:name w:val="endnote reference"/>
    <w:basedOn w:val="DefaultParagraphFont"/>
    <w:uiPriority w:val="99"/>
    <w:semiHidden/>
    <w:unhideWhenUsed/>
    <w:rsid w:val="00FC6983"/>
    <w:rPr>
      <w:vertAlign w:val="superscript"/>
    </w:rPr>
  </w:style>
  <w:style w:type="character" w:styleId="FollowedHyperlink">
    <w:name w:val="FollowedHyperlink"/>
    <w:basedOn w:val="DefaultParagraphFont"/>
    <w:uiPriority w:val="99"/>
    <w:semiHidden/>
    <w:unhideWhenUsed/>
    <w:rsid w:val="0051162E"/>
    <w:rPr>
      <w:color w:val="8DD1E8" w:themeColor="followedHyperlink"/>
      <w:u w:val="single"/>
    </w:rPr>
  </w:style>
  <w:style w:type="table" w:styleId="TableGrid">
    <w:name w:val="Table Grid"/>
    <w:basedOn w:val="TableNormal"/>
    <w:uiPriority w:val="39"/>
    <w:rsid w:val="0002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C92691"/>
    <w:pPr>
      <w:spacing w:after="0" w:line="240" w:lineRule="auto"/>
    </w:pPr>
    <w:tblPr>
      <w:tblStyleRowBandSize w:val="1"/>
      <w:tblStyleColBandSize w:val="1"/>
      <w:tblBorders>
        <w:top w:val="single" w:sz="4" w:space="0" w:color="828282" w:themeColor="accent5" w:themeTint="99"/>
        <w:left w:val="single" w:sz="4" w:space="0" w:color="828282" w:themeColor="accent5" w:themeTint="99"/>
        <w:bottom w:val="single" w:sz="4" w:space="0" w:color="828282" w:themeColor="accent5" w:themeTint="99"/>
        <w:right w:val="single" w:sz="4" w:space="0" w:color="828282" w:themeColor="accent5" w:themeTint="99"/>
        <w:insideH w:val="single" w:sz="4" w:space="0" w:color="828282" w:themeColor="accent5" w:themeTint="99"/>
      </w:tblBorders>
    </w:tblPr>
    <w:tblStylePr w:type="firstRow">
      <w:rPr>
        <w:b/>
        <w:bCs/>
        <w:color w:val="FAFAFA" w:themeColor="background1"/>
      </w:rPr>
      <w:tblPr/>
      <w:tcPr>
        <w:tcBorders>
          <w:top w:val="single" w:sz="4" w:space="0" w:color="2F2F2F" w:themeColor="accent5"/>
          <w:left w:val="single" w:sz="4" w:space="0" w:color="2F2F2F" w:themeColor="accent5"/>
          <w:bottom w:val="single" w:sz="4" w:space="0" w:color="2F2F2F" w:themeColor="accent5"/>
          <w:right w:val="single" w:sz="4" w:space="0" w:color="2F2F2F" w:themeColor="accent5"/>
          <w:insideH w:val="nil"/>
        </w:tcBorders>
        <w:shd w:val="clear" w:color="auto" w:fill="2F2F2F" w:themeFill="accent5"/>
      </w:tcPr>
    </w:tblStylePr>
    <w:tblStylePr w:type="lastRow">
      <w:rPr>
        <w:b/>
        <w:bCs/>
      </w:rPr>
      <w:tblPr/>
      <w:tcPr>
        <w:tcBorders>
          <w:top w:val="double" w:sz="4" w:space="0" w:color="828282" w:themeColor="accent5" w:themeTint="99"/>
        </w:tcBorders>
      </w:tc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table" w:styleId="ListTable2-Accent5">
    <w:name w:val="List Table 2 Accent 5"/>
    <w:basedOn w:val="TableNormal"/>
    <w:uiPriority w:val="47"/>
    <w:rsid w:val="00C92691"/>
    <w:pPr>
      <w:spacing w:after="0" w:line="240" w:lineRule="auto"/>
    </w:pPr>
    <w:tblPr>
      <w:tblStyleRowBandSize w:val="1"/>
      <w:tblStyleColBandSize w:val="1"/>
      <w:tblBorders>
        <w:top w:val="single" w:sz="4" w:space="0" w:color="828282" w:themeColor="accent5" w:themeTint="99"/>
        <w:bottom w:val="single" w:sz="4" w:space="0" w:color="828282" w:themeColor="accent5" w:themeTint="99"/>
        <w:insideH w:val="single" w:sz="4" w:space="0" w:color="8282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table" w:styleId="ListTable7Colorful-Accent5">
    <w:name w:val="List Table 7 Colorful Accent 5"/>
    <w:basedOn w:val="TableNormal"/>
    <w:uiPriority w:val="52"/>
    <w:rsid w:val="00911E5C"/>
    <w:pPr>
      <w:spacing w:after="0" w:line="240" w:lineRule="auto"/>
    </w:pPr>
    <w:rPr>
      <w:color w:val="23232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2F2F" w:themeColor="accent5"/>
        </w:tcBorders>
        <w:shd w:val="clear" w:color="auto" w:fill="FAFAFA" w:themeFill="background1"/>
      </w:tcPr>
    </w:tblStylePr>
    <w:tblStylePr w:type="lastRow">
      <w:rPr>
        <w:rFonts w:asciiTheme="majorHAnsi" w:eastAsiaTheme="majorEastAsia" w:hAnsiTheme="majorHAnsi" w:cstheme="majorBidi"/>
        <w:i/>
        <w:iCs/>
        <w:sz w:val="26"/>
      </w:rPr>
      <w:tblPr/>
      <w:tcPr>
        <w:tcBorders>
          <w:top w:val="single" w:sz="4" w:space="0" w:color="2F2F2F" w:themeColor="accent5"/>
        </w:tcBorders>
        <w:shd w:val="clear" w:color="auto" w:fill="FAFAF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2F2F" w:themeColor="accent5"/>
        </w:tcBorders>
        <w:shd w:val="clear" w:color="auto" w:fill="FAFAFA" w:themeFill="background1"/>
      </w:tcPr>
    </w:tblStylePr>
    <w:tblStylePr w:type="lastCol">
      <w:rPr>
        <w:rFonts w:asciiTheme="majorHAnsi" w:eastAsiaTheme="majorEastAsia" w:hAnsiTheme="majorHAnsi" w:cstheme="majorBidi"/>
        <w:i/>
        <w:iCs/>
        <w:sz w:val="26"/>
      </w:rPr>
      <w:tblPr/>
      <w:tcPr>
        <w:tcBorders>
          <w:left w:val="single" w:sz="4" w:space="0" w:color="2F2F2F" w:themeColor="accent5"/>
        </w:tcBorders>
        <w:shd w:val="clear" w:color="auto" w:fill="FAFAFA" w:themeFill="background1"/>
      </w:tcPr>
    </w:tblStylePr>
    <w:tblStylePr w:type="band1Vert">
      <w:tblPr/>
      <w:tcPr>
        <w:shd w:val="clear" w:color="auto" w:fill="D5D5D5" w:themeFill="accent5" w:themeFillTint="33"/>
      </w:tcPr>
    </w:tblStylePr>
    <w:tblStylePr w:type="band1Horz">
      <w:tblPr/>
      <w:tcPr>
        <w:shd w:val="clear" w:color="auto" w:fill="D5D5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736939"/>
    <w:rPr>
      <w:sz w:val="16"/>
      <w:szCs w:val="16"/>
    </w:rPr>
  </w:style>
  <w:style w:type="paragraph" w:styleId="CommentText">
    <w:name w:val="annotation text"/>
    <w:basedOn w:val="Normal"/>
    <w:link w:val="CommentTextChar"/>
    <w:uiPriority w:val="99"/>
    <w:unhideWhenUsed/>
    <w:rsid w:val="00736939"/>
    <w:pPr>
      <w:spacing w:line="240" w:lineRule="auto"/>
    </w:pPr>
    <w:rPr>
      <w:sz w:val="20"/>
      <w:szCs w:val="25"/>
    </w:rPr>
  </w:style>
  <w:style w:type="character" w:customStyle="1" w:styleId="CommentTextChar">
    <w:name w:val="Comment Text Char"/>
    <w:basedOn w:val="DefaultParagraphFont"/>
    <w:link w:val="CommentText"/>
    <w:uiPriority w:val="99"/>
    <w:rsid w:val="00736939"/>
    <w:rPr>
      <w:rFonts w:ascii="PP Mori" w:hAnsi="PP Mori"/>
      <w:sz w:val="20"/>
      <w:szCs w:val="25"/>
    </w:rPr>
  </w:style>
  <w:style w:type="paragraph" w:styleId="CommentSubject">
    <w:name w:val="annotation subject"/>
    <w:basedOn w:val="CommentText"/>
    <w:next w:val="CommentText"/>
    <w:link w:val="CommentSubjectChar"/>
    <w:uiPriority w:val="99"/>
    <w:semiHidden/>
    <w:unhideWhenUsed/>
    <w:rsid w:val="00736939"/>
    <w:rPr>
      <w:b/>
      <w:bCs/>
    </w:rPr>
  </w:style>
  <w:style w:type="character" w:customStyle="1" w:styleId="CommentSubjectChar">
    <w:name w:val="Comment Subject Char"/>
    <w:basedOn w:val="CommentTextChar"/>
    <w:link w:val="CommentSubject"/>
    <w:uiPriority w:val="99"/>
    <w:semiHidden/>
    <w:rsid w:val="00736939"/>
    <w:rPr>
      <w:rFonts w:ascii="PP Mori" w:hAnsi="PP Mori"/>
      <w:b/>
      <w:bCs/>
      <w:sz w:val="20"/>
      <w:szCs w:val="25"/>
    </w:rPr>
  </w:style>
  <w:style w:type="character" w:styleId="Mention">
    <w:name w:val="Mention"/>
    <w:basedOn w:val="DefaultParagraphFont"/>
    <w:uiPriority w:val="99"/>
    <w:unhideWhenUsed/>
    <w:rsid w:val="00736939"/>
    <w:rPr>
      <w:color w:val="2B579A"/>
      <w:shd w:val="clear" w:color="auto" w:fill="E1DFDD"/>
    </w:rPr>
  </w:style>
  <w:style w:type="table" w:styleId="GridTable3">
    <w:name w:val="Grid Table 3"/>
    <w:basedOn w:val="TableNormal"/>
    <w:uiPriority w:val="48"/>
    <w:rsid w:val="00D91D34"/>
    <w:pPr>
      <w:spacing w:after="0" w:line="240" w:lineRule="auto"/>
    </w:pPr>
    <w:tblPr>
      <w:tblStyleRowBandSize w:val="1"/>
      <w:tblStyleColBandSize w:val="1"/>
      <w:tblBorders>
        <w:top w:val="single" w:sz="4" w:space="0" w:color="03C2F6" w:themeColor="text1" w:themeTint="99"/>
        <w:left w:val="single" w:sz="4" w:space="0" w:color="03C2F6" w:themeColor="text1" w:themeTint="99"/>
        <w:bottom w:val="single" w:sz="4" w:space="0" w:color="03C2F6" w:themeColor="text1" w:themeTint="99"/>
        <w:right w:val="single" w:sz="4" w:space="0" w:color="03C2F6" w:themeColor="text1" w:themeTint="99"/>
        <w:insideH w:val="single" w:sz="4" w:space="0" w:color="03C2F6" w:themeColor="text1" w:themeTint="99"/>
        <w:insideV w:val="single" w:sz="4" w:space="0" w:color="03C2F6" w:themeColor="text1" w:themeTint="99"/>
      </w:tblBorders>
    </w:tblPr>
    <w:tblStylePr w:type="firstRow">
      <w:rPr>
        <w:b/>
        <w:bCs/>
      </w:rPr>
      <w:tblPr/>
      <w:tcPr>
        <w:tcBorders>
          <w:top w:val="nil"/>
          <w:left w:val="nil"/>
          <w:right w:val="nil"/>
          <w:insideH w:val="nil"/>
          <w:insideV w:val="nil"/>
        </w:tcBorders>
        <w:shd w:val="clear" w:color="auto" w:fill="FAFAFA" w:themeFill="background1"/>
      </w:tcPr>
    </w:tblStylePr>
    <w:tblStylePr w:type="lastRow">
      <w:rPr>
        <w:b/>
        <w:bCs/>
      </w:rPr>
      <w:tblPr/>
      <w:tcPr>
        <w:tcBorders>
          <w:left w:val="nil"/>
          <w:bottom w:val="nil"/>
          <w:right w:val="nil"/>
          <w:insideH w:val="nil"/>
          <w:insideV w:val="nil"/>
        </w:tcBorders>
        <w:shd w:val="clear" w:color="auto" w:fill="FAFAFA" w:themeFill="background1"/>
      </w:tcPr>
    </w:tblStylePr>
    <w:tblStylePr w:type="firstCol">
      <w:pPr>
        <w:jc w:val="right"/>
      </w:pPr>
      <w:rPr>
        <w:i/>
        <w:iCs/>
      </w:rPr>
      <w:tblPr/>
      <w:tcPr>
        <w:tcBorders>
          <w:top w:val="nil"/>
          <w:left w:val="nil"/>
          <w:bottom w:val="nil"/>
          <w:insideH w:val="nil"/>
          <w:insideV w:val="nil"/>
        </w:tcBorders>
        <w:shd w:val="clear" w:color="auto" w:fill="FAFAFA" w:themeFill="background1"/>
      </w:tcPr>
    </w:tblStylePr>
    <w:tblStylePr w:type="lastCol">
      <w:rPr>
        <w:i/>
        <w:iCs/>
      </w:rPr>
      <w:tblPr/>
      <w:tcPr>
        <w:tcBorders>
          <w:top w:val="nil"/>
          <w:bottom w:val="nil"/>
          <w:right w:val="nil"/>
          <w:insideH w:val="nil"/>
          <w:insideV w:val="nil"/>
        </w:tcBorders>
        <w:shd w:val="clear" w:color="auto" w:fill="FAFAFA" w:themeFill="background1"/>
      </w:tcPr>
    </w:tblStylePr>
    <w:tblStylePr w:type="band1Vert">
      <w:tblPr/>
      <w:tcPr>
        <w:shd w:val="clear" w:color="auto" w:fill="A9EBFE" w:themeFill="text1" w:themeFillTint="33"/>
      </w:tcPr>
    </w:tblStylePr>
    <w:tblStylePr w:type="band1Horz">
      <w:tblPr/>
      <w:tcPr>
        <w:shd w:val="clear" w:color="auto" w:fill="A9EBFE" w:themeFill="text1" w:themeFillTint="33"/>
      </w:tcPr>
    </w:tblStylePr>
    <w:tblStylePr w:type="neCell">
      <w:tblPr/>
      <w:tcPr>
        <w:tcBorders>
          <w:bottom w:val="single" w:sz="4" w:space="0" w:color="03C2F6" w:themeColor="text1" w:themeTint="99"/>
        </w:tcBorders>
      </w:tcPr>
    </w:tblStylePr>
    <w:tblStylePr w:type="nwCell">
      <w:tblPr/>
      <w:tcPr>
        <w:tcBorders>
          <w:bottom w:val="single" w:sz="4" w:space="0" w:color="03C2F6" w:themeColor="text1" w:themeTint="99"/>
        </w:tcBorders>
      </w:tcPr>
    </w:tblStylePr>
    <w:tblStylePr w:type="seCell">
      <w:tblPr/>
      <w:tcPr>
        <w:tcBorders>
          <w:top w:val="single" w:sz="4" w:space="0" w:color="03C2F6" w:themeColor="text1" w:themeTint="99"/>
        </w:tcBorders>
      </w:tcPr>
    </w:tblStylePr>
    <w:tblStylePr w:type="swCell">
      <w:tblPr/>
      <w:tcPr>
        <w:tcBorders>
          <w:top w:val="single" w:sz="4" w:space="0" w:color="03C2F6" w:themeColor="text1" w:themeTint="99"/>
        </w:tcBorders>
      </w:tcPr>
    </w:tblStylePr>
  </w:style>
  <w:style w:type="paragraph" w:styleId="Bibliography">
    <w:name w:val="Bibliography"/>
    <w:basedOn w:val="Normal"/>
    <w:next w:val="Normal"/>
    <w:uiPriority w:val="37"/>
    <w:unhideWhenUsed/>
    <w:rsid w:val="009858D0"/>
    <w:pPr>
      <w:tabs>
        <w:tab w:val="left" w:pos="504"/>
      </w:tabs>
      <w:spacing w:after="0" w:line="240" w:lineRule="auto"/>
      <w:ind w:left="504" w:hanging="504"/>
    </w:pPr>
  </w:style>
  <w:style w:type="table" w:styleId="GridTable4-Accent5">
    <w:name w:val="Grid Table 4 Accent 5"/>
    <w:basedOn w:val="TableNormal"/>
    <w:uiPriority w:val="49"/>
    <w:rsid w:val="00F940D1"/>
    <w:pPr>
      <w:spacing w:after="0" w:line="240" w:lineRule="auto"/>
    </w:pPr>
    <w:tblPr>
      <w:tblStyleRowBandSize w:val="1"/>
      <w:tblStyleColBandSize w:val="1"/>
      <w:tblBorders>
        <w:top w:val="single" w:sz="4" w:space="0" w:color="828282" w:themeColor="accent5" w:themeTint="99"/>
        <w:left w:val="single" w:sz="4" w:space="0" w:color="828282" w:themeColor="accent5" w:themeTint="99"/>
        <w:bottom w:val="single" w:sz="4" w:space="0" w:color="828282" w:themeColor="accent5" w:themeTint="99"/>
        <w:right w:val="single" w:sz="4" w:space="0" w:color="828282" w:themeColor="accent5" w:themeTint="99"/>
        <w:insideH w:val="single" w:sz="4" w:space="0" w:color="828282" w:themeColor="accent5" w:themeTint="99"/>
        <w:insideV w:val="single" w:sz="4" w:space="0" w:color="828282" w:themeColor="accent5" w:themeTint="99"/>
      </w:tblBorders>
    </w:tblPr>
    <w:tblStylePr w:type="firstRow">
      <w:rPr>
        <w:b/>
        <w:bCs/>
        <w:color w:val="FAFAFA" w:themeColor="background1"/>
      </w:rPr>
      <w:tblPr/>
      <w:tcPr>
        <w:tcBorders>
          <w:top w:val="single" w:sz="4" w:space="0" w:color="2F2F2F" w:themeColor="accent5"/>
          <w:left w:val="single" w:sz="4" w:space="0" w:color="2F2F2F" w:themeColor="accent5"/>
          <w:bottom w:val="single" w:sz="4" w:space="0" w:color="2F2F2F" w:themeColor="accent5"/>
          <w:right w:val="single" w:sz="4" w:space="0" w:color="2F2F2F" w:themeColor="accent5"/>
          <w:insideH w:val="nil"/>
          <w:insideV w:val="nil"/>
        </w:tcBorders>
        <w:shd w:val="clear" w:color="auto" w:fill="2F2F2F" w:themeFill="accent5"/>
      </w:tcPr>
    </w:tblStylePr>
    <w:tblStylePr w:type="lastRow">
      <w:rPr>
        <w:b/>
        <w:bCs/>
      </w:rPr>
      <w:tblPr/>
      <w:tcPr>
        <w:tcBorders>
          <w:top w:val="double" w:sz="4" w:space="0" w:color="2F2F2F" w:themeColor="accent5"/>
        </w:tcBorders>
      </w:tc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paragraph" w:styleId="Revision">
    <w:name w:val="Revision"/>
    <w:hidden/>
    <w:uiPriority w:val="99"/>
    <w:semiHidden/>
    <w:rsid w:val="0046078F"/>
    <w:pPr>
      <w:spacing w:after="0" w:line="240" w:lineRule="auto"/>
    </w:pPr>
    <w:rPr>
      <w:rFonts w:ascii="PP Mori" w:hAnsi="PP Mori"/>
      <w:sz w:val="18"/>
    </w:rPr>
  </w:style>
  <w:style w:type="paragraph" w:customStyle="1" w:styleId="Default">
    <w:name w:val="Default"/>
    <w:rsid w:val="00165D1B"/>
    <w:pPr>
      <w:autoSpaceDE w:val="0"/>
      <w:autoSpaceDN w:val="0"/>
      <w:adjustRightInd w:val="0"/>
      <w:spacing w:after="0" w:line="240" w:lineRule="auto"/>
    </w:pPr>
    <w:rPr>
      <w:rFonts w:ascii="Calibri" w:hAnsi="Calibri" w:cs="Calibri"/>
      <w:color w:val="000000"/>
      <w:kern w:val="0"/>
      <w:sz w:val="24"/>
      <w:szCs w:val="24"/>
    </w:rPr>
  </w:style>
  <w:style w:type="table" w:styleId="ListTable3-Accent1">
    <w:name w:val="List Table 3 Accent 1"/>
    <w:basedOn w:val="TableNormal"/>
    <w:uiPriority w:val="48"/>
    <w:rsid w:val="00C66386"/>
    <w:pPr>
      <w:spacing w:after="0" w:line="240" w:lineRule="auto"/>
    </w:pPr>
    <w:tblPr>
      <w:tblStyleRowBandSize w:val="1"/>
      <w:tblStyleColBandSize w:val="1"/>
      <w:tblBorders>
        <w:top w:val="single" w:sz="4" w:space="0" w:color="013C4C" w:themeColor="accent1"/>
        <w:left w:val="single" w:sz="4" w:space="0" w:color="013C4C" w:themeColor="accent1"/>
        <w:bottom w:val="single" w:sz="4" w:space="0" w:color="013C4C" w:themeColor="accent1"/>
        <w:right w:val="single" w:sz="4" w:space="0" w:color="013C4C" w:themeColor="accent1"/>
      </w:tblBorders>
    </w:tblPr>
    <w:tblStylePr w:type="firstRow">
      <w:rPr>
        <w:b/>
        <w:bCs/>
        <w:color w:val="FAFAFA" w:themeColor="background1"/>
      </w:rPr>
      <w:tblPr/>
      <w:tcPr>
        <w:shd w:val="clear" w:color="auto" w:fill="013C4C" w:themeFill="accent1"/>
      </w:tcPr>
    </w:tblStylePr>
    <w:tblStylePr w:type="lastRow">
      <w:rPr>
        <w:b/>
        <w:bCs/>
      </w:rPr>
      <w:tblPr/>
      <w:tcPr>
        <w:tcBorders>
          <w:top w:val="double" w:sz="4" w:space="0" w:color="013C4C" w:themeColor="accent1"/>
        </w:tcBorders>
        <w:shd w:val="clear" w:color="auto" w:fill="FAFAFA" w:themeFill="background1"/>
      </w:tcPr>
    </w:tblStylePr>
    <w:tblStylePr w:type="firstCol">
      <w:rPr>
        <w:b/>
        <w:bCs/>
      </w:rPr>
      <w:tblPr/>
      <w:tcPr>
        <w:tcBorders>
          <w:right w:val="nil"/>
        </w:tcBorders>
        <w:shd w:val="clear" w:color="auto" w:fill="FAFAFA" w:themeFill="background1"/>
      </w:tcPr>
    </w:tblStylePr>
    <w:tblStylePr w:type="lastCol">
      <w:rPr>
        <w:b/>
        <w:bCs/>
      </w:rPr>
      <w:tblPr/>
      <w:tcPr>
        <w:tcBorders>
          <w:left w:val="nil"/>
        </w:tcBorders>
        <w:shd w:val="clear" w:color="auto" w:fill="FAFAFA" w:themeFill="background1"/>
      </w:tcPr>
    </w:tblStylePr>
    <w:tblStylePr w:type="band1Vert">
      <w:tblPr/>
      <w:tcPr>
        <w:tcBorders>
          <w:left w:val="single" w:sz="4" w:space="0" w:color="013C4C" w:themeColor="accent1"/>
          <w:right w:val="single" w:sz="4" w:space="0" w:color="013C4C" w:themeColor="accent1"/>
        </w:tcBorders>
      </w:tcPr>
    </w:tblStylePr>
    <w:tblStylePr w:type="band1Horz">
      <w:tblPr/>
      <w:tcPr>
        <w:tcBorders>
          <w:top w:val="single" w:sz="4" w:space="0" w:color="013C4C" w:themeColor="accent1"/>
          <w:bottom w:val="single" w:sz="4" w:space="0" w:color="013C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3C4C" w:themeColor="accent1"/>
          <w:left w:val="nil"/>
        </w:tcBorders>
      </w:tcPr>
    </w:tblStylePr>
    <w:tblStylePr w:type="swCell">
      <w:tblPr/>
      <w:tcPr>
        <w:tcBorders>
          <w:top w:val="double" w:sz="4" w:space="0" w:color="013C4C" w:themeColor="accent1"/>
          <w:right w:val="nil"/>
        </w:tcBorders>
      </w:tcPr>
    </w:tblStylePr>
  </w:style>
  <w:style w:type="table" w:styleId="PlainTable2">
    <w:name w:val="Plain Table 2"/>
    <w:basedOn w:val="TableNormal"/>
    <w:uiPriority w:val="42"/>
    <w:rsid w:val="004C4E1C"/>
    <w:pPr>
      <w:spacing w:after="0" w:line="240" w:lineRule="auto"/>
    </w:pPr>
    <w:tblPr>
      <w:tblStyleRowBandSize w:val="1"/>
      <w:tblStyleColBandSize w:val="1"/>
      <w:tblBorders>
        <w:top w:val="single" w:sz="4" w:space="0" w:color="28CEFC" w:themeColor="text1" w:themeTint="80"/>
        <w:bottom w:val="single" w:sz="4" w:space="0" w:color="28CEFC" w:themeColor="text1" w:themeTint="80"/>
      </w:tblBorders>
    </w:tblPr>
    <w:tblStylePr w:type="firstRow">
      <w:rPr>
        <w:b/>
        <w:bCs/>
      </w:rPr>
      <w:tblPr/>
      <w:tcPr>
        <w:tcBorders>
          <w:bottom w:val="single" w:sz="4" w:space="0" w:color="28CEFC" w:themeColor="text1" w:themeTint="80"/>
        </w:tcBorders>
      </w:tcPr>
    </w:tblStylePr>
    <w:tblStylePr w:type="lastRow">
      <w:rPr>
        <w:b/>
        <w:bCs/>
      </w:rPr>
      <w:tblPr/>
      <w:tcPr>
        <w:tcBorders>
          <w:top w:val="single" w:sz="4" w:space="0" w:color="28CEFC" w:themeColor="text1" w:themeTint="80"/>
        </w:tcBorders>
      </w:tcPr>
    </w:tblStylePr>
    <w:tblStylePr w:type="firstCol">
      <w:rPr>
        <w:b/>
        <w:bCs/>
      </w:rPr>
    </w:tblStylePr>
    <w:tblStylePr w:type="lastCol">
      <w:rPr>
        <w:b/>
        <w:bCs/>
      </w:rPr>
    </w:tblStylePr>
    <w:tblStylePr w:type="band1Vert">
      <w:tblPr/>
      <w:tcPr>
        <w:tcBorders>
          <w:left w:val="single" w:sz="4" w:space="0" w:color="28CEFC" w:themeColor="text1" w:themeTint="80"/>
          <w:right w:val="single" w:sz="4" w:space="0" w:color="28CEFC" w:themeColor="text1" w:themeTint="80"/>
        </w:tcBorders>
      </w:tcPr>
    </w:tblStylePr>
    <w:tblStylePr w:type="band2Vert">
      <w:tblPr/>
      <w:tcPr>
        <w:tcBorders>
          <w:left w:val="single" w:sz="4" w:space="0" w:color="28CEFC" w:themeColor="text1" w:themeTint="80"/>
          <w:right w:val="single" w:sz="4" w:space="0" w:color="28CEFC" w:themeColor="text1" w:themeTint="80"/>
        </w:tcBorders>
      </w:tcPr>
    </w:tblStylePr>
    <w:tblStylePr w:type="band1Horz">
      <w:tblPr/>
      <w:tcPr>
        <w:tcBorders>
          <w:top w:val="single" w:sz="4" w:space="0" w:color="28CEFC" w:themeColor="text1" w:themeTint="80"/>
          <w:bottom w:val="single" w:sz="4" w:space="0" w:color="28CEFC" w:themeColor="text1" w:themeTint="80"/>
        </w:tcBorders>
      </w:tcPr>
    </w:tblStylePr>
  </w:style>
  <w:style w:type="table" w:styleId="GridTable5Dark-Accent3">
    <w:name w:val="Grid Table 5 Dark Accent 3"/>
    <w:basedOn w:val="TableNormal"/>
    <w:uiPriority w:val="50"/>
    <w:rsid w:val="004C4E1C"/>
    <w:pPr>
      <w:spacing w:after="0" w:line="240" w:lineRule="auto"/>
    </w:pPr>
    <w:tblPr>
      <w:tblStyleRowBandSize w:val="1"/>
      <w:tblStyleColBandSize w:val="1"/>
      <w:tblBorders>
        <w:top w:val="single" w:sz="4" w:space="0" w:color="FAFAFA" w:themeColor="background1"/>
        <w:left w:val="single" w:sz="4" w:space="0" w:color="FAFAFA" w:themeColor="background1"/>
        <w:bottom w:val="single" w:sz="4" w:space="0" w:color="FAFAFA" w:themeColor="background1"/>
        <w:right w:val="single" w:sz="4" w:space="0" w:color="FAFAFA" w:themeColor="background1"/>
        <w:insideH w:val="single" w:sz="4" w:space="0" w:color="FAFAFA" w:themeColor="background1"/>
        <w:insideV w:val="single" w:sz="4" w:space="0" w:color="FAFAFA" w:themeColor="background1"/>
      </w:tblBorders>
    </w:tblPr>
    <w:tcPr>
      <w:shd w:val="clear" w:color="auto" w:fill="BAEBFC" w:themeFill="accent3" w:themeFillTint="33"/>
    </w:tcPr>
    <w:tblStylePr w:type="firstRow">
      <w:rPr>
        <w:b/>
        <w:bCs/>
        <w:color w:val="FAFAFA" w:themeColor="background1"/>
      </w:rPr>
      <w:tblPr/>
      <w:tcPr>
        <w:tcBorders>
          <w:top w:val="single" w:sz="4" w:space="0" w:color="FAFAFA" w:themeColor="background1"/>
          <w:left w:val="single" w:sz="4" w:space="0" w:color="FAFAFA" w:themeColor="background1"/>
          <w:right w:val="single" w:sz="4" w:space="0" w:color="FAFAFA" w:themeColor="background1"/>
          <w:insideH w:val="nil"/>
          <w:insideV w:val="nil"/>
        </w:tcBorders>
        <w:shd w:val="clear" w:color="auto" w:fill="067296" w:themeFill="accent3"/>
      </w:tcPr>
    </w:tblStylePr>
    <w:tblStylePr w:type="lastRow">
      <w:rPr>
        <w:b/>
        <w:bCs/>
        <w:color w:val="FAFAFA" w:themeColor="background1"/>
      </w:rPr>
      <w:tblPr/>
      <w:tcPr>
        <w:tcBorders>
          <w:left w:val="single" w:sz="4" w:space="0" w:color="FAFAFA" w:themeColor="background1"/>
          <w:bottom w:val="single" w:sz="4" w:space="0" w:color="FAFAFA" w:themeColor="background1"/>
          <w:right w:val="single" w:sz="4" w:space="0" w:color="FAFAFA" w:themeColor="background1"/>
          <w:insideH w:val="nil"/>
          <w:insideV w:val="nil"/>
        </w:tcBorders>
        <w:shd w:val="clear" w:color="auto" w:fill="067296" w:themeFill="accent3"/>
      </w:tcPr>
    </w:tblStylePr>
    <w:tblStylePr w:type="firstCol">
      <w:rPr>
        <w:b/>
        <w:bCs/>
        <w:color w:val="FAFAFA" w:themeColor="background1"/>
      </w:rPr>
      <w:tblPr/>
      <w:tcPr>
        <w:tcBorders>
          <w:top w:val="single" w:sz="4" w:space="0" w:color="FAFAFA" w:themeColor="background1"/>
          <w:left w:val="single" w:sz="4" w:space="0" w:color="FAFAFA" w:themeColor="background1"/>
          <w:bottom w:val="single" w:sz="4" w:space="0" w:color="FAFAFA" w:themeColor="background1"/>
          <w:insideV w:val="nil"/>
        </w:tcBorders>
        <w:shd w:val="clear" w:color="auto" w:fill="067296" w:themeFill="accent3"/>
      </w:tcPr>
    </w:tblStylePr>
    <w:tblStylePr w:type="lastCol">
      <w:rPr>
        <w:b/>
        <w:bCs/>
        <w:color w:val="FAFAFA" w:themeColor="background1"/>
      </w:rPr>
      <w:tblPr/>
      <w:tcPr>
        <w:tcBorders>
          <w:top w:val="single" w:sz="4" w:space="0" w:color="FAFAFA" w:themeColor="background1"/>
          <w:bottom w:val="single" w:sz="4" w:space="0" w:color="FAFAFA" w:themeColor="background1"/>
          <w:right w:val="single" w:sz="4" w:space="0" w:color="FAFAFA" w:themeColor="background1"/>
          <w:insideV w:val="nil"/>
        </w:tcBorders>
        <w:shd w:val="clear" w:color="auto" w:fill="067296" w:themeFill="accent3"/>
      </w:tcPr>
    </w:tblStylePr>
    <w:tblStylePr w:type="band1Vert">
      <w:tblPr/>
      <w:tcPr>
        <w:shd w:val="clear" w:color="auto" w:fill="76D8F9" w:themeFill="accent3" w:themeFillTint="66"/>
      </w:tcPr>
    </w:tblStylePr>
    <w:tblStylePr w:type="band1Horz">
      <w:tblPr/>
      <w:tcPr>
        <w:shd w:val="clear" w:color="auto" w:fill="76D8F9" w:themeFill="accent3" w:themeFillTint="66"/>
      </w:tcPr>
    </w:tblStylePr>
  </w:style>
  <w:style w:type="character" w:customStyle="1" w:styleId="ListParagraphChar">
    <w:name w:val="List Paragraph Char"/>
    <w:aliases w:val="Without Spacing Char"/>
    <w:basedOn w:val="DefaultParagraphFont"/>
    <w:link w:val="ListParagraph"/>
    <w:uiPriority w:val="34"/>
    <w:rsid w:val="008C69C0"/>
    <w:rPr>
      <w:rFonts w:ascii="PP Mori" w:hAnsi="PP Mori"/>
      <w:sz w:val="18"/>
    </w:rPr>
  </w:style>
  <w:style w:type="table" w:styleId="PlainTable1">
    <w:name w:val="Plain Table 1"/>
    <w:basedOn w:val="TableNormal"/>
    <w:uiPriority w:val="41"/>
    <w:rsid w:val="008F21D4"/>
    <w:pPr>
      <w:spacing w:after="0" w:line="240" w:lineRule="auto"/>
    </w:pPr>
    <w:tblPr>
      <w:tblStyleRowBandSize w:val="1"/>
      <w:tblStyleColBandSize w:val="1"/>
      <w:tblBorders>
        <w:top w:val="single" w:sz="4" w:space="0" w:color="BBBBBB" w:themeColor="background1" w:themeShade="BF"/>
        <w:left w:val="single" w:sz="4" w:space="0" w:color="BBBBBB" w:themeColor="background1" w:themeShade="BF"/>
        <w:bottom w:val="single" w:sz="4" w:space="0" w:color="BBBBBB" w:themeColor="background1" w:themeShade="BF"/>
        <w:right w:val="single" w:sz="4" w:space="0" w:color="BBBBBB" w:themeColor="background1" w:themeShade="BF"/>
        <w:insideH w:val="single" w:sz="4" w:space="0" w:color="BBBBBB" w:themeColor="background1" w:themeShade="BF"/>
        <w:insideV w:val="single" w:sz="4" w:space="0" w:color="BBBBBB" w:themeColor="background1" w:themeShade="BF"/>
      </w:tblBorders>
    </w:tblPr>
    <w:tblStylePr w:type="firstRow">
      <w:rPr>
        <w:b/>
        <w:bCs/>
      </w:rPr>
    </w:tblStylePr>
    <w:tblStylePr w:type="lastRow">
      <w:rPr>
        <w:b/>
        <w:bCs/>
      </w:rPr>
      <w:tblPr/>
      <w:tcPr>
        <w:tcBorders>
          <w:top w:val="double" w:sz="4" w:space="0" w:color="BBBBBB" w:themeColor="background1" w:themeShade="BF"/>
        </w:tcBorders>
      </w:tcPr>
    </w:tblStylePr>
    <w:tblStylePr w:type="firstCol">
      <w:rPr>
        <w:b/>
        <w:bCs/>
      </w:rPr>
    </w:tblStylePr>
    <w:tblStylePr w:type="lastCol">
      <w:rPr>
        <w:b/>
        <w:bCs/>
      </w:rPr>
    </w:tblStylePr>
    <w:tblStylePr w:type="band1Vert">
      <w:tblPr/>
      <w:tcPr>
        <w:shd w:val="clear" w:color="auto" w:fill="EDEDED" w:themeFill="background1" w:themeFillShade="F2"/>
      </w:tcPr>
    </w:tblStylePr>
    <w:tblStylePr w:type="band1Horz">
      <w:tblPr/>
      <w:tcPr>
        <w:shd w:val="clear" w:color="auto" w:fill="EDEDED" w:themeFill="background1" w:themeFillShade="F2"/>
      </w:tcPr>
    </w:tblStylePr>
  </w:style>
  <w:style w:type="table" w:styleId="ListTable3">
    <w:name w:val="List Table 3"/>
    <w:basedOn w:val="TableNormal"/>
    <w:uiPriority w:val="48"/>
    <w:rsid w:val="006C5AC0"/>
    <w:pPr>
      <w:spacing w:after="0" w:line="240" w:lineRule="auto"/>
    </w:pPr>
    <w:tblPr>
      <w:tblStyleRowBandSize w:val="1"/>
      <w:tblStyleColBandSize w:val="1"/>
      <w:tblBorders>
        <w:top w:val="single" w:sz="4" w:space="0" w:color="013C4C" w:themeColor="text1"/>
        <w:left w:val="single" w:sz="4" w:space="0" w:color="013C4C" w:themeColor="text1"/>
        <w:bottom w:val="single" w:sz="4" w:space="0" w:color="013C4C" w:themeColor="text1"/>
        <w:right w:val="single" w:sz="4" w:space="0" w:color="013C4C" w:themeColor="text1"/>
      </w:tblBorders>
    </w:tblPr>
    <w:tblStylePr w:type="firstRow">
      <w:rPr>
        <w:b/>
        <w:bCs/>
        <w:color w:val="FAFAFA" w:themeColor="background1"/>
      </w:rPr>
      <w:tblPr/>
      <w:tcPr>
        <w:shd w:val="clear" w:color="auto" w:fill="013C4C" w:themeFill="text1"/>
      </w:tcPr>
    </w:tblStylePr>
    <w:tblStylePr w:type="lastRow">
      <w:rPr>
        <w:b/>
        <w:bCs/>
      </w:rPr>
      <w:tblPr/>
      <w:tcPr>
        <w:tcBorders>
          <w:top w:val="double" w:sz="4" w:space="0" w:color="013C4C" w:themeColor="text1"/>
        </w:tcBorders>
        <w:shd w:val="clear" w:color="auto" w:fill="FAFAFA" w:themeFill="background1"/>
      </w:tcPr>
    </w:tblStylePr>
    <w:tblStylePr w:type="firstCol">
      <w:rPr>
        <w:b/>
        <w:bCs/>
      </w:rPr>
      <w:tblPr/>
      <w:tcPr>
        <w:tcBorders>
          <w:right w:val="nil"/>
        </w:tcBorders>
        <w:shd w:val="clear" w:color="auto" w:fill="FAFAFA" w:themeFill="background1"/>
      </w:tcPr>
    </w:tblStylePr>
    <w:tblStylePr w:type="lastCol">
      <w:rPr>
        <w:b/>
        <w:bCs/>
      </w:rPr>
      <w:tblPr/>
      <w:tcPr>
        <w:tcBorders>
          <w:left w:val="nil"/>
        </w:tcBorders>
        <w:shd w:val="clear" w:color="auto" w:fill="FAFAFA" w:themeFill="background1"/>
      </w:tcPr>
    </w:tblStylePr>
    <w:tblStylePr w:type="band1Vert">
      <w:tblPr/>
      <w:tcPr>
        <w:tcBorders>
          <w:left w:val="single" w:sz="4" w:space="0" w:color="013C4C" w:themeColor="text1"/>
          <w:right w:val="single" w:sz="4" w:space="0" w:color="013C4C" w:themeColor="text1"/>
        </w:tcBorders>
      </w:tcPr>
    </w:tblStylePr>
    <w:tblStylePr w:type="band1Horz">
      <w:tblPr/>
      <w:tcPr>
        <w:tcBorders>
          <w:top w:val="single" w:sz="4" w:space="0" w:color="013C4C" w:themeColor="text1"/>
          <w:bottom w:val="single" w:sz="4" w:space="0" w:color="013C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3C4C" w:themeColor="text1"/>
          <w:left w:val="nil"/>
        </w:tcBorders>
      </w:tcPr>
    </w:tblStylePr>
    <w:tblStylePr w:type="swCell">
      <w:tblPr/>
      <w:tcPr>
        <w:tcBorders>
          <w:top w:val="double" w:sz="4" w:space="0" w:color="013C4C" w:themeColor="text1"/>
          <w:right w:val="nil"/>
        </w:tcBorders>
      </w:tcPr>
    </w:tblStylePr>
  </w:style>
  <w:style w:type="paragraph" w:customStyle="1" w:styleId="Heading4no">
    <w:name w:val="Heading 4 (no #)"/>
    <w:basedOn w:val="Heading4"/>
    <w:qFormat/>
    <w:rsid w:val="000C5211"/>
    <w:pPr>
      <w:numPr>
        <w:ilvl w:val="0"/>
        <w:numId w:val="0"/>
      </w:numPr>
      <w:ind w:left="864" w:hanging="297"/>
    </w:pPr>
    <w:rPr>
      <w:i w:val="0"/>
      <w:iCs w:val="0"/>
    </w:rPr>
  </w:style>
  <w:style w:type="character" w:styleId="Emphasis">
    <w:name w:val="Emphasis"/>
    <w:basedOn w:val="DefaultParagraphFont"/>
    <w:uiPriority w:val="20"/>
    <w:qFormat/>
    <w:rsid w:val="00455F5A"/>
    <w:rPr>
      <w:i/>
      <w:iCs/>
    </w:rPr>
  </w:style>
  <w:style w:type="table" w:styleId="GridTable5Dark">
    <w:name w:val="Grid Table 5 Dark"/>
    <w:basedOn w:val="TableNormal"/>
    <w:uiPriority w:val="50"/>
    <w:rsid w:val="00CE10FB"/>
    <w:pPr>
      <w:spacing w:after="0" w:line="240" w:lineRule="auto"/>
    </w:pPr>
    <w:tblPr>
      <w:tblStyleRowBandSize w:val="1"/>
      <w:tblStyleColBandSize w:val="1"/>
      <w:tblBorders>
        <w:top w:val="single" w:sz="4" w:space="0" w:color="FAFAFA" w:themeColor="background1"/>
        <w:left w:val="single" w:sz="4" w:space="0" w:color="FAFAFA" w:themeColor="background1"/>
        <w:bottom w:val="single" w:sz="4" w:space="0" w:color="FAFAFA" w:themeColor="background1"/>
        <w:right w:val="single" w:sz="4" w:space="0" w:color="FAFAFA" w:themeColor="background1"/>
        <w:insideH w:val="single" w:sz="4" w:space="0" w:color="FAFAFA" w:themeColor="background1"/>
        <w:insideV w:val="single" w:sz="4" w:space="0" w:color="FAFAFA" w:themeColor="background1"/>
      </w:tblBorders>
    </w:tblPr>
    <w:tcPr>
      <w:shd w:val="clear" w:color="auto" w:fill="A9EBFE" w:themeFill="text1" w:themeFillTint="33"/>
    </w:tcPr>
    <w:tblStylePr w:type="firstRow">
      <w:rPr>
        <w:b/>
        <w:bCs/>
        <w:color w:val="FAFAFA" w:themeColor="background1"/>
      </w:rPr>
      <w:tblPr/>
      <w:tcPr>
        <w:tcBorders>
          <w:top w:val="single" w:sz="4" w:space="0" w:color="FAFAFA" w:themeColor="background1"/>
          <w:left w:val="single" w:sz="4" w:space="0" w:color="FAFAFA" w:themeColor="background1"/>
          <w:right w:val="single" w:sz="4" w:space="0" w:color="FAFAFA" w:themeColor="background1"/>
          <w:insideH w:val="nil"/>
          <w:insideV w:val="nil"/>
        </w:tcBorders>
        <w:shd w:val="clear" w:color="auto" w:fill="013C4C" w:themeFill="text1"/>
      </w:tcPr>
    </w:tblStylePr>
    <w:tblStylePr w:type="lastRow">
      <w:rPr>
        <w:b/>
        <w:bCs/>
        <w:color w:val="FAFAFA" w:themeColor="background1"/>
      </w:rPr>
      <w:tblPr/>
      <w:tcPr>
        <w:tcBorders>
          <w:left w:val="single" w:sz="4" w:space="0" w:color="FAFAFA" w:themeColor="background1"/>
          <w:bottom w:val="single" w:sz="4" w:space="0" w:color="FAFAFA" w:themeColor="background1"/>
          <w:right w:val="single" w:sz="4" w:space="0" w:color="FAFAFA" w:themeColor="background1"/>
          <w:insideH w:val="nil"/>
          <w:insideV w:val="nil"/>
        </w:tcBorders>
        <w:shd w:val="clear" w:color="auto" w:fill="013C4C" w:themeFill="text1"/>
      </w:tcPr>
    </w:tblStylePr>
    <w:tblStylePr w:type="firstCol">
      <w:rPr>
        <w:b/>
        <w:bCs/>
        <w:color w:val="FAFAFA" w:themeColor="background1"/>
      </w:rPr>
      <w:tblPr/>
      <w:tcPr>
        <w:tcBorders>
          <w:top w:val="single" w:sz="4" w:space="0" w:color="FAFAFA" w:themeColor="background1"/>
          <w:left w:val="single" w:sz="4" w:space="0" w:color="FAFAFA" w:themeColor="background1"/>
          <w:bottom w:val="single" w:sz="4" w:space="0" w:color="FAFAFA" w:themeColor="background1"/>
          <w:insideV w:val="nil"/>
        </w:tcBorders>
        <w:shd w:val="clear" w:color="auto" w:fill="013C4C" w:themeFill="text1"/>
      </w:tcPr>
    </w:tblStylePr>
    <w:tblStylePr w:type="lastCol">
      <w:rPr>
        <w:b/>
        <w:bCs/>
        <w:color w:val="FAFAFA" w:themeColor="background1"/>
      </w:rPr>
      <w:tblPr/>
      <w:tcPr>
        <w:tcBorders>
          <w:top w:val="single" w:sz="4" w:space="0" w:color="FAFAFA" w:themeColor="background1"/>
          <w:bottom w:val="single" w:sz="4" w:space="0" w:color="FAFAFA" w:themeColor="background1"/>
          <w:right w:val="single" w:sz="4" w:space="0" w:color="FAFAFA" w:themeColor="background1"/>
          <w:insideV w:val="nil"/>
        </w:tcBorders>
        <w:shd w:val="clear" w:color="auto" w:fill="013C4C" w:themeFill="text1"/>
      </w:tcPr>
    </w:tblStylePr>
    <w:tblStylePr w:type="band1Vert">
      <w:tblPr/>
      <w:tcPr>
        <w:shd w:val="clear" w:color="auto" w:fill="53D8FC" w:themeFill="text1" w:themeFillTint="66"/>
      </w:tcPr>
    </w:tblStylePr>
    <w:tblStylePr w:type="band1Horz">
      <w:tblPr/>
      <w:tcPr>
        <w:shd w:val="clear" w:color="auto" w:fill="53D8FC" w:themeFill="text1" w:themeFillTint="66"/>
      </w:tcPr>
    </w:tblStylePr>
  </w:style>
  <w:style w:type="paragraph" w:customStyle="1" w:styleId="KeyConcept">
    <w:name w:val="Key Concept"/>
    <w:basedOn w:val="Heading1"/>
    <w:next w:val="Normal"/>
    <w:link w:val="KeyConceptChar"/>
    <w:autoRedefine/>
    <w:rsid w:val="0094753A"/>
    <w:rPr>
      <w:color w:val="FAFAFA" w:themeColor="background1"/>
      <w:sz w:val="28"/>
      <w:szCs w:val="28"/>
    </w:rPr>
  </w:style>
  <w:style w:type="character" w:customStyle="1" w:styleId="KeyConceptChar">
    <w:name w:val="Key Concept Char"/>
    <w:basedOn w:val="DefaultParagraphFont"/>
    <w:link w:val="KeyConcept"/>
    <w:rsid w:val="0094753A"/>
    <w:rPr>
      <w:rFonts w:ascii="PP Mori SemiBold" w:eastAsiaTheme="majorEastAsia" w:hAnsi="PP Mori SemiBold" w:cstheme="majorBidi"/>
      <w:color w:val="FAFAFA" w:themeColor="background1"/>
      <w:sz w:val="28"/>
    </w:rPr>
  </w:style>
  <w:style w:type="character" w:styleId="IntenseEmphasis">
    <w:name w:val="Intense Emphasis"/>
    <w:basedOn w:val="DefaultParagraphFont"/>
    <w:uiPriority w:val="21"/>
    <w:qFormat/>
    <w:rsid w:val="00DB108C"/>
    <w:rPr>
      <w:i/>
      <w:iCs/>
      <w:color w:val="013C4C" w:themeColor="accent1"/>
    </w:rPr>
  </w:style>
  <w:style w:type="paragraph" w:customStyle="1" w:styleId="pf0">
    <w:name w:val="pf0"/>
    <w:basedOn w:val="Normal"/>
    <w:rsid w:val="000672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06721E"/>
    <w:rPr>
      <w:rFonts w:ascii="Segoe UI" w:hAnsi="Segoe UI" w:cs="Segoe UI" w:hint="default"/>
      <w:sz w:val="18"/>
      <w:szCs w:val="18"/>
    </w:rPr>
  </w:style>
  <w:style w:type="paragraph" w:styleId="TableofFigures">
    <w:name w:val="table of figures"/>
    <w:basedOn w:val="Normal"/>
    <w:next w:val="Normal"/>
    <w:uiPriority w:val="99"/>
    <w:unhideWhenUsed/>
    <w:rsid w:val="00221A64"/>
    <w:pPr>
      <w:spacing w:after="0"/>
    </w:pPr>
  </w:style>
  <w:style w:type="paragraph" w:customStyle="1" w:styleId="paragraph">
    <w:name w:val="paragraph"/>
    <w:basedOn w:val="Normal"/>
    <w:rsid w:val="00ED0B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D0B84"/>
  </w:style>
  <w:style w:type="character" w:customStyle="1" w:styleId="eop">
    <w:name w:val="eop"/>
    <w:basedOn w:val="DefaultParagraphFont"/>
    <w:rsid w:val="00ED0B84"/>
  </w:style>
  <w:style w:type="paragraph" w:customStyle="1" w:styleId="Heading10">
    <w:name w:val="Heading 1 (#)"/>
    <w:basedOn w:val="Heading1"/>
    <w:qFormat/>
    <w:rsid w:val="00264AD4"/>
    <w:pPr>
      <w:numPr>
        <w:numId w:val="0"/>
      </w:numPr>
      <w:spacing w:line="264" w:lineRule="auto"/>
      <w:ind w:left="2134" w:hanging="432"/>
    </w:pPr>
  </w:style>
  <w:style w:type="paragraph" w:customStyle="1" w:styleId="11Heading">
    <w:name w:val="1.1 Heading"/>
    <w:basedOn w:val="Heading2"/>
    <w:next w:val="Heading2"/>
    <w:qFormat/>
    <w:rsid w:val="00E4374A"/>
    <w:pPr>
      <w:numPr>
        <w:numId w:val="86"/>
      </w:numPr>
      <w:spacing w:line="264" w:lineRule="auto"/>
    </w:pPr>
    <w:rPr>
      <w:szCs w:val="28"/>
    </w:rPr>
  </w:style>
  <w:style w:type="table" w:styleId="GridTable4-Accent1">
    <w:name w:val="Grid Table 4 Accent 1"/>
    <w:basedOn w:val="TableNormal"/>
    <w:uiPriority w:val="49"/>
    <w:rsid w:val="00C660D4"/>
    <w:pPr>
      <w:spacing w:after="0" w:line="240" w:lineRule="auto"/>
    </w:pPr>
    <w:tblPr>
      <w:tblStyleRowBandSize w:val="1"/>
      <w:tblStyleColBandSize w:val="1"/>
      <w:tblBorders>
        <w:top w:val="single" w:sz="4" w:space="0" w:color="03C2F6" w:themeColor="accent1" w:themeTint="99"/>
        <w:left w:val="single" w:sz="4" w:space="0" w:color="03C2F6" w:themeColor="accent1" w:themeTint="99"/>
        <w:bottom w:val="single" w:sz="4" w:space="0" w:color="03C2F6" w:themeColor="accent1" w:themeTint="99"/>
        <w:right w:val="single" w:sz="4" w:space="0" w:color="03C2F6" w:themeColor="accent1" w:themeTint="99"/>
        <w:insideH w:val="single" w:sz="4" w:space="0" w:color="03C2F6" w:themeColor="accent1" w:themeTint="99"/>
        <w:insideV w:val="single" w:sz="4" w:space="0" w:color="03C2F6" w:themeColor="accent1" w:themeTint="99"/>
      </w:tblBorders>
    </w:tblPr>
    <w:tblStylePr w:type="firstRow">
      <w:rPr>
        <w:b/>
        <w:bCs/>
        <w:color w:val="FAFAFA" w:themeColor="background1"/>
      </w:rPr>
      <w:tblPr/>
      <w:tcPr>
        <w:tcBorders>
          <w:top w:val="single" w:sz="4" w:space="0" w:color="013C4C" w:themeColor="accent1"/>
          <w:left w:val="single" w:sz="4" w:space="0" w:color="013C4C" w:themeColor="accent1"/>
          <w:bottom w:val="single" w:sz="4" w:space="0" w:color="013C4C" w:themeColor="accent1"/>
          <w:right w:val="single" w:sz="4" w:space="0" w:color="013C4C" w:themeColor="accent1"/>
          <w:insideH w:val="nil"/>
          <w:insideV w:val="nil"/>
        </w:tcBorders>
        <w:shd w:val="clear" w:color="auto" w:fill="013C4C" w:themeFill="accent1"/>
      </w:tcPr>
    </w:tblStylePr>
    <w:tblStylePr w:type="lastRow">
      <w:rPr>
        <w:b/>
        <w:bCs/>
      </w:rPr>
      <w:tblPr/>
      <w:tcPr>
        <w:tcBorders>
          <w:top w:val="double" w:sz="4" w:space="0" w:color="013C4C" w:themeColor="accent1"/>
        </w:tcBorders>
      </w:tcPr>
    </w:tblStylePr>
    <w:tblStylePr w:type="firstCol">
      <w:rPr>
        <w:b/>
        <w:bCs/>
      </w:rPr>
    </w:tblStylePr>
    <w:tblStylePr w:type="lastCol">
      <w:rPr>
        <w:b/>
        <w:bCs/>
      </w:rPr>
    </w:tblStylePr>
    <w:tblStylePr w:type="band1Vert">
      <w:tblPr/>
      <w:tcPr>
        <w:shd w:val="clear" w:color="auto" w:fill="A9EBFE" w:themeFill="accent1" w:themeFillTint="33"/>
      </w:tcPr>
    </w:tblStylePr>
    <w:tblStylePr w:type="band1Horz">
      <w:tblPr/>
      <w:tcPr>
        <w:shd w:val="clear" w:color="auto" w:fill="A9EBFE" w:themeFill="accent1" w:themeFillTint="33"/>
      </w:tcPr>
    </w:tblStylePr>
  </w:style>
  <w:style w:type="table" w:styleId="ListTable5Dark-Accent3">
    <w:name w:val="List Table 5 Dark Accent 3"/>
    <w:basedOn w:val="TableNormal"/>
    <w:uiPriority w:val="50"/>
    <w:rsid w:val="00C660D4"/>
    <w:pPr>
      <w:spacing w:after="0" w:line="240" w:lineRule="auto"/>
    </w:pPr>
    <w:rPr>
      <w:color w:val="FAFAFA" w:themeColor="background1"/>
    </w:rPr>
    <w:tblPr>
      <w:tblStyleRowBandSize w:val="1"/>
      <w:tblStyleColBandSize w:val="1"/>
      <w:tblBorders>
        <w:top w:val="single" w:sz="24" w:space="0" w:color="067296" w:themeColor="accent3"/>
        <w:left w:val="single" w:sz="24" w:space="0" w:color="067296" w:themeColor="accent3"/>
        <w:bottom w:val="single" w:sz="24" w:space="0" w:color="067296" w:themeColor="accent3"/>
        <w:right w:val="single" w:sz="24" w:space="0" w:color="067296" w:themeColor="accent3"/>
      </w:tblBorders>
    </w:tblPr>
    <w:tcPr>
      <w:shd w:val="clear" w:color="auto" w:fill="067296" w:themeFill="accent3"/>
    </w:tcPr>
    <w:tblStylePr w:type="firstRow">
      <w:rPr>
        <w:b/>
        <w:bCs/>
      </w:rPr>
      <w:tblPr/>
      <w:tcPr>
        <w:tcBorders>
          <w:bottom w:val="single" w:sz="18" w:space="0" w:color="FAFAFA" w:themeColor="background1"/>
        </w:tcBorders>
      </w:tcPr>
    </w:tblStylePr>
    <w:tblStylePr w:type="lastRow">
      <w:rPr>
        <w:b/>
        <w:bCs/>
      </w:rPr>
      <w:tblPr/>
      <w:tcPr>
        <w:tcBorders>
          <w:top w:val="single" w:sz="4" w:space="0" w:color="FAFAFA" w:themeColor="background1"/>
        </w:tcBorders>
      </w:tcPr>
    </w:tblStylePr>
    <w:tblStylePr w:type="firstCol">
      <w:rPr>
        <w:b/>
        <w:bCs/>
      </w:rPr>
      <w:tblPr/>
      <w:tcPr>
        <w:tcBorders>
          <w:right w:val="single" w:sz="4" w:space="0" w:color="FAFAFA" w:themeColor="background1"/>
        </w:tcBorders>
      </w:tcPr>
    </w:tblStylePr>
    <w:tblStylePr w:type="lastCol">
      <w:rPr>
        <w:b/>
        <w:bCs/>
      </w:rPr>
      <w:tblPr/>
      <w:tcPr>
        <w:tcBorders>
          <w:left w:val="single" w:sz="4" w:space="0" w:color="FAFAFA" w:themeColor="background1"/>
        </w:tcBorders>
      </w:tcPr>
    </w:tblStylePr>
    <w:tblStylePr w:type="band1Vert">
      <w:tblPr/>
      <w:tcPr>
        <w:tcBorders>
          <w:left w:val="single" w:sz="4" w:space="0" w:color="FAFAFA" w:themeColor="background1"/>
          <w:right w:val="single" w:sz="4" w:space="0" w:color="FAFAFA" w:themeColor="background1"/>
        </w:tcBorders>
      </w:tcPr>
    </w:tblStylePr>
    <w:tblStylePr w:type="band2Vert">
      <w:tblPr/>
      <w:tcPr>
        <w:tcBorders>
          <w:left w:val="single" w:sz="4" w:space="0" w:color="FAFAFA" w:themeColor="background1"/>
          <w:right w:val="single" w:sz="4" w:space="0" w:color="FAFAFA" w:themeColor="background1"/>
        </w:tcBorders>
      </w:tcPr>
    </w:tblStylePr>
    <w:tblStylePr w:type="band1Horz">
      <w:tblPr/>
      <w:tcPr>
        <w:tcBorders>
          <w:top w:val="single" w:sz="4" w:space="0" w:color="FAFAFA" w:themeColor="background1"/>
          <w:bottom w:val="single" w:sz="4" w:space="0" w:color="FAFAFA"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660D4"/>
    <w:pPr>
      <w:spacing w:after="0" w:line="240" w:lineRule="auto"/>
    </w:pPr>
    <w:rPr>
      <w:color w:val="FAFAFA" w:themeColor="background1"/>
    </w:rPr>
    <w:tblPr>
      <w:tblStyleRowBandSize w:val="1"/>
      <w:tblStyleColBandSize w:val="1"/>
      <w:tblBorders>
        <w:top w:val="single" w:sz="24" w:space="0" w:color="8DD1E8" w:themeColor="accent2"/>
        <w:left w:val="single" w:sz="24" w:space="0" w:color="8DD1E8" w:themeColor="accent2"/>
        <w:bottom w:val="single" w:sz="24" w:space="0" w:color="8DD1E8" w:themeColor="accent2"/>
        <w:right w:val="single" w:sz="24" w:space="0" w:color="8DD1E8" w:themeColor="accent2"/>
      </w:tblBorders>
    </w:tblPr>
    <w:tcPr>
      <w:shd w:val="clear" w:color="auto" w:fill="8DD1E8" w:themeFill="accent2"/>
    </w:tcPr>
    <w:tblStylePr w:type="firstRow">
      <w:rPr>
        <w:b/>
        <w:bCs/>
      </w:rPr>
      <w:tblPr/>
      <w:tcPr>
        <w:tcBorders>
          <w:bottom w:val="single" w:sz="18" w:space="0" w:color="FAFAFA" w:themeColor="background1"/>
        </w:tcBorders>
      </w:tcPr>
    </w:tblStylePr>
    <w:tblStylePr w:type="lastRow">
      <w:rPr>
        <w:b/>
        <w:bCs/>
      </w:rPr>
      <w:tblPr/>
      <w:tcPr>
        <w:tcBorders>
          <w:top w:val="single" w:sz="4" w:space="0" w:color="FAFAFA" w:themeColor="background1"/>
        </w:tcBorders>
      </w:tcPr>
    </w:tblStylePr>
    <w:tblStylePr w:type="firstCol">
      <w:rPr>
        <w:b/>
        <w:bCs/>
      </w:rPr>
      <w:tblPr/>
      <w:tcPr>
        <w:tcBorders>
          <w:right w:val="single" w:sz="4" w:space="0" w:color="FAFAFA" w:themeColor="background1"/>
        </w:tcBorders>
      </w:tcPr>
    </w:tblStylePr>
    <w:tblStylePr w:type="lastCol">
      <w:rPr>
        <w:b/>
        <w:bCs/>
      </w:rPr>
      <w:tblPr/>
      <w:tcPr>
        <w:tcBorders>
          <w:left w:val="single" w:sz="4" w:space="0" w:color="FAFAFA" w:themeColor="background1"/>
        </w:tcBorders>
      </w:tcPr>
    </w:tblStylePr>
    <w:tblStylePr w:type="band1Vert">
      <w:tblPr/>
      <w:tcPr>
        <w:tcBorders>
          <w:left w:val="single" w:sz="4" w:space="0" w:color="FAFAFA" w:themeColor="background1"/>
          <w:right w:val="single" w:sz="4" w:space="0" w:color="FAFAFA" w:themeColor="background1"/>
        </w:tcBorders>
      </w:tcPr>
    </w:tblStylePr>
    <w:tblStylePr w:type="band2Vert">
      <w:tblPr/>
      <w:tcPr>
        <w:tcBorders>
          <w:left w:val="single" w:sz="4" w:space="0" w:color="FAFAFA" w:themeColor="background1"/>
          <w:right w:val="single" w:sz="4" w:space="0" w:color="FAFAFA" w:themeColor="background1"/>
        </w:tcBorders>
      </w:tcPr>
    </w:tblStylePr>
    <w:tblStylePr w:type="band1Horz">
      <w:tblPr/>
      <w:tcPr>
        <w:tcBorders>
          <w:top w:val="single" w:sz="4" w:space="0" w:color="FAFAFA" w:themeColor="background1"/>
          <w:bottom w:val="single" w:sz="4" w:space="0" w:color="FAFAFA"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C660D4"/>
    <w:pPr>
      <w:spacing w:after="0" w:line="240" w:lineRule="auto"/>
    </w:pPr>
    <w:tblPr>
      <w:tblStyleRowBandSize w:val="1"/>
      <w:tblStyleColBandSize w:val="1"/>
      <w:tblBorders>
        <w:top w:val="single" w:sz="4" w:space="0" w:color="FCFCFC" w:themeColor="accent6" w:themeTint="99"/>
        <w:left w:val="single" w:sz="4" w:space="0" w:color="FCFCFC" w:themeColor="accent6" w:themeTint="99"/>
        <w:bottom w:val="single" w:sz="4" w:space="0" w:color="FCFCFC" w:themeColor="accent6" w:themeTint="99"/>
        <w:right w:val="single" w:sz="4" w:space="0" w:color="FCFCFC" w:themeColor="accent6" w:themeTint="99"/>
        <w:insideH w:val="single" w:sz="4" w:space="0" w:color="FCFCFC" w:themeColor="accent6" w:themeTint="99"/>
      </w:tblBorders>
    </w:tblPr>
    <w:tblStylePr w:type="firstRow">
      <w:rPr>
        <w:b/>
        <w:bCs/>
        <w:color w:val="FAFAFA" w:themeColor="background1"/>
      </w:rPr>
      <w:tblPr/>
      <w:tcPr>
        <w:tcBorders>
          <w:top w:val="single" w:sz="4" w:space="0" w:color="FAFAFA" w:themeColor="accent6"/>
          <w:left w:val="single" w:sz="4" w:space="0" w:color="FAFAFA" w:themeColor="accent6"/>
          <w:bottom w:val="single" w:sz="4" w:space="0" w:color="FAFAFA" w:themeColor="accent6"/>
          <w:right w:val="single" w:sz="4" w:space="0" w:color="FAFAFA" w:themeColor="accent6"/>
          <w:insideH w:val="nil"/>
        </w:tcBorders>
        <w:shd w:val="clear" w:color="auto" w:fill="FAFAFA" w:themeFill="accent6"/>
      </w:tcPr>
    </w:tblStylePr>
    <w:tblStylePr w:type="lastRow">
      <w:rPr>
        <w:b/>
        <w:bCs/>
      </w:rPr>
      <w:tblPr/>
      <w:tcPr>
        <w:tcBorders>
          <w:top w:val="double" w:sz="4" w:space="0" w:color="FCFCFC" w:themeColor="accent6" w:themeTint="99"/>
        </w:tcBorders>
      </w:tcPr>
    </w:tblStylePr>
    <w:tblStylePr w:type="firstCol">
      <w:rPr>
        <w:b/>
        <w:bCs/>
      </w:rPr>
    </w:tblStylePr>
    <w:tblStylePr w:type="lastCol">
      <w:rPr>
        <w:b/>
        <w:bCs/>
      </w:rPr>
    </w:tblStylePr>
    <w:tblStylePr w:type="band1Vert">
      <w:tblPr/>
      <w:tcPr>
        <w:shd w:val="clear" w:color="auto" w:fill="FEFEFE" w:themeFill="accent6" w:themeFillTint="33"/>
      </w:tcPr>
    </w:tblStylePr>
    <w:tblStylePr w:type="band1Horz">
      <w:tblPr/>
      <w:tcPr>
        <w:shd w:val="clear" w:color="auto" w:fill="FEFEFE" w:themeFill="accent6" w:themeFillTint="33"/>
      </w:tcPr>
    </w:tblStylePr>
  </w:style>
  <w:style w:type="paragraph" w:styleId="BodyText">
    <w:name w:val="Body Text"/>
    <w:basedOn w:val="Normal"/>
    <w:link w:val="BodyTextChar"/>
    <w:uiPriority w:val="1"/>
    <w:qFormat/>
    <w:rsid w:val="00C660D4"/>
    <w:pPr>
      <w:widowControl w:val="0"/>
      <w:autoSpaceDE w:val="0"/>
      <w:autoSpaceDN w:val="0"/>
      <w:spacing w:before="0" w:after="0" w:line="240" w:lineRule="auto"/>
    </w:pPr>
    <w:rPr>
      <w:rFonts w:ascii="Calibri" w:eastAsia="Calibri" w:hAnsi="Calibri" w:cs="Calibri"/>
      <w:kern w:val="0"/>
      <w:sz w:val="22"/>
      <w:szCs w:val="22"/>
      <w:lang w:val="en-US" w:eastAsia="en-US" w:bidi="ar-SA"/>
      <w14:ligatures w14:val="none"/>
    </w:rPr>
  </w:style>
  <w:style w:type="character" w:customStyle="1" w:styleId="BodyTextChar">
    <w:name w:val="Body Text Char"/>
    <w:basedOn w:val="DefaultParagraphFont"/>
    <w:link w:val="BodyText"/>
    <w:uiPriority w:val="1"/>
    <w:rsid w:val="00C660D4"/>
    <w:rPr>
      <w:rFonts w:ascii="Calibri" w:eastAsia="Calibri" w:hAnsi="Calibri" w:cs="Calibri"/>
      <w:kern w:val="0"/>
      <w:szCs w:val="22"/>
      <w:lang w:val="en-US" w:eastAsia="en-US" w:bidi="ar-SA"/>
      <w14:ligatures w14:val="none"/>
    </w:rPr>
  </w:style>
  <w:style w:type="paragraph" w:customStyle="1" w:styleId="TableParagraph">
    <w:name w:val="Table Paragraph"/>
    <w:basedOn w:val="Normal"/>
    <w:uiPriority w:val="1"/>
    <w:qFormat/>
    <w:rsid w:val="00C660D4"/>
    <w:pPr>
      <w:widowControl w:val="0"/>
      <w:autoSpaceDE w:val="0"/>
      <w:autoSpaceDN w:val="0"/>
      <w:spacing w:before="0" w:after="0" w:line="198" w:lineRule="exact"/>
    </w:pPr>
    <w:rPr>
      <w:rFonts w:ascii="Calibri" w:eastAsia="Calibri" w:hAnsi="Calibri" w:cs="Calibri"/>
      <w:kern w:val="0"/>
      <w:sz w:val="22"/>
      <w:szCs w:val="22"/>
      <w:lang w:val="en-US" w:eastAsia="en-US" w:bidi="ar-SA"/>
      <w14:ligatures w14:val="none"/>
    </w:rPr>
  </w:style>
  <w:style w:type="character" w:styleId="LineNumber">
    <w:name w:val="line number"/>
    <w:basedOn w:val="DefaultParagraphFont"/>
    <w:uiPriority w:val="99"/>
    <w:semiHidden/>
    <w:unhideWhenUsed/>
    <w:rsid w:val="00C660D4"/>
  </w:style>
  <w:style w:type="paragraph" w:customStyle="1" w:styleId="Heading30">
    <w:name w:val="Heading 3 (#)"/>
    <w:basedOn w:val="Heading5"/>
    <w:qFormat/>
    <w:rsid w:val="00C660D4"/>
    <w:pPr>
      <w:numPr>
        <w:ilvl w:val="2"/>
        <w:numId w:val="90"/>
      </w:numPr>
    </w:pPr>
    <w:rPr>
      <w:rFonts w:ascii="PP Mori" w:hAnsi="PP Mori"/>
      <w:iCs/>
      <w:color w:val="090909"/>
      <w:sz w:val="28"/>
      <w:lang w:eastAsia="en-US"/>
    </w:rPr>
  </w:style>
  <w:style w:type="paragraph" w:customStyle="1" w:styleId="Heading40">
    <w:name w:val="Heading 4 (#)"/>
    <w:basedOn w:val="Heading6"/>
    <w:qFormat/>
    <w:rsid w:val="00C660D4"/>
    <w:pPr>
      <w:numPr>
        <w:ilvl w:val="3"/>
        <w:numId w:val="90"/>
      </w:numPr>
    </w:pPr>
    <w:rPr>
      <w:rFonts w:ascii="PP Mori ExtraLight" w:hAnsi="PP Mori ExtraLight"/>
      <w:iCs/>
      <w:sz w:val="24"/>
      <w:lang w:eastAsia="en-US"/>
    </w:rPr>
  </w:style>
  <w:style w:type="character" w:customStyle="1" w:styleId="relative">
    <w:name w:val="relative"/>
    <w:basedOn w:val="DefaultParagraphFont"/>
    <w:rsid w:val="00C660D4"/>
  </w:style>
  <w:style w:type="character" w:customStyle="1" w:styleId="ms-1">
    <w:name w:val="ms-1"/>
    <w:basedOn w:val="DefaultParagraphFont"/>
    <w:rsid w:val="00C660D4"/>
  </w:style>
  <w:style w:type="character" w:customStyle="1" w:styleId="max-w-full">
    <w:name w:val="max-w-full"/>
    <w:basedOn w:val="DefaultParagraphFont"/>
    <w:rsid w:val="00C660D4"/>
  </w:style>
  <w:style w:type="paragraph" w:styleId="ListNumber">
    <w:name w:val="List Number"/>
    <w:basedOn w:val="Normal"/>
    <w:uiPriority w:val="99"/>
    <w:unhideWhenUsed/>
    <w:rsid w:val="00C660D4"/>
    <w:pPr>
      <w:numPr>
        <w:numId w:val="91"/>
      </w:numPr>
      <w:spacing w:before="0" w:after="200" w:line="276" w:lineRule="auto"/>
      <w:contextualSpacing/>
    </w:pPr>
    <w:rPr>
      <w:rFonts w:asciiTheme="minorHAnsi" w:hAnsiTheme="minorHAnsi"/>
      <w:kern w:val="0"/>
      <w:sz w:val="22"/>
      <w:szCs w:val="22"/>
      <w:lang w:val="en-US" w:eastAsia="en-US" w:bidi="ar-SA"/>
      <w14:ligatures w14:val="none"/>
    </w:rPr>
  </w:style>
  <w:style w:type="character" w:customStyle="1" w:styleId="cf11">
    <w:name w:val="cf11"/>
    <w:basedOn w:val="DefaultParagraphFont"/>
    <w:rsid w:val="00C660D4"/>
    <w:rPr>
      <w:rFonts w:ascii="Segoe UI" w:hAnsi="Segoe UI" w:cs="Segoe UI" w:hint="default"/>
      <w:sz w:val="18"/>
      <w:szCs w:val="18"/>
    </w:rPr>
  </w:style>
  <w:style w:type="character" w:customStyle="1" w:styleId="oypena">
    <w:name w:val="oypena"/>
    <w:basedOn w:val="DefaultParagraphFont"/>
    <w:rsid w:val="00C660D4"/>
  </w:style>
  <w:style w:type="paragraph" w:customStyle="1" w:styleId="Style11">
    <w:name w:val="Style1.1"/>
    <w:basedOn w:val="Heading1"/>
    <w:link w:val="Style11Char"/>
    <w:autoRedefine/>
    <w:qFormat/>
    <w:rsid w:val="00C660D4"/>
    <w:pPr>
      <w:numPr>
        <w:numId w:val="94"/>
      </w:numPr>
      <w:spacing w:before="180" w:after="60" w:line="264" w:lineRule="auto"/>
    </w:pPr>
    <w:rPr>
      <w:szCs w:val="22"/>
    </w:rPr>
  </w:style>
  <w:style w:type="character" w:customStyle="1" w:styleId="Style11Char">
    <w:name w:val="Style1.1 Char"/>
    <w:basedOn w:val="Heading1Char"/>
    <w:link w:val="Style11"/>
    <w:rsid w:val="00C660D4"/>
    <w:rPr>
      <w:rFonts w:ascii="PP Mori SemiBold" w:eastAsiaTheme="majorEastAsia" w:hAnsi="PP Mori SemiBold" w:cstheme="majorBidi"/>
      <w:color w:val="013C4C" w:themeColor="text1"/>
      <w:sz w:val="32"/>
      <w:szCs w:val="22"/>
    </w:rPr>
  </w:style>
  <w:style w:type="numbering" w:customStyle="1" w:styleId="Style1">
    <w:name w:val="Style1"/>
    <w:uiPriority w:val="99"/>
    <w:rsid w:val="00C660D4"/>
    <w:pPr>
      <w:numPr>
        <w:numId w:val="93"/>
      </w:numPr>
    </w:pPr>
  </w:style>
  <w:style w:type="numbering" w:customStyle="1" w:styleId="Style2">
    <w:name w:val="Style2"/>
    <w:uiPriority w:val="99"/>
    <w:rsid w:val="00C660D4"/>
    <w:pPr>
      <w:numPr>
        <w:numId w:val="92"/>
      </w:numPr>
    </w:pPr>
  </w:style>
  <w:style w:type="paragraph" w:styleId="TOC4">
    <w:name w:val="toc 4"/>
    <w:basedOn w:val="Normal"/>
    <w:next w:val="Normal"/>
    <w:autoRedefine/>
    <w:uiPriority w:val="39"/>
    <w:unhideWhenUsed/>
    <w:rsid w:val="00C660D4"/>
    <w:pPr>
      <w:spacing w:before="0" w:after="100" w:line="278" w:lineRule="auto"/>
      <w:ind w:left="720"/>
    </w:pPr>
    <w:rPr>
      <w:rFonts w:asciiTheme="minorHAnsi" w:hAnsiTheme="minorHAnsi"/>
      <w:sz w:val="24"/>
      <w:szCs w:val="30"/>
    </w:rPr>
  </w:style>
  <w:style w:type="paragraph" w:styleId="TOC5">
    <w:name w:val="toc 5"/>
    <w:basedOn w:val="Normal"/>
    <w:next w:val="Normal"/>
    <w:autoRedefine/>
    <w:uiPriority w:val="39"/>
    <w:unhideWhenUsed/>
    <w:rsid w:val="00C660D4"/>
    <w:pPr>
      <w:spacing w:before="0" w:after="100" w:line="278" w:lineRule="auto"/>
      <w:ind w:left="960"/>
    </w:pPr>
    <w:rPr>
      <w:rFonts w:asciiTheme="minorHAnsi" w:hAnsiTheme="minorHAnsi"/>
      <w:sz w:val="24"/>
      <w:szCs w:val="30"/>
    </w:rPr>
  </w:style>
  <w:style w:type="paragraph" w:styleId="TOC6">
    <w:name w:val="toc 6"/>
    <w:basedOn w:val="Normal"/>
    <w:next w:val="Normal"/>
    <w:autoRedefine/>
    <w:uiPriority w:val="39"/>
    <w:unhideWhenUsed/>
    <w:rsid w:val="00C660D4"/>
    <w:pPr>
      <w:spacing w:before="0" w:after="100" w:line="278" w:lineRule="auto"/>
      <w:ind w:left="1200"/>
    </w:pPr>
    <w:rPr>
      <w:rFonts w:asciiTheme="minorHAnsi" w:hAnsiTheme="minorHAnsi"/>
      <w:sz w:val="24"/>
      <w:szCs w:val="30"/>
    </w:rPr>
  </w:style>
  <w:style w:type="paragraph" w:styleId="TOC7">
    <w:name w:val="toc 7"/>
    <w:basedOn w:val="Normal"/>
    <w:next w:val="Normal"/>
    <w:autoRedefine/>
    <w:uiPriority w:val="39"/>
    <w:unhideWhenUsed/>
    <w:rsid w:val="00C660D4"/>
    <w:pPr>
      <w:spacing w:before="0" w:after="100" w:line="278" w:lineRule="auto"/>
      <w:ind w:left="1440"/>
    </w:pPr>
    <w:rPr>
      <w:rFonts w:asciiTheme="minorHAnsi" w:hAnsiTheme="minorHAnsi"/>
      <w:sz w:val="24"/>
      <w:szCs w:val="30"/>
    </w:rPr>
  </w:style>
  <w:style w:type="paragraph" w:styleId="TOC8">
    <w:name w:val="toc 8"/>
    <w:basedOn w:val="Normal"/>
    <w:next w:val="Normal"/>
    <w:autoRedefine/>
    <w:uiPriority w:val="39"/>
    <w:unhideWhenUsed/>
    <w:rsid w:val="00C660D4"/>
    <w:pPr>
      <w:spacing w:before="0" w:after="100" w:line="278" w:lineRule="auto"/>
      <w:ind w:left="1680"/>
    </w:pPr>
    <w:rPr>
      <w:rFonts w:asciiTheme="minorHAnsi" w:hAnsiTheme="minorHAnsi"/>
      <w:sz w:val="24"/>
      <w:szCs w:val="30"/>
    </w:rPr>
  </w:style>
  <w:style w:type="paragraph" w:styleId="TOC9">
    <w:name w:val="toc 9"/>
    <w:basedOn w:val="Normal"/>
    <w:next w:val="Normal"/>
    <w:autoRedefine/>
    <w:uiPriority w:val="39"/>
    <w:unhideWhenUsed/>
    <w:rsid w:val="00C660D4"/>
    <w:pPr>
      <w:spacing w:before="0" w:after="100" w:line="278" w:lineRule="auto"/>
      <w:ind w:left="1920"/>
    </w:pPr>
    <w:rPr>
      <w:rFonts w:asciiTheme="minorHAnsi" w:hAnsiTheme="minorHAnsi"/>
      <w:sz w:val="24"/>
      <w:szCs w:val="30"/>
    </w:rPr>
  </w:style>
  <w:style w:type="paragraph" w:customStyle="1" w:styleId="ds-markdown-paragraph">
    <w:name w:val="ds-markdown-paragraph"/>
    <w:basedOn w:val="Normal"/>
    <w:rsid w:val="00C660D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ds-markdown-cite">
    <w:name w:val="ds-markdown-cite"/>
    <w:basedOn w:val="DefaultParagraphFont"/>
    <w:rsid w:val="00C660D4"/>
  </w:style>
  <w:style w:type="table" w:customStyle="1" w:styleId="TableGrid1">
    <w:name w:val="Table Grid1"/>
    <w:basedOn w:val="TableNormal"/>
    <w:next w:val="TableGrid"/>
    <w:uiPriority w:val="39"/>
    <w:rsid w:val="00455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7581">
      <w:bodyDiv w:val="1"/>
      <w:marLeft w:val="0"/>
      <w:marRight w:val="0"/>
      <w:marTop w:val="0"/>
      <w:marBottom w:val="0"/>
      <w:divBdr>
        <w:top w:val="none" w:sz="0" w:space="0" w:color="auto"/>
        <w:left w:val="none" w:sz="0" w:space="0" w:color="auto"/>
        <w:bottom w:val="none" w:sz="0" w:space="0" w:color="auto"/>
        <w:right w:val="none" w:sz="0" w:space="0" w:color="auto"/>
      </w:divBdr>
    </w:div>
    <w:div w:id="36784613">
      <w:bodyDiv w:val="1"/>
      <w:marLeft w:val="0"/>
      <w:marRight w:val="0"/>
      <w:marTop w:val="0"/>
      <w:marBottom w:val="0"/>
      <w:divBdr>
        <w:top w:val="none" w:sz="0" w:space="0" w:color="auto"/>
        <w:left w:val="none" w:sz="0" w:space="0" w:color="auto"/>
        <w:bottom w:val="none" w:sz="0" w:space="0" w:color="auto"/>
        <w:right w:val="none" w:sz="0" w:space="0" w:color="auto"/>
      </w:divBdr>
    </w:div>
    <w:div w:id="81461282">
      <w:bodyDiv w:val="1"/>
      <w:marLeft w:val="0"/>
      <w:marRight w:val="0"/>
      <w:marTop w:val="0"/>
      <w:marBottom w:val="0"/>
      <w:divBdr>
        <w:top w:val="none" w:sz="0" w:space="0" w:color="auto"/>
        <w:left w:val="none" w:sz="0" w:space="0" w:color="auto"/>
        <w:bottom w:val="none" w:sz="0" w:space="0" w:color="auto"/>
        <w:right w:val="none" w:sz="0" w:space="0" w:color="auto"/>
      </w:divBdr>
    </w:div>
    <w:div w:id="91316657">
      <w:bodyDiv w:val="1"/>
      <w:marLeft w:val="0"/>
      <w:marRight w:val="0"/>
      <w:marTop w:val="0"/>
      <w:marBottom w:val="0"/>
      <w:divBdr>
        <w:top w:val="none" w:sz="0" w:space="0" w:color="auto"/>
        <w:left w:val="none" w:sz="0" w:space="0" w:color="auto"/>
        <w:bottom w:val="none" w:sz="0" w:space="0" w:color="auto"/>
        <w:right w:val="none" w:sz="0" w:space="0" w:color="auto"/>
      </w:divBdr>
    </w:div>
    <w:div w:id="95516645">
      <w:bodyDiv w:val="1"/>
      <w:marLeft w:val="0"/>
      <w:marRight w:val="0"/>
      <w:marTop w:val="0"/>
      <w:marBottom w:val="0"/>
      <w:divBdr>
        <w:top w:val="none" w:sz="0" w:space="0" w:color="auto"/>
        <w:left w:val="none" w:sz="0" w:space="0" w:color="auto"/>
        <w:bottom w:val="none" w:sz="0" w:space="0" w:color="auto"/>
        <w:right w:val="none" w:sz="0" w:space="0" w:color="auto"/>
      </w:divBdr>
    </w:div>
    <w:div w:id="99877882">
      <w:bodyDiv w:val="1"/>
      <w:marLeft w:val="0"/>
      <w:marRight w:val="0"/>
      <w:marTop w:val="0"/>
      <w:marBottom w:val="0"/>
      <w:divBdr>
        <w:top w:val="none" w:sz="0" w:space="0" w:color="auto"/>
        <w:left w:val="none" w:sz="0" w:space="0" w:color="auto"/>
        <w:bottom w:val="none" w:sz="0" w:space="0" w:color="auto"/>
        <w:right w:val="none" w:sz="0" w:space="0" w:color="auto"/>
      </w:divBdr>
    </w:div>
    <w:div w:id="101074988">
      <w:bodyDiv w:val="1"/>
      <w:marLeft w:val="0"/>
      <w:marRight w:val="0"/>
      <w:marTop w:val="0"/>
      <w:marBottom w:val="0"/>
      <w:divBdr>
        <w:top w:val="none" w:sz="0" w:space="0" w:color="auto"/>
        <w:left w:val="none" w:sz="0" w:space="0" w:color="auto"/>
        <w:bottom w:val="none" w:sz="0" w:space="0" w:color="auto"/>
        <w:right w:val="none" w:sz="0" w:space="0" w:color="auto"/>
      </w:divBdr>
    </w:div>
    <w:div w:id="113401291">
      <w:bodyDiv w:val="1"/>
      <w:marLeft w:val="0"/>
      <w:marRight w:val="0"/>
      <w:marTop w:val="0"/>
      <w:marBottom w:val="0"/>
      <w:divBdr>
        <w:top w:val="none" w:sz="0" w:space="0" w:color="auto"/>
        <w:left w:val="none" w:sz="0" w:space="0" w:color="auto"/>
        <w:bottom w:val="none" w:sz="0" w:space="0" w:color="auto"/>
        <w:right w:val="none" w:sz="0" w:space="0" w:color="auto"/>
      </w:divBdr>
    </w:div>
    <w:div w:id="125239561">
      <w:bodyDiv w:val="1"/>
      <w:marLeft w:val="0"/>
      <w:marRight w:val="0"/>
      <w:marTop w:val="0"/>
      <w:marBottom w:val="0"/>
      <w:divBdr>
        <w:top w:val="none" w:sz="0" w:space="0" w:color="auto"/>
        <w:left w:val="none" w:sz="0" w:space="0" w:color="auto"/>
        <w:bottom w:val="none" w:sz="0" w:space="0" w:color="auto"/>
        <w:right w:val="none" w:sz="0" w:space="0" w:color="auto"/>
      </w:divBdr>
    </w:div>
    <w:div w:id="146216729">
      <w:bodyDiv w:val="1"/>
      <w:marLeft w:val="0"/>
      <w:marRight w:val="0"/>
      <w:marTop w:val="0"/>
      <w:marBottom w:val="0"/>
      <w:divBdr>
        <w:top w:val="none" w:sz="0" w:space="0" w:color="auto"/>
        <w:left w:val="none" w:sz="0" w:space="0" w:color="auto"/>
        <w:bottom w:val="none" w:sz="0" w:space="0" w:color="auto"/>
        <w:right w:val="none" w:sz="0" w:space="0" w:color="auto"/>
      </w:divBdr>
    </w:div>
    <w:div w:id="155808957">
      <w:bodyDiv w:val="1"/>
      <w:marLeft w:val="0"/>
      <w:marRight w:val="0"/>
      <w:marTop w:val="0"/>
      <w:marBottom w:val="0"/>
      <w:divBdr>
        <w:top w:val="none" w:sz="0" w:space="0" w:color="auto"/>
        <w:left w:val="none" w:sz="0" w:space="0" w:color="auto"/>
        <w:bottom w:val="none" w:sz="0" w:space="0" w:color="auto"/>
        <w:right w:val="none" w:sz="0" w:space="0" w:color="auto"/>
      </w:divBdr>
    </w:div>
    <w:div w:id="168101097">
      <w:bodyDiv w:val="1"/>
      <w:marLeft w:val="0"/>
      <w:marRight w:val="0"/>
      <w:marTop w:val="0"/>
      <w:marBottom w:val="0"/>
      <w:divBdr>
        <w:top w:val="none" w:sz="0" w:space="0" w:color="auto"/>
        <w:left w:val="none" w:sz="0" w:space="0" w:color="auto"/>
        <w:bottom w:val="none" w:sz="0" w:space="0" w:color="auto"/>
        <w:right w:val="none" w:sz="0" w:space="0" w:color="auto"/>
      </w:divBdr>
    </w:div>
    <w:div w:id="168182023">
      <w:bodyDiv w:val="1"/>
      <w:marLeft w:val="0"/>
      <w:marRight w:val="0"/>
      <w:marTop w:val="0"/>
      <w:marBottom w:val="0"/>
      <w:divBdr>
        <w:top w:val="none" w:sz="0" w:space="0" w:color="auto"/>
        <w:left w:val="none" w:sz="0" w:space="0" w:color="auto"/>
        <w:bottom w:val="none" w:sz="0" w:space="0" w:color="auto"/>
        <w:right w:val="none" w:sz="0" w:space="0" w:color="auto"/>
      </w:divBdr>
    </w:div>
    <w:div w:id="171723253">
      <w:bodyDiv w:val="1"/>
      <w:marLeft w:val="0"/>
      <w:marRight w:val="0"/>
      <w:marTop w:val="0"/>
      <w:marBottom w:val="0"/>
      <w:divBdr>
        <w:top w:val="none" w:sz="0" w:space="0" w:color="auto"/>
        <w:left w:val="none" w:sz="0" w:space="0" w:color="auto"/>
        <w:bottom w:val="none" w:sz="0" w:space="0" w:color="auto"/>
        <w:right w:val="none" w:sz="0" w:space="0" w:color="auto"/>
      </w:divBdr>
    </w:div>
    <w:div w:id="183330062">
      <w:bodyDiv w:val="1"/>
      <w:marLeft w:val="0"/>
      <w:marRight w:val="0"/>
      <w:marTop w:val="0"/>
      <w:marBottom w:val="0"/>
      <w:divBdr>
        <w:top w:val="none" w:sz="0" w:space="0" w:color="auto"/>
        <w:left w:val="none" w:sz="0" w:space="0" w:color="auto"/>
        <w:bottom w:val="none" w:sz="0" w:space="0" w:color="auto"/>
        <w:right w:val="none" w:sz="0" w:space="0" w:color="auto"/>
      </w:divBdr>
    </w:div>
    <w:div w:id="185220243">
      <w:bodyDiv w:val="1"/>
      <w:marLeft w:val="0"/>
      <w:marRight w:val="0"/>
      <w:marTop w:val="0"/>
      <w:marBottom w:val="0"/>
      <w:divBdr>
        <w:top w:val="none" w:sz="0" w:space="0" w:color="auto"/>
        <w:left w:val="none" w:sz="0" w:space="0" w:color="auto"/>
        <w:bottom w:val="none" w:sz="0" w:space="0" w:color="auto"/>
        <w:right w:val="none" w:sz="0" w:space="0" w:color="auto"/>
      </w:divBdr>
    </w:div>
    <w:div w:id="192961266">
      <w:bodyDiv w:val="1"/>
      <w:marLeft w:val="0"/>
      <w:marRight w:val="0"/>
      <w:marTop w:val="0"/>
      <w:marBottom w:val="0"/>
      <w:divBdr>
        <w:top w:val="none" w:sz="0" w:space="0" w:color="auto"/>
        <w:left w:val="none" w:sz="0" w:space="0" w:color="auto"/>
        <w:bottom w:val="none" w:sz="0" w:space="0" w:color="auto"/>
        <w:right w:val="none" w:sz="0" w:space="0" w:color="auto"/>
      </w:divBdr>
    </w:div>
    <w:div w:id="209340263">
      <w:bodyDiv w:val="1"/>
      <w:marLeft w:val="0"/>
      <w:marRight w:val="0"/>
      <w:marTop w:val="0"/>
      <w:marBottom w:val="0"/>
      <w:divBdr>
        <w:top w:val="none" w:sz="0" w:space="0" w:color="auto"/>
        <w:left w:val="none" w:sz="0" w:space="0" w:color="auto"/>
        <w:bottom w:val="none" w:sz="0" w:space="0" w:color="auto"/>
        <w:right w:val="none" w:sz="0" w:space="0" w:color="auto"/>
      </w:divBdr>
    </w:div>
    <w:div w:id="221332272">
      <w:bodyDiv w:val="1"/>
      <w:marLeft w:val="0"/>
      <w:marRight w:val="0"/>
      <w:marTop w:val="0"/>
      <w:marBottom w:val="0"/>
      <w:divBdr>
        <w:top w:val="none" w:sz="0" w:space="0" w:color="auto"/>
        <w:left w:val="none" w:sz="0" w:space="0" w:color="auto"/>
        <w:bottom w:val="none" w:sz="0" w:space="0" w:color="auto"/>
        <w:right w:val="none" w:sz="0" w:space="0" w:color="auto"/>
      </w:divBdr>
    </w:div>
    <w:div w:id="243687517">
      <w:bodyDiv w:val="1"/>
      <w:marLeft w:val="0"/>
      <w:marRight w:val="0"/>
      <w:marTop w:val="0"/>
      <w:marBottom w:val="0"/>
      <w:divBdr>
        <w:top w:val="none" w:sz="0" w:space="0" w:color="auto"/>
        <w:left w:val="none" w:sz="0" w:space="0" w:color="auto"/>
        <w:bottom w:val="none" w:sz="0" w:space="0" w:color="auto"/>
        <w:right w:val="none" w:sz="0" w:space="0" w:color="auto"/>
      </w:divBdr>
    </w:div>
    <w:div w:id="247465625">
      <w:bodyDiv w:val="1"/>
      <w:marLeft w:val="0"/>
      <w:marRight w:val="0"/>
      <w:marTop w:val="0"/>
      <w:marBottom w:val="0"/>
      <w:divBdr>
        <w:top w:val="none" w:sz="0" w:space="0" w:color="auto"/>
        <w:left w:val="none" w:sz="0" w:space="0" w:color="auto"/>
        <w:bottom w:val="none" w:sz="0" w:space="0" w:color="auto"/>
        <w:right w:val="none" w:sz="0" w:space="0" w:color="auto"/>
      </w:divBdr>
    </w:div>
    <w:div w:id="254099415">
      <w:bodyDiv w:val="1"/>
      <w:marLeft w:val="0"/>
      <w:marRight w:val="0"/>
      <w:marTop w:val="0"/>
      <w:marBottom w:val="0"/>
      <w:divBdr>
        <w:top w:val="none" w:sz="0" w:space="0" w:color="auto"/>
        <w:left w:val="none" w:sz="0" w:space="0" w:color="auto"/>
        <w:bottom w:val="none" w:sz="0" w:space="0" w:color="auto"/>
        <w:right w:val="none" w:sz="0" w:space="0" w:color="auto"/>
      </w:divBdr>
    </w:div>
    <w:div w:id="269901847">
      <w:bodyDiv w:val="1"/>
      <w:marLeft w:val="0"/>
      <w:marRight w:val="0"/>
      <w:marTop w:val="0"/>
      <w:marBottom w:val="0"/>
      <w:divBdr>
        <w:top w:val="none" w:sz="0" w:space="0" w:color="auto"/>
        <w:left w:val="none" w:sz="0" w:space="0" w:color="auto"/>
        <w:bottom w:val="none" w:sz="0" w:space="0" w:color="auto"/>
        <w:right w:val="none" w:sz="0" w:space="0" w:color="auto"/>
      </w:divBdr>
    </w:div>
    <w:div w:id="272447076">
      <w:bodyDiv w:val="1"/>
      <w:marLeft w:val="0"/>
      <w:marRight w:val="0"/>
      <w:marTop w:val="0"/>
      <w:marBottom w:val="0"/>
      <w:divBdr>
        <w:top w:val="none" w:sz="0" w:space="0" w:color="auto"/>
        <w:left w:val="none" w:sz="0" w:space="0" w:color="auto"/>
        <w:bottom w:val="none" w:sz="0" w:space="0" w:color="auto"/>
        <w:right w:val="none" w:sz="0" w:space="0" w:color="auto"/>
      </w:divBdr>
    </w:div>
    <w:div w:id="273513844">
      <w:bodyDiv w:val="1"/>
      <w:marLeft w:val="0"/>
      <w:marRight w:val="0"/>
      <w:marTop w:val="0"/>
      <w:marBottom w:val="0"/>
      <w:divBdr>
        <w:top w:val="none" w:sz="0" w:space="0" w:color="auto"/>
        <w:left w:val="none" w:sz="0" w:space="0" w:color="auto"/>
        <w:bottom w:val="none" w:sz="0" w:space="0" w:color="auto"/>
        <w:right w:val="none" w:sz="0" w:space="0" w:color="auto"/>
      </w:divBdr>
    </w:div>
    <w:div w:id="312951284">
      <w:bodyDiv w:val="1"/>
      <w:marLeft w:val="0"/>
      <w:marRight w:val="0"/>
      <w:marTop w:val="0"/>
      <w:marBottom w:val="0"/>
      <w:divBdr>
        <w:top w:val="none" w:sz="0" w:space="0" w:color="auto"/>
        <w:left w:val="none" w:sz="0" w:space="0" w:color="auto"/>
        <w:bottom w:val="none" w:sz="0" w:space="0" w:color="auto"/>
        <w:right w:val="none" w:sz="0" w:space="0" w:color="auto"/>
      </w:divBdr>
    </w:div>
    <w:div w:id="318198780">
      <w:bodyDiv w:val="1"/>
      <w:marLeft w:val="0"/>
      <w:marRight w:val="0"/>
      <w:marTop w:val="0"/>
      <w:marBottom w:val="0"/>
      <w:divBdr>
        <w:top w:val="none" w:sz="0" w:space="0" w:color="auto"/>
        <w:left w:val="none" w:sz="0" w:space="0" w:color="auto"/>
        <w:bottom w:val="none" w:sz="0" w:space="0" w:color="auto"/>
        <w:right w:val="none" w:sz="0" w:space="0" w:color="auto"/>
      </w:divBdr>
    </w:div>
    <w:div w:id="326253797">
      <w:bodyDiv w:val="1"/>
      <w:marLeft w:val="0"/>
      <w:marRight w:val="0"/>
      <w:marTop w:val="0"/>
      <w:marBottom w:val="0"/>
      <w:divBdr>
        <w:top w:val="none" w:sz="0" w:space="0" w:color="auto"/>
        <w:left w:val="none" w:sz="0" w:space="0" w:color="auto"/>
        <w:bottom w:val="none" w:sz="0" w:space="0" w:color="auto"/>
        <w:right w:val="none" w:sz="0" w:space="0" w:color="auto"/>
      </w:divBdr>
    </w:div>
    <w:div w:id="327295467">
      <w:bodyDiv w:val="1"/>
      <w:marLeft w:val="0"/>
      <w:marRight w:val="0"/>
      <w:marTop w:val="0"/>
      <w:marBottom w:val="0"/>
      <w:divBdr>
        <w:top w:val="none" w:sz="0" w:space="0" w:color="auto"/>
        <w:left w:val="none" w:sz="0" w:space="0" w:color="auto"/>
        <w:bottom w:val="none" w:sz="0" w:space="0" w:color="auto"/>
        <w:right w:val="none" w:sz="0" w:space="0" w:color="auto"/>
      </w:divBdr>
    </w:div>
    <w:div w:id="330449032">
      <w:bodyDiv w:val="1"/>
      <w:marLeft w:val="0"/>
      <w:marRight w:val="0"/>
      <w:marTop w:val="0"/>
      <w:marBottom w:val="0"/>
      <w:divBdr>
        <w:top w:val="none" w:sz="0" w:space="0" w:color="auto"/>
        <w:left w:val="none" w:sz="0" w:space="0" w:color="auto"/>
        <w:bottom w:val="none" w:sz="0" w:space="0" w:color="auto"/>
        <w:right w:val="none" w:sz="0" w:space="0" w:color="auto"/>
      </w:divBdr>
    </w:div>
    <w:div w:id="342440287">
      <w:bodyDiv w:val="1"/>
      <w:marLeft w:val="0"/>
      <w:marRight w:val="0"/>
      <w:marTop w:val="0"/>
      <w:marBottom w:val="0"/>
      <w:divBdr>
        <w:top w:val="none" w:sz="0" w:space="0" w:color="auto"/>
        <w:left w:val="none" w:sz="0" w:space="0" w:color="auto"/>
        <w:bottom w:val="none" w:sz="0" w:space="0" w:color="auto"/>
        <w:right w:val="none" w:sz="0" w:space="0" w:color="auto"/>
      </w:divBdr>
    </w:div>
    <w:div w:id="343753207">
      <w:bodyDiv w:val="1"/>
      <w:marLeft w:val="0"/>
      <w:marRight w:val="0"/>
      <w:marTop w:val="0"/>
      <w:marBottom w:val="0"/>
      <w:divBdr>
        <w:top w:val="none" w:sz="0" w:space="0" w:color="auto"/>
        <w:left w:val="none" w:sz="0" w:space="0" w:color="auto"/>
        <w:bottom w:val="none" w:sz="0" w:space="0" w:color="auto"/>
        <w:right w:val="none" w:sz="0" w:space="0" w:color="auto"/>
      </w:divBdr>
      <w:divsChild>
        <w:div w:id="324673599">
          <w:marLeft w:val="0"/>
          <w:marRight w:val="0"/>
          <w:marTop w:val="0"/>
          <w:marBottom w:val="0"/>
          <w:divBdr>
            <w:top w:val="none" w:sz="0" w:space="0" w:color="auto"/>
            <w:left w:val="none" w:sz="0" w:space="0" w:color="auto"/>
            <w:bottom w:val="none" w:sz="0" w:space="0" w:color="auto"/>
            <w:right w:val="none" w:sz="0" w:space="0" w:color="auto"/>
          </w:divBdr>
          <w:divsChild>
            <w:div w:id="359598194">
              <w:marLeft w:val="0"/>
              <w:marRight w:val="0"/>
              <w:marTop w:val="360"/>
              <w:marBottom w:val="360"/>
              <w:divBdr>
                <w:top w:val="none" w:sz="0" w:space="0" w:color="auto"/>
                <w:left w:val="none" w:sz="0" w:space="0" w:color="auto"/>
                <w:bottom w:val="none" w:sz="0" w:space="0" w:color="auto"/>
                <w:right w:val="none" w:sz="0" w:space="0" w:color="auto"/>
              </w:divBdr>
              <w:divsChild>
                <w:div w:id="145883414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28647816">
          <w:marLeft w:val="0"/>
          <w:marRight w:val="0"/>
          <w:marTop w:val="480"/>
          <w:marBottom w:val="480"/>
          <w:divBdr>
            <w:top w:val="none" w:sz="0" w:space="0" w:color="auto"/>
            <w:left w:val="none" w:sz="0" w:space="0" w:color="auto"/>
            <w:bottom w:val="none" w:sz="0" w:space="0" w:color="auto"/>
            <w:right w:val="none" w:sz="0" w:space="0" w:color="auto"/>
          </w:divBdr>
          <w:divsChild>
            <w:div w:id="1767114305">
              <w:marLeft w:val="0"/>
              <w:marRight w:val="0"/>
              <w:marTop w:val="0"/>
              <w:marBottom w:val="0"/>
              <w:divBdr>
                <w:top w:val="none" w:sz="0" w:space="0" w:color="auto"/>
                <w:left w:val="none" w:sz="0" w:space="0" w:color="auto"/>
                <w:bottom w:val="none" w:sz="0" w:space="0" w:color="auto"/>
                <w:right w:val="none" w:sz="0" w:space="0" w:color="auto"/>
              </w:divBdr>
            </w:div>
          </w:divsChild>
        </w:div>
        <w:div w:id="1749646012">
          <w:marLeft w:val="0"/>
          <w:marRight w:val="0"/>
          <w:marTop w:val="480"/>
          <w:marBottom w:val="480"/>
          <w:divBdr>
            <w:top w:val="none" w:sz="0" w:space="0" w:color="auto"/>
            <w:left w:val="none" w:sz="0" w:space="0" w:color="auto"/>
            <w:bottom w:val="none" w:sz="0" w:space="0" w:color="auto"/>
            <w:right w:val="none" w:sz="0" w:space="0" w:color="auto"/>
          </w:divBdr>
          <w:divsChild>
            <w:div w:id="411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2003">
      <w:bodyDiv w:val="1"/>
      <w:marLeft w:val="0"/>
      <w:marRight w:val="0"/>
      <w:marTop w:val="0"/>
      <w:marBottom w:val="0"/>
      <w:divBdr>
        <w:top w:val="none" w:sz="0" w:space="0" w:color="auto"/>
        <w:left w:val="none" w:sz="0" w:space="0" w:color="auto"/>
        <w:bottom w:val="none" w:sz="0" w:space="0" w:color="auto"/>
        <w:right w:val="none" w:sz="0" w:space="0" w:color="auto"/>
      </w:divBdr>
    </w:div>
    <w:div w:id="381102483">
      <w:bodyDiv w:val="1"/>
      <w:marLeft w:val="0"/>
      <w:marRight w:val="0"/>
      <w:marTop w:val="0"/>
      <w:marBottom w:val="0"/>
      <w:divBdr>
        <w:top w:val="none" w:sz="0" w:space="0" w:color="auto"/>
        <w:left w:val="none" w:sz="0" w:space="0" w:color="auto"/>
        <w:bottom w:val="none" w:sz="0" w:space="0" w:color="auto"/>
        <w:right w:val="none" w:sz="0" w:space="0" w:color="auto"/>
      </w:divBdr>
    </w:div>
    <w:div w:id="390495868">
      <w:bodyDiv w:val="1"/>
      <w:marLeft w:val="0"/>
      <w:marRight w:val="0"/>
      <w:marTop w:val="0"/>
      <w:marBottom w:val="0"/>
      <w:divBdr>
        <w:top w:val="none" w:sz="0" w:space="0" w:color="auto"/>
        <w:left w:val="none" w:sz="0" w:space="0" w:color="auto"/>
        <w:bottom w:val="none" w:sz="0" w:space="0" w:color="auto"/>
        <w:right w:val="none" w:sz="0" w:space="0" w:color="auto"/>
      </w:divBdr>
    </w:div>
    <w:div w:id="413283537">
      <w:bodyDiv w:val="1"/>
      <w:marLeft w:val="0"/>
      <w:marRight w:val="0"/>
      <w:marTop w:val="0"/>
      <w:marBottom w:val="0"/>
      <w:divBdr>
        <w:top w:val="none" w:sz="0" w:space="0" w:color="auto"/>
        <w:left w:val="none" w:sz="0" w:space="0" w:color="auto"/>
        <w:bottom w:val="none" w:sz="0" w:space="0" w:color="auto"/>
        <w:right w:val="none" w:sz="0" w:space="0" w:color="auto"/>
      </w:divBdr>
    </w:div>
    <w:div w:id="415253920">
      <w:bodyDiv w:val="1"/>
      <w:marLeft w:val="0"/>
      <w:marRight w:val="0"/>
      <w:marTop w:val="0"/>
      <w:marBottom w:val="0"/>
      <w:divBdr>
        <w:top w:val="none" w:sz="0" w:space="0" w:color="auto"/>
        <w:left w:val="none" w:sz="0" w:space="0" w:color="auto"/>
        <w:bottom w:val="none" w:sz="0" w:space="0" w:color="auto"/>
        <w:right w:val="none" w:sz="0" w:space="0" w:color="auto"/>
      </w:divBdr>
    </w:div>
    <w:div w:id="418796647">
      <w:bodyDiv w:val="1"/>
      <w:marLeft w:val="0"/>
      <w:marRight w:val="0"/>
      <w:marTop w:val="0"/>
      <w:marBottom w:val="0"/>
      <w:divBdr>
        <w:top w:val="none" w:sz="0" w:space="0" w:color="auto"/>
        <w:left w:val="none" w:sz="0" w:space="0" w:color="auto"/>
        <w:bottom w:val="none" w:sz="0" w:space="0" w:color="auto"/>
        <w:right w:val="none" w:sz="0" w:space="0" w:color="auto"/>
      </w:divBdr>
    </w:div>
    <w:div w:id="420371597">
      <w:bodyDiv w:val="1"/>
      <w:marLeft w:val="0"/>
      <w:marRight w:val="0"/>
      <w:marTop w:val="0"/>
      <w:marBottom w:val="0"/>
      <w:divBdr>
        <w:top w:val="none" w:sz="0" w:space="0" w:color="auto"/>
        <w:left w:val="none" w:sz="0" w:space="0" w:color="auto"/>
        <w:bottom w:val="none" w:sz="0" w:space="0" w:color="auto"/>
        <w:right w:val="none" w:sz="0" w:space="0" w:color="auto"/>
      </w:divBdr>
    </w:div>
    <w:div w:id="424225320">
      <w:bodyDiv w:val="1"/>
      <w:marLeft w:val="0"/>
      <w:marRight w:val="0"/>
      <w:marTop w:val="0"/>
      <w:marBottom w:val="0"/>
      <w:divBdr>
        <w:top w:val="none" w:sz="0" w:space="0" w:color="auto"/>
        <w:left w:val="none" w:sz="0" w:space="0" w:color="auto"/>
        <w:bottom w:val="none" w:sz="0" w:space="0" w:color="auto"/>
        <w:right w:val="none" w:sz="0" w:space="0" w:color="auto"/>
      </w:divBdr>
    </w:div>
    <w:div w:id="461389205">
      <w:bodyDiv w:val="1"/>
      <w:marLeft w:val="0"/>
      <w:marRight w:val="0"/>
      <w:marTop w:val="0"/>
      <w:marBottom w:val="0"/>
      <w:divBdr>
        <w:top w:val="none" w:sz="0" w:space="0" w:color="auto"/>
        <w:left w:val="none" w:sz="0" w:space="0" w:color="auto"/>
        <w:bottom w:val="none" w:sz="0" w:space="0" w:color="auto"/>
        <w:right w:val="none" w:sz="0" w:space="0" w:color="auto"/>
      </w:divBdr>
    </w:div>
    <w:div w:id="489904533">
      <w:bodyDiv w:val="1"/>
      <w:marLeft w:val="0"/>
      <w:marRight w:val="0"/>
      <w:marTop w:val="0"/>
      <w:marBottom w:val="0"/>
      <w:divBdr>
        <w:top w:val="none" w:sz="0" w:space="0" w:color="auto"/>
        <w:left w:val="none" w:sz="0" w:space="0" w:color="auto"/>
        <w:bottom w:val="none" w:sz="0" w:space="0" w:color="auto"/>
        <w:right w:val="none" w:sz="0" w:space="0" w:color="auto"/>
      </w:divBdr>
    </w:div>
    <w:div w:id="498034396">
      <w:bodyDiv w:val="1"/>
      <w:marLeft w:val="0"/>
      <w:marRight w:val="0"/>
      <w:marTop w:val="0"/>
      <w:marBottom w:val="0"/>
      <w:divBdr>
        <w:top w:val="none" w:sz="0" w:space="0" w:color="auto"/>
        <w:left w:val="none" w:sz="0" w:space="0" w:color="auto"/>
        <w:bottom w:val="none" w:sz="0" w:space="0" w:color="auto"/>
        <w:right w:val="none" w:sz="0" w:space="0" w:color="auto"/>
      </w:divBdr>
    </w:div>
    <w:div w:id="501966863">
      <w:bodyDiv w:val="1"/>
      <w:marLeft w:val="0"/>
      <w:marRight w:val="0"/>
      <w:marTop w:val="0"/>
      <w:marBottom w:val="0"/>
      <w:divBdr>
        <w:top w:val="none" w:sz="0" w:space="0" w:color="auto"/>
        <w:left w:val="none" w:sz="0" w:space="0" w:color="auto"/>
        <w:bottom w:val="none" w:sz="0" w:space="0" w:color="auto"/>
        <w:right w:val="none" w:sz="0" w:space="0" w:color="auto"/>
      </w:divBdr>
    </w:div>
    <w:div w:id="507403491">
      <w:bodyDiv w:val="1"/>
      <w:marLeft w:val="0"/>
      <w:marRight w:val="0"/>
      <w:marTop w:val="0"/>
      <w:marBottom w:val="0"/>
      <w:divBdr>
        <w:top w:val="none" w:sz="0" w:space="0" w:color="auto"/>
        <w:left w:val="none" w:sz="0" w:space="0" w:color="auto"/>
        <w:bottom w:val="none" w:sz="0" w:space="0" w:color="auto"/>
        <w:right w:val="none" w:sz="0" w:space="0" w:color="auto"/>
      </w:divBdr>
    </w:div>
    <w:div w:id="537862014">
      <w:bodyDiv w:val="1"/>
      <w:marLeft w:val="0"/>
      <w:marRight w:val="0"/>
      <w:marTop w:val="0"/>
      <w:marBottom w:val="0"/>
      <w:divBdr>
        <w:top w:val="none" w:sz="0" w:space="0" w:color="auto"/>
        <w:left w:val="none" w:sz="0" w:space="0" w:color="auto"/>
        <w:bottom w:val="none" w:sz="0" w:space="0" w:color="auto"/>
        <w:right w:val="none" w:sz="0" w:space="0" w:color="auto"/>
      </w:divBdr>
    </w:div>
    <w:div w:id="545063682">
      <w:bodyDiv w:val="1"/>
      <w:marLeft w:val="0"/>
      <w:marRight w:val="0"/>
      <w:marTop w:val="0"/>
      <w:marBottom w:val="0"/>
      <w:divBdr>
        <w:top w:val="none" w:sz="0" w:space="0" w:color="auto"/>
        <w:left w:val="none" w:sz="0" w:space="0" w:color="auto"/>
        <w:bottom w:val="none" w:sz="0" w:space="0" w:color="auto"/>
        <w:right w:val="none" w:sz="0" w:space="0" w:color="auto"/>
      </w:divBdr>
    </w:div>
    <w:div w:id="573003737">
      <w:bodyDiv w:val="1"/>
      <w:marLeft w:val="0"/>
      <w:marRight w:val="0"/>
      <w:marTop w:val="0"/>
      <w:marBottom w:val="0"/>
      <w:divBdr>
        <w:top w:val="none" w:sz="0" w:space="0" w:color="auto"/>
        <w:left w:val="none" w:sz="0" w:space="0" w:color="auto"/>
        <w:bottom w:val="none" w:sz="0" w:space="0" w:color="auto"/>
        <w:right w:val="none" w:sz="0" w:space="0" w:color="auto"/>
      </w:divBdr>
    </w:div>
    <w:div w:id="592010363">
      <w:bodyDiv w:val="1"/>
      <w:marLeft w:val="0"/>
      <w:marRight w:val="0"/>
      <w:marTop w:val="0"/>
      <w:marBottom w:val="0"/>
      <w:divBdr>
        <w:top w:val="none" w:sz="0" w:space="0" w:color="auto"/>
        <w:left w:val="none" w:sz="0" w:space="0" w:color="auto"/>
        <w:bottom w:val="none" w:sz="0" w:space="0" w:color="auto"/>
        <w:right w:val="none" w:sz="0" w:space="0" w:color="auto"/>
      </w:divBdr>
    </w:div>
    <w:div w:id="592982170">
      <w:bodyDiv w:val="1"/>
      <w:marLeft w:val="0"/>
      <w:marRight w:val="0"/>
      <w:marTop w:val="0"/>
      <w:marBottom w:val="0"/>
      <w:divBdr>
        <w:top w:val="none" w:sz="0" w:space="0" w:color="auto"/>
        <w:left w:val="none" w:sz="0" w:space="0" w:color="auto"/>
        <w:bottom w:val="none" w:sz="0" w:space="0" w:color="auto"/>
        <w:right w:val="none" w:sz="0" w:space="0" w:color="auto"/>
      </w:divBdr>
    </w:div>
    <w:div w:id="597717991">
      <w:bodyDiv w:val="1"/>
      <w:marLeft w:val="0"/>
      <w:marRight w:val="0"/>
      <w:marTop w:val="0"/>
      <w:marBottom w:val="0"/>
      <w:divBdr>
        <w:top w:val="none" w:sz="0" w:space="0" w:color="auto"/>
        <w:left w:val="none" w:sz="0" w:space="0" w:color="auto"/>
        <w:bottom w:val="none" w:sz="0" w:space="0" w:color="auto"/>
        <w:right w:val="none" w:sz="0" w:space="0" w:color="auto"/>
      </w:divBdr>
    </w:div>
    <w:div w:id="624389553">
      <w:bodyDiv w:val="1"/>
      <w:marLeft w:val="0"/>
      <w:marRight w:val="0"/>
      <w:marTop w:val="0"/>
      <w:marBottom w:val="0"/>
      <w:divBdr>
        <w:top w:val="none" w:sz="0" w:space="0" w:color="auto"/>
        <w:left w:val="none" w:sz="0" w:space="0" w:color="auto"/>
        <w:bottom w:val="none" w:sz="0" w:space="0" w:color="auto"/>
        <w:right w:val="none" w:sz="0" w:space="0" w:color="auto"/>
      </w:divBdr>
    </w:div>
    <w:div w:id="646476331">
      <w:bodyDiv w:val="1"/>
      <w:marLeft w:val="0"/>
      <w:marRight w:val="0"/>
      <w:marTop w:val="0"/>
      <w:marBottom w:val="0"/>
      <w:divBdr>
        <w:top w:val="none" w:sz="0" w:space="0" w:color="auto"/>
        <w:left w:val="none" w:sz="0" w:space="0" w:color="auto"/>
        <w:bottom w:val="none" w:sz="0" w:space="0" w:color="auto"/>
        <w:right w:val="none" w:sz="0" w:space="0" w:color="auto"/>
      </w:divBdr>
    </w:div>
    <w:div w:id="670135616">
      <w:bodyDiv w:val="1"/>
      <w:marLeft w:val="0"/>
      <w:marRight w:val="0"/>
      <w:marTop w:val="0"/>
      <w:marBottom w:val="0"/>
      <w:divBdr>
        <w:top w:val="none" w:sz="0" w:space="0" w:color="auto"/>
        <w:left w:val="none" w:sz="0" w:space="0" w:color="auto"/>
        <w:bottom w:val="none" w:sz="0" w:space="0" w:color="auto"/>
        <w:right w:val="none" w:sz="0" w:space="0" w:color="auto"/>
      </w:divBdr>
    </w:div>
    <w:div w:id="672339189">
      <w:bodyDiv w:val="1"/>
      <w:marLeft w:val="0"/>
      <w:marRight w:val="0"/>
      <w:marTop w:val="0"/>
      <w:marBottom w:val="0"/>
      <w:divBdr>
        <w:top w:val="none" w:sz="0" w:space="0" w:color="auto"/>
        <w:left w:val="none" w:sz="0" w:space="0" w:color="auto"/>
        <w:bottom w:val="none" w:sz="0" w:space="0" w:color="auto"/>
        <w:right w:val="none" w:sz="0" w:space="0" w:color="auto"/>
      </w:divBdr>
    </w:div>
    <w:div w:id="679893987">
      <w:bodyDiv w:val="1"/>
      <w:marLeft w:val="0"/>
      <w:marRight w:val="0"/>
      <w:marTop w:val="0"/>
      <w:marBottom w:val="0"/>
      <w:divBdr>
        <w:top w:val="none" w:sz="0" w:space="0" w:color="auto"/>
        <w:left w:val="none" w:sz="0" w:space="0" w:color="auto"/>
        <w:bottom w:val="none" w:sz="0" w:space="0" w:color="auto"/>
        <w:right w:val="none" w:sz="0" w:space="0" w:color="auto"/>
      </w:divBdr>
    </w:div>
    <w:div w:id="684596500">
      <w:bodyDiv w:val="1"/>
      <w:marLeft w:val="0"/>
      <w:marRight w:val="0"/>
      <w:marTop w:val="0"/>
      <w:marBottom w:val="0"/>
      <w:divBdr>
        <w:top w:val="none" w:sz="0" w:space="0" w:color="auto"/>
        <w:left w:val="none" w:sz="0" w:space="0" w:color="auto"/>
        <w:bottom w:val="none" w:sz="0" w:space="0" w:color="auto"/>
        <w:right w:val="none" w:sz="0" w:space="0" w:color="auto"/>
      </w:divBdr>
    </w:div>
    <w:div w:id="690228626">
      <w:bodyDiv w:val="1"/>
      <w:marLeft w:val="0"/>
      <w:marRight w:val="0"/>
      <w:marTop w:val="0"/>
      <w:marBottom w:val="0"/>
      <w:divBdr>
        <w:top w:val="none" w:sz="0" w:space="0" w:color="auto"/>
        <w:left w:val="none" w:sz="0" w:space="0" w:color="auto"/>
        <w:bottom w:val="none" w:sz="0" w:space="0" w:color="auto"/>
        <w:right w:val="none" w:sz="0" w:space="0" w:color="auto"/>
      </w:divBdr>
    </w:div>
    <w:div w:id="704521214">
      <w:bodyDiv w:val="1"/>
      <w:marLeft w:val="0"/>
      <w:marRight w:val="0"/>
      <w:marTop w:val="0"/>
      <w:marBottom w:val="0"/>
      <w:divBdr>
        <w:top w:val="none" w:sz="0" w:space="0" w:color="auto"/>
        <w:left w:val="none" w:sz="0" w:space="0" w:color="auto"/>
        <w:bottom w:val="none" w:sz="0" w:space="0" w:color="auto"/>
        <w:right w:val="none" w:sz="0" w:space="0" w:color="auto"/>
      </w:divBdr>
    </w:div>
    <w:div w:id="715466860">
      <w:bodyDiv w:val="1"/>
      <w:marLeft w:val="0"/>
      <w:marRight w:val="0"/>
      <w:marTop w:val="0"/>
      <w:marBottom w:val="0"/>
      <w:divBdr>
        <w:top w:val="none" w:sz="0" w:space="0" w:color="auto"/>
        <w:left w:val="none" w:sz="0" w:space="0" w:color="auto"/>
        <w:bottom w:val="none" w:sz="0" w:space="0" w:color="auto"/>
        <w:right w:val="none" w:sz="0" w:space="0" w:color="auto"/>
      </w:divBdr>
    </w:div>
    <w:div w:id="721103354">
      <w:bodyDiv w:val="1"/>
      <w:marLeft w:val="0"/>
      <w:marRight w:val="0"/>
      <w:marTop w:val="0"/>
      <w:marBottom w:val="0"/>
      <w:divBdr>
        <w:top w:val="none" w:sz="0" w:space="0" w:color="auto"/>
        <w:left w:val="none" w:sz="0" w:space="0" w:color="auto"/>
        <w:bottom w:val="none" w:sz="0" w:space="0" w:color="auto"/>
        <w:right w:val="none" w:sz="0" w:space="0" w:color="auto"/>
      </w:divBdr>
    </w:div>
    <w:div w:id="734010755">
      <w:bodyDiv w:val="1"/>
      <w:marLeft w:val="0"/>
      <w:marRight w:val="0"/>
      <w:marTop w:val="0"/>
      <w:marBottom w:val="0"/>
      <w:divBdr>
        <w:top w:val="none" w:sz="0" w:space="0" w:color="auto"/>
        <w:left w:val="none" w:sz="0" w:space="0" w:color="auto"/>
        <w:bottom w:val="none" w:sz="0" w:space="0" w:color="auto"/>
        <w:right w:val="none" w:sz="0" w:space="0" w:color="auto"/>
      </w:divBdr>
    </w:div>
    <w:div w:id="743768409">
      <w:bodyDiv w:val="1"/>
      <w:marLeft w:val="0"/>
      <w:marRight w:val="0"/>
      <w:marTop w:val="0"/>
      <w:marBottom w:val="0"/>
      <w:divBdr>
        <w:top w:val="none" w:sz="0" w:space="0" w:color="auto"/>
        <w:left w:val="none" w:sz="0" w:space="0" w:color="auto"/>
        <w:bottom w:val="none" w:sz="0" w:space="0" w:color="auto"/>
        <w:right w:val="none" w:sz="0" w:space="0" w:color="auto"/>
      </w:divBdr>
    </w:div>
    <w:div w:id="748118884">
      <w:bodyDiv w:val="1"/>
      <w:marLeft w:val="0"/>
      <w:marRight w:val="0"/>
      <w:marTop w:val="0"/>
      <w:marBottom w:val="0"/>
      <w:divBdr>
        <w:top w:val="none" w:sz="0" w:space="0" w:color="auto"/>
        <w:left w:val="none" w:sz="0" w:space="0" w:color="auto"/>
        <w:bottom w:val="none" w:sz="0" w:space="0" w:color="auto"/>
        <w:right w:val="none" w:sz="0" w:space="0" w:color="auto"/>
      </w:divBdr>
    </w:div>
    <w:div w:id="748817166">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88159625">
      <w:bodyDiv w:val="1"/>
      <w:marLeft w:val="0"/>
      <w:marRight w:val="0"/>
      <w:marTop w:val="0"/>
      <w:marBottom w:val="0"/>
      <w:divBdr>
        <w:top w:val="none" w:sz="0" w:space="0" w:color="auto"/>
        <w:left w:val="none" w:sz="0" w:space="0" w:color="auto"/>
        <w:bottom w:val="none" w:sz="0" w:space="0" w:color="auto"/>
        <w:right w:val="none" w:sz="0" w:space="0" w:color="auto"/>
      </w:divBdr>
      <w:divsChild>
        <w:div w:id="899826747">
          <w:marLeft w:val="0"/>
          <w:marRight w:val="0"/>
          <w:marTop w:val="0"/>
          <w:marBottom w:val="0"/>
          <w:divBdr>
            <w:top w:val="none" w:sz="0" w:space="0" w:color="auto"/>
            <w:left w:val="none" w:sz="0" w:space="0" w:color="auto"/>
            <w:bottom w:val="none" w:sz="0" w:space="0" w:color="auto"/>
            <w:right w:val="none" w:sz="0" w:space="0" w:color="auto"/>
          </w:divBdr>
        </w:div>
        <w:div w:id="1438792573">
          <w:marLeft w:val="0"/>
          <w:marRight w:val="0"/>
          <w:marTop w:val="0"/>
          <w:marBottom w:val="0"/>
          <w:divBdr>
            <w:top w:val="none" w:sz="0" w:space="0" w:color="auto"/>
            <w:left w:val="none" w:sz="0" w:space="0" w:color="auto"/>
            <w:bottom w:val="none" w:sz="0" w:space="0" w:color="auto"/>
            <w:right w:val="none" w:sz="0" w:space="0" w:color="auto"/>
          </w:divBdr>
        </w:div>
      </w:divsChild>
    </w:div>
    <w:div w:id="790242120">
      <w:bodyDiv w:val="1"/>
      <w:marLeft w:val="0"/>
      <w:marRight w:val="0"/>
      <w:marTop w:val="0"/>
      <w:marBottom w:val="0"/>
      <w:divBdr>
        <w:top w:val="none" w:sz="0" w:space="0" w:color="auto"/>
        <w:left w:val="none" w:sz="0" w:space="0" w:color="auto"/>
        <w:bottom w:val="none" w:sz="0" w:space="0" w:color="auto"/>
        <w:right w:val="none" w:sz="0" w:space="0" w:color="auto"/>
      </w:divBdr>
    </w:div>
    <w:div w:id="790592099">
      <w:bodyDiv w:val="1"/>
      <w:marLeft w:val="0"/>
      <w:marRight w:val="0"/>
      <w:marTop w:val="0"/>
      <w:marBottom w:val="0"/>
      <w:divBdr>
        <w:top w:val="none" w:sz="0" w:space="0" w:color="auto"/>
        <w:left w:val="none" w:sz="0" w:space="0" w:color="auto"/>
        <w:bottom w:val="none" w:sz="0" w:space="0" w:color="auto"/>
        <w:right w:val="none" w:sz="0" w:space="0" w:color="auto"/>
      </w:divBdr>
    </w:div>
    <w:div w:id="790787490">
      <w:bodyDiv w:val="1"/>
      <w:marLeft w:val="0"/>
      <w:marRight w:val="0"/>
      <w:marTop w:val="0"/>
      <w:marBottom w:val="0"/>
      <w:divBdr>
        <w:top w:val="none" w:sz="0" w:space="0" w:color="auto"/>
        <w:left w:val="none" w:sz="0" w:space="0" w:color="auto"/>
        <w:bottom w:val="none" w:sz="0" w:space="0" w:color="auto"/>
        <w:right w:val="none" w:sz="0" w:space="0" w:color="auto"/>
      </w:divBdr>
    </w:div>
    <w:div w:id="793788473">
      <w:bodyDiv w:val="1"/>
      <w:marLeft w:val="0"/>
      <w:marRight w:val="0"/>
      <w:marTop w:val="0"/>
      <w:marBottom w:val="0"/>
      <w:divBdr>
        <w:top w:val="none" w:sz="0" w:space="0" w:color="auto"/>
        <w:left w:val="none" w:sz="0" w:space="0" w:color="auto"/>
        <w:bottom w:val="none" w:sz="0" w:space="0" w:color="auto"/>
        <w:right w:val="none" w:sz="0" w:space="0" w:color="auto"/>
      </w:divBdr>
    </w:div>
    <w:div w:id="804006651">
      <w:bodyDiv w:val="1"/>
      <w:marLeft w:val="0"/>
      <w:marRight w:val="0"/>
      <w:marTop w:val="0"/>
      <w:marBottom w:val="0"/>
      <w:divBdr>
        <w:top w:val="none" w:sz="0" w:space="0" w:color="auto"/>
        <w:left w:val="none" w:sz="0" w:space="0" w:color="auto"/>
        <w:bottom w:val="none" w:sz="0" w:space="0" w:color="auto"/>
        <w:right w:val="none" w:sz="0" w:space="0" w:color="auto"/>
      </w:divBdr>
    </w:div>
    <w:div w:id="819344869">
      <w:bodyDiv w:val="1"/>
      <w:marLeft w:val="0"/>
      <w:marRight w:val="0"/>
      <w:marTop w:val="0"/>
      <w:marBottom w:val="0"/>
      <w:divBdr>
        <w:top w:val="none" w:sz="0" w:space="0" w:color="auto"/>
        <w:left w:val="none" w:sz="0" w:space="0" w:color="auto"/>
        <w:bottom w:val="none" w:sz="0" w:space="0" w:color="auto"/>
        <w:right w:val="none" w:sz="0" w:space="0" w:color="auto"/>
      </w:divBdr>
    </w:div>
    <w:div w:id="824055738">
      <w:bodyDiv w:val="1"/>
      <w:marLeft w:val="0"/>
      <w:marRight w:val="0"/>
      <w:marTop w:val="0"/>
      <w:marBottom w:val="0"/>
      <w:divBdr>
        <w:top w:val="none" w:sz="0" w:space="0" w:color="auto"/>
        <w:left w:val="none" w:sz="0" w:space="0" w:color="auto"/>
        <w:bottom w:val="none" w:sz="0" w:space="0" w:color="auto"/>
        <w:right w:val="none" w:sz="0" w:space="0" w:color="auto"/>
      </w:divBdr>
    </w:div>
    <w:div w:id="831411696">
      <w:bodyDiv w:val="1"/>
      <w:marLeft w:val="0"/>
      <w:marRight w:val="0"/>
      <w:marTop w:val="0"/>
      <w:marBottom w:val="0"/>
      <w:divBdr>
        <w:top w:val="none" w:sz="0" w:space="0" w:color="auto"/>
        <w:left w:val="none" w:sz="0" w:space="0" w:color="auto"/>
        <w:bottom w:val="none" w:sz="0" w:space="0" w:color="auto"/>
        <w:right w:val="none" w:sz="0" w:space="0" w:color="auto"/>
      </w:divBdr>
    </w:div>
    <w:div w:id="839391169">
      <w:bodyDiv w:val="1"/>
      <w:marLeft w:val="0"/>
      <w:marRight w:val="0"/>
      <w:marTop w:val="0"/>
      <w:marBottom w:val="0"/>
      <w:divBdr>
        <w:top w:val="none" w:sz="0" w:space="0" w:color="auto"/>
        <w:left w:val="none" w:sz="0" w:space="0" w:color="auto"/>
        <w:bottom w:val="none" w:sz="0" w:space="0" w:color="auto"/>
        <w:right w:val="none" w:sz="0" w:space="0" w:color="auto"/>
      </w:divBdr>
    </w:div>
    <w:div w:id="841553460">
      <w:bodyDiv w:val="1"/>
      <w:marLeft w:val="0"/>
      <w:marRight w:val="0"/>
      <w:marTop w:val="0"/>
      <w:marBottom w:val="0"/>
      <w:divBdr>
        <w:top w:val="none" w:sz="0" w:space="0" w:color="auto"/>
        <w:left w:val="none" w:sz="0" w:space="0" w:color="auto"/>
        <w:bottom w:val="none" w:sz="0" w:space="0" w:color="auto"/>
        <w:right w:val="none" w:sz="0" w:space="0" w:color="auto"/>
      </w:divBdr>
    </w:div>
    <w:div w:id="856696820">
      <w:bodyDiv w:val="1"/>
      <w:marLeft w:val="0"/>
      <w:marRight w:val="0"/>
      <w:marTop w:val="0"/>
      <w:marBottom w:val="0"/>
      <w:divBdr>
        <w:top w:val="none" w:sz="0" w:space="0" w:color="auto"/>
        <w:left w:val="none" w:sz="0" w:space="0" w:color="auto"/>
        <w:bottom w:val="none" w:sz="0" w:space="0" w:color="auto"/>
        <w:right w:val="none" w:sz="0" w:space="0" w:color="auto"/>
      </w:divBdr>
      <w:divsChild>
        <w:div w:id="919026637">
          <w:marLeft w:val="0"/>
          <w:marRight w:val="0"/>
          <w:marTop w:val="0"/>
          <w:marBottom w:val="0"/>
          <w:divBdr>
            <w:top w:val="none" w:sz="0" w:space="0" w:color="auto"/>
            <w:left w:val="none" w:sz="0" w:space="0" w:color="auto"/>
            <w:bottom w:val="none" w:sz="0" w:space="0" w:color="auto"/>
            <w:right w:val="none" w:sz="0" w:space="0" w:color="auto"/>
          </w:divBdr>
        </w:div>
      </w:divsChild>
    </w:div>
    <w:div w:id="915093703">
      <w:bodyDiv w:val="1"/>
      <w:marLeft w:val="0"/>
      <w:marRight w:val="0"/>
      <w:marTop w:val="0"/>
      <w:marBottom w:val="0"/>
      <w:divBdr>
        <w:top w:val="none" w:sz="0" w:space="0" w:color="auto"/>
        <w:left w:val="none" w:sz="0" w:space="0" w:color="auto"/>
        <w:bottom w:val="none" w:sz="0" w:space="0" w:color="auto"/>
        <w:right w:val="none" w:sz="0" w:space="0" w:color="auto"/>
      </w:divBdr>
    </w:div>
    <w:div w:id="916591815">
      <w:bodyDiv w:val="1"/>
      <w:marLeft w:val="0"/>
      <w:marRight w:val="0"/>
      <w:marTop w:val="0"/>
      <w:marBottom w:val="0"/>
      <w:divBdr>
        <w:top w:val="none" w:sz="0" w:space="0" w:color="auto"/>
        <w:left w:val="none" w:sz="0" w:space="0" w:color="auto"/>
        <w:bottom w:val="none" w:sz="0" w:space="0" w:color="auto"/>
        <w:right w:val="none" w:sz="0" w:space="0" w:color="auto"/>
      </w:divBdr>
    </w:div>
    <w:div w:id="921261044">
      <w:bodyDiv w:val="1"/>
      <w:marLeft w:val="0"/>
      <w:marRight w:val="0"/>
      <w:marTop w:val="0"/>
      <w:marBottom w:val="0"/>
      <w:divBdr>
        <w:top w:val="none" w:sz="0" w:space="0" w:color="auto"/>
        <w:left w:val="none" w:sz="0" w:space="0" w:color="auto"/>
        <w:bottom w:val="none" w:sz="0" w:space="0" w:color="auto"/>
        <w:right w:val="none" w:sz="0" w:space="0" w:color="auto"/>
      </w:divBdr>
    </w:div>
    <w:div w:id="937101274">
      <w:bodyDiv w:val="1"/>
      <w:marLeft w:val="0"/>
      <w:marRight w:val="0"/>
      <w:marTop w:val="0"/>
      <w:marBottom w:val="0"/>
      <w:divBdr>
        <w:top w:val="none" w:sz="0" w:space="0" w:color="auto"/>
        <w:left w:val="none" w:sz="0" w:space="0" w:color="auto"/>
        <w:bottom w:val="none" w:sz="0" w:space="0" w:color="auto"/>
        <w:right w:val="none" w:sz="0" w:space="0" w:color="auto"/>
      </w:divBdr>
    </w:div>
    <w:div w:id="956790710">
      <w:bodyDiv w:val="1"/>
      <w:marLeft w:val="0"/>
      <w:marRight w:val="0"/>
      <w:marTop w:val="0"/>
      <w:marBottom w:val="0"/>
      <w:divBdr>
        <w:top w:val="none" w:sz="0" w:space="0" w:color="auto"/>
        <w:left w:val="none" w:sz="0" w:space="0" w:color="auto"/>
        <w:bottom w:val="none" w:sz="0" w:space="0" w:color="auto"/>
        <w:right w:val="none" w:sz="0" w:space="0" w:color="auto"/>
      </w:divBdr>
    </w:div>
    <w:div w:id="1016999617">
      <w:bodyDiv w:val="1"/>
      <w:marLeft w:val="0"/>
      <w:marRight w:val="0"/>
      <w:marTop w:val="0"/>
      <w:marBottom w:val="0"/>
      <w:divBdr>
        <w:top w:val="none" w:sz="0" w:space="0" w:color="auto"/>
        <w:left w:val="none" w:sz="0" w:space="0" w:color="auto"/>
        <w:bottom w:val="none" w:sz="0" w:space="0" w:color="auto"/>
        <w:right w:val="none" w:sz="0" w:space="0" w:color="auto"/>
      </w:divBdr>
    </w:div>
    <w:div w:id="1048604535">
      <w:bodyDiv w:val="1"/>
      <w:marLeft w:val="0"/>
      <w:marRight w:val="0"/>
      <w:marTop w:val="0"/>
      <w:marBottom w:val="0"/>
      <w:divBdr>
        <w:top w:val="none" w:sz="0" w:space="0" w:color="auto"/>
        <w:left w:val="none" w:sz="0" w:space="0" w:color="auto"/>
        <w:bottom w:val="none" w:sz="0" w:space="0" w:color="auto"/>
        <w:right w:val="none" w:sz="0" w:space="0" w:color="auto"/>
      </w:divBdr>
    </w:div>
    <w:div w:id="1110708223">
      <w:bodyDiv w:val="1"/>
      <w:marLeft w:val="0"/>
      <w:marRight w:val="0"/>
      <w:marTop w:val="0"/>
      <w:marBottom w:val="0"/>
      <w:divBdr>
        <w:top w:val="none" w:sz="0" w:space="0" w:color="auto"/>
        <w:left w:val="none" w:sz="0" w:space="0" w:color="auto"/>
        <w:bottom w:val="none" w:sz="0" w:space="0" w:color="auto"/>
        <w:right w:val="none" w:sz="0" w:space="0" w:color="auto"/>
      </w:divBdr>
    </w:div>
    <w:div w:id="1110781163">
      <w:bodyDiv w:val="1"/>
      <w:marLeft w:val="0"/>
      <w:marRight w:val="0"/>
      <w:marTop w:val="0"/>
      <w:marBottom w:val="0"/>
      <w:divBdr>
        <w:top w:val="none" w:sz="0" w:space="0" w:color="auto"/>
        <w:left w:val="none" w:sz="0" w:space="0" w:color="auto"/>
        <w:bottom w:val="none" w:sz="0" w:space="0" w:color="auto"/>
        <w:right w:val="none" w:sz="0" w:space="0" w:color="auto"/>
      </w:divBdr>
    </w:div>
    <w:div w:id="1113397899">
      <w:bodyDiv w:val="1"/>
      <w:marLeft w:val="0"/>
      <w:marRight w:val="0"/>
      <w:marTop w:val="0"/>
      <w:marBottom w:val="0"/>
      <w:divBdr>
        <w:top w:val="none" w:sz="0" w:space="0" w:color="auto"/>
        <w:left w:val="none" w:sz="0" w:space="0" w:color="auto"/>
        <w:bottom w:val="none" w:sz="0" w:space="0" w:color="auto"/>
        <w:right w:val="none" w:sz="0" w:space="0" w:color="auto"/>
      </w:divBdr>
    </w:div>
    <w:div w:id="1121342094">
      <w:bodyDiv w:val="1"/>
      <w:marLeft w:val="0"/>
      <w:marRight w:val="0"/>
      <w:marTop w:val="0"/>
      <w:marBottom w:val="0"/>
      <w:divBdr>
        <w:top w:val="none" w:sz="0" w:space="0" w:color="auto"/>
        <w:left w:val="none" w:sz="0" w:space="0" w:color="auto"/>
        <w:bottom w:val="none" w:sz="0" w:space="0" w:color="auto"/>
        <w:right w:val="none" w:sz="0" w:space="0" w:color="auto"/>
      </w:divBdr>
    </w:div>
    <w:div w:id="1131704848">
      <w:bodyDiv w:val="1"/>
      <w:marLeft w:val="0"/>
      <w:marRight w:val="0"/>
      <w:marTop w:val="0"/>
      <w:marBottom w:val="0"/>
      <w:divBdr>
        <w:top w:val="none" w:sz="0" w:space="0" w:color="auto"/>
        <w:left w:val="none" w:sz="0" w:space="0" w:color="auto"/>
        <w:bottom w:val="none" w:sz="0" w:space="0" w:color="auto"/>
        <w:right w:val="none" w:sz="0" w:space="0" w:color="auto"/>
      </w:divBdr>
    </w:div>
    <w:div w:id="1136490264">
      <w:bodyDiv w:val="1"/>
      <w:marLeft w:val="0"/>
      <w:marRight w:val="0"/>
      <w:marTop w:val="0"/>
      <w:marBottom w:val="0"/>
      <w:divBdr>
        <w:top w:val="none" w:sz="0" w:space="0" w:color="auto"/>
        <w:left w:val="none" w:sz="0" w:space="0" w:color="auto"/>
        <w:bottom w:val="none" w:sz="0" w:space="0" w:color="auto"/>
        <w:right w:val="none" w:sz="0" w:space="0" w:color="auto"/>
      </w:divBdr>
    </w:div>
    <w:div w:id="1168904113">
      <w:bodyDiv w:val="1"/>
      <w:marLeft w:val="0"/>
      <w:marRight w:val="0"/>
      <w:marTop w:val="0"/>
      <w:marBottom w:val="0"/>
      <w:divBdr>
        <w:top w:val="none" w:sz="0" w:space="0" w:color="auto"/>
        <w:left w:val="none" w:sz="0" w:space="0" w:color="auto"/>
        <w:bottom w:val="none" w:sz="0" w:space="0" w:color="auto"/>
        <w:right w:val="none" w:sz="0" w:space="0" w:color="auto"/>
      </w:divBdr>
    </w:div>
    <w:div w:id="1170484505">
      <w:bodyDiv w:val="1"/>
      <w:marLeft w:val="0"/>
      <w:marRight w:val="0"/>
      <w:marTop w:val="0"/>
      <w:marBottom w:val="0"/>
      <w:divBdr>
        <w:top w:val="none" w:sz="0" w:space="0" w:color="auto"/>
        <w:left w:val="none" w:sz="0" w:space="0" w:color="auto"/>
        <w:bottom w:val="none" w:sz="0" w:space="0" w:color="auto"/>
        <w:right w:val="none" w:sz="0" w:space="0" w:color="auto"/>
      </w:divBdr>
    </w:div>
    <w:div w:id="1202861962">
      <w:bodyDiv w:val="1"/>
      <w:marLeft w:val="0"/>
      <w:marRight w:val="0"/>
      <w:marTop w:val="0"/>
      <w:marBottom w:val="0"/>
      <w:divBdr>
        <w:top w:val="none" w:sz="0" w:space="0" w:color="auto"/>
        <w:left w:val="none" w:sz="0" w:space="0" w:color="auto"/>
        <w:bottom w:val="none" w:sz="0" w:space="0" w:color="auto"/>
        <w:right w:val="none" w:sz="0" w:space="0" w:color="auto"/>
      </w:divBdr>
    </w:div>
    <w:div w:id="1217663041">
      <w:bodyDiv w:val="1"/>
      <w:marLeft w:val="0"/>
      <w:marRight w:val="0"/>
      <w:marTop w:val="0"/>
      <w:marBottom w:val="0"/>
      <w:divBdr>
        <w:top w:val="none" w:sz="0" w:space="0" w:color="auto"/>
        <w:left w:val="none" w:sz="0" w:space="0" w:color="auto"/>
        <w:bottom w:val="none" w:sz="0" w:space="0" w:color="auto"/>
        <w:right w:val="none" w:sz="0" w:space="0" w:color="auto"/>
      </w:divBdr>
    </w:div>
    <w:div w:id="1244682791">
      <w:bodyDiv w:val="1"/>
      <w:marLeft w:val="0"/>
      <w:marRight w:val="0"/>
      <w:marTop w:val="0"/>
      <w:marBottom w:val="0"/>
      <w:divBdr>
        <w:top w:val="none" w:sz="0" w:space="0" w:color="auto"/>
        <w:left w:val="none" w:sz="0" w:space="0" w:color="auto"/>
        <w:bottom w:val="none" w:sz="0" w:space="0" w:color="auto"/>
        <w:right w:val="none" w:sz="0" w:space="0" w:color="auto"/>
      </w:divBdr>
    </w:div>
    <w:div w:id="1249148696">
      <w:bodyDiv w:val="1"/>
      <w:marLeft w:val="0"/>
      <w:marRight w:val="0"/>
      <w:marTop w:val="0"/>
      <w:marBottom w:val="0"/>
      <w:divBdr>
        <w:top w:val="none" w:sz="0" w:space="0" w:color="auto"/>
        <w:left w:val="none" w:sz="0" w:space="0" w:color="auto"/>
        <w:bottom w:val="none" w:sz="0" w:space="0" w:color="auto"/>
        <w:right w:val="none" w:sz="0" w:space="0" w:color="auto"/>
      </w:divBdr>
    </w:div>
    <w:div w:id="1250770313">
      <w:bodyDiv w:val="1"/>
      <w:marLeft w:val="0"/>
      <w:marRight w:val="0"/>
      <w:marTop w:val="0"/>
      <w:marBottom w:val="0"/>
      <w:divBdr>
        <w:top w:val="none" w:sz="0" w:space="0" w:color="auto"/>
        <w:left w:val="none" w:sz="0" w:space="0" w:color="auto"/>
        <w:bottom w:val="none" w:sz="0" w:space="0" w:color="auto"/>
        <w:right w:val="none" w:sz="0" w:space="0" w:color="auto"/>
      </w:divBdr>
    </w:div>
    <w:div w:id="1252852287">
      <w:bodyDiv w:val="1"/>
      <w:marLeft w:val="0"/>
      <w:marRight w:val="0"/>
      <w:marTop w:val="0"/>
      <w:marBottom w:val="0"/>
      <w:divBdr>
        <w:top w:val="none" w:sz="0" w:space="0" w:color="auto"/>
        <w:left w:val="none" w:sz="0" w:space="0" w:color="auto"/>
        <w:bottom w:val="none" w:sz="0" w:space="0" w:color="auto"/>
        <w:right w:val="none" w:sz="0" w:space="0" w:color="auto"/>
      </w:divBdr>
    </w:div>
    <w:div w:id="1272204150">
      <w:bodyDiv w:val="1"/>
      <w:marLeft w:val="0"/>
      <w:marRight w:val="0"/>
      <w:marTop w:val="0"/>
      <w:marBottom w:val="0"/>
      <w:divBdr>
        <w:top w:val="none" w:sz="0" w:space="0" w:color="auto"/>
        <w:left w:val="none" w:sz="0" w:space="0" w:color="auto"/>
        <w:bottom w:val="none" w:sz="0" w:space="0" w:color="auto"/>
        <w:right w:val="none" w:sz="0" w:space="0" w:color="auto"/>
      </w:divBdr>
    </w:div>
    <w:div w:id="1292319684">
      <w:bodyDiv w:val="1"/>
      <w:marLeft w:val="0"/>
      <w:marRight w:val="0"/>
      <w:marTop w:val="0"/>
      <w:marBottom w:val="0"/>
      <w:divBdr>
        <w:top w:val="none" w:sz="0" w:space="0" w:color="auto"/>
        <w:left w:val="none" w:sz="0" w:space="0" w:color="auto"/>
        <w:bottom w:val="none" w:sz="0" w:space="0" w:color="auto"/>
        <w:right w:val="none" w:sz="0" w:space="0" w:color="auto"/>
      </w:divBdr>
    </w:div>
    <w:div w:id="1298098261">
      <w:bodyDiv w:val="1"/>
      <w:marLeft w:val="0"/>
      <w:marRight w:val="0"/>
      <w:marTop w:val="0"/>
      <w:marBottom w:val="0"/>
      <w:divBdr>
        <w:top w:val="none" w:sz="0" w:space="0" w:color="auto"/>
        <w:left w:val="none" w:sz="0" w:space="0" w:color="auto"/>
        <w:bottom w:val="none" w:sz="0" w:space="0" w:color="auto"/>
        <w:right w:val="none" w:sz="0" w:space="0" w:color="auto"/>
      </w:divBdr>
    </w:div>
    <w:div w:id="1310741897">
      <w:bodyDiv w:val="1"/>
      <w:marLeft w:val="0"/>
      <w:marRight w:val="0"/>
      <w:marTop w:val="0"/>
      <w:marBottom w:val="0"/>
      <w:divBdr>
        <w:top w:val="none" w:sz="0" w:space="0" w:color="auto"/>
        <w:left w:val="none" w:sz="0" w:space="0" w:color="auto"/>
        <w:bottom w:val="none" w:sz="0" w:space="0" w:color="auto"/>
        <w:right w:val="none" w:sz="0" w:space="0" w:color="auto"/>
      </w:divBdr>
    </w:div>
    <w:div w:id="1311444640">
      <w:bodyDiv w:val="1"/>
      <w:marLeft w:val="0"/>
      <w:marRight w:val="0"/>
      <w:marTop w:val="0"/>
      <w:marBottom w:val="0"/>
      <w:divBdr>
        <w:top w:val="none" w:sz="0" w:space="0" w:color="auto"/>
        <w:left w:val="none" w:sz="0" w:space="0" w:color="auto"/>
        <w:bottom w:val="none" w:sz="0" w:space="0" w:color="auto"/>
        <w:right w:val="none" w:sz="0" w:space="0" w:color="auto"/>
      </w:divBdr>
    </w:div>
    <w:div w:id="1311668509">
      <w:bodyDiv w:val="1"/>
      <w:marLeft w:val="0"/>
      <w:marRight w:val="0"/>
      <w:marTop w:val="0"/>
      <w:marBottom w:val="0"/>
      <w:divBdr>
        <w:top w:val="none" w:sz="0" w:space="0" w:color="auto"/>
        <w:left w:val="none" w:sz="0" w:space="0" w:color="auto"/>
        <w:bottom w:val="none" w:sz="0" w:space="0" w:color="auto"/>
        <w:right w:val="none" w:sz="0" w:space="0" w:color="auto"/>
      </w:divBdr>
    </w:div>
    <w:div w:id="1319385714">
      <w:bodyDiv w:val="1"/>
      <w:marLeft w:val="0"/>
      <w:marRight w:val="0"/>
      <w:marTop w:val="0"/>
      <w:marBottom w:val="0"/>
      <w:divBdr>
        <w:top w:val="none" w:sz="0" w:space="0" w:color="auto"/>
        <w:left w:val="none" w:sz="0" w:space="0" w:color="auto"/>
        <w:bottom w:val="none" w:sz="0" w:space="0" w:color="auto"/>
        <w:right w:val="none" w:sz="0" w:space="0" w:color="auto"/>
      </w:divBdr>
    </w:div>
    <w:div w:id="1326514938">
      <w:bodyDiv w:val="1"/>
      <w:marLeft w:val="0"/>
      <w:marRight w:val="0"/>
      <w:marTop w:val="0"/>
      <w:marBottom w:val="0"/>
      <w:divBdr>
        <w:top w:val="none" w:sz="0" w:space="0" w:color="auto"/>
        <w:left w:val="none" w:sz="0" w:space="0" w:color="auto"/>
        <w:bottom w:val="none" w:sz="0" w:space="0" w:color="auto"/>
        <w:right w:val="none" w:sz="0" w:space="0" w:color="auto"/>
      </w:divBdr>
    </w:div>
    <w:div w:id="1330668636">
      <w:bodyDiv w:val="1"/>
      <w:marLeft w:val="0"/>
      <w:marRight w:val="0"/>
      <w:marTop w:val="0"/>
      <w:marBottom w:val="0"/>
      <w:divBdr>
        <w:top w:val="none" w:sz="0" w:space="0" w:color="auto"/>
        <w:left w:val="none" w:sz="0" w:space="0" w:color="auto"/>
        <w:bottom w:val="none" w:sz="0" w:space="0" w:color="auto"/>
        <w:right w:val="none" w:sz="0" w:space="0" w:color="auto"/>
      </w:divBdr>
    </w:div>
    <w:div w:id="1331760880">
      <w:bodyDiv w:val="1"/>
      <w:marLeft w:val="0"/>
      <w:marRight w:val="0"/>
      <w:marTop w:val="0"/>
      <w:marBottom w:val="0"/>
      <w:divBdr>
        <w:top w:val="none" w:sz="0" w:space="0" w:color="auto"/>
        <w:left w:val="none" w:sz="0" w:space="0" w:color="auto"/>
        <w:bottom w:val="none" w:sz="0" w:space="0" w:color="auto"/>
        <w:right w:val="none" w:sz="0" w:space="0" w:color="auto"/>
      </w:divBdr>
    </w:div>
    <w:div w:id="1333677622">
      <w:bodyDiv w:val="1"/>
      <w:marLeft w:val="0"/>
      <w:marRight w:val="0"/>
      <w:marTop w:val="0"/>
      <w:marBottom w:val="0"/>
      <w:divBdr>
        <w:top w:val="none" w:sz="0" w:space="0" w:color="auto"/>
        <w:left w:val="none" w:sz="0" w:space="0" w:color="auto"/>
        <w:bottom w:val="none" w:sz="0" w:space="0" w:color="auto"/>
        <w:right w:val="none" w:sz="0" w:space="0" w:color="auto"/>
      </w:divBdr>
    </w:div>
    <w:div w:id="1340694599">
      <w:bodyDiv w:val="1"/>
      <w:marLeft w:val="0"/>
      <w:marRight w:val="0"/>
      <w:marTop w:val="0"/>
      <w:marBottom w:val="0"/>
      <w:divBdr>
        <w:top w:val="none" w:sz="0" w:space="0" w:color="auto"/>
        <w:left w:val="none" w:sz="0" w:space="0" w:color="auto"/>
        <w:bottom w:val="none" w:sz="0" w:space="0" w:color="auto"/>
        <w:right w:val="none" w:sz="0" w:space="0" w:color="auto"/>
      </w:divBdr>
    </w:div>
    <w:div w:id="1356226278">
      <w:bodyDiv w:val="1"/>
      <w:marLeft w:val="0"/>
      <w:marRight w:val="0"/>
      <w:marTop w:val="0"/>
      <w:marBottom w:val="0"/>
      <w:divBdr>
        <w:top w:val="none" w:sz="0" w:space="0" w:color="auto"/>
        <w:left w:val="none" w:sz="0" w:space="0" w:color="auto"/>
        <w:bottom w:val="none" w:sz="0" w:space="0" w:color="auto"/>
        <w:right w:val="none" w:sz="0" w:space="0" w:color="auto"/>
      </w:divBdr>
    </w:div>
    <w:div w:id="1391883846">
      <w:bodyDiv w:val="1"/>
      <w:marLeft w:val="0"/>
      <w:marRight w:val="0"/>
      <w:marTop w:val="0"/>
      <w:marBottom w:val="0"/>
      <w:divBdr>
        <w:top w:val="none" w:sz="0" w:space="0" w:color="auto"/>
        <w:left w:val="none" w:sz="0" w:space="0" w:color="auto"/>
        <w:bottom w:val="none" w:sz="0" w:space="0" w:color="auto"/>
        <w:right w:val="none" w:sz="0" w:space="0" w:color="auto"/>
      </w:divBdr>
    </w:div>
    <w:div w:id="1395158583">
      <w:bodyDiv w:val="1"/>
      <w:marLeft w:val="0"/>
      <w:marRight w:val="0"/>
      <w:marTop w:val="0"/>
      <w:marBottom w:val="0"/>
      <w:divBdr>
        <w:top w:val="none" w:sz="0" w:space="0" w:color="auto"/>
        <w:left w:val="none" w:sz="0" w:space="0" w:color="auto"/>
        <w:bottom w:val="none" w:sz="0" w:space="0" w:color="auto"/>
        <w:right w:val="none" w:sz="0" w:space="0" w:color="auto"/>
      </w:divBdr>
    </w:div>
    <w:div w:id="1405033771">
      <w:bodyDiv w:val="1"/>
      <w:marLeft w:val="0"/>
      <w:marRight w:val="0"/>
      <w:marTop w:val="0"/>
      <w:marBottom w:val="0"/>
      <w:divBdr>
        <w:top w:val="none" w:sz="0" w:space="0" w:color="auto"/>
        <w:left w:val="none" w:sz="0" w:space="0" w:color="auto"/>
        <w:bottom w:val="none" w:sz="0" w:space="0" w:color="auto"/>
        <w:right w:val="none" w:sz="0" w:space="0" w:color="auto"/>
      </w:divBdr>
    </w:div>
    <w:div w:id="1420327230">
      <w:bodyDiv w:val="1"/>
      <w:marLeft w:val="0"/>
      <w:marRight w:val="0"/>
      <w:marTop w:val="0"/>
      <w:marBottom w:val="0"/>
      <w:divBdr>
        <w:top w:val="none" w:sz="0" w:space="0" w:color="auto"/>
        <w:left w:val="none" w:sz="0" w:space="0" w:color="auto"/>
        <w:bottom w:val="none" w:sz="0" w:space="0" w:color="auto"/>
        <w:right w:val="none" w:sz="0" w:space="0" w:color="auto"/>
      </w:divBdr>
    </w:div>
    <w:div w:id="1452625368">
      <w:bodyDiv w:val="1"/>
      <w:marLeft w:val="0"/>
      <w:marRight w:val="0"/>
      <w:marTop w:val="0"/>
      <w:marBottom w:val="0"/>
      <w:divBdr>
        <w:top w:val="none" w:sz="0" w:space="0" w:color="auto"/>
        <w:left w:val="none" w:sz="0" w:space="0" w:color="auto"/>
        <w:bottom w:val="none" w:sz="0" w:space="0" w:color="auto"/>
        <w:right w:val="none" w:sz="0" w:space="0" w:color="auto"/>
      </w:divBdr>
    </w:div>
    <w:div w:id="1462456768">
      <w:bodyDiv w:val="1"/>
      <w:marLeft w:val="0"/>
      <w:marRight w:val="0"/>
      <w:marTop w:val="0"/>
      <w:marBottom w:val="0"/>
      <w:divBdr>
        <w:top w:val="none" w:sz="0" w:space="0" w:color="auto"/>
        <w:left w:val="none" w:sz="0" w:space="0" w:color="auto"/>
        <w:bottom w:val="none" w:sz="0" w:space="0" w:color="auto"/>
        <w:right w:val="none" w:sz="0" w:space="0" w:color="auto"/>
      </w:divBdr>
      <w:divsChild>
        <w:div w:id="1463226712">
          <w:marLeft w:val="0"/>
          <w:marRight w:val="0"/>
          <w:marTop w:val="0"/>
          <w:marBottom w:val="0"/>
          <w:divBdr>
            <w:top w:val="none" w:sz="0" w:space="0" w:color="auto"/>
            <w:left w:val="none" w:sz="0" w:space="0" w:color="auto"/>
            <w:bottom w:val="none" w:sz="0" w:space="0" w:color="auto"/>
            <w:right w:val="none" w:sz="0" w:space="0" w:color="auto"/>
          </w:divBdr>
          <w:divsChild>
            <w:div w:id="5579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00527">
      <w:bodyDiv w:val="1"/>
      <w:marLeft w:val="0"/>
      <w:marRight w:val="0"/>
      <w:marTop w:val="0"/>
      <w:marBottom w:val="0"/>
      <w:divBdr>
        <w:top w:val="none" w:sz="0" w:space="0" w:color="auto"/>
        <w:left w:val="none" w:sz="0" w:space="0" w:color="auto"/>
        <w:bottom w:val="none" w:sz="0" w:space="0" w:color="auto"/>
        <w:right w:val="none" w:sz="0" w:space="0" w:color="auto"/>
      </w:divBdr>
    </w:div>
    <w:div w:id="1464152545">
      <w:bodyDiv w:val="1"/>
      <w:marLeft w:val="0"/>
      <w:marRight w:val="0"/>
      <w:marTop w:val="0"/>
      <w:marBottom w:val="0"/>
      <w:divBdr>
        <w:top w:val="none" w:sz="0" w:space="0" w:color="auto"/>
        <w:left w:val="none" w:sz="0" w:space="0" w:color="auto"/>
        <w:bottom w:val="none" w:sz="0" w:space="0" w:color="auto"/>
        <w:right w:val="none" w:sz="0" w:space="0" w:color="auto"/>
      </w:divBdr>
    </w:div>
    <w:div w:id="1464157409">
      <w:bodyDiv w:val="1"/>
      <w:marLeft w:val="0"/>
      <w:marRight w:val="0"/>
      <w:marTop w:val="0"/>
      <w:marBottom w:val="0"/>
      <w:divBdr>
        <w:top w:val="none" w:sz="0" w:space="0" w:color="auto"/>
        <w:left w:val="none" w:sz="0" w:space="0" w:color="auto"/>
        <w:bottom w:val="none" w:sz="0" w:space="0" w:color="auto"/>
        <w:right w:val="none" w:sz="0" w:space="0" w:color="auto"/>
      </w:divBdr>
    </w:div>
    <w:div w:id="1478063779">
      <w:bodyDiv w:val="1"/>
      <w:marLeft w:val="0"/>
      <w:marRight w:val="0"/>
      <w:marTop w:val="0"/>
      <w:marBottom w:val="0"/>
      <w:divBdr>
        <w:top w:val="none" w:sz="0" w:space="0" w:color="auto"/>
        <w:left w:val="none" w:sz="0" w:space="0" w:color="auto"/>
        <w:bottom w:val="none" w:sz="0" w:space="0" w:color="auto"/>
        <w:right w:val="none" w:sz="0" w:space="0" w:color="auto"/>
      </w:divBdr>
    </w:div>
    <w:div w:id="1485854163">
      <w:bodyDiv w:val="1"/>
      <w:marLeft w:val="0"/>
      <w:marRight w:val="0"/>
      <w:marTop w:val="0"/>
      <w:marBottom w:val="0"/>
      <w:divBdr>
        <w:top w:val="none" w:sz="0" w:space="0" w:color="auto"/>
        <w:left w:val="none" w:sz="0" w:space="0" w:color="auto"/>
        <w:bottom w:val="none" w:sz="0" w:space="0" w:color="auto"/>
        <w:right w:val="none" w:sz="0" w:space="0" w:color="auto"/>
      </w:divBdr>
    </w:div>
    <w:div w:id="1506359369">
      <w:bodyDiv w:val="1"/>
      <w:marLeft w:val="0"/>
      <w:marRight w:val="0"/>
      <w:marTop w:val="0"/>
      <w:marBottom w:val="0"/>
      <w:divBdr>
        <w:top w:val="none" w:sz="0" w:space="0" w:color="auto"/>
        <w:left w:val="none" w:sz="0" w:space="0" w:color="auto"/>
        <w:bottom w:val="none" w:sz="0" w:space="0" w:color="auto"/>
        <w:right w:val="none" w:sz="0" w:space="0" w:color="auto"/>
      </w:divBdr>
    </w:div>
    <w:div w:id="1515461170">
      <w:bodyDiv w:val="1"/>
      <w:marLeft w:val="0"/>
      <w:marRight w:val="0"/>
      <w:marTop w:val="0"/>
      <w:marBottom w:val="0"/>
      <w:divBdr>
        <w:top w:val="none" w:sz="0" w:space="0" w:color="auto"/>
        <w:left w:val="none" w:sz="0" w:space="0" w:color="auto"/>
        <w:bottom w:val="none" w:sz="0" w:space="0" w:color="auto"/>
        <w:right w:val="none" w:sz="0" w:space="0" w:color="auto"/>
      </w:divBdr>
    </w:div>
    <w:div w:id="1517621399">
      <w:bodyDiv w:val="1"/>
      <w:marLeft w:val="0"/>
      <w:marRight w:val="0"/>
      <w:marTop w:val="0"/>
      <w:marBottom w:val="0"/>
      <w:divBdr>
        <w:top w:val="none" w:sz="0" w:space="0" w:color="auto"/>
        <w:left w:val="none" w:sz="0" w:space="0" w:color="auto"/>
        <w:bottom w:val="none" w:sz="0" w:space="0" w:color="auto"/>
        <w:right w:val="none" w:sz="0" w:space="0" w:color="auto"/>
      </w:divBdr>
    </w:div>
    <w:div w:id="1533113569">
      <w:bodyDiv w:val="1"/>
      <w:marLeft w:val="0"/>
      <w:marRight w:val="0"/>
      <w:marTop w:val="0"/>
      <w:marBottom w:val="0"/>
      <w:divBdr>
        <w:top w:val="none" w:sz="0" w:space="0" w:color="auto"/>
        <w:left w:val="none" w:sz="0" w:space="0" w:color="auto"/>
        <w:bottom w:val="none" w:sz="0" w:space="0" w:color="auto"/>
        <w:right w:val="none" w:sz="0" w:space="0" w:color="auto"/>
      </w:divBdr>
    </w:div>
    <w:div w:id="1550219590">
      <w:bodyDiv w:val="1"/>
      <w:marLeft w:val="0"/>
      <w:marRight w:val="0"/>
      <w:marTop w:val="0"/>
      <w:marBottom w:val="0"/>
      <w:divBdr>
        <w:top w:val="none" w:sz="0" w:space="0" w:color="auto"/>
        <w:left w:val="none" w:sz="0" w:space="0" w:color="auto"/>
        <w:bottom w:val="none" w:sz="0" w:space="0" w:color="auto"/>
        <w:right w:val="none" w:sz="0" w:space="0" w:color="auto"/>
      </w:divBdr>
      <w:divsChild>
        <w:div w:id="1113942502">
          <w:marLeft w:val="0"/>
          <w:marRight w:val="0"/>
          <w:marTop w:val="0"/>
          <w:marBottom w:val="0"/>
          <w:divBdr>
            <w:top w:val="none" w:sz="0" w:space="0" w:color="auto"/>
            <w:left w:val="none" w:sz="0" w:space="0" w:color="auto"/>
            <w:bottom w:val="none" w:sz="0" w:space="0" w:color="auto"/>
            <w:right w:val="none" w:sz="0" w:space="0" w:color="auto"/>
          </w:divBdr>
        </w:div>
        <w:div w:id="1334720361">
          <w:marLeft w:val="0"/>
          <w:marRight w:val="0"/>
          <w:marTop w:val="0"/>
          <w:marBottom w:val="0"/>
          <w:divBdr>
            <w:top w:val="none" w:sz="0" w:space="0" w:color="auto"/>
            <w:left w:val="none" w:sz="0" w:space="0" w:color="auto"/>
            <w:bottom w:val="none" w:sz="0" w:space="0" w:color="auto"/>
            <w:right w:val="none" w:sz="0" w:space="0" w:color="auto"/>
          </w:divBdr>
        </w:div>
      </w:divsChild>
    </w:div>
    <w:div w:id="1561938842">
      <w:bodyDiv w:val="1"/>
      <w:marLeft w:val="0"/>
      <w:marRight w:val="0"/>
      <w:marTop w:val="0"/>
      <w:marBottom w:val="0"/>
      <w:divBdr>
        <w:top w:val="none" w:sz="0" w:space="0" w:color="auto"/>
        <w:left w:val="none" w:sz="0" w:space="0" w:color="auto"/>
        <w:bottom w:val="none" w:sz="0" w:space="0" w:color="auto"/>
        <w:right w:val="none" w:sz="0" w:space="0" w:color="auto"/>
      </w:divBdr>
      <w:divsChild>
        <w:div w:id="25252612">
          <w:marLeft w:val="0"/>
          <w:marRight w:val="0"/>
          <w:marTop w:val="480"/>
          <w:marBottom w:val="480"/>
          <w:divBdr>
            <w:top w:val="none" w:sz="0" w:space="0" w:color="auto"/>
            <w:left w:val="none" w:sz="0" w:space="0" w:color="auto"/>
            <w:bottom w:val="none" w:sz="0" w:space="0" w:color="auto"/>
            <w:right w:val="none" w:sz="0" w:space="0" w:color="auto"/>
          </w:divBdr>
          <w:divsChild>
            <w:div w:id="1145852563">
              <w:marLeft w:val="0"/>
              <w:marRight w:val="0"/>
              <w:marTop w:val="0"/>
              <w:marBottom w:val="0"/>
              <w:divBdr>
                <w:top w:val="none" w:sz="0" w:space="0" w:color="auto"/>
                <w:left w:val="none" w:sz="0" w:space="0" w:color="auto"/>
                <w:bottom w:val="none" w:sz="0" w:space="0" w:color="auto"/>
                <w:right w:val="none" w:sz="0" w:space="0" w:color="auto"/>
              </w:divBdr>
            </w:div>
          </w:divsChild>
        </w:div>
        <w:div w:id="1296525092">
          <w:marLeft w:val="0"/>
          <w:marRight w:val="0"/>
          <w:marTop w:val="0"/>
          <w:marBottom w:val="0"/>
          <w:divBdr>
            <w:top w:val="none" w:sz="0" w:space="0" w:color="auto"/>
            <w:left w:val="none" w:sz="0" w:space="0" w:color="auto"/>
            <w:bottom w:val="none" w:sz="0" w:space="0" w:color="auto"/>
            <w:right w:val="none" w:sz="0" w:space="0" w:color="auto"/>
          </w:divBdr>
          <w:divsChild>
            <w:div w:id="1743678657">
              <w:marLeft w:val="0"/>
              <w:marRight w:val="0"/>
              <w:marTop w:val="360"/>
              <w:marBottom w:val="360"/>
              <w:divBdr>
                <w:top w:val="none" w:sz="0" w:space="0" w:color="auto"/>
                <w:left w:val="none" w:sz="0" w:space="0" w:color="auto"/>
                <w:bottom w:val="none" w:sz="0" w:space="0" w:color="auto"/>
                <w:right w:val="none" w:sz="0" w:space="0" w:color="auto"/>
              </w:divBdr>
              <w:divsChild>
                <w:div w:id="12350479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19771425">
          <w:marLeft w:val="0"/>
          <w:marRight w:val="0"/>
          <w:marTop w:val="480"/>
          <w:marBottom w:val="480"/>
          <w:divBdr>
            <w:top w:val="none" w:sz="0" w:space="0" w:color="auto"/>
            <w:left w:val="none" w:sz="0" w:space="0" w:color="auto"/>
            <w:bottom w:val="none" w:sz="0" w:space="0" w:color="auto"/>
            <w:right w:val="none" w:sz="0" w:space="0" w:color="auto"/>
          </w:divBdr>
          <w:divsChild>
            <w:div w:id="180685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8708">
      <w:bodyDiv w:val="1"/>
      <w:marLeft w:val="0"/>
      <w:marRight w:val="0"/>
      <w:marTop w:val="0"/>
      <w:marBottom w:val="0"/>
      <w:divBdr>
        <w:top w:val="none" w:sz="0" w:space="0" w:color="auto"/>
        <w:left w:val="none" w:sz="0" w:space="0" w:color="auto"/>
        <w:bottom w:val="none" w:sz="0" w:space="0" w:color="auto"/>
        <w:right w:val="none" w:sz="0" w:space="0" w:color="auto"/>
      </w:divBdr>
    </w:div>
    <w:div w:id="1593732658">
      <w:bodyDiv w:val="1"/>
      <w:marLeft w:val="0"/>
      <w:marRight w:val="0"/>
      <w:marTop w:val="0"/>
      <w:marBottom w:val="0"/>
      <w:divBdr>
        <w:top w:val="none" w:sz="0" w:space="0" w:color="auto"/>
        <w:left w:val="none" w:sz="0" w:space="0" w:color="auto"/>
        <w:bottom w:val="none" w:sz="0" w:space="0" w:color="auto"/>
        <w:right w:val="none" w:sz="0" w:space="0" w:color="auto"/>
      </w:divBdr>
    </w:div>
    <w:div w:id="1597834026">
      <w:bodyDiv w:val="1"/>
      <w:marLeft w:val="0"/>
      <w:marRight w:val="0"/>
      <w:marTop w:val="0"/>
      <w:marBottom w:val="0"/>
      <w:divBdr>
        <w:top w:val="none" w:sz="0" w:space="0" w:color="auto"/>
        <w:left w:val="none" w:sz="0" w:space="0" w:color="auto"/>
        <w:bottom w:val="none" w:sz="0" w:space="0" w:color="auto"/>
        <w:right w:val="none" w:sz="0" w:space="0" w:color="auto"/>
      </w:divBdr>
    </w:div>
    <w:div w:id="1604613168">
      <w:bodyDiv w:val="1"/>
      <w:marLeft w:val="0"/>
      <w:marRight w:val="0"/>
      <w:marTop w:val="0"/>
      <w:marBottom w:val="0"/>
      <w:divBdr>
        <w:top w:val="none" w:sz="0" w:space="0" w:color="auto"/>
        <w:left w:val="none" w:sz="0" w:space="0" w:color="auto"/>
        <w:bottom w:val="none" w:sz="0" w:space="0" w:color="auto"/>
        <w:right w:val="none" w:sz="0" w:space="0" w:color="auto"/>
      </w:divBdr>
    </w:div>
    <w:div w:id="1618175445">
      <w:bodyDiv w:val="1"/>
      <w:marLeft w:val="0"/>
      <w:marRight w:val="0"/>
      <w:marTop w:val="0"/>
      <w:marBottom w:val="0"/>
      <w:divBdr>
        <w:top w:val="none" w:sz="0" w:space="0" w:color="auto"/>
        <w:left w:val="none" w:sz="0" w:space="0" w:color="auto"/>
        <w:bottom w:val="none" w:sz="0" w:space="0" w:color="auto"/>
        <w:right w:val="none" w:sz="0" w:space="0" w:color="auto"/>
      </w:divBdr>
    </w:div>
    <w:div w:id="1619726849">
      <w:bodyDiv w:val="1"/>
      <w:marLeft w:val="0"/>
      <w:marRight w:val="0"/>
      <w:marTop w:val="0"/>
      <w:marBottom w:val="0"/>
      <w:divBdr>
        <w:top w:val="none" w:sz="0" w:space="0" w:color="auto"/>
        <w:left w:val="none" w:sz="0" w:space="0" w:color="auto"/>
        <w:bottom w:val="none" w:sz="0" w:space="0" w:color="auto"/>
        <w:right w:val="none" w:sz="0" w:space="0" w:color="auto"/>
      </w:divBdr>
    </w:div>
    <w:div w:id="1659109754">
      <w:bodyDiv w:val="1"/>
      <w:marLeft w:val="0"/>
      <w:marRight w:val="0"/>
      <w:marTop w:val="0"/>
      <w:marBottom w:val="0"/>
      <w:divBdr>
        <w:top w:val="none" w:sz="0" w:space="0" w:color="auto"/>
        <w:left w:val="none" w:sz="0" w:space="0" w:color="auto"/>
        <w:bottom w:val="none" w:sz="0" w:space="0" w:color="auto"/>
        <w:right w:val="none" w:sz="0" w:space="0" w:color="auto"/>
      </w:divBdr>
    </w:div>
    <w:div w:id="1673295296">
      <w:bodyDiv w:val="1"/>
      <w:marLeft w:val="0"/>
      <w:marRight w:val="0"/>
      <w:marTop w:val="0"/>
      <w:marBottom w:val="0"/>
      <w:divBdr>
        <w:top w:val="none" w:sz="0" w:space="0" w:color="auto"/>
        <w:left w:val="none" w:sz="0" w:space="0" w:color="auto"/>
        <w:bottom w:val="none" w:sz="0" w:space="0" w:color="auto"/>
        <w:right w:val="none" w:sz="0" w:space="0" w:color="auto"/>
      </w:divBdr>
    </w:div>
    <w:div w:id="1685091331">
      <w:bodyDiv w:val="1"/>
      <w:marLeft w:val="0"/>
      <w:marRight w:val="0"/>
      <w:marTop w:val="0"/>
      <w:marBottom w:val="0"/>
      <w:divBdr>
        <w:top w:val="none" w:sz="0" w:space="0" w:color="auto"/>
        <w:left w:val="none" w:sz="0" w:space="0" w:color="auto"/>
        <w:bottom w:val="none" w:sz="0" w:space="0" w:color="auto"/>
        <w:right w:val="none" w:sz="0" w:space="0" w:color="auto"/>
      </w:divBdr>
    </w:div>
    <w:div w:id="1694649139">
      <w:bodyDiv w:val="1"/>
      <w:marLeft w:val="0"/>
      <w:marRight w:val="0"/>
      <w:marTop w:val="0"/>
      <w:marBottom w:val="0"/>
      <w:divBdr>
        <w:top w:val="none" w:sz="0" w:space="0" w:color="auto"/>
        <w:left w:val="none" w:sz="0" w:space="0" w:color="auto"/>
        <w:bottom w:val="none" w:sz="0" w:space="0" w:color="auto"/>
        <w:right w:val="none" w:sz="0" w:space="0" w:color="auto"/>
      </w:divBdr>
    </w:div>
    <w:div w:id="1724064179">
      <w:bodyDiv w:val="1"/>
      <w:marLeft w:val="0"/>
      <w:marRight w:val="0"/>
      <w:marTop w:val="0"/>
      <w:marBottom w:val="0"/>
      <w:divBdr>
        <w:top w:val="none" w:sz="0" w:space="0" w:color="auto"/>
        <w:left w:val="none" w:sz="0" w:space="0" w:color="auto"/>
        <w:bottom w:val="none" w:sz="0" w:space="0" w:color="auto"/>
        <w:right w:val="none" w:sz="0" w:space="0" w:color="auto"/>
      </w:divBdr>
    </w:div>
    <w:div w:id="1746298691">
      <w:bodyDiv w:val="1"/>
      <w:marLeft w:val="0"/>
      <w:marRight w:val="0"/>
      <w:marTop w:val="0"/>
      <w:marBottom w:val="0"/>
      <w:divBdr>
        <w:top w:val="none" w:sz="0" w:space="0" w:color="auto"/>
        <w:left w:val="none" w:sz="0" w:space="0" w:color="auto"/>
        <w:bottom w:val="none" w:sz="0" w:space="0" w:color="auto"/>
        <w:right w:val="none" w:sz="0" w:space="0" w:color="auto"/>
      </w:divBdr>
    </w:div>
    <w:div w:id="1773083302">
      <w:bodyDiv w:val="1"/>
      <w:marLeft w:val="0"/>
      <w:marRight w:val="0"/>
      <w:marTop w:val="0"/>
      <w:marBottom w:val="0"/>
      <w:divBdr>
        <w:top w:val="none" w:sz="0" w:space="0" w:color="auto"/>
        <w:left w:val="none" w:sz="0" w:space="0" w:color="auto"/>
        <w:bottom w:val="none" w:sz="0" w:space="0" w:color="auto"/>
        <w:right w:val="none" w:sz="0" w:space="0" w:color="auto"/>
      </w:divBdr>
    </w:div>
    <w:div w:id="1777406327">
      <w:bodyDiv w:val="1"/>
      <w:marLeft w:val="0"/>
      <w:marRight w:val="0"/>
      <w:marTop w:val="0"/>
      <w:marBottom w:val="0"/>
      <w:divBdr>
        <w:top w:val="none" w:sz="0" w:space="0" w:color="auto"/>
        <w:left w:val="none" w:sz="0" w:space="0" w:color="auto"/>
        <w:bottom w:val="none" w:sz="0" w:space="0" w:color="auto"/>
        <w:right w:val="none" w:sz="0" w:space="0" w:color="auto"/>
      </w:divBdr>
    </w:div>
    <w:div w:id="1785152778">
      <w:bodyDiv w:val="1"/>
      <w:marLeft w:val="0"/>
      <w:marRight w:val="0"/>
      <w:marTop w:val="0"/>
      <w:marBottom w:val="0"/>
      <w:divBdr>
        <w:top w:val="none" w:sz="0" w:space="0" w:color="auto"/>
        <w:left w:val="none" w:sz="0" w:space="0" w:color="auto"/>
        <w:bottom w:val="none" w:sz="0" w:space="0" w:color="auto"/>
        <w:right w:val="none" w:sz="0" w:space="0" w:color="auto"/>
      </w:divBdr>
    </w:div>
    <w:div w:id="1793591854">
      <w:bodyDiv w:val="1"/>
      <w:marLeft w:val="0"/>
      <w:marRight w:val="0"/>
      <w:marTop w:val="0"/>
      <w:marBottom w:val="0"/>
      <w:divBdr>
        <w:top w:val="none" w:sz="0" w:space="0" w:color="auto"/>
        <w:left w:val="none" w:sz="0" w:space="0" w:color="auto"/>
        <w:bottom w:val="none" w:sz="0" w:space="0" w:color="auto"/>
        <w:right w:val="none" w:sz="0" w:space="0" w:color="auto"/>
      </w:divBdr>
    </w:div>
    <w:div w:id="1820996438">
      <w:bodyDiv w:val="1"/>
      <w:marLeft w:val="0"/>
      <w:marRight w:val="0"/>
      <w:marTop w:val="0"/>
      <w:marBottom w:val="0"/>
      <w:divBdr>
        <w:top w:val="none" w:sz="0" w:space="0" w:color="auto"/>
        <w:left w:val="none" w:sz="0" w:space="0" w:color="auto"/>
        <w:bottom w:val="none" w:sz="0" w:space="0" w:color="auto"/>
        <w:right w:val="none" w:sz="0" w:space="0" w:color="auto"/>
      </w:divBdr>
    </w:div>
    <w:div w:id="1847360809">
      <w:bodyDiv w:val="1"/>
      <w:marLeft w:val="0"/>
      <w:marRight w:val="0"/>
      <w:marTop w:val="0"/>
      <w:marBottom w:val="0"/>
      <w:divBdr>
        <w:top w:val="none" w:sz="0" w:space="0" w:color="auto"/>
        <w:left w:val="none" w:sz="0" w:space="0" w:color="auto"/>
        <w:bottom w:val="none" w:sz="0" w:space="0" w:color="auto"/>
        <w:right w:val="none" w:sz="0" w:space="0" w:color="auto"/>
      </w:divBdr>
    </w:div>
    <w:div w:id="1864047765">
      <w:bodyDiv w:val="1"/>
      <w:marLeft w:val="0"/>
      <w:marRight w:val="0"/>
      <w:marTop w:val="0"/>
      <w:marBottom w:val="0"/>
      <w:divBdr>
        <w:top w:val="none" w:sz="0" w:space="0" w:color="auto"/>
        <w:left w:val="none" w:sz="0" w:space="0" w:color="auto"/>
        <w:bottom w:val="none" w:sz="0" w:space="0" w:color="auto"/>
        <w:right w:val="none" w:sz="0" w:space="0" w:color="auto"/>
      </w:divBdr>
    </w:div>
    <w:div w:id="1864246171">
      <w:bodyDiv w:val="1"/>
      <w:marLeft w:val="0"/>
      <w:marRight w:val="0"/>
      <w:marTop w:val="0"/>
      <w:marBottom w:val="0"/>
      <w:divBdr>
        <w:top w:val="none" w:sz="0" w:space="0" w:color="auto"/>
        <w:left w:val="none" w:sz="0" w:space="0" w:color="auto"/>
        <w:bottom w:val="none" w:sz="0" w:space="0" w:color="auto"/>
        <w:right w:val="none" w:sz="0" w:space="0" w:color="auto"/>
      </w:divBdr>
    </w:div>
    <w:div w:id="1864779136">
      <w:bodyDiv w:val="1"/>
      <w:marLeft w:val="0"/>
      <w:marRight w:val="0"/>
      <w:marTop w:val="0"/>
      <w:marBottom w:val="0"/>
      <w:divBdr>
        <w:top w:val="none" w:sz="0" w:space="0" w:color="auto"/>
        <w:left w:val="none" w:sz="0" w:space="0" w:color="auto"/>
        <w:bottom w:val="none" w:sz="0" w:space="0" w:color="auto"/>
        <w:right w:val="none" w:sz="0" w:space="0" w:color="auto"/>
      </w:divBdr>
    </w:div>
    <w:div w:id="1882134085">
      <w:bodyDiv w:val="1"/>
      <w:marLeft w:val="0"/>
      <w:marRight w:val="0"/>
      <w:marTop w:val="0"/>
      <w:marBottom w:val="0"/>
      <w:divBdr>
        <w:top w:val="none" w:sz="0" w:space="0" w:color="auto"/>
        <w:left w:val="none" w:sz="0" w:space="0" w:color="auto"/>
        <w:bottom w:val="none" w:sz="0" w:space="0" w:color="auto"/>
        <w:right w:val="none" w:sz="0" w:space="0" w:color="auto"/>
      </w:divBdr>
    </w:div>
    <w:div w:id="1886333868">
      <w:bodyDiv w:val="1"/>
      <w:marLeft w:val="0"/>
      <w:marRight w:val="0"/>
      <w:marTop w:val="0"/>
      <w:marBottom w:val="0"/>
      <w:divBdr>
        <w:top w:val="none" w:sz="0" w:space="0" w:color="auto"/>
        <w:left w:val="none" w:sz="0" w:space="0" w:color="auto"/>
        <w:bottom w:val="none" w:sz="0" w:space="0" w:color="auto"/>
        <w:right w:val="none" w:sz="0" w:space="0" w:color="auto"/>
      </w:divBdr>
    </w:div>
    <w:div w:id="1910069142">
      <w:bodyDiv w:val="1"/>
      <w:marLeft w:val="0"/>
      <w:marRight w:val="0"/>
      <w:marTop w:val="0"/>
      <w:marBottom w:val="0"/>
      <w:divBdr>
        <w:top w:val="none" w:sz="0" w:space="0" w:color="auto"/>
        <w:left w:val="none" w:sz="0" w:space="0" w:color="auto"/>
        <w:bottom w:val="none" w:sz="0" w:space="0" w:color="auto"/>
        <w:right w:val="none" w:sz="0" w:space="0" w:color="auto"/>
      </w:divBdr>
    </w:div>
    <w:div w:id="1916167217">
      <w:bodyDiv w:val="1"/>
      <w:marLeft w:val="0"/>
      <w:marRight w:val="0"/>
      <w:marTop w:val="0"/>
      <w:marBottom w:val="0"/>
      <w:divBdr>
        <w:top w:val="none" w:sz="0" w:space="0" w:color="auto"/>
        <w:left w:val="none" w:sz="0" w:space="0" w:color="auto"/>
        <w:bottom w:val="none" w:sz="0" w:space="0" w:color="auto"/>
        <w:right w:val="none" w:sz="0" w:space="0" w:color="auto"/>
      </w:divBdr>
    </w:div>
    <w:div w:id="1936210047">
      <w:bodyDiv w:val="1"/>
      <w:marLeft w:val="0"/>
      <w:marRight w:val="0"/>
      <w:marTop w:val="0"/>
      <w:marBottom w:val="0"/>
      <w:divBdr>
        <w:top w:val="none" w:sz="0" w:space="0" w:color="auto"/>
        <w:left w:val="none" w:sz="0" w:space="0" w:color="auto"/>
        <w:bottom w:val="none" w:sz="0" w:space="0" w:color="auto"/>
        <w:right w:val="none" w:sz="0" w:space="0" w:color="auto"/>
      </w:divBdr>
    </w:div>
    <w:div w:id="1960337560">
      <w:bodyDiv w:val="1"/>
      <w:marLeft w:val="0"/>
      <w:marRight w:val="0"/>
      <w:marTop w:val="0"/>
      <w:marBottom w:val="0"/>
      <w:divBdr>
        <w:top w:val="none" w:sz="0" w:space="0" w:color="auto"/>
        <w:left w:val="none" w:sz="0" w:space="0" w:color="auto"/>
        <w:bottom w:val="none" w:sz="0" w:space="0" w:color="auto"/>
        <w:right w:val="none" w:sz="0" w:space="0" w:color="auto"/>
      </w:divBdr>
      <w:divsChild>
        <w:div w:id="1468015101">
          <w:marLeft w:val="0"/>
          <w:marRight w:val="0"/>
          <w:marTop w:val="0"/>
          <w:marBottom w:val="0"/>
          <w:divBdr>
            <w:top w:val="none" w:sz="0" w:space="0" w:color="auto"/>
            <w:left w:val="none" w:sz="0" w:space="0" w:color="auto"/>
            <w:bottom w:val="none" w:sz="0" w:space="0" w:color="auto"/>
            <w:right w:val="none" w:sz="0" w:space="0" w:color="auto"/>
          </w:divBdr>
          <w:divsChild>
            <w:div w:id="1685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1058">
      <w:bodyDiv w:val="1"/>
      <w:marLeft w:val="0"/>
      <w:marRight w:val="0"/>
      <w:marTop w:val="0"/>
      <w:marBottom w:val="0"/>
      <w:divBdr>
        <w:top w:val="none" w:sz="0" w:space="0" w:color="auto"/>
        <w:left w:val="none" w:sz="0" w:space="0" w:color="auto"/>
        <w:bottom w:val="none" w:sz="0" w:space="0" w:color="auto"/>
        <w:right w:val="none" w:sz="0" w:space="0" w:color="auto"/>
      </w:divBdr>
    </w:div>
    <w:div w:id="1988850151">
      <w:bodyDiv w:val="1"/>
      <w:marLeft w:val="0"/>
      <w:marRight w:val="0"/>
      <w:marTop w:val="0"/>
      <w:marBottom w:val="0"/>
      <w:divBdr>
        <w:top w:val="none" w:sz="0" w:space="0" w:color="auto"/>
        <w:left w:val="none" w:sz="0" w:space="0" w:color="auto"/>
        <w:bottom w:val="none" w:sz="0" w:space="0" w:color="auto"/>
        <w:right w:val="none" w:sz="0" w:space="0" w:color="auto"/>
      </w:divBdr>
    </w:div>
    <w:div w:id="2012026876">
      <w:bodyDiv w:val="1"/>
      <w:marLeft w:val="0"/>
      <w:marRight w:val="0"/>
      <w:marTop w:val="0"/>
      <w:marBottom w:val="0"/>
      <w:divBdr>
        <w:top w:val="none" w:sz="0" w:space="0" w:color="auto"/>
        <w:left w:val="none" w:sz="0" w:space="0" w:color="auto"/>
        <w:bottom w:val="none" w:sz="0" w:space="0" w:color="auto"/>
        <w:right w:val="none" w:sz="0" w:space="0" w:color="auto"/>
      </w:divBdr>
    </w:div>
    <w:div w:id="2014722079">
      <w:bodyDiv w:val="1"/>
      <w:marLeft w:val="0"/>
      <w:marRight w:val="0"/>
      <w:marTop w:val="0"/>
      <w:marBottom w:val="0"/>
      <w:divBdr>
        <w:top w:val="none" w:sz="0" w:space="0" w:color="auto"/>
        <w:left w:val="none" w:sz="0" w:space="0" w:color="auto"/>
        <w:bottom w:val="none" w:sz="0" w:space="0" w:color="auto"/>
        <w:right w:val="none" w:sz="0" w:space="0" w:color="auto"/>
      </w:divBdr>
    </w:div>
    <w:div w:id="2015641215">
      <w:bodyDiv w:val="1"/>
      <w:marLeft w:val="0"/>
      <w:marRight w:val="0"/>
      <w:marTop w:val="0"/>
      <w:marBottom w:val="0"/>
      <w:divBdr>
        <w:top w:val="none" w:sz="0" w:space="0" w:color="auto"/>
        <w:left w:val="none" w:sz="0" w:space="0" w:color="auto"/>
        <w:bottom w:val="none" w:sz="0" w:space="0" w:color="auto"/>
        <w:right w:val="none" w:sz="0" w:space="0" w:color="auto"/>
      </w:divBdr>
    </w:div>
    <w:div w:id="2019382295">
      <w:bodyDiv w:val="1"/>
      <w:marLeft w:val="0"/>
      <w:marRight w:val="0"/>
      <w:marTop w:val="0"/>
      <w:marBottom w:val="0"/>
      <w:divBdr>
        <w:top w:val="none" w:sz="0" w:space="0" w:color="auto"/>
        <w:left w:val="none" w:sz="0" w:space="0" w:color="auto"/>
        <w:bottom w:val="none" w:sz="0" w:space="0" w:color="auto"/>
        <w:right w:val="none" w:sz="0" w:space="0" w:color="auto"/>
      </w:divBdr>
    </w:div>
    <w:div w:id="2039621176">
      <w:bodyDiv w:val="1"/>
      <w:marLeft w:val="0"/>
      <w:marRight w:val="0"/>
      <w:marTop w:val="0"/>
      <w:marBottom w:val="0"/>
      <w:divBdr>
        <w:top w:val="none" w:sz="0" w:space="0" w:color="auto"/>
        <w:left w:val="none" w:sz="0" w:space="0" w:color="auto"/>
        <w:bottom w:val="none" w:sz="0" w:space="0" w:color="auto"/>
        <w:right w:val="none" w:sz="0" w:space="0" w:color="auto"/>
      </w:divBdr>
    </w:div>
    <w:div w:id="2046446027">
      <w:bodyDiv w:val="1"/>
      <w:marLeft w:val="0"/>
      <w:marRight w:val="0"/>
      <w:marTop w:val="0"/>
      <w:marBottom w:val="0"/>
      <w:divBdr>
        <w:top w:val="none" w:sz="0" w:space="0" w:color="auto"/>
        <w:left w:val="none" w:sz="0" w:space="0" w:color="auto"/>
        <w:bottom w:val="none" w:sz="0" w:space="0" w:color="auto"/>
        <w:right w:val="none" w:sz="0" w:space="0" w:color="auto"/>
      </w:divBdr>
    </w:div>
    <w:div w:id="2062092456">
      <w:bodyDiv w:val="1"/>
      <w:marLeft w:val="0"/>
      <w:marRight w:val="0"/>
      <w:marTop w:val="0"/>
      <w:marBottom w:val="0"/>
      <w:divBdr>
        <w:top w:val="none" w:sz="0" w:space="0" w:color="auto"/>
        <w:left w:val="none" w:sz="0" w:space="0" w:color="auto"/>
        <w:bottom w:val="none" w:sz="0" w:space="0" w:color="auto"/>
        <w:right w:val="none" w:sz="0" w:space="0" w:color="auto"/>
      </w:divBdr>
    </w:div>
    <w:div w:id="2069842250">
      <w:bodyDiv w:val="1"/>
      <w:marLeft w:val="0"/>
      <w:marRight w:val="0"/>
      <w:marTop w:val="0"/>
      <w:marBottom w:val="0"/>
      <w:divBdr>
        <w:top w:val="none" w:sz="0" w:space="0" w:color="auto"/>
        <w:left w:val="none" w:sz="0" w:space="0" w:color="auto"/>
        <w:bottom w:val="none" w:sz="0" w:space="0" w:color="auto"/>
        <w:right w:val="none" w:sz="0" w:space="0" w:color="auto"/>
      </w:divBdr>
    </w:div>
    <w:div w:id="2096048949">
      <w:bodyDiv w:val="1"/>
      <w:marLeft w:val="0"/>
      <w:marRight w:val="0"/>
      <w:marTop w:val="0"/>
      <w:marBottom w:val="0"/>
      <w:divBdr>
        <w:top w:val="none" w:sz="0" w:space="0" w:color="auto"/>
        <w:left w:val="none" w:sz="0" w:space="0" w:color="auto"/>
        <w:bottom w:val="none" w:sz="0" w:space="0" w:color="auto"/>
        <w:right w:val="none" w:sz="0" w:space="0" w:color="auto"/>
      </w:divBdr>
    </w:div>
    <w:div w:id="2111048907">
      <w:bodyDiv w:val="1"/>
      <w:marLeft w:val="0"/>
      <w:marRight w:val="0"/>
      <w:marTop w:val="0"/>
      <w:marBottom w:val="0"/>
      <w:divBdr>
        <w:top w:val="none" w:sz="0" w:space="0" w:color="auto"/>
        <w:left w:val="none" w:sz="0" w:space="0" w:color="auto"/>
        <w:bottom w:val="none" w:sz="0" w:space="0" w:color="auto"/>
        <w:right w:val="none" w:sz="0" w:space="0" w:color="auto"/>
      </w:divBdr>
    </w:div>
    <w:div w:id="2139685265">
      <w:bodyDiv w:val="1"/>
      <w:marLeft w:val="0"/>
      <w:marRight w:val="0"/>
      <w:marTop w:val="0"/>
      <w:marBottom w:val="0"/>
      <w:divBdr>
        <w:top w:val="none" w:sz="0" w:space="0" w:color="auto"/>
        <w:left w:val="none" w:sz="0" w:space="0" w:color="auto"/>
        <w:bottom w:val="none" w:sz="0" w:space="0" w:color="auto"/>
        <w:right w:val="none" w:sz="0" w:space="0" w:color="auto"/>
      </w:divBdr>
    </w:div>
    <w:div w:id="214114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futuregridaccelerator.com/glossary/real-power-active-power/" TargetMode="External"/><Relationship Id="rId47" Type="http://schemas.openxmlformats.org/officeDocument/2006/relationships/hyperlink" Target="https://futuregridaccelerator.com/glossary/transmission-network/" TargetMode="External"/><Relationship Id="rId50" Type="http://schemas.openxmlformats.org/officeDocument/2006/relationships/hyperlink" Target="https://futuregridaccelerator.com/glossary/demand/" TargetMode="External"/><Relationship Id="rId55" Type="http://schemas.openxmlformats.org/officeDocument/2006/relationships/hyperlink" Target="https://futuregridaccelerator.com/glossary/load-shifting/" TargetMode="External"/><Relationship Id="rId63"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https://futuregridaccelerator.com/glossary/emergence/" TargetMode="External"/><Relationship Id="rId45" Type="http://schemas.openxmlformats.org/officeDocument/2006/relationships/hyperlink" Target="https://futuregridaccelerator.com/glossary/reserves/" TargetMode="External"/><Relationship Id="rId53" Type="http://schemas.openxmlformats.org/officeDocument/2006/relationships/hyperlink" Target="https://futuregridaccelerator.com/glossary/demand-management/" TargetMode="External"/><Relationship Id="rId58" Type="http://schemas.openxmlformats.org/officeDocument/2006/relationships/hyperlink" Target="https://futuregridaccelerator.com/glossary/system-2/" TargetMode="External"/><Relationship Id="rId5" Type="http://schemas.openxmlformats.org/officeDocument/2006/relationships/numbering" Target="numbering.xml"/><Relationship Id="rId61" Type="http://schemas.openxmlformats.org/officeDocument/2006/relationships/hyperlink" Target="https://futuregridaccelerator.com/glossary/complexity/" TargetMode="External"/><Relationship Id="rId19" Type="http://schemas.openxmlformats.org/officeDocument/2006/relationships/hyperlink" Target="http://www.energycatalyst.au/futuregrid" TargetMode="External"/><Relationship Id="rId14" Type="http://schemas.openxmlformats.org/officeDocument/2006/relationships/image" Target="media/image3.png"/><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futuregridaccelerator.com/glossary/energy/" TargetMode="External"/><Relationship Id="rId48" Type="http://schemas.openxmlformats.org/officeDocument/2006/relationships/hyperlink" Target="https://futuregridaccelerator.com/glossary/customers/" TargetMode="External"/><Relationship Id="rId56" Type="http://schemas.openxmlformats.org/officeDocument/2006/relationships/hyperlink" Target="https://futuregridaccelerator.com/glossary/controllable-load/"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futuregridaccelerator.com/glossary/feeder/" TargetMode="External"/><Relationship Id="rId3" Type="http://schemas.openxmlformats.org/officeDocument/2006/relationships/customXml" Target="../customXml/item3.xml"/><Relationship Id="rId12" Type="http://schemas.openxmlformats.org/officeDocument/2006/relationships/hyperlink" Target="https://energycatalyst.au/" TargetMode="External"/><Relationship Id="rId17" Type="http://schemas.openxmlformats.org/officeDocument/2006/relationships/image" Target="media/image5.png"/><Relationship Id="rId25" Type="http://schemas.openxmlformats.org/officeDocument/2006/relationships/image" Target="media/image12.svg"/><Relationship Id="rId33" Type="http://schemas.openxmlformats.org/officeDocument/2006/relationships/image" Target="media/image20.png"/><Relationship Id="rId38" Type="http://schemas.openxmlformats.org/officeDocument/2006/relationships/hyperlink" Target="https://futuregridaccelerator.com/glossary/system-2/" TargetMode="External"/><Relationship Id="rId46" Type="http://schemas.openxmlformats.org/officeDocument/2006/relationships/hyperlink" Target="https://futuregridaccelerator.com/glossary/bulk-power-system/" TargetMode="External"/><Relationship Id="rId59" Type="http://schemas.openxmlformats.org/officeDocument/2006/relationships/hyperlink" Target="https://futuregridaccelerator.com/glossary/structure/" TargetMode="External"/><Relationship Id="rId20" Type="http://schemas.openxmlformats.org/officeDocument/2006/relationships/image" Target="media/image7.png"/><Relationship Id="rId41" Type="http://schemas.openxmlformats.org/officeDocument/2006/relationships/hyperlink" Target="https://gridarchitecture.pnnl.gov/media/advanced/Comparative%20Architecture%20Analysis-Final.pdf" TargetMode="External"/><Relationship Id="rId54" Type="http://schemas.openxmlformats.org/officeDocument/2006/relationships/hyperlink" Target="https://futuregridaccelerator.com/glossary/demand-response/" TargetMode="External"/><Relationship Id="rId62" Type="http://schemas.openxmlformats.org/officeDocument/2006/relationships/hyperlink" Target="https://futuregridaccelerator.com/glossary/emerge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png"/><Relationship Id="rId49" Type="http://schemas.openxmlformats.org/officeDocument/2006/relationships/hyperlink" Target="https://futuregridaccelerator.com/glossary/operational-coordination/" TargetMode="External"/><Relationship Id="rId57" Type="http://schemas.openxmlformats.org/officeDocument/2006/relationships/hyperlink" Target="https://futuregridaccelerator.com/glossary/interruptible-load/"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https://futuregridaccelerator.com/glossary/reactive-power/" TargetMode="External"/><Relationship Id="rId52" Type="http://schemas.openxmlformats.org/officeDocument/2006/relationships/hyperlink" Target="https://futuregridaccelerator.com/glossary/substation/" TargetMode="External"/><Relationship Id="rId60" Type="http://schemas.openxmlformats.org/officeDocument/2006/relationships/hyperlink" Target="https://futuregridaccelerator.com/glossary/system-2/"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futuregridaccelerator.com/glossary/complex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nergy Catalyst">
      <a:dk1>
        <a:srgbClr val="013C4C"/>
      </a:dk1>
      <a:lt1>
        <a:srgbClr val="FAFAFA"/>
      </a:lt1>
      <a:dk2>
        <a:srgbClr val="067296"/>
      </a:dk2>
      <a:lt2>
        <a:srgbClr val="E7E6E6"/>
      </a:lt2>
      <a:accent1>
        <a:srgbClr val="013C4C"/>
      </a:accent1>
      <a:accent2>
        <a:srgbClr val="8DD1E8"/>
      </a:accent2>
      <a:accent3>
        <a:srgbClr val="067296"/>
      </a:accent3>
      <a:accent4>
        <a:srgbClr val="F85C5D"/>
      </a:accent4>
      <a:accent5>
        <a:srgbClr val="2F2F2F"/>
      </a:accent5>
      <a:accent6>
        <a:srgbClr val="FAFAFA"/>
      </a:accent6>
      <a:hlink>
        <a:srgbClr val="F85C5D"/>
      </a:hlink>
      <a:folHlink>
        <a:srgbClr val="8DD1E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Version="2006">
  <b:Source>
    <b:Tag>PDe24</b:Tag>
    <b:SourceType>Book</b:SourceType>
    <b:Guid>{54772FFD-8A8D-4292-8B4B-52558B1FEC25}</b:Guid>
    <b:Author>
      <b:Author>
        <b:NameList>
          <b:Person>
            <b:Last>P. De Martini</b:Last>
            <b:First>S.</b:First>
            <b:Middle>Succar, and P. Cook</b:Middle>
          </b:Person>
        </b:NameList>
      </b:Author>
    </b:Author>
    <b:Title>Sourcing Distributed Energy Resources for Distribution Grid Services</b:Title>
    <b:Year>Dec. 2024</b:Year>
    <b:Publisher> U.S. Department of Energy, Office of Electricity</b:Publisher>
    <b:RefOrder>6</b:RefOrder>
  </b:Source>
  <b:Source>
    <b:Tag>Ene24</b:Tag>
    <b:SourceType>Book</b:SourceType>
    <b:Guid>{D3C5A119-9E0D-42C1-AFC4-E59B53C99DF3}</b:Guid>
    <b:Author>
      <b:Author>
        <b:Corporate>Energy Networks Association</b:Corporate>
      </b:Author>
    </b:Author>
    <b:Title>Primacy Rules for ESO/DNO Coordination – Increment 2</b:Title>
    <b:Year>Oct. 2024</b:Year>
    <b:Publisher>Open Networks Programme, Version 1.0</b:Publisher>
    <b:RefOrder>7</b:RefOrder>
  </b:Source>
  <b:Source>
    <b:Tag>WSP24</b:Tag>
    <b:SourceType>Book</b:SourceType>
    <b:Guid>{FACB577A-01EB-48DB-BFA6-35332705B21D}</b:Guid>
    <b:Author>
      <b:Author>
        <b:Corporate>WSP, Impertial College London Consultants, National Grid</b:Corporate>
      </b:Author>
    </b:Author>
    <b:Title>Dissemination of project findings: Final Dissemination Webinar</b:Title>
    <b:Year>July 2024</b:Year>
    <b:Publisher>Energy System Operator (ESO)</b:Publisher>
    <b:RefOrder>13</b:RefOrder>
  </b:Source>
  <b:Source>
    <b:Tag>MOt24</b:Tag>
    <b:SourceType>Book</b:SourceType>
    <b:Guid>{D69123B9-F287-470E-A3F2-91B8CD6B56C1}</b:Guid>
    <b:Author>
      <b:Author>
        <b:NameList>
          <b:Person>
            <b:Last>M. Otte</b:Last>
            <b:First>J.</b:First>
            <b:Middle>Kamsamrong, and S. Lehnhoff</b:Middle>
          </b:Person>
        </b:NameList>
      </b:Author>
    </b:Author>
    <b:Title>Aggregators in Digitalised Power Systems: How can Aggregators Improve the TSO-DSO-Customer Coordination in Digitalised Power Systems?</b:Title>
    <b:Year>July 2024</b:Year>
    <b:Publisher>ISGAN Working Group 6</b:Publisher>
    <b:URL>Available: https://iea-isgan.org</b:URL>
    <b:RefOrder>3</b:RefOrder>
  </b:Source>
  <b:Source>
    <b:Tag>LTh24</b:Tag>
    <b:SourceType>Book</b:SourceType>
    <b:Guid>{DD16D4C1-8238-418D-8DDE-4654E3A47320}</b:Guid>
    <b:Author>
      <b:Author>
        <b:NameList>
          <b:Person>
            <b:Last>Thompson</b:Last>
            <b:First>L.</b:First>
          </b:Person>
        </b:NameList>
      </b:Author>
    </b:Author>
    <b:Title>Transmission-Distribution Coordination Working Group: IESO-Administered Markets Communication Interfaces</b:Title>
    <b:Year>April 2024</b:Year>
    <b:Publisher>Independent Electricity System Operator, Ontario, Canda</b:Publisher>
    <b:RefOrder>14</b:RefOrder>
  </b:Source>
  <b:Source>
    <b:Tag>JWi25</b:Tag>
    <b:SourceType>Book</b:SourceType>
    <b:Guid>{19D24F71-1324-4F25-A9C9-72057B914F47}</b:Guid>
    <b:Author>
      <b:Author>
        <b:NameList>
          <b:Person>
            <b:Last>Schmitt</b:Last>
            <b:First>J.</b:First>
            <b:Middle>Wilders and L.</b:Middle>
          </b:Person>
        </b:NameList>
      </b:Author>
    </b:Author>
    <b:Title>Future Control Room Architectures for Grid and Market Integrated Operation</b:Title>
    <b:Year>Jan. 2025</b:Year>
    <b:Publisher>Axual and Digital4Grids</b:Publisher>
    <b:RefOrder>15</b:RefOrder>
  </b:Source>
  <b:Source>
    <b:Tag>NOm23</b:Tag>
    <b:SourceType>Book</b:SourceType>
    <b:Guid>{B659C9B7-98AA-4BCD-859C-EC00810A79DA}</b:Guid>
    <b:Author>
      <b:Author>
        <b:NameList>
          <b:Person>
            <b:Last>Golriz</b:Last>
            <b:First>N.</b:First>
            <b:Middle>Omran and A.</b:Middle>
          </b:Person>
        </b:NameList>
      </b:Author>
    </b:Author>
    <b:Title>T-D Coordination to Support Reliable Performance of BPS with DER Integration</b:Title>
    <b:Year>Dec. 2023</b:Year>
    <b:Publisher>Independent Electricity System Operator, Ontorio, Canada</b:Publisher>
    <b:RefOrder>16</b:RefOrder>
  </b:Source>
  <b:Source>
    <b:Tag>BHe22</b:Tag>
    <b:SourceType>Book</b:SourceType>
    <b:Guid>{073C6B32-EF4B-40EB-AF9A-F5CE9B4B579D}</b:Guid>
    <b:Author>
      <b:Author>
        <b:NameList>
          <b:Person>
            <b:Last>B. Herndler</b:Last>
            <b:First>C.Y.</b:First>
            <b:Middle>Evrenosoglu, G. Migliavacca, H. Gerard, I. Vilgan, J.P. Chaves Ávila, K. Kessels, M. Rossi, P. Lo, and S. Wong</b:Middle>
          </b:Person>
        </b:NameList>
      </b:Author>
    </b:Author>
    <b:Title>Power Transmission &amp; Distribution Systems: Flexibility Harvesting and Its Impact on Stakeholder Interaction</b:Title>
    <b:Year>Dec. 2022</b:Year>
    <b:Publisher>ISGAN Working Group 6</b:Publisher>
    <b:RefOrder>4</b:RefOrder>
  </b:Source>
  <b:Source>
    <b:Tag>ASt22</b:Tag>
    <b:SourceType>Book</b:SourceType>
    <b:Guid>{35F505DA-AEBF-4422-9ECB-B7B4DD1A5D2E}</b:Guid>
    <b:Author>
      <b:Author>
        <b:NameList>
          <b:Person>
            <b:Last>A. Stokes</b:Last>
            <b:First>R.</b:First>
            <b:Middle>Das, T. Joseph, A. Aithal, C. Addison, D. Healey, C. Balrey, and E. Horn</b:Middle>
          </b:Person>
        </b:NameList>
      </b:Author>
    </b:Author>
    <b:Title>Flexibility Markets: Development and Implementation - TSO-DSO Coordination: The UK Case</b:Title>
    <b:Year>Mar. 2022</b:Year>
    <b:Publisher>ISGAN Annex 9, nergy Systems Catapult</b:Publisher>
    <b:RefOrder>2</b:RefOrder>
  </b:Source>
  <b:Source>
    <b:Tag>PDe241</b:Tag>
    <b:SourceType>Book</b:SourceType>
    <b:Guid>{529CEA42-4C37-4565-B554-21FCDBFF2178}</b:Guid>
    <b:Author>
      <b:Author>
        <b:NameList>
          <b:Person>
            <b:Last>De Martini</b:Last>
            <b:First>P</b:First>
          </b:Person>
          <b:Person>
            <b:Last>Patel</b:Last>
            <b:First>S.</b:First>
          </b:Person>
          <b:Person>
            <b:Last>Kathan</b:Last>
            <b:First>D.</b:First>
          </b:Person>
        </b:NameList>
      </b:Author>
    </b:Author>
    <b:Title>TSO-DSO-Aggregator Market and Operational Coordination Requirements</b:Title>
    <b:Year>April 2024</b:Year>
    <b:Publisher>U.S. Department of Energy, Office of Electricity</b:Publisher>
    <b:RefOrder>1</b:RefOrder>
  </b:Source>
  <b:Source>
    <b:Tag>Mor19</b:Tag>
    <b:SourceType>Book</b:SourceType>
    <b:Guid>{88AC2F4B-0D97-4CE9-B765-8A21FD43DDB3}</b:Guid>
    <b:Title>Architectures for Optimised Interaction Between TSOs and DSOs: Compliance With The Present Practice, Regulation And Roadmaps</b:Title>
    <b:Year>June, 2019</b:Year>
    <b:Publisher>25th International Conference on Electricity Distribution</b:Publisher>
    <b:Author>
      <b:Author>
        <b:NameList>
          <b:Person>
            <b:Last>Morch</b:Last>
            <b:First>Andrei</b:First>
          </b:Person>
          <b:Person>
            <b:Last>Migliavacca</b:Last>
            <b:First>Ginaluigi</b:First>
          </b:Person>
          <b:Person>
            <b:Last>Kockar</b:Last>
            <b:First>Ivana</b:First>
          </b:Person>
          <b:Person>
            <b:Last>Xu</b:Last>
            <b:First>Han</b:First>
          </b:Person>
          <b:Person>
            <b:Last>Fernnandez Tecnalia</b:Last>
            <b:First>Julia Merino</b:First>
          </b:Person>
          <b:Person>
            <b:Last>Gerard</b:Last>
            <b:First>Helena</b:First>
          </b:Person>
        </b:NameList>
      </b:Author>
    </b:Author>
    <b:RefOrder>5</b:RefOrder>
  </b:Source>
  <b:Source>
    <b:Tag>Gri24</b:Tag>
    <b:SourceType>Book</b:SourceType>
    <b:Guid>{0D770999-ED76-4416-95BE-51D392C05954}</b:Guid>
    <b:Author>
      <b:Author>
        <b:NameList>
          <b:Person>
            <b:Last>Council</b:Last>
            <b:First>GridWise</b:First>
            <b:Middle>Architecture</b:Middle>
          </b:Person>
        </b:NameList>
      </b:Author>
    </b:Author>
    <b:Title>A Practical Introduction to Common Grid Architecture Techniques</b:Title>
    <b:Year>April 2024</b:Year>
    <b:Publisher>GridWise Architecture Council</b:Publisher>
    <b:RefOrder>9</b:RefOrder>
  </b:Source>
  <b:Source>
    <b:Tag>IRE19</b:Tag>
    <b:SourceType>Book</b:SourceType>
    <b:Guid>{FA0E19CA-1919-4F67-ADF1-F8A630CF7E73}</b:Guid>
    <b:Author>
      <b:Author>
        <b:Corporate>IRENA</b:Corporate>
      </b:Author>
    </b:Author>
    <b:Title>Innovation landscape brief: Future role of distribution system operators,</b:Title>
    <b:Year>2019</b:Year>
    <b:City>Abu Dhabi</b:City>
    <b:Publisher>International Renewable Energy Agency</b:Publisher>
    <b:RefOrder>8</b:RefOrder>
  </b:Source>
  <b:Source>
    <b:Tag>Ned</b:Tag>
    <b:SourceType>InternetSite</b:SourceType>
    <b:Guid>{9CE7CF28-4334-464A-9C5E-F3DA1A6C1B00}</b:Guid>
    <b:Title>Common Information Model Ontology Class Library</b:Title>
    <b:Author>
      <b:Author>
        <b:Corporate>Nederlandse Organisatie voor Toegepast Natuurwetenschappelijk Onderzoek (TNO)</b:Corporate>
      </b:Author>
    </b:Author>
    <b:URL>https://ontology.tno.nl/IEC_CIM/</b:URL>
    <b:RefOrder>10</b:RefOrder>
  </b:Source>
  <b:Source>
    <b:Tag>FMa19</b:Tag>
    <b:SourceType>Book</b:SourceType>
    <b:Guid>{03F320BC-E0B8-4DF3-A524-08898FFF3143}</b:Guid>
    <b:Author>
      <b:Author>
        <b:Corporate>F. Marten, I. Hammermeister, J. Ringelstein, B. Requardt, and M. Braun</b:Corporate>
      </b:Author>
    </b:Author>
    <b:Title>CIM CGMES-extensions for the TSO-DSO data exchange in the EU-project ‘TDX-ASSIST’</b:Title>
    <b:Year>2019</b:Year>
    <b:JournalName>ETG-Kongress</b:JournalName>
    <b:City>Kassel, Germany</b:City>
    <b:Publisher>Horizon 2020</b:Publisher>
    <b:RefOrder>11</b:RefOrder>
  </b:Source>
  <b:Source>
    <b:Tag>BRI19</b:Tag>
    <b:SourceType>Book</b:SourceType>
    <b:Guid>{587AE0AD-90C4-45A5-81DD-C1B07C5AC333}</b:Guid>
    <b:Author>
      <b:Author>
        <b:Corporate>BRIDGE Regulation and Data Management WG</b:Corporate>
      </b:Author>
    </b:Author>
    <b:Title>BRIDGE TSO-DSO Coordination Report</b:Title>
    <b:Year>2019</b:Year>
    <b:RefOrder>12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08BAC9EC549B984F8E2AA5A6E13A8D38" ma:contentTypeVersion="16" ma:contentTypeDescription="Create a new document." ma:contentTypeScope="" ma:versionID="b9d851f7663977b0db1ddcc7e8c11ea0">
  <xsd:schema xmlns:xsd="http://www.w3.org/2001/XMLSchema" xmlns:xs="http://www.w3.org/2001/XMLSchema" xmlns:p="http://schemas.microsoft.com/office/2006/metadata/properties" xmlns:ns2="5e2f252f-8900-4f4b-82b1-fdec8db92741" xmlns:ns3="12e25d29-f4a8-4908-9d00-0fd219b6dff9" targetNamespace="http://schemas.microsoft.com/office/2006/metadata/properties" ma:root="true" ma:fieldsID="0d8f24391d016f733c361aeff3659ec1" ns2:_="" ns3:_="">
    <xsd:import namespace="5e2f252f-8900-4f4b-82b1-fdec8db92741"/>
    <xsd:import namespace="12e25d29-f4a8-4908-9d00-0fd219b6df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f252f-8900-4f4b-82b1-fdec8db92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47e0d4-9aef-413a-af31-adf2477f37d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e25d29-f4a8-4908-9d00-0fd219b6df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ee86f34-f257-4106-a22c-996a8c663c00}" ma:internalName="TaxCatchAll" ma:showField="CatchAllData" ma:web="12e25d29-f4a8-4908-9d00-0fd219b6df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2e25d29-f4a8-4908-9d00-0fd219b6dff9" xsi:nil="true"/>
    <lcf76f155ced4ddcb4097134ff3c332f xmlns="5e2f252f-8900-4f4b-82b1-fdec8db927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1E94C5-D0EF-424E-9B2A-54A4C7B28226}">
  <ds:schemaRefs>
    <ds:schemaRef ds:uri="http://schemas.microsoft.com/sharepoint/v3/contenttype/forms"/>
  </ds:schemaRefs>
</ds:datastoreItem>
</file>

<file path=customXml/itemProps2.xml><?xml version="1.0" encoding="utf-8"?>
<ds:datastoreItem xmlns:ds="http://schemas.openxmlformats.org/officeDocument/2006/customXml" ds:itemID="{81B0276A-6A01-4AE5-A815-ED2C1BB954AD}">
  <ds:schemaRefs>
    <ds:schemaRef ds:uri="http://schemas.openxmlformats.org/officeDocument/2006/bibliography"/>
  </ds:schemaRefs>
</ds:datastoreItem>
</file>

<file path=customXml/itemProps3.xml><?xml version="1.0" encoding="utf-8"?>
<ds:datastoreItem xmlns:ds="http://schemas.openxmlformats.org/officeDocument/2006/customXml" ds:itemID="{D897C757-3ED1-4092-989C-8062071D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f252f-8900-4f4b-82b1-fdec8db92741"/>
    <ds:schemaRef ds:uri="12e25d29-f4a8-4908-9d00-0fd219b6d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283D36-6168-4362-BAE1-8FE4F979625D}">
  <ds:schemaRefs>
    <ds:schemaRef ds:uri="http://schemas.microsoft.com/office/2006/metadata/properties"/>
    <ds:schemaRef ds:uri="http://schemas.microsoft.com/office/infopath/2007/PartnerControls"/>
    <ds:schemaRef ds:uri="12e25d29-f4a8-4908-9d00-0fd219b6dff9"/>
    <ds:schemaRef ds:uri="5e2f252f-8900-4f4b-82b1-fdec8db92741"/>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50897</Words>
  <Characters>290119</Characters>
  <Application>Microsoft Office Word</Application>
  <DocSecurity>0</DocSecurity>
  <Lines>2417</Lines>
  <Paragraphs>680</Paragraphs>
  <ScaleCrop>false</ScaleCrop>
  <Company/>
  <LinksUpToDate>false</LinksUpToDate>
  <CharactersWithSpaces>340336</CharactersWithSpaces>
  <SharedDoc>false</SharedDoc>
  <HLinks>
    <vt:vector size="1020" baseType="variant">
      <vt:variant>
        <vt:i4>655365</vt:i4>
      </vt:variant>
      <vt:variant>
        <vt:i4>882</vt:i4>
      </vt:variant>
      <vt:variant>
        <vt:i4>0</vt:i4>
      </vt:variant>
      <vt:variant>
        <vt:i4>5</vt:i4>
      </vt:variant>
      <vt:variant>
        <vt:lpwstr>https://futuregridaccelerator.com/glossary/emergence/</vt:lpwstr>
      </vt:variant>
      <vt:variant>
        <vt:lpwstr/>
      </vt:variant>
      <vt:variant>
        <vt:i4>2556022</vt:i4>
      </vt:variant>
      <vt:variant>
        <vt:i4>879</vt:i4>
      </vt:variant>
      <vt:variant>
        <vt:i4>0</vt:i4>
      </vt:variant>
      <vt:variant>
        <vt:i4>5</vt:i4>
      </vt:variant>
      <vt:variant>
        <vt:lpwstr>https://futuregridaccelerator.com/glossary/complexity/</vt:lpwstr>
      </vt:variant>
      <vt:variant>
        <vt:lpwstr/>
      </vt:variant>
      <vt:variant>
        <vt:i4>65614</vt:i4>
      </vt:variant>
      <vt:variant>
        <vt:i4>876</vt:i4>
      </vt:variant>
      <vt:variant>
        <vt:i4>0</vt:i4>
      </vt:variant>
      <vt:variant>
        <vt:i4>5</vt:i4>
      </vt:variant>
      <vt:variant>
        <vt:lpwstr>https://futuregridaccelerator.com/glossary/system-2/</vt:lpwstr>
      </vt:variant>
      <vt:variant>
        <vt:lpwstr/>
      </vt:variant>
      <vt:variant>
        <vt:i4>1310747</vt:i4>
      </vt:variant>
      <vt:variant>
        <vt:i4>873</vt:i4>
      </vt:variant>
      <vt:variant>
        <vt:i4>0</vt:i4>
      </vt:variant>
      <vt:variant>
        <vt:i4>5</vt:i4>
      </vt:variant>
      <vt:variant>
        <vt:lpwstr>https://futuregridaccelerator.com/glossary/structure/</vt:lpwstr>
      </vt:variant>
      <vt:variant>
        <vt:lpwstr/>
      </vt:variant>
      <vt:variant>
        <vt:i4>65614</vt:i4>
      </vt:variant>
      <vt:variant>
        <vt:i4>870</vt:i4>
      </vt:variant>
      <vt:variant>
        <vt:i4>0</vt:i4>
      </vt:variant>
      <vt:variant>
        <vt:i4>5</vt:i4>
      </vt:variant>
      <vt:variant>
        <vt:lpwstr>https://futuregridaccelerator.com/glossary/system-2/</vt:lpwstr>
      </vt:variant>
      <vt:variant>
        <vt:lpwstr/>
      </vt:variant>
      <vt:variant>
        <vt:i4>2949174</vt:i4>
      </vt:variant>
      <vt:variant>
        <vt:i4>867</vt:i4>
      </vt:variant>
      <vt:variant>
        <vt:i4>0</vt:i4>
      </vt:variant>
      <vt:variant>
        <vt:i4>5</vt:i4>
      </vt:variant>
      <vt:variant>
        <vt:lpwstr>https://futuregridaccelerator.com/glossary/interruptible-load/</vt:lpwstr>
      </vt:variant>
      <vt:variant>
        <vt:lpwstr/>
      </vt:variant>
      <vt:variant>
        <vt:i4>6160398</vt:i4>
      </vt:variant>
      <vt:variant>
        <vt:i4>864</vt:i4>
      </vt:variant>
      <vt:variant>
        <vt:i4>0</vt:i4>
      </vt:variant>
      <vt:variant>
        <vt:i4>5</vt:i4>
      </vt:variant>
      <vt:variant>
        <vt:lpwstr>https://futuregridaccelerator.com/glossary/controllable-load/</vt:lpwstr>
      </vt:variant>
      <vt:variant>
        <vt:lpwstr/>
      </vt:variant>
      <vt:variant>
        <vt:i4>4587543</vt:i4>
      </vt:variant>
      <vt:variant>
        <vt:i4>861</vt:i4>
      </vt:variant>
      <vt:variant>
        <vt:i4>0</vt:i4>
      </vt:variant>
      <vt:variant>
        <vt:i4>5</vt:i4>
      </vt:variant>
      <vt:variant>
        <vt:lpwstr>https://futuregridaccelerator.com/glossary/load-shifting/</vt:lpwstr>
      </vt:variant>
      <vt:variant>
        <vt:lpwstr/>
      </vt:variant>
      <vt:variant>
        <vt:i4>3276897</vt:i4>
      </vt:variant>
      <vt:variant>
        <vt:i4>858</vt:i4>
      </vt:variant>
      <vt:variant>
        <vt:i4>0</vt:i4>
      </vt:variant>
      <vt:variant>
        <vt:i4>5</vt:i4>
      </vt:variant>
      <vt:variant>
        <vt:lpwstr>https://futuregridaccelerator.com/glossary/demand-response/</vt:lpwstr>
      </vt:variant>
      <vt:variant>
        <vt:lpwstr/>
      </vt:variant>
      <vt:variant>
        <vt:i4>5767195</vt:i4>
      </vt:variant>
      <vt:variant>
        <vt:i4>855</vt:i4>
      </vt:variant>
      <vt:variant>
        <vt:i4>0</vt:i4>
      </vt:variant>
      <vt:variant>
        <vt:i4>5</vt:i4>
      </vt:variant>
      <vt:variant>
        <vt:lpwstr>https://futuregridaccelerator.com/glossary/demand-management/</vt:lpwstr>
      </vt:variant>
      <vt:variant>
        <vt:lpwstr/>
      </vt:variant>
      <vt:variant>
        <vt:i4>3604604</vt:i4>
      </vt:variant>
      <vt:variant>
        <vt:i4>852</vt:i4>
      </vt:variant>
      <vt:variant>
        <vt:i4>0</vt:i4>
      </vt:variant>
      <vt:variant>
        <vt:i4>5</vt:i4>
      </vt:variant>
      <vt:variant>
        <vt:lpwstr>https://futuregridaccelerator.com/glossary/substation/</vt:lpwstr>
      </vt:variant>
      <vt:variant>
        <vt:lpwstr/>
      </vt:variant>
      <vt:variant>
        <vt:i4>3080303</vt:i4>
      </vt:variant>
      <vt:variant>
        <vt:i4>849</vt:i4>
      </vt:variant>
      <vt:variant>
        <vt:i4>0</vt:i4>
      </vt:variant>
      <vt:variant>
        <vt:i4>5</vt:i4>
      </vt:variant>
      <vt:variant>
        <vt:lpwstr>https://futuregridaccelerator.com/glossary/feeder/</vt:lpwstr>
      </vt:variant>
      <vt:variant>
        <vt:lpwstr/>
      </vt:variant>
      <vt:variant>
        <vt:i4>3014780</vt:i4>
      </vt:variant>
      <vt:variant>
        <vt:i4>846</vt:i4>
      </vt:variant>
      <vt:variant>
        <vt:i4>0</vt:i4>
      </vt:variant>
      <vt:variant>
        <vt:i4>5</vt:i4>
      </vt:variant>
      <vt:variant>
        <vt:lpwstr>https://futuregridaccelerator.com/glossary/demand/</vt:lpwstr>
      </vt:variant>
      <vt:variant>
        <vt:lpwstr/>
      </vt:variant>
      <vt:variant>
        <vt:i4>5505115</vt:i4>
      </vt:variant>
      <vt:variant>
        <vt:i4>843</vt:i4>
      </vt:variant>
      <vt:variant>
        <vt:i4>0</vt:i4>
      </vt:variant>
      <vt:variant>
        <vt:i4>5</vt:i4>
      </vt:variant>
      <vt:variant>
        <vt:lpwstr>https://futuregridaccelerator.com/glossary/operational-coordination/</vt:lpwstr>
      </vt:variant>
      <vt:variant>
        <vt:lpwstr/>
      </vt:variant>
      <vt:variant>
        <vt:i4>983042</vt:i4>
      </vt:variant>
      <vt:variant>
        <vt:i4>840</vt:i4>
      </vt:variant>
      <vt:variant>
        <vt:i4>0</vt:i4>
      </vt:variant>
      <vt:variant>
        <vt:i4>5</vt:i4>
      </vt:variant>
      <vt:variant>
        <vt:lpwstr>https://futuregridaccelerator.com/glossary/customers/</vt:lpwstr>
      </vt:variant>
      <vt:variant>
        <vt:lpwstr/>
      </vt:variant>
      <vt:variant>
        <vt:i4>1507335</vt:i4>
      </vt:variant>
      <vt:variant>
        <vt:i4>837</vt:i4>
      </vt:variant>
      <vt:variant>
        <vt:i4>0</vt:i4>
      </vt:variant>
      <vt:variant>
        <vt:i4>5</vt:i4>
      </vt:variant>
      <vt:variant>
        <vt:lpwstr>https://futuregridaccelerator.com/glossary/transmission-network/</vt:lpwstr>
      </vt:variant>
      <vt:variant>
        <vt:lpwstr/>
      </vt:variant>
      <vt:variant>
        <vt:i4>131090</vt:i4>
      </vt:variant>
      <vt:variant>
        <vt:i4>834</vt:i4>
      </vt:variant>
      <vt:variant>
        <vt:i4>0</vt:i4>
      </vt:variant>
      <vt:variant>
        <vt:i4>5</vt:i4>
      </vt:variant>
      <vt:variant>
        <vt:lpwstr>https://futuregridaccelerator.com/glossary/bulk-power-system/</vt:lpwstr>
      </vt:variant>
      <vt:variant>
        <vt:lpwstr/>
      </vt:variant>
      <vt:variant>
        <vt:i4>6225945</vt:i4>
      </vt:variant>
      <vt:variant>
        <vt:i4>831</vt:i4>
      </vt:variant>
      <vt:variant>
        <vt:i4>0</vt:i4>
      </vt:variant>
      <vt:variant>
        <vt:i4>5</vt:i4>
      </vt:variant>
      <vt:variant>
        <vt:lpwstr>https://futuregridaccelerator.com/glossary/reserves/</vt:lpwstr>
      </vt:variant>
      <vt:variant>
        <vt:lpwstr/>
      </vt:variant>
      <vt:variant>
        <vt:i4>8323171</vt:i4>
      </vt:variant>
      <vt:variant>
        <vt:i4>828</vt:i4>
      </vt:variant>
      <vt:variant>
        <vt:i4>0</vt:i4>
      </vt:variant>
      <vt:variant>
        <vt:i4>5</vt:i4>
      </vt:variant>
      <vt:variant>
        <vt:lpwstr>https://futuregridaccelerator.com/glossary/reactive-power/</vt:lpwstr>
      </vt:variant>
      <vt:variant>
        <vt:lpwstr/>
      </vt:variant>
      <vt:variant>
        <vt:i4>3014777</vt:i4>
      </vt:variant>
      <vt:variant>
        <vt:i4>825</vt:i4>
      </vt:variant>
      <vt:variant>
        <vt:i4>0</vt:i4>
      </vt:variant>
      <vt:variant>
        <vt:i4>5</vt:i4>
      </vt:variant>
      <vt:variant>
        <vt:lpwstr>https://futuregridaccelerator.com/glossary/energy/</vt:lpwstr>
      </vt:variant>
      <vt:variant>
        <vt:lpwstr/>
      </vt:variant>
      <vt:variant>
        <vt:i4>6619172</vt:i4>
      </vt:variant>
      <vt:variant>
        <vt:i4>822</vt:i4>
      </vt:variant>
      <vt:variant>
        <vt:i4>0</vt:i4>
      </vt:variant>
      <vt:variant>
        <vt:i4>5</vt:i4>
      </vt:variant>
      <vt:variant>
        <vt:lpwstr>https://futuregridaccelerator.com/glossary/real-power-active-power/</vt:lpwstr>
      </vt:variant>
      <vt:variant>
        <vt:lpwstr/>
      </vt:variant>
      <vt:variant>
        <vt:i4>1114125</vt:i4>
      </vt:variant>
      <vt:variant>
        <vt:i4>819</vt:i4>
      </vt:variant>
      <vt:variant>
        <vt:i4>0</vt:i4>
      </vt:variant>
      <vt:variant>
        <vt:i4>5</vt:i4>
      </vt:variant>
      <vt:variant>
        <vt:lpwstr>https://gridarchitecture.pnnl.gov/media/advanced/Comparative Architecture Analysis-Final.pdf</vt:lpwstr>
      </vt:variant>
      <vt:variant>
        <vt:lpwstr/>
      </vt:variant>
      <vt:variant>
        <vt:i4>655365</vt:i4>
      </vt:variant>
      <vt:variant>
        <vt:i4>816</vt:i4>
      </vt:variant>
      <vt:variant>
        <vt:i4>0</vt:i4>
      </vt:variant>
      <vt:variant>
        <vt:i4>5</vt:i4>
      </vt:variant>
      <vt:variant>
        <vt:lpwstr>https://futuregridaccelerator.com/glossary/emergence/</vt:lpwstr>
      </vt:variant>
      <vt:variant>
        <vt:lpwstr/>
      </vt:variant>
      <vt:variant>
        <vt:i4>2556022</vt:i4>
      </vt:variant>
      <vt:variant>
        <vt:i4>813</vt:i4>
      </vt:variant>
      <vt:variant>
        <vt:i4>0</vt:i4>
      </vt:variant>
      <vt:variant>
        <vt:i4>5</vt:i4>
      </vt:variant>
      <vt:variant>
        <vt:lpwstr>https://futuregridaccelerator.com/glossary/complexity/</vt:lpwstr>
      </vt:variant>
      <vt:variant>
        <vt:lpwstr/>
      </vt:variant>
      <vt:variant>
        <vt:i4>65614</vt:i4>
      </vt:variant>
      <vt:variant>
        <vt:i4>810</vt:i4>
      </vt:variant>
      <vt:variant>
        <vt:i4>0</vt:i4>
      </vt:variant>
      <vt:variant>
        <vt:i4>5</vt:i4>
      </vt:variant>
      <vt:variant>
        <vt:lpwstr>https://futuregridaccelerator.com/glossary/system-2/</vt:lpwstr>
      </vt:variant>
      <vt:variant>
        <vt:lpwstr/>
      </vt:variant>
      <vt:variant>
        <vt:i4>6946881</vt:i4>
      </vt:variant>
      <vt:variant>
        <vt:i4>804</vt:i4>
      </vt:variant>
      <vt:variant>
        <vt:i4>0</vt:i4>
      </vt:variant>
      <vt:variant>
        <vt:i4>5</vt:i4>
      </vt:variant>
      <vt:variant>
        <vt:lpwstr/>
      </vt:variant>
      <vt:variant>
        <vt:lpwstr>R_35</vt:lpwstr>
      </vt:variant>
      <vt:variant>
        <vt:i4>5374076</vt:i4>
      </vt:variant>
      <vt:variant>
        <vt:i4>798</vt:i4>
      </vt:variant>
      <vt:variant>
        <vt:i4>0</vt:i4>
      </vt:variant>
      <vt:variant>
        <vt:i4>5</vt:i4>
      </vt:variant>
      <vt:variant>
        <vt:lpwstr>https://substackcdn.com/image/fetch/$s_!Gi5N!,f_auto,q_auto:good,fl_progressive:steep/https%3A%2F%2Fsubstack-post-media.s3.amazonaws.com%2Fpublic%2Fimages%2Fdd2b12ca-bb93-41d2-ba96-43db3e8ebed2_1023x672.jpeg</vt:lpwstr>
      </vt:variant>
      <vt:variant>
        <vt:lpwstr/>
      </vt:variant>
      <vt:variant>
        <vt:i4>7012417</vt:i4>
      </vt:variant>
      <vt:variant>
        <vt:i4>795</vt:i4>
      </vt:variant>
      <vt:variant>
        <vt:i4>0</vt:i4>
      </vt:variant>
      <vt:variant>
        <vt:i4>5</vt:i4>
      </vt:variant>
      <vt:variant>
        <vt:lpwstr/>
      </vt:variant>
      <vt:variant>
        <vt:lpwstr>R_34</vt:lpwstr>
      </vt:variant>
      <vt:variant>
        <vt:i4>589863</vt:i4>
      </vt:variant>
      <vt:variant>
        <vt:i4>792</vt:i4>
      </vt:variant>
      <vt:variant>
        <vt:i4>0</vt:i4>
      </vt:variant>
      <vt:variant>
        <vt:i4>5</vt:i4>
      </vt:variant>
      <vt:variant>
        <vt:lpwstr/>
      </vt:variant>
      <vt:variant>
        <vt:lpwstr>Ref_33</vt:lpwstr>
      </vt:variant>
      <vt:variant>
        <vt:i4>3801108</vt:i4>
      </vt:variant>
      <vt:variant>
        <vt:i4>786</vt:i4>
      </vt:variant>
      <vt:variant>
        <vt:i4>0</vt:i4>
      </vt:variant>
      <vt:variant>
        <vt:i4>5</vt:i4>
      </vt:variant>
      <vt:variant>
        <vt:lpwstr/>
      </vt:variant>
      <vt:variant>
        <vt:lpwstr>Ref_3</vt:lpwstr>
      </vt:variant>
      <vt:variant>
        <vt:i4>720934</vt:i4>
      </vt:variant>
      <vt:variant>
        <vt:i4>780</vt:i4>
      </vt:variant>
      <vt:variant>
        <vt:i4>0</vt:i4>
      </vt:variant>
      <vt:variant>
        <vt:i4>5</vt:i4>
      </vt:variant>
      <vt:variant>
        <vt:lpwstr/>
      </vt:variant>
      <vt:variant>
        <vt:lpwstr>Ref_21</vt:lpwstr>
      </vt:variant>
      <vt:variant>
        <vt:i4>720935</vt:i4>
      </vt:variant>
      <vt:variant>
        <vt:i4>774</vt:i4>
      </vt:variant>
      <vt:variant>
        <vt:i4>0</vt:i4>
      </vt:variant>
      <vt:variant>
        <vt:i4>5</vt:i4>
      </vt:variant>
      <vt:variant>
        <vt:lpwstr/>
      </vt:variant>
      <vt:variant>
        <vt:lpwstr>Ref_31</vt:lpwstr>
      </vt:variant>
      <vt:variant>
        <vt:i4>7012417</vt:i4>
      </vt:variant>
      <vt:variant>
        <vt:i4>771</vt:i4>
      </vt:variant>
      <vt:variant>
        <vt:i4>0</vt:i4>
      </vt:variant>
      <vt:variant>
        <vt:i4>5</vt:i4>
      </vt:variant>
      <vt:variant>
        <vt:lpwstr/>
      </vt:variant>
      <vt:variant>
        <vt:lpwstr>R_34</vt:lpwstr>
      </vt:variant>
      <vt:variant>
        <vt:i4>589863</vt:i4>
      </vt:variant>
      <vt:variant>
        <vt:i4>768</vt:i4>
      </vt:variant>
      <vt:variant>
        <vt:i4>0</vt:i4>
      </vt:variant>
      <vt:variant>
        <vt:i4>5</vt:i4>
      </vt:variant>
      <vt:variant>
        <vt:lpwstr/>
      </vt:variant>
      <vt:variant>
        <vt:lpwstr>Ref_33</vt:lpwstr>
      </vt:variant>
      <vt:variant>
        <vt:i4>655397</vt:i4>
      </vt:variant>
      <vt:variant>
        <vt:i4>762</vt:i4>
      </vt:variant>
      <vt:variant>
        <vt:i4>0</vt:i4>
      </vt:variant>
      <vt:variant>
        <vt:i4>5</vt:i4>
      </vt:variant>
      <vt:variant>
        <vt:lpwstr/>
      </vt:variant>
      <vt:variant>
        <vt:lpwstr>Ref_10</vt:lpwstr>
      </vt:variant>
      <vt:variant>
        <vt:i4>3801108</vt:i4>
      </vt:variant>
      <vt:variant>
        <vt:i4>756</vt:i4>
      </vt:variant>
      <vt:variant>
        <vt:i4>0</vt:i4>
      </vt:variant>
      <vt:variant>
        <vt:i4>5</vt:i4>
      </vt:variant>
      <vt:variant>
        <vt:lpwstr/>
      </vt:variant>
      <vt:variant>
        <vt:lpwstr>Ref_9</vt:lpwstr>
      </vt:variant>
      <vt:variant>
        <vt:i4>3801108</vt:i4>
      </vt:variant>
      <vt:variant>
        <vt:i4>750</vt:i4>
      </vt:variant>
      <vt:variant>
        <vt:i4>0</vt:i4>
      </vt:variant>
      <vt:variant>
        <vt:i4>5</vt:i4>
      </vt:variant>
      <vt:variant>
        <vt:lpwstr/>
      </vt:variant>
      <vt:variant>
        <vt:lpwstr>Ref_8</vt:lpwstr>
      </vt:variant>
      <vt:variant>
        <vt:i4>3801108</vt:i4>
      </vt:variant>
      <vt:variant>
        <vt:i4>744</vt:i4>
      </vt:variant>
      <vt:variant>
        <vt:i4>0</vt:i4>
      </vt:variant>
      <vt:variant>
        <vt:i4>5</vt:i4>
      </vt:variant>
      <vt:variant>
        <vt:lpwstr/>
      </vt:variant>
      <vt:variant>
        <vt:lpwstr>Ref_1</vt:lpwstr>
      </vt:variant>
      <vt:variant>
        <vt:i4>4718636</vt:i4>
      </vt:variant>
      <vt:variant>
        <vt:i4>741</vt:i4>
      </vt:variant>
      <vt:variant>
        <vt:i4>0</vt:i4>
      </vt:variant>
      <vt:variant>
        <vt:i4>5</vt:i4>
      </vt:variant>
      <vt:variant>
        <vt:lpwstr/>
      </vt:variant>
      <vt:variant>
        <vt:lpwstr>Figure_15</vt:lpwstr>
      </vt:variant>
      <vt:variant>
        <vt:i4>3801108</vt:i4>
      </vt:variant>
      <vt:variant>
        <vt:i4>738</vt:i4>
      </vt:variant>
      <vt:variant>
        <vt:i4>0</vt:i4>
      </vt:variant>
      <vt:variant>
        <vt:i4>5</vt:i4>
      </vt:variant>
      <vt:variant>
        <vt:lpwstr/>
      </vt:variant>
      <vt:variant>
        <vt:lpwstr>Ref_6</vt:lpwstr>
      </vt:variant>
      <vt:variant>
        <vt:i4>196646</vt:i4>
      </vt:variant>
      <vt:variant>
        <vt:i4>729</vt:i4>
      </vt:variant>
      <vt:variant>
        <vt:i4>0</vt:i4>
      </vt:variant>
      <vt:variant>
        <vt:i4>5</vt:i4>
      </vt:variant>
      <vt:variant>
        <vt:lpwstr/>
      </vt:variant>
      <vt:variant>
        <vt:lpwstr>Ref_29</vt:lpwstr>
      </vt:variant>
      <vt:variant>
        <vt:i4>3801108</vt:i4>
      </vt:variant>
      <vt:variant>
        <vt:i4>723</vt:i4>
      </vt:variant>
      <vt:variant>
        <vt:i4>0</vt:i4>
      </vt:variant>
      <vt:variant>
        <vt:i4>5</vt:i4>
      </vt:variant>
      <vt:variant>
        <vt:lpwstr/>
      </vt:variant>
      <vt:variant>
        <vt:lpwstr>Ref_4</vt:lpwstr>
      </vt:variant>
      <vt:variant>
        <vt:i4>131110</vt:i4>
      </vt:variant>
      <vt:variant>
        <vt:i4>717</vt:i4>
      </vt:variant>
      <vt:variant>
        <vt:i4>0</vt:i4>
      </vt:variant>
      <vt:variant>
        <vt:i4>5</vt:i4>
      </vt:variant>
      <vt:variant>
        <vt:lpwstr/>
      </vt:variant>
      <vt:variant>
        <vt:lpwstr>Ref_28</vt:lpwstr>
      </vt:variant>
      <vt:variant>
        <vt:i4>852006</vt:i4>
      </vt:variant>
      <vt:variant>
        <vt:i4>711</vt:i4>
      </vt:variant>
      <vt:variant>
        <vt:i4>0</vt:i4>
      </vt:variant>
      <vt:variant>
        <vt:i4>5</vt:i4>
      </vt:variant>
      <vt:variant>
        <vt:lpwstr/>
      </vt:variant>
      <vt:variant>
        <vt:lpwstr>Ref_27</vt:lpwstr>
      </vt:variant>
      <vt:variant>
        <vt:i4>852006</vt:i4>
      </vt:variant>
      <vt:variant>
        <vt:i4>705</vt:i4>
      </vt:variant>
      <vt:variant>
        <vt:i4>0</vt:i4>
      </vt:variant>
      <vt:variant>
        <vt:i4>5</vt:i4>
      </vt:variant>
      <vt:variant>
        <vt:lpwstr/>
      </vt:variant>
      <vt:variant>
        <vt:lpwstr>Ref_27</vt:lpwstr>
      </vt:variant>
      <vt:variant>
        <vt:i4>1441846</vt:i4>
      </vt:variant>
      <vt:variant>
        <vt:i4>702</vt:i4>
      </vt:variant>
      <vt:variant>
        <vt:i4>0</vt:i4>
      </vt:variant>
      <vt:variant>
        <vt:i4>5</vt:i4>
      </vt:variant>
      <vt:variant>
        <vt:lpwstr/>
      </vt:variant>
      <vt:variant>
        <vt:lpwstr>_Single_Point_of</vt:lpwstr>
      </vt:variant>
      <vt:variant>
        <vt:i4>5963812</vt:i4>
      </vt:variant>
      <vt:variant>
        <vt:i4>699</vt:i4>
      </vt:variant>
      <vt:variant>
        <vt:i4>0</vt:i4>
      </vt:variant>
      <vt:variant>
        <vt:i4>5</vt:i4>
      </vt:variant>
      <vt:variant>
        <vt:lpwstr/>
      </vt:variant>
      <vt:variant>
        <vt:lpwstr>_Multiple_Aggregator/VPP_Risks</vt:lpwstr>
      </vt:variant>
      <vt:variant>
        <vt:i4>1441906</vt:i4>
      </vt:variant>
      <vt:variant>
        <vt:i4>696</vt:i4>
      </vt:variant>
      <vt:variant>
        <vt:i4>0</vt:i4>
      </vt:variant>
      <vt:variant>
        <vt:i4>5</vt:i4>
      </vt:variant>
      <vt:variant>
        <vt:lpwstr/>
      </vt:variant>
      <vt:variant>
        <vt:lpwstr>_Whole-system_Buffering_Needs</vt:lpwstr>
      </vt:variant>
      <vt:variant>
        <vt:i4>917629</vt:i4>
      </vt:variant>
      <vt:variant>
        <vt:i4>693</vt:i4>
      </vt:variant>
      <vt:variant>
        <vt:i4>0</vt:i4>
      </vt:variant>
      <vt:variant>
        <vt:i4>5</vt:i4>
      </vt:variant>
      <vt:variant>
        <vt:lpwstr/>
      </vt:variant>
      <vt:variant>
        <vt:lpwstr>_System_Coordination_&amp;</vt:lpwstr>
      </vt:variant>
      <vt:variant>
        <vt:i4>5701747</vt:i4>
      </vt:variant>
      <vt:variant>
        <vt:i4>690</vt:i4>
      </vt:variant>
      <vt:variant>
        <vt:i4>0</vt:i4>
      </vt:variant>
      <vt:variant>
        <vt:i4>5</vt:i4>
      </vt:variant>
      <vt:variant>
        <vt:lpwstr/>
      </vt:variant>
      <vt:variant>
        <vt:lpwstr>_Foundational_Structural_Shifts</vt:lpwstr>
      </vt:variant>
      <vt:variant>
        <vt:i4>786470</vt:i4>
      </vt:variant>
      <vt:variant>
        <vt:i4>684</vt:i4>
      </vt:variant>
      <vt:variant>
        <vt:i4>0</vt:i4>
      </vt:variant>
      <vt:variant>
        <vt:i4>5</vt:i4>
      </vt:variant>
      <vt:variant>
        <vt:lpwstr/>
      </vt:variant>
      <vt:variant>
        <vt:lpwstr>Ref_26</vt:lpwstr>
      </vt:variant>
      <vt:variant>
        <vt:i4>983078</vt:i4>
      </vt:variant>
      <vt:variant>
        <vt:i4>678</vt:i4>
      </vt:variant>
      <vt:variant>
        <vt:i4>0</vt:i4>
      </vt:variant>
      <vt:variant>
        <vt:i4>5</vt:i4>
      </vt:variant>
      <vt:variant>
        <vt:lpwstr/>
      </vt:variant>
      <vt:variant>
        <vt:lpwstr>Ref_25</vt:lpwstr>
      </vt:variant>
      <vt:variant>
        <vt:i4>917542</vt:i4>
      </vt:variant>
      <vt:variant>
        <vt:i4>672</vt:i4>
      </vt:variant>
      <vt:variant>
        <vt:i4>0</vt:i4>
      </vt:variant>
      <vt:variant>
        <vt:i4>5</vt:i4>
      </vt:variant>
      <vt:variant>
        <vt:lpwstr/>
      </vt:variant>
      <vt:variant>
        <vt:lpwstr>Ref_24</vt:lpwstr>
      </vt:variant>
      <vt:variant>
        <vt:i4>720934</vt:i4>
      </vt:variant>
      <vt:variant>
        <vt:i4>660</vt:i4>
      </vt:variant>
      <vt:variant>
        <vt:i4>0</vt:i4>
      </vt:variant>
      <vt:variant>
        <vt:i4>5</vt:i4>
      </vt:variant>
      <vt:variant>
        <vt:lpwstr/>
      </vt:variant>
      <vt:variant>
        <vt:lpwstr>Ref_21</vt:lpwstr>
      </vt:variant>
      <vt:variant>
        <vt:i4>4784174</vt:i4>
      </vt:variant>
      <vt:variant>
        <vt:i4>654</vt:i4>
      </vt:variant>
      <vt:variant>
        <vt:i4>0</vt:i4>
      </vt:variant>
      <vt:variant>
        <vt:i4>5</vt:i4>
      </vt:variant>
      <vt:variant>
        <vt:lpwstr/>
      </vt:variant>
      <vt:variant>
        <vt:lpwstr>_Roles_&amp;_Responsibilities</vt:lpwstr>
      </vt:variant>
      <vt:variant>
        <vt:i4>589862</vt:i4>
      </vt:variant>
      <vt:variant>
        <vt:i4>648</vt:i4>
      </vt:variant>
      <vt:variant>
        <vt:i4>0</vt:i4>
      </vt:variant>
      <vt:variant>
        <vt:i4>5</vt:i4>
      </vt:variant>
      <vt:variant>
        <vt:lpwstr/>
      </vt:variant>
      <vt:variant>
        <vt:lpwstr>Ref_23</vt:lpwstr>
      </vt:variant>
      <vt:variant>
        <vt:i4>4718636</vt:i4>
      </vt:variant>
      <vt:variant>
        <vt:i4>636</vt:i4>
      </vt:variant>
      <vt:variant>
        <vt:i4>0</vt:i4>
      </vt:variant>
      <vt:variant>
        <vt:i4>5</vt:i4>
      </vt:variant>
      <vt:variant>
        <vt:lpwstr/>
      </vt:variant>
      <vt:variant>
        <vt:lpwstr>Figure_10</vt:lpwstr>
      </vt:variant>
      <vt:variant>
        <vt:i4>4194348</vt:i4>
      </vt:variant>
      <vt:variant>
        <vt:i4>633</vt:i4>
      </vt:variant>
      <vt:variant>
        <vt:i4>0</vt:i4>
      </vt:variant>
      <vt:variant>
        <vt:i4>5</vt:i4>
      </vt:variant>
      <vt:variant>
        <vt:lpwstr/>
      </vt:variant>
      <vt:variant>
        <vt:lpwstr>Figure_9</vt:lpwstr>
      </vt:variant>
      <vt:variant>
        <vt:i4>4259884</vt:i4>
      </vt:variant>
      <vt:variant>
        <vt:i4>627</vt:i4>
      </vt:variant>
      <vt:variant>
        <vt:i4>0</vt:i4>
      </vt:variant>
      <vt:variant>
        <vt:i4>5</vt:i4>
      </vt:variant>
      <vt:variant>
        <vt:lpwstr/>
      </vt:variant>
      <vt:variant>
        <vt:lpwstr>Figure_8</vt:lpwstr>
      </vt:variant>
      <vt:variant>
        <vt:i4>5111852</vt:i4>
      </vt:variant>
      <vt:variant>
        <vt:i4>624</vt:i4>
      </vt:variant>
      <vt:variant>
        <vt:i4>0</vt:i4>
      </vt:variant>
      <vt:variant>
        <vt:i4>5</vt:i4>
      </vt:variant>
      <vt:variant>
        <vt:lpwstr/>
      </vt:variant>
      <vt:variant>
        <vt:lpwstr>Figure_7</vt:lpwstr>
      </vt:variant>
      <vt:variant>
        <vt:i4>524326</vt:i4>
      </vt:variant>
      <vt:variant>
        <vt:i4>618</vt:i4>
      </vt:variant>
      <vt:variant>
        <vt:i4>0</vt:i4>
      </vt:variant>
      <vt:variant>
        <vt:i4>5</vt:i4>
      </vt:variant>
      <vt:variant>
        <vt:lpwstr/>
      </vt:variant>
      <vt:variant>
        <vt:lpwstr>Ref_22</vt:lpwstr>
      </vt:variant>
      <vt:variant>
        <vt:i4>720934</vt:i4>
      </vt:variant>
      <vt:variant>
        <vt:i4>612</vt:i4>
      </vt:variant>
      <vt:variant>
        <vt:i4>0</vt:i4>
      </vt:variant>
      <vt:variant>
        <vt:i4>5</vt:i4>
      </vt:variant>
      <vt:variant>
        <vt:lpwstr/>
      </vt:variant>
      <vt:variant>
        <vt:lpwstr>Ref_21</vt:lpwstr>
      </vt:variant>
      <vt:variant>
        <vt:i4>720934</vt:i4>
      </vt:variant>
      <vt:variant>
        <vt:i4>606</vt:i4>
      </vt:variant>
      <vt:variant>
        <vt:i4>0</vt:i4>
      </vt:variant>
      <vt:variant>
        <vt:i4>5</vt:i4>
      </vt:variant>
      <vt:variant>
        <vt:lpwstr/>
      </vt:variant>
      <vt:variant>
        <vt:lpwstr>Ref_21</vt:lpwstr>
      </vt:variant>
      <vt:variant>
        <vt:i4>655397</vt:i4>
      </vt:variant>
      <vt:variant>
        <vt:i4>600</vt:i4>
      </vt:variant>
      <vt:variant>
        <vt:i4>0</vt:i4>
      </vt:variant>
      <vt:variant>
        <vt:i4>5</vt:i4>
      </vt:variant>
      <vt:variant>
        <vt:lpwstr/>
      </vt:variant>
      <vt:variant>
        <vt:lpwstr>Ref_10</vt:lpwstr>
      </vt:variant>
      <vt:variant>
        <vt:i4>3801108</vt:i4>
      </vt:variant>
      <vt:variant>
        <vt:i4>594</vt:i4>
      </vt:variant>
      <vt:variant>
        <vt:i4>0</vt:i4>
      </vt:variant>
      <vt:variant>
        <vt:i4>5</vt:i4>
      </vt:variant>
      <vt:variant>
        <vt:lpwstr/>
      </vt:variant>
      <vt:variant>
        <vt:lpwstr>Ref_9</vt:lpwstr>
      </vt:variant>
      <vt:variant>
        <vt:i4>3801108</vt:i4>
      </vt:variant>
      <vt:variant>
        <vt:i4>588</vt:i4>
      </vt:variant>
      <vt:variant>
        <vt:i4>0</vt:i4>
      </vt:variant>
      <vt:variant>
        <vt:i4>5</vt:i4>
      </vt:variant>
      <vt:variant>
        <vt:lpwstr/>
      </vt:variant>
      <vt:variant>
        <vt:lpwstr>Ref_8</vt:lpwstr>
      </vt:variant>
      <vt:variant>
        <vt:i4>3801108</vt:i4>
      </vt:variant>
      <vt:variant>
        <vt:i4>582</vt:i4>
      </vt:variant>
      <vt:variant>
        <vt:i4>0</vt:i4>
      </vt:variant>
      <vt:variant>
        <vt:i4>5</vt:i4>
      </vt:variant>
      <vt:variant>
        <vt:lpwstr/>
      </vt:variant>
      <vt:variant>
        <vt:lpwstr>Ref_5</vt:lpwstr>
      </vt:variant>
      <vt:variant>
        <vt:i4>655398</vt:i4>
      </vt:variant>
      <vt:variant>
        <vt:i4>576</vt:i4>
      </vt:variant>
      <vt:variant>
        <vt:i4>0</vt:i4>
      </vt:variant>
      <vt:variant>
        <vt:i4>5</vt:i4>
      </vt:variant>
      <vt:variant>
        <vt:lpwstr/>
      </vt:variant>
      <vt:variant>
        <vt:lpwstr>Ref_20</vt:lpwstr>
      </vt:variant>
      <vt:variant>
        <vt:i4>3801108</vt:i4>
      </vt:variant>
      <vt:variant>
        <vt:i4>567</vt:i4>
      </vt:variant>
      <vt:variant>
        <vt:i4>0</vt:i4>
      </vt:variant>
      <vt:variant>
        <vt:i4>5</vt:i4>
      </vt:variant>
      <vt:variant>
        <vt:lpwstr/>
      </vt:variant>
      <vt:variant>
        <vt:lpwstr>Ref_1</vt:lpwstr>
      </vt:variant>
      <vt:variant>
        <vt:i4>196645</vt:i4>
      </vt:variant>
      <vt:variant>
        <vt:i4>561</vt:i4>
      </vt:variant>
      <vt:variant>
        <vt:i4>0</vt:i4>
      </vt:variant>
      <vt:variant>
        <vt:i4>5</vt:i4>
      </vt:variant>
      <vt:variant>
        <vt:lpwstr/>
      </vt:variant>
      <vt:variant>
        <vt:lpwstr>Ref_19</vt:lpwstr>
      </vt:variant>
      <vt:variant>
        <vt:i4>3801108</vt:i4>
      </vt:variant>
      <vt:variant>
        <vt:i4>555</vt:i4>
      </vt:variant>
      <vt:variant>
        <vt:i4>0</vt:i4>
      </vt:variant>
      <vt:variant>
        <vt:i4>5</vt:i4>
      </vt:variant>
      <vt:variant>
        <vt:lpwstr/>
      </vt:variant>
      <vt:variant>
        <vt:lpwstr>Ref_1</vt:lpwstr>
      </vt:variant>
      <vt:variant>
        <vt:i4>131109</vt:i4>
      </vt:variant>
      <vt:variant>
        <vt:i4>549</vt:i4>
      </vt:variant>
      <vt:variant>
        <vt:i4>0</vt:i4>
      </vt:variant>
      <vt:variant>
        <vt:i4>5</vt:i4>
      </vt:variant>
      <vt:variant>
        <vt:lpwstr/>
      </vt:variant>
      <vt:variant>
        <vt:lpwstr>Ref_18</vt:lpwstr>
      </vt:variant>
      <vt:variant>
        <vt:i4>852005</vt:i4>
      </vt:variant>
      <vt:variant>
        <vt:i4>543</vt:i4>
      </vt:variant>
      <vt:variant>
        <vt:i4>0</vt:i4>
      </vt:variant>
      <vt:variant>
        <vt:i4>5</vt:i4>
      </vt:variant>
      <vt:variant>
        <vt:lpwstr/>
      </vt:variant>
      <vt:variant>
        <vt:lpwstr>Ref_17</vt:lpwstr>
      </vt:variant>
      <vt:variant>
        <vt:i4>3801108</vt:i4>
      </vt:variant>
      <vt:variant>
        <vt:i4>534</vt:i4>
      </vt:variant>
      <vt:variant>
        <vt:i4>0</vt:i4>
      </vt:variant>
      <vt:variant>
        <vt:i4>5</vt:i4>
      </vt:variant>
      <vt:variant>
        <vt:lpwstr/>
      </vt:variant>
      <vt:variant>
        <vt:lpwstr>Ref_1</vt:lpwstr>
      </vt:variant>
      <vt:variant>
        <vt:i4>4063249</vt:i4>
      </vt:variant>
      <vt:variant>
        <vt:i4>531</vt:i4>
      </vt:variant>
      <vt:variant>
        <vt:i4>0</vt:i4>
      </vt:variant>
      <vt:variant>
        <vt:i4>5</vt:i4>
      </vt:variant>
      <vt:variant>
        <vt:lpwstr/>
      </vt:variant>
      <vt:variant>
        <vt:lpwstr>_Inadequate_Complexity_Management</vt:lpwstr>
      </vt:variant>
      <vt:variant>
        <vt:i4>6029435</vt:i4>
      </vt:variant>
      <vt:variant>
        <vt:i4>528</vt:i4>
      </vt:variant>
      <vt:variant>
        <vt:i4>0</vt:i4>
      </vt:variant>
      <vt:variant>
        <vt:i4>5</vt:i4>
      </vt:variant>
      <vt:variant>
        <vt:lpwstr/>
      </vt:variant>
      <vt:variant>
        <vt:lpwstr>_Limited_Shared_Future</vt:lpwstr>
      </vt:variant>
      <vt:variant>
        <vt:i4>3801108</vt:i4>
      </vt:variant>
      <vt:variant>
        <vt:i4>522</vt:i4>
      </vt:variant>
      <vt:variant>
        <vt:i4>0</vt:i4>
      </vt:variant>
      <vt:variant>
        <vt:i4>5</vt:i4>
      </vt:variant>
      <vt:variant>
        <vt:lpwstr/>
      </vt:variant>
      <vt:variant>
        <vt:lpwstr>Ref_1</vt:lpwstr>
      </vt:variant>
      <vt:variant>
        <vt:i4>983077</vt:i4>
      </vt:variant>
      <vt:variant>
        <vt:i4>516</vt:i4>
      </vt:variant>
      <vt:variant>
        <vt:i4>0</vt:i4>
      </vt:variant>
      <vt:variant>
        <vt:i4>5</vt:i4>
      </vt:variant>
      <vt:variant>
        <vt:lpwstr/>
      </vt:variant>
      <vt:variant>
        <vt:lpwstr>Ref_15</vt:lpwstr>
      </vt:variant>
      <vt:variant>
        <vt:i4>917541</vt:i4>
      </vt:variant>
      <vt:variant>
        <vt:i4>510</vt:i4>
      </vt:variant>
      <vt:variant>
        <vt:i4>0</vt:i4>
      </vt:variant>
      <vt:variant>
        <vt:i4>5</vt:i4>
      </vt:variant>
      <vt:variant>
        <vt:lpwstr/>
      </vt:variant>
      <vt:variant>
        <vt:lpwstr>Ref_14</vt:lpwstr>
      </vt:variant>
      <vt:variant>
        <vt:i4>589861</vt:i4>
      </vt:variant>
      <vt:variant>
        <vt:i4>504</vt:i4>
      </vt:variant>
      <vt:variant>
        <vt:i4>0</vt:i4>
      </vt:variant>
      <vt:variant>
        <vt:i4>5</vt:i4>
      </vt:variant>
      <vt:variant>
        <vt:lpwstr/>
      </vt:variant>
      <vt:variant>
        <vt:lpwstr>Ref_13</vt:lpwstr>
      </vt:variant>
      <vt:variant>
        <vt:i4>524325</vt:i4>
      </vt:variant>
      <vt:variant>
        <vt:i4>498</vt:i4>
      </vt:variant>
      <vt:variant>
        <vt:i4>0</vt:i4>
      </vt:variant>
      <vt:variant>
        <vt:i4>5</vt:i4>
      </vt:variant>
      <vt:variant>
        <vt:lpwstr/>
      </vt:variant>
      <vt:variant>
        <vt:lpwstr>Ref_12</vt:lpwstr>
      </vt:variant>
      <vt:variant>
        <vt:i4>720933</vt:i4>
      </vt:variant>
      <vt:variant>
        <vt:i4>492</vt:i4>
      </vt:variant>
      <vt:variant>
        <vt:i4>0</vt:i4>
      </vt:variant>
      <vt:variant>
        <vt:i4>5</vt:i4>
      </vt:variant>
      <vt:variant>
        <vt:lpwstr/>
      </vt:variant>
      <vt:variant>
        <vt:lpwstr>Ref_11</vt:lpwstr>
      </vt:variant>
      <vt:variant>
        <vt:i4>4063249</vt:i4>
      </vt:variant>
      <vt:variant>
        <vt:i4>489</vt:i4>
      </vt:variant>
      <vt:variant>
        <vt:i4>0</vt:i4>
      </vt:variant>
      <vt:variant>
        <vt:i4>5</vt:i4>
      </vt:variant>
      <vt:variant>
        <vt:lpwstr/>
      </vt:variant>
      <vt:variant>
        <vt:lpwstr>_Inadequate_Complexity_Management</vt:lpwstr>
      </vt:variant>
      <vt:variant>
        <vt:i4>6029435</vt:i4>
      </vt:variant>
      <vt:variant>
        <vt:i4>486</vt:i4>
      </vt:variant>
      <vt:variant>
        <vt:i4>0</vt:i4>
      </vt:variant>
      <vt:variant>
        <vt:i4>5</vt:i4>
      </vt:variant>
      <vt:variant>
        <vt:lpwstr/>
      </vt:variant>
      <vt:variant>
        <vt:lpwstr>_Limited_Shared_Future</vt:lpwstr>
      </vt:variant>
      <vt:variant>
        <vt:i4>655397</vt:i4>
      </vt:variant>
      <vt:variant>
        <vt:i4>480</vt:i4>
      </vt:variant>
      <vt:variant>
        <vt:i4>0</vt:i4>
      </vt:variant>
      <vt:variant>
        <vt:i4>5</vt:i4>
      </vt:variant>
      <vt:variant>
        <vt:lpwstr/>
      </vt:variant>
      <vt:variant>
        <vt:lpwstr>Ref_10</vt:lpwstr>
      </vt:variant>
      <vt:variant>
        <vt:i4>3801108</vt:i4>
      </vt:variant>
      <vt:variant>
        <vt:i4>476</vt:i4>
      </vt:variant>
      <vt:variant>
        <vt:i4>0</vt:i4>
      </vt:variant>
      <vt:variant>
        <vt:i4>5</vt:i4>
      </vt:variant>
      <vt:variant>
        <vt:lpwstr/>
      </vt:variant>
      <vt:variant>
        <vt:lpwstr>Ref_9</vt:lpwstr>
      </vt:variant>
      <vt:variant>
        <vt:i4>3801108</vt:i4>
      </vt:variant>
      <vt:variant>
        <vt:i4>473</vt:i4>
      </vt:variant>
      <vt:variant>
        <vt:i4>0</vt:i4>
      </vt:variant>
      <vt:variant>
        <vt:i4>5</vt:i4>
      </vt:variant>
      <vt:variant>
        <vt:lpwstr/>
      </vt:variant>
      <vt:variant>
        <vt:lpwstr>Ref_8</vt:lpwstr>
      </vt:variant>
      <vt:variant>
        <vt:i4>3801108</vt:i4>
      </vt:variant>
      <vt:variant>
        <vt:i4>465</vt:i4>
      </vt:variant>
      <vt:variant>
        <vt:i4>0</vt:i4>
      </vt:variant>
      <vt:variant>
        <vt:i4>5</vt:i4>
      </vt:variant>
      <vt:variant>
        <vt:lpwstr/>
      </vt:variant>
      <vt:variant>
        <vt:lpwstr>Ref_7</vt:lpwstr>
      </vt:variant>
      <vt:variant>
        <vt:i4>3801108</vt:i4>
      </vt:variant>
      <vt:variant>
        <vt:i4>459</vt:i4>
      </vt:variant>
      <vt:variant>
        <vt:i4>0</vt:i4>
      </vt:variant>
      <vt:variant>
        <vt:i4>5</vt:i4>
      </vt:variant>
      <vt:variant>
        <vt:lpwstr/>
      </vt:variant>
      <vt:variant>
        <vt:lpwstr>Ref_6</vt:lpwstr>
      </vt:variant>
      <vt:variant>
        <vt:i4>3801108</vt:i4>
      </vt:variant>
      <vt:variant>
        <vt:i4>453</vt:i4>
      </vt:variant>
      <vt:variant>
        <vt:i4>0</vt:i4>
      </vt:variant>
      <vt:variant>
        <vt:i4>5</vt:i4>
      </vt:variant>
      <vt:variant>
        <vt:lpwstr/>
      </vt:variant>
      <vt:variant>
        <vt:lpwstr>Ref_5</vt:lpwstr>
      </vt:variant>
      <vt:variant>
        <vt:i4>3801108</vt:i4>
      </vt:variant>
      <vt:variant>
        <vt:i4>447</vt:i4>
      </vt:variant>
      <vt:variant>
        <vt:i4>0</vt:i4>
      </vt:variant>
      <vt:variant>
        <vt:i4>5</vt:i4>
      </vt:variant>
      <vt:variant>
        <vt:lpwstr/>
      </vt:variant>
      <vt:variant>
        <vt:lpwstr>Ref_5</vt:lpwstr>
      </vt:variant>
      <vt:variant>
        <vt:i4>3801108</vt:i4>
      </vt:variant>
      <vt:variant>
        <vt:i4>441</vt:i4>
      </vt:variant>
      <vt:variant>
        <vt:i4>0</vt:i4>
      </vt:variant>
      <vt:variant>
        <vt:i4>5</vt:i4>
      </vt:variant>
      <vt:variant>
        <vt:lpwstr/>
      </vt:variant>
      <vt:variant>
        <vt:lpwstr>Ref_4</vt:lpwstr>
      </vt:variant>
      <vt:variant>
        <vt:i4>3801108</vt:i4>
      </vt:variant>
      <vt:variant>
        <vt:i4>432</vt:i4>
      </vt:variant>
      <vt:variant>
        <vt:i4>0</vt:i4>
      </vt:variant>
      <vt:variant>
        <vt:i4>5</vt:i4>
      </vt:variant>
      <vt:variant>
        <vt:lpwstr/>
      </vt:variant>
      <vt:variant>
        <vt:lpwstr>Ref_3</vt:lpwstr>
      </vt:variant>
      <vt:variant>
        <vt:i4>3801108</vt:i4>
      </vt:variant>
      <vt:variant>
        <vt:i4>426</vt:i4>
      </vt:variant>
      <vt:variant>
        <vt:i4>0</vt:i4>
      </vt:variant>
      <vt:variant>
        <vt:i4>5</vt:i4>
      </vt:variant>
      <vt:variant>
        <vt:lpwstr/>
      </vt:variant>
      <vt:variant>
        <vt:lpwstr>Ref_1</vt:lpwstr>
      </vt:variant>
      <vt:variant>
        <vt:i4>3801108</vt:i4>
      </vt:variant>
      <vt:variant>
        <vt:i4>420</vt:i4>
      </vt:variant>
      <vt:variant>
        <vt:i4>0</vt:i4>
      </vt:variant>
      <vt:variant>
        <vt:i4>5</vt:i4>
      </vt:variant>
      <vt:variant>
        <vt:lpwstr/>
      </vt:variant>
      <vt:variant>
        <vt:lpwstr>Ref_1</vt:lpwstr>
      </vt:variant>
      <vt:variant>
        <vt:i4>3801108</vt:i4>
      </vt:variant>
      <vt:variant>
        <vt:i4>411</vt:i4>
      </vt:variant>
      <vt:variant>
        <vt:i4>0</vt:i4>
      </vt:variant>
      <vt:variant>
        <vt:i4>5</vt:i4>
      </vt:variant>
      <vt:variant>
        <vt:lpwstr/>
      </vt:variant>
      <vt:variant>
        <vt:lpwstr>Ref_2</vt:lpwstr>
      </vt:variant>
      <vt:variant>
        <vt:i4>3801108</vt:i4>
      </vt:variant>
      <vt:variant>
        <vt:i4>405</vt:i4>
      </vt:variant>
      <vt:variant>
        <vt:i4>0</vt:i4>
      </vt:variant>
      <vt:variant>
        <vt:i4>5</vt:i4>
      </vt:variant>
      <vt:variant>
        <vt:lpwstr/>
      </vt:variant>
      <vt:variant>
        <vt:lpwstr>Ref_1</vt:lpwstr>
      </vt:variant>
      <vt:variant>
        <vt:i4>7405665</vt:i4>
      </vt:variant>
      <vt:variant>
        <vt:i4>399</vt:i4>
      </vt:variant>
      <vt:variant>
        <vt:i4>0</vt:i4>
      </vt:variant>
      <vt:variant>
        <vt:i4>5</vt:i4>
      </vt:variant>
      <vt:variant>
        <vt:lpwstr>http://www.energycatalyst.au/futuregrid</vt:lpwstr>
      </vt:variant>
      <vt:variant>
        <vt:lpwstr/>
      </vt:variant>
      <vt:variant>
        <vt:i4>7012425</vt:i4>
      </vt:variant>
      <vt:variant>
        <vt:i4>396</vt:i4>
      </vt:variant>
      <vt:variant>
        <vt:i4>0</vt:i4>
      </vt:variant>
      <vt:variant>
        <vt:i4>5</vt:i4>
      </vt:variant>
      <vt:variant>
        <vt:lpwstr/>
      </vt:variant>
      <vt:variant>
        <vt:lpwstr>Appendix_B</vt:lpwstr>
      </vt:variant>
      <vt:variant>
        <vt:i4>6815817</vt:i4>
      </vt:variant>
      <vt:variant>
        <vt:i4>393</vt:i4>
      </vt:variant>
      <vt:variant>
        <vt:i4>0</vt:i4>
      </vt:variant>
      <vt:variant>
        <vt:i4>5</vt:i4>
      </vt:variant>
      <vt:variant>
        <vt:lpwstr/>
      </vt:variant>
      <vt:variant>
        <vt:lpwstr>Appendix_A</vt:lpwstr>
      </vt:variant>
      <vt:variant>
        <vt:i4>6226022</vt:i4>
      </vt:variant>
      <vt:variant>
        <vt:i4>387</vt:i4>
      </vt:variant>
      <vt:variant>
        <vt:i4>0</vt:i4>
      </vt:variant>
      <vt:variant>
        <vt:i4>5</vt:i4>
      </vt:variant>
      <vt:variant>
        <vt:lpwstr/>
      </vt:variant>
      <vt:variant>
        <vt:lpwstr>F_2</vt:lpwstr>
      </vt:variant>
      <vt:variant>
        <vt:i4>6226034</vt:i4>
      </vt:variant>
      <vt:variant>
        <vt:i4>378</vt:i4>
      </vt:variant>
      <vt:variant>
        <vt:i4>0</vt:i4>
      </vt:variant>
      <vt:variant>
        <vt:i4>5</vt:i4>
      </vt:variant>
      <vt:variant>
        <vt:lpwstr/>
      </vt:variant>
      <vt:variant>
        <vt:lpwstr>R_1</vt:lpwstr>
      </vt:variant>
      <vt:variant>
        <vt:i4>4718636</vt:i4>
      </vt:variant>
      <vt:variant>
        <vt:i4>375</vt:i4>
      </vt:variant>
      <vt:variant>
        <vt:i4>0</vt:i4>
      </vt:variant>
      <vt:variant>
        <vt:i4>5</vt:i4>
      </vt:variant>
      <vt:variant>
        <vt:lpwstr/>
      </vt:variant>
      <vt:variant>
        <vt:lpwstr>Figure_1</vt:lpwstr>
      </vt:variant>
      <vt:variant>
        <vt:i4>1835060</vt:i4>
      </vt:variant>
      <vt:variant>
        <vt:i4>362</vt:i4>
      </vt:variant>
      <vt:variant>
        <vt:i4>0</vt:i4>
      </vt:variant>
      <vt:variant>
        <vt:i4>5</vt:i4>
      </vt:variant>
      <vt:variant>
        <vt:lpwstr/>
      </vt:variant>
      <vt:variant>
        <vt:lpwstr>_Toc204765492</vt:lpwstr>
      </vt:variant>
      <vt:variant>
        <vt:i4>1835060</vt:i4>
      </vt:variant>
      <vt:variant>
        <vt:i4>356</vt:i4>
      </vt:variant>
      <vt:variant>
        <vt:i4>0</vt:i4>
      </vt:variant>
      <vt:variant>
        <vt:i4>5</vt:i4>
      </vt:variant>
      <vt:variant>
        <vt:lpwstr/>
      </vt:variant>
      <vt:variant>
        <vt:lpwstr>_Toc204765491</vt:lpwstr>
      </vt:variant>
      <vt:variant>
        <vt:i4>1835060</vt:i4>
      </vt:variant>
      <vt:variant>
        <vt:i4>350</vt:i4>
      </vt:variant>
      <vt:variant>
        <vt:i4>0</vt:i4>
      </vt:variant>
      <vt:variant>
        <vt:i4>5</vt:i4>
      </vt:variant>
      <vt:variant>
        <vt:lpwstr/>
      </vt:variant>
      <vt:variant>
        <vt:lpwstr>_Toc204765490</vt:lpwstr>
      </vt:variant>
      <vt:variant>
        <vt:i4>1900596</vt:i4>
      </vt:variant>
      <vt:variant>
        <vt:i4>344</vt:i4>
      </vt:variant>
      <vt:variant>
        <vt:i4>0</vt:i4>
      </vt:variant>
      <vt:variant>
        <vt:i4>5</vt:i4>
      </vt:variant>
      <vt:variant>
        <vt:lpwstr/>
      </vt:variant>
      <vt:variant>
        <vt:lpwstr>_Toc204765489</vt:lpwstr>
      </vt:variant>
      <vt:variant>
        <vt:i4>1900596</vt:i4>
      </vt:variant>
      <vt:variant>
        <vt:i4>338</vt:i4>
      </vt:variant>
      <vt:variant>
        <vt:i4>0</vt:i4>
      </vt:variant>
      <vt:variant>
        <vt:i4>5</vt:i4>
      </vt:variant>
      <vt:variant>
        <vt:lpwstr/>
      </vt:variant>
      <vt:variant>
        <vt:lpwstr>_Toc204765488</vt:lpwstr>
      </vt:variant>
      <vt:variant>
        <vt:i4>1900596</vt:i4>
      </vt:variant>
      <vt:variant>
        <vt:i4>332</vt:i4>
      </vt:variant>
      <vt:variant>
        <vt:i4>0</vt:i4>
      </vt:variant>
      <vt:variant>
        <vt:i4>5</vt:i4>
      </vt:variant>
      <vt:variant>
        <vt:lpwstr/>
      </vt:variant>
      <vt:variant>
        <vt:lpwstr>_Toc204765487</vt:lpwstr>
      </vt:variant>
      <vt:variant>
        <vt:i4>1900596</vt:i4>
      </vt:variant>
      <vt:variant>
        <vt:i4>326</vt:i4>
      </vt:variant>
      <vt:variant>
        <vt:i4>0</vt:i4>
      </vt:variant>
      <vt:variant>
        <vt:i4>5</vt:i4>
      </vt:variant>
      <vt:variant>
        <vt:lpwstr/>
      </vt:variant>
      <vt:variant>
        <vt:lpwstr>_Toc204765486</vt:lpwstr>
      </vt:variant>
      <vt:variant>
        <vt:i4>1900596</vt:i4>
      </vt:variant>
      <vt:variant>
        <vt:i4>320</vt:i4>
      </vt:variant>
      <vt:variant>
        <vt:i4>0</vt:i4>
      </vt:variant>
      <vt:variant>
        <vt:i4>5</vt:i4>
      </vt:variant>
      <vt:variant>
        <vt:lpwstr/>
      </vt:variant>
      <vt:variant>
        <vt:lpwstr>_Toc204765485</vt:lpwstr>
      </vt:variant>
      <vt:variant>
        <vt:i4>1900596</vt:i4>
      </vt:variant>
      <vt:variant>
        <vt:i4>314</vt:i4>
      </vt:variant>
      <vt:variant>
        <vt:i4>0</vt:i4>
      </vt:variant>
      <vt:variant>
        <vt:i4>5</vt:i4>
      </vt:variant>
      <vt:variant>
        <vt:lpwstr/>
      </vt:variant>
      <vt:variant>
        <vt:lpwstr>_Toc204765484</vt:lpwstr>
      </vt:variant>
      <vt:variant>
        <vt:i4>1900596</vt:i4>
      </vt:variant>
      <vt:variant>
        <vt:i4>308</vt:i4>
      </vt:variant>
      <vt:variant>
        <vt:i4>0</vt:i4>
      </vt:variant>
      <vt:variant>
        <vt:i4>5</vt:i4>
      </vt:variant>
      <vt:variant>
        <vt:lpwstr/>
      </vt:variant>
      <vt:variant>
        <vt:lpwstr>_Toc204765483</vt:lpwstr>
      </vt:variant>
      <vt:variant>
        <vt:i4>1900596</vt:i4>
      </vt:variant>
      <vt:variant>
        <vt:i4>302</vt:i4>
      </vt:variant>
      <vt:variant>
        <vt:i4>0</vt:i4>
      </vt:variant>
      <vt:variant>
        <vt:i4>5</vt:i4>
      </vt:variant>
      <vt:variant>
        <vt:lpwstr/>
      </vt:variant>
      <vt:variant>
        <vt:lpwstr>_Toc204765482</vt:lpwstr>
      </vt:variant>
      <vt:variant>
        <vt:i4>1900596</vt:i4>
      </vt:variant>
      <vt:variant>
        <vt:i4>296</vt:i4>
      </vt:variant>
      <vt:variant>
        <vt:i4>0</vt:i4>
      </vt:variant>
      <vt:variant>
        <vt:i4>5</vt:i4>
      </vt:variant>
      <vt:variant>
        <vt:lpwstr/>
      </vt:variant>
      <vt:variant>
        <vt:lpwstr>_Toc204765481</vt:lpwstr>
      </vt:variant>
      <vt:variant>
        <vt:i4>1900596</vt:i4>
      </vt:variant>
      <vt:variant>
        <vt:i4>290</vt:i4>
      </vt:variant>
      <vt:variant>
        <vt:i4>0</vt:i4>
      </vt:variant>
      <vt:variant>
        <vt:i4>5</vt:i4>
      </vt:variant>
      <vt:variant>
        <vt:lpwstr/>
      </vt:variant>
      <vt:variant>
        <vt:lpwstr>_Toc204765480</vt:lpwstr>
      </vt:variant>
      <vt:variant>
        <vt:i4>1179700</vt:i4>
      </vt:variant>
      <vt:variant>
        <vt:i4>284</vt:i4>
      </vt:variant>
      <vt:variant>
        <vt:i4>0</vt:i4>
      </vt:variant>
      <vt:variant>
        <vt:i4>5</vt:i4>
      </vt:variant>
      <vt:variant>
        <vt:lpwstr/>
      </vt:variant>
      <vt:variant>
        <vt:lpwstr>_Toc204765479</vt:lpwstr>
      </vt:variant>
      <vt:variant>
        <vt:i4>1638459</vt:i4>
      </vt:variant>
      <vt:variant>
        <vt:i4>275</vt:i4>
      </vt:variant>
      <vt:variant>
        <vt:i4>0</vt:i4>
      </vt:variant>
      <vt:variant>
        <vt:i4>5</vt:i4>
      </vt:variant>
      <vt:variant>
        <vt:lpwstr/>
      </vt:variant>
      <vt:variant>
        <vt:lpwstr>_Toc205354994</vt:lpwstr>
      </vt:variant>
      <vt:variant>
        <vt:i4>1638459</vt:i4>
      </vt:variant>
      <vt:variant>
        <vt:i4>269</vt:i4>
      </vt:variant>
      <vt:variant>
        <vt:i4>0</vt:i4>
      </vt:variant>
      <vt:variant>
        <vt:i4>5</vt:i4>
      </vt:variant>
      <vt:variant>
        <vt:lpwstr/>
      </vt:variant>
      <vt:variant>
        <vt:lpwstr>_Toc205354993</vt:lpwstr>
      </vt:variant>
      <vt:variant>
        <vt:i4>1638459</vt:i4>
      </vt:variant>
      <vt:variant>
        <vt:i4>263</vt:i4>
      </vt:variant>
      <vt:variant>
        <vt:i4>0</vt:i4>
      </vt:variant>
      <vt:variant>
        <vt:i4>5</vt:i4>
      </vt:variant>
      <vt:variant>
        <vt:lpwstr/>
      </vt:variant>
      <vt:variant>
        <vt:lpwstr>_Toc205354992</vt:lpwstr>
      </vt:variant>
      <vt:variant>
        <vt:i4>1638459</vt:i4>
      </vt:variant>
      <vt:variant>
        <vt:i4>257</vt:i4>
      </vt:variant>
      <vt:variant>
        <vt:i4>0</vt:i4>
      </vt:variant>
      <vt:variant>
        <vt:i4>5</vt:i4>
      </vt:variant>
      <vt:variant>
        <vt:lpwstr/>
      </vt:variant>
      <vt:variant>
        <vt:lpwstr>_Toc205354991</vt:lpwstr>
      </vt:variant>
      <vt:variant>
        <vt:i4>1638459</vt:i4>
      </vt:variant>
      <vt:variant>
        <vt:i4>251</vt:i4>
      </vt:variant>
      <vt:variant>
        <vt:i4>0</vt:i4>
      </vt:variant>
      <vt:variant>
        <vt:i4>5</vt:i4>
      </vt:variant>
      <vt:variant>
        <vt:lpwstr/>
      </vt:variant>
      <vt:variant>
        <vt:lpwstr>_Toc205354990</vt:lpwstr>
      </vt:variant>
      <vt:variant>
        <vt:i4>1572923</vt:i4>
      </vt:variant>
      <vt:variant>
        <vt:i4>245</vt:i4>
      </vt:variant>
      <vt:variant>
        <vt:i4>0</vt:i4>
      </vt:variant>
      <vt:variant>
        <vt:i4>5</vt:i4>
      </vt:variant>
      <vt:variant>
        <vt:lpwstr/>
      </vt:variant>
      <vt:variant>
        <vt:lpwstr>_Toc205354989</vt:lpwstr>
      </vt:variant>
      <vt:variant>
        <vt:i4>1572923</vt:i4>
      </vt:variant>
      <vt:variant>
        <vt:i4>239</vt:i4>
      </vt:variant>
      <vt:variant>
        <vt:i4>0</vt:i4>
      </vt:variant>
      <vt:variant>
        <vt:i4>5</vt:i4>
      </vt:variant>
      <vt:variant>
        <vt:lpwstr/>
      </vt:variant>
      <vt:variant>
        <vt:lpwstr>_Toc205354988</vt:lpwstr>
      </vt:variant>
      <vt:variant>
        <vt:i4>1572923</vt:i4>
      </vt:variant>
      <vt:variant>
        <vt:i4>233</vt:i4>
      </vt:variant>
      <vt:variant>
        <vt:i4>0</vt:i4>
      </vt:variant>
      <vt:variant>
        <vt:i4>5</vt:i4>
      </vt:variant>
      <vt:variant>
        <vt:lpwstr/>
      </vt:variant>
      <vt:variant>
        <vt:lpwstr>_Toc205354987</vt:lpwstr>
      </vt:variant>
      <vt:variant>
        <vt:i4>1572923</vt:i4>
      </vt:variant>
      <vt:variant>
        <vt:i4>227</vt:i4>
      </vt:variant>
      <vt:variant>
        <vt:i4>0</vt:i4>
      </vt:variant>
      <vt:variant>
        <vt:i4>5</vt:i4>
      </vt:variant>
      <vt:variant>
        <vt:lpwstr/>
      </vt:variant>
      <vt:variant>
        <vt:lpwstr>_Toc205354986</vt:lpwstr>
      </vt:variant>
      <vt:variant>
        <vt:i4>1572923</vt:i4>
      </vt:variant>
      <vt:variant>
        <vt:i4>221</vt:i4>
      </vt:variant>
      <vt:variant>
        <vt:i4>0</vt:i4>
      </vt:variant>
      <vt:variant>
        <vt:i4>5</vt:i4>
      </vt:variant>
      <vt:variant>
        <vt:lpwstr/>
      </vt:variant>
      <vt:variant>
        <vt:lpwstr>_Toc205354985</vt:lpwstr>
      </vt:variant>
      <vt:variant>
        <vt:i4>1572923</vt:i4>
      </vt:variant>
      <vt:variant>
        <vt:i4>215</vt:i4>
      </vt:variant>
      <vt:variant>
        <vt:i4>0</vt:i4>
      </vt:variant>
      <vt:variant>
        <vt:i4>5</vt:i4>
      </vt:variant>
      <vt:variant>
        <vt:lpwstr/>
      </vt:variant>
      <vt:variant>
        <vt:lpwstr>_Toc205354984</vt:lpwstr>
      </vt:variant>
      <vt:variant>
        <vt:i4>1572923</vt:i4>
      </vt:variant>
      <vt:variant>
        <vt:i4>209</vt:i4>
      </vt:variant>
      <vt:variant>
        <vt:i4>0</vt:i4>
      </vt:variant>
      <vt:variant>
        <vt:i4>5</vt:i4>
      </vt:variant>
      <vt:variant>
        <vt:lpwstr/>
      </vt:variant>
      <vt:variant>
        <vt:lpwstr>_Toc205354983</vt:lpwstr>
      </vt:variant>
      <vt:variant>
        <vt:i4>1572923</vt:i4>
      </vt:variant>
      <vt:variant>
        <vt:i4>203</vt:i4>
      </vt:variant>
      <vt:variant>
        <vt:i4>0</vt:i4>
      </vt:variant>
      <vt:variant>
        <vt:i4>5</vt:i4>
      </vt:variant>
      <vt:variant>
        <vt:lpwstr/>
      </vt:variant>
      <vt:variant>
        <vt:lpwstr>_Toc205354982</vt:lpwstr>
      </vt:variant>
      <vt:variant>
        <vt:i4>1572923</vt:i4>
      </vt:variant>
      <vt:variant>
        <vt:i4>197</vt:i4>
      </vt:variant>
      <vt:variant>
        <vt:i4>0</vt:i4>
      </vt:variant>
      <vt:variant>
        <vt:i4>5</vt:i4>
      </vt:variant>
      <vt:variant>
        <vt:lpwstr/>
      </vt:variant>
      <vt:variant>
        <vt:lpwstr>_Toc205354981</vt:lpwstr>
      </vt:variant>
      <vt:variant>
        <vt:i4>1572923</vt:i4>
      </vt:variant>
      <vt:variant>
        <vt:i4>191</vt:i4>
      </vt:variant>
      <vt:variant>
        <vt:i4>0</vt:i4>
      </vt:variant>
      <vt:variant>
        <vt:i4>5</vt:i4>
      </vt:variant>
      <vt:variant>
        <vt:lpwstr/>
      </vt:variant>
      <vt:variant>
        <vt:lpwstr>_Toc205354980</vt:lpwstr>
      </vt:variant>
      <vt:variant>
        <vt:i4>1507387</vt:i4>
      </vt:variant>
      <vt:variant>
        <vt:i4>185</vt:i4>
      </vt:variant>
      <vt:variant>
        <vt:i4>0</vt:i4>
      </vt:variant>
      <vt:variant>
        <vt:i4>5</vt:i4>
      </vt:variant>
      <vt:variant>
        <vt:lpwstr/>
      </vt:variant>
      <vt:variant>
        <vt:lpwstr>_Toc205354979</vt:lpwstr>
      </vt:variant>
      <vt:variant>
        <vt:i4>1507387</vt:i4>
      </vt:variant>
      <vt:variant>
        <vt:i4>179</vt:i4>
      </vt:variant>
      <vt:variant>
        <vt:i4>0</vt:i4>
      </vt:variant>
      <vt:variant>
        <vt:i4>5</vt:i4>
      </vt:variant>
      <vt:variant>
        <vt:lpwstr/>
      </vt:variant>
      <vt:variant>
        <vt:lpwstr>_Toc205354978</vt:lpwstr>
      </vt:variant>
      <vt:variant>
        <vt:i4>1507387</vt:i4>
      </vt:variant>
      <vt:variant>
        <vt:i4>173</vt:i4>
      </vt:variant>
      <vt:variant>
        <vt:i4>0</vt:i4>
      </vt:variant>
      <vt:variant>
        <vt:i4>5</vt:i4>
      </vt:variant>
      <vt:variant>
        <vt:lpwstr/>
      </vt:variant>
      <vt:variant>
        <vt:lpwstr>_Toc205354977</vt:lpwstr>
      </vt:variant>
      <vt:variant>
        <vt:i4>1507387</vt:i4>
      </vt:variant>
      <vt:variant>
        <vt:i4>167</vt:i4>
      </vt:variant>
      <vt:variant>
        <vt:i4>0</vt:i4>
      </vt:variant>
      <vt:variant>
        <vt:i4>5</vt:i4>
      </vt:variant>
      <vt:variant>
        <vt:lpwstr/>
      </vt:variant>
      <vt:variant>
        <vt:lpwstr>_Toc205354976</vt:lpwstr>
      </vt:variant>
      <vt:variant>
        <vt:i4>1507387</vt:i4>
      </vt:variant>
      <vt:variant>
        <vt:i4>161</vt:i4>
      </vt:variant>
      <vt:variant>
        <vt:i4>0</vt:i4>
      </vt:variant>
      <vt:variant>
        <vt:i4>5</vt:i4>
      </vt:variant>
      <vt:variant>
        <vt:lpwstr/>
      </vt:variant>
      <vt:variant>
        <vt:lpwstr>_Toc205354975</vt:lpwstr>
      </vt:variant>
      <vt:variant>
        <vt:i4>1507387</vt:i4>
      </vt:variant>
      <vt:variant>
        <vt:i4>155</vt:i4>
      </vt:variant>
      <vt:variant>
        <vt:i4>0</vt:i4>
      </vt:variant>
      <vt:variant>
        <vt:i4>5</vt:i4>
      </vt:variant>
      <vt:variant>
        <vt:lpwstr/>
      </vt:variant>
      <vt:variant>
        <vt:lpwstr>_Toc205354974</vt:lpwstr>
      </vt:variant>
      <vt:variant>
        <vt:i4>1507387</vt:i4>
      </vt:variant>
      <vt:variant>
        <vt:i4>149</vt:i4>
      </vt:variant>
      <vt:variant>
        <vt:i4>0</vt:i4>
      </vt:variant>
      <vt:variant>
        <vt:i4>5</vt:i4>
      </vt:variant>
      <vt:variant>
        <vt:lpwstr/>
      </vt:variant>
      <vt:variant>
        <vt:lpwstr>_Toc205354973</vt:lpwstr>
      </vt:variant>
      <vt:variant>
        <vt:i4>1507387</vt:i4>
      </vt:variant>
      <vt:variant>
        <vt:i4>143</vt:i4>
      </vt:variant>
      <vt:variant>
        <vt:i4>0</vt:i4>
      </vt:variant>
      <vt:variant>
        <vt:i4>5</vt:i4>
      </vt:variant>
      <vt:variant>
        <vt:lpwstr/>
      </vt:variant>
      <vt:variant>
        <vt:lpwstr>_Toc205354972</vt:lpwstr>
      </vt:variant>
      <vt:variant>
        <vt:i4>1507387</vt:i4>
      </vt:variant>
      <vt:variant>
        <vt:i4>137</vt:i4>
      </vt:variant>
      <vt:variant>
        <vt:i4>0</vt:i4>
      </vt:variant>
      <vt:variant>
        <vt:i4>5</vt:i4>
      </vt:variant>
      <vt:variant>
        <vt:lpwstr/>
      </vt:variant>
      <vt:variant>
        <vt:lpwstr>_Toc205354971</vt:lpwstr>
      </vt:variant>
      <vt:variant>
        <vt:i4>1507387</vt:i4>
      </vt:variant>
      <vt:variant>
        <vt:i4>131</vt:i4>
      </vt:variant>
      <vt:variant>
        <vt:i4>0</vt:i4>
      </vt:variant>
      <vt:variant>
        <vt:i4>5</vt:i4>
      </vt:variant>
      <vt:variant>
        <vt:lpwstr/>
      </vt:variant>
      <vt:variant>
        <vt:lpwstr>_Toc205354970</vt:lpwstr>
      </vt:variant>
      <vt:variant>
        <vt:i4>1441851</vt:i4>
      </vt:variant>
      <vt:variant>
        <vt:i4>125</vt:i4>
      </vt:variant>
      <vt:variant>
        <vt:i4>0</vt:i4>
      </vt:variant>
      <vt:variant>
        <vt:i4>5</vt:i4>
      </vt:variant>
      <vt:variant>
        <vt:lpwstr/>
      </vt:variant>
      <vt:variant>
        <vt:lpwstr>_Toc205354969</vt:lpwstr>
      </vt:variant>
      <vt:variant>
        <vt:i4>1441851</vt:i4>
      </vt:variant>
      <vt:variant>
        <vt:i4>119</vt:i4>
      </vt:variant>
      <vt:variant>
        <vt:i4>0</vt:i4>
      </vt:variant>
      <vt:variant>
        <vt:i4>5</vt:i4>
      </vt:variant>
      <vt:variant>
        <vt:lpwstr/>
      </vt:variant>
      <vt:variant>
        <vt:lpwstr>_Toc205354968</vt:lpwstr>
      </vt:variant>
      <vt:variant>
        <vt:i4>1441851</vt:i4>
      </vt:variant>
      <vt:variant>
        <vt:i4>113</vt:i4>
      </vt:variant>
      <vt:variant>
        <vt:i4>0</vt:i4>
      </vt:variant>
      <vt:variant>
        <vt:i4>5</vt:i4>
      </vt:variant>
      <vt:variant>
        <vt:lpwstr/>
      </vt:variant>
      <vt:variant>
        <vt:lpwstr>_Toc205354967</vt:lpwstr>
      </vt:variant>
      <vt:variant>
        <vt:i4>1441851</vt:i4>
      </vt:variant>
      <vt:variant>
        <vt:i4>107</vt:i4>
      </vt:variant>
      <vt:variant>
        <vt:i4>0</vt:i4>
      </vt:variant>
      <vt:variant>
        <vt:i4>5</vt:i4>
      </vt:variant>
      <vt:variant>
        <vt:lpwstr/>
      </vt:variant>
      <vt:variant>
        <vt:lpwstr>_Toc205354966</vt:lpwstr>
      </vt:variant>
      <vt:variant>
        <vt:i4>1441851</vt:i4>
      </vt:variant>
      <vt:variant>
        <vt:i4>101</vt:i4>
      </vt:variant>
      <vt:variant>
        <vt:i4>0</vt:i4>
      </vt:variant>
      <vt:variant>
        <vt:i4>5</vt:i4>
      </vt:variant>
      <vt:variant>
        <vt:lpwstr/>
      </vt:variant>
      <vt:variant>
        <vt:lpwstr>_Toc205354965</vt:lpwstr>
      </vt:variant>
      <vt:variant>
        <vt:i4>1441851</vt:i4>
      </vt:variant>
      <vt:variant>
        <vt:i4>95</vt:i4>
      </vt:variant>
      <vt:variant>
        <vt:i4>0</vt:i4>
      </vt:variant>
      <vt:variant>
        <vt:i4>5</vt:i4>
      </vt:variant>
      <vt:variant>
        <vt:lpwstr/>
      </vt:variant>
      <vt:variant>
        <vt:lpwstr>_Toc205354964</vt:lpwstr>
      </vt:variant>
      <vt:variant>
        <vt:i4>1441851</vt:i4>
      </vt:variant>
      <vt:variant>
        <vt:i4>89</vt:i4>
      </vt:variant>
      <vt:variant>
        <vt:i4>0</vt:i4>
      </vt:variant>
      <vt:variant>
        <vt:i4>5</vt:i4>
      </vt:variant>
      <vt:variant>
        <vt:lpwstr/>
      </vt:variant>
      <vt:variant>
        <vt:lpwstr>_Toc205354963</vt:lpwstr>
      </vt:variant>
      <vt:variant>
        <vt:i4>1441851</vt:i4>
      </vt:variant>
      <vt:variant>
        <vt:i4>83</vt:i4>
      </vt:variant>
      <vt:variant>
        <vt:i4>0</vt:i4>
      </vt:variant>
      <vt:variant>
        <vt:i4>5</vt:i4>
      </vt:variant>
      <vt:variant>
        <vt:lpwstr/>
      </vt:variant>
      <vt:variant>
        <vt:lpwstr>_Toc205354962</vt:lpwstr>
      </vt:variant>
      <vt:variant>
        <vt:i4>1441851</vt:i4>
      </vt:variant>
      <vt:variant>
        <vt:i4>77</vt:i4>
      </vt:variant>
      <vt:variant>
        <vt:i4>0</vt:i4>
      </vt:variant>
      <vt:variant>
        <vt:i4>5</vt:i4>
      </vt:variant>
      <vt:variant>
        <vt:lpwstr/>
      </vt:variant>
      <vt:variant>
        <vt:lpwstr>_Toc205354961</vt:lpwstr>
      </vt:variant>
      <vt:variant>
        <vt:i4>1441851</vt:i4>
      </vt:variant>
      <vt:variant>
        <vt:i4>71</vt:i4>
      </vt:variant>
      <vt:variant>
        <vt:i4>0</vt:i4>
      </vt:variant>
      <vt:variant>
        <vt:i4>5</vt:i4>
      </vt:variant>
      <vt:variant>
        <vt:lpwstr/>
      </vt:variant>
      <vt:variant>
        <vt:lpwstr>_Toc205354960</vt:lpwstr>
      </vt:variant>
      <vt:variant>
        <vt:i4>1376315</vt:i4>
      </vt:variant>
      <vt:variant>
        <vt:i4>65</vt:i4>
      </vt:variant>
      <vt:variant>
        <vt:i4>0</vt:i4>
      </vt:variant>
      <vt:variant>
        <vt:i4>5</vt:i4>
      </vt:variant>
      <vt:variant>
        <vt:lpwstr/>
      </vt:variant>
      <vt:variant>
        <vt:lpwstr>_Toc205354959</vt:lpwstr>
      </vt:variant>
      <vt:variant>
        <vt:i4>1376315</vt:i4>
      </vt:variant>
      <vt:variant>
        <vt:i4>59</vt:i4>
      </vt:variant>
      <vt:variant>
        <vt:i4>0</vt:i4>
      </vt:variant>
      <vt:variant>
        <vt:i4>5</vt:i4>
      </vt:variant>
      <vt:variant>
        <vt:lpwstr/>
      </vt:variant>
      <vt:variant>
        <vt:lpwstr>_Toc205354958</vt:lpwstr>
      </vt:variant>
      <vt:variant>
        <vt:i4>1376315</vt:i4>
      </vt:variant>
      <vt:variant>
        <vt:i4>53</vt:i4>
      </vt:variant>
      <vt:variant>
        <vt:i4>0</vt:i4>
      </vt:variant>
      <vt:variant>
        <vt:i4>5</vt:i4>
      </vt:variant>
      <vt:variant>
        <vt:lpwstr/>
      </vt:variant>
      <vt:variant>
        <vt:lpwstr>_Toc205354957</vt:lpwstr>
      </vt:variant>
      <vt:variant>
        <vt:i4>1376315</vt:i4>
      </vt:variant>
      <vt:variant>
        <vt:i4>47</vt:i4>
      </vt:variant>
      <vt:variant>
        <vt:i4>0</vt:i4>
      </vt:variant>
      <vt:variant>
        <vt:i4>5</vt:i4>
      </vt:variant>
      <vt:variant>
        <vt:lpwstr/>
      </vt:variant>
      <vt:variant>
        <vt:lpwstr>_Toc205354956</vt:lpwstr>
      </vt:variant>
      <vt:variant>
        <vt:i4>1376315</vt:i4>
      </vt:variant>
      <vt:variant>
        <vt:i4>41</vt:i4>
      </vt:variant>
      <vt:variant>
        <vt:i4>0</vt:i4>
      </vt:variant>
      <vt:variant>
        <vt:i4>5</vt:i4>
      </vt:variant>
      <vt:variant>
        <vt:lpwstr/>
      </vt:variant>
      <vt:variant>
        <vt:lpwstr>_Toc205354955</vt:lpwstr>
      </vt:variant>
      <vt:variant>
        <vt:i4>1376315</vt:i4>
      </vt:variant>
      <vt:variant>
        <vt:i4>35</vt:i4>
      </vt:variant>
      <vt:variant>
        <vt:i4>0</vt:i4>
      </vt:variant>
      <vt:variant>
        <vt:i4>5</vt:i4>
      </vt:variant>
      <vt:variant>
        <vt:lpwstr/>
      </vt:variant>
      <vt:variant>
        <vt:lpwstr>_Toc205354954</vt:lpwstr>
      </vt:variant>
      <vt:variant>
        <vt:i4>1376315</vt:i4>
      </vt:variant>
      <vt:variant>
        <vt:i4>29</vt:i4>
      </vt:variant>
      <vt:variant>
        <vt:i4>0</vt:i4>
      </vt:variant>
      <vt:variant>
        <vt:i4>5</vt:i4>
      </vt:variant>
      <vt:variant>
        <vt:lpwstr/>
      </vt:variant>
      <vt:variant>
        <vt:lpwstr>_Toc205354953</vt:lpwstr>
      </vt:variant>
      <vt:variant>
        <vt:i4>1376315</vt:i4>
      </vt:variant>
      <vt:variant>
        <vt:i4>23</vt:i4>
      </vt:variant>
      <vt:variant>
        <vt:i4>0</vt:i4>
      </vt:variant>
      <vt:variant>
        <vt:i4>5</vt:i4>
      </vt:variant>
      <vt:variant>
        <vt:lpwstr/>
      </vt:variant>
      <vt:variant>
        <vt:lpwstr>_Toc205354952</vt:lpwstr>
      </vt:variant>
      <vt:variant>
        <vt:i4>6226035</vt:i4>
      </vt:variant>
      <vt:variant>
        <vt:i4>18</vt:i4>
      </vt:variant>
      <vt:variant>
        <vt:i4>0</vt:i4>
      </vt:variant>
      <vt:variant>
        <vt:i4>5</vt:i4>
      </vt:variant>
      <vt:variant>
        <vt:lpwstr/>
      </vt:variant>
      <vt:variant>
        <vt:lpwstr>S_5</vt:lpwstr>
      </vt:variant>
      <vt:variant>
        <vt:i4>7012417</vt:i4>
      </vt:variant>
      <vt:variant>
        <vt:i4>15</vt:i4>
      </vt:variant>
      <vt:variant>
        <vt:i4>0</vt:i4>
      </vt:variant>
      <vt:variant>
        <vt:i4>5</vt:i4>
      </vt:variant>
      <vt:variant>
        <vt:lpwstr/>
      </vt:variant>
      <vt:variant>
        <vt:lpwstr>R_34</vt:lpwstr>
      </vt:variant>
      <vt:variant>
        <vt:i4>589863</vt:i4>
      </vt:variant>
      <vt:variant>
        <vt:i4>12</vt:i4>
      </vt:variant>
      <vt:variant>
        <vt:i4>0</vt:i4>
      </vt:variant>
      <vt:variant>
        <vt:i4>5</vt:i4>
      </vt:variant>
      <vt:variant>
        <vt:lpwstr/>
      </vt:variant>
      <vt:variant>
        <vt:lpwstr>Ref_33</vt:lpwstr>
      </vt:variant>
      <vt:variant>
        <vt:i4>1900651</vt:i4>
      </vt:variant>
      <vt:variant>
        <vt:i4>9</vt:i4>
      </vt:variant>
      <vt:variant>
        <vt:i4>0</vt:i4>
      </vt:variant>
      <vt:variant>
        <vt:i4>5</vt:i4>
      </vt:variant>
      <vt:variant>
        <vt:lpwstr/>
      </vt:variant>
      <vt:variant>
        <vt:lpwstr>S_4_SI_TR</vt:lpwstr>
      </vt:variant>
      <vt:variant>
        <vt:i4>7536690</vt:i4>
      </vt:variant>
      <vt:variant>
        <vt:i4>6</vt:i4>
      </vt:variant>
      <vt:variant>
        <vt:i4>0</vt:i4>
      </vt:variant>
      <vt:variant>
        <vt:i4>5</vt:i4>
      </vt:variant>
      <vt:variant>
        <vt:lpwstr/>
      </vt:variant>
      <vt:variant>
        <vt:lpwstr>S_3_RS</vt:lpwstr>
      </vt:variant>
      <vt:variant>
        <vt:i4>6226035</vt:i4>
      </vt:variant>
      <vt:variant>
        <vt:i4>3</vt:i4>
      </vt:variant>
      <vt:variant>
        <vt:i4>0</vt:i4>
      </vt:variant>
      <vt:variant>
        <vt:i4>5</vt:i4>
      </vt:variant>
      <vt:variant>
        <vt:lpwstr/>
      </vt:variant>
      <vt:variant>
        <vt:lpwstr>S_2</vt:lpwstr>
      </vt:variant>
      <vt:variant>
        <vt:i4>6226035</vt:i4>
      </vt:variant>
      <vt:variant>
        <vt:i4>0</vt:i4>
      </vt:variant>
      <vt:variant>
        <vt:i4>0</vt:i4>
      </vt:variant>
      <vt:variant>
        <vt:i4>5</vt:i4>
      </vt:variant>
      <vt:variant>
        <vt:lpwstr/>
      </vt:variant>
      <vt:variant>
        <vt:lpwstr>S_1</vt:lpwstr>
      </vt:variant>
      <vt:variant>
        <vt:i4>3080214</vt:i4>
      </vt:variant>
      <vt:variant>
        <vt:i4>6</vt:i4>
      </vt:variant>
      <vt:variant>
        <vt:i4>0</vt:i4>
      </vt:variant>
      <vt:variant>
        <vt:i4>5</vt:i4>
      </vt:variant>
      <vt:variant>
        <vt:lpwstr>mailto:eariztia@energycatalyst.au</vt:lpwstr>
      </vt:variant>
      <vt:variant>
        <vt:lpwstr/>
      </vt:variant>
      <vt:variant>
        <vt:i4>3080214</vt:i4>
      </vt:variant>
      <vt:variant>
        <vt:i4>3</vt:i4>
      </vt:variant>
      <vt:variant>
        <vt:i4>0</vt:i4>
      </vt:variant>
      <vt:variant>
        <vt:i4>5</vt:i4>
      </vt:variant>
      <vt:variant>
        <vt:lpwstr>mailto:eariztia@energycatalyst.au</vt:lpwstr>
      </vt:variant>
      <vt:variant>
        <vt:lpwstr/>
      </vt:variant>
      <vt:variant>
        <vt:i4>3080214</vt:i4>
      </vt:variant>
      <vt:variant>
        <vt:i4>0</vt:i4>
      </vt:variant>
      <vt:variant>
        <vt:i4>0</vt:i4>
      </vt:variant>
      <vt:variant>
        <vt:i4>5</vt:i4>
      </vt:variant>
      <vt:variant>
        <vt:lpwstr>mailto:eariztia@energycatalyst.au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Bird</dc:creator>
  <cp:keywords/>
  <dc:description/>
  <cp:lastModifiedBy>Thomas Prisk</cp:lastModifiedBy>
  <cp:revision>25</cp:revision>
  <cp:lastPrinted>2025-08-27T05:11:00Z</cp:lastPrinted>
  <dcterms:created xsi:type="dcterms:W3CDTF">2025-08-06T00:21:00Z</dcterms:created>
  <dcterms:modified xsi:type="dcterms:W3CDTF">2025-08-27T05:11:00Z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0x01010008BAC9EC549B984F8E2AA5A6E13A8D38</vt:lpwstr>
  </property>
  <property fmtid="{D5CDD505-2E9C-101B-9397-08002B2CF9AE}" pid="3" name="MediaServiceImageTags">
    <vt:lpwstr/>
  </property>
  <property fmtid="{D5CDD505-2E9C-101B-9397-08002B2CF9AE}" pid="4" name="GrammarlyDocumentId">
    <vt:lpwstr>e689ac7d-10b4-428f-8103-143ab02b1ed4</vt:lpwstr>
  </property>
  <property fmtid="{D5CDD505-2E9C-101B-9397-08002B2CF9AE}" pid="5" name="ZOTERO_PREF_2">
    <vt:lpwstr>nalAbbreviations" value="true"/&gt;&lt;pref name="dontAskDelayCitationUpdates" value="true"/&gt;&lt;/prefs&gt;&lt;/data&gt;</vt:lpwstr>
  </property>
  <property fmtid="{D5CDD505-2E9C-101B-9397-08002B2CF9AE}" pid="6" name="ZOTERO_PREF_1">
    <vt:lpwstr>&lt;data data-version="3" zotero-version="7.0.15"&gt;&lt;session id="eYuXSiLS"/&gt;&lt;style id="http://www.zotero.org/styles/ieee" locale="en-GB" hasBibliography="1" bibliographyStyleHasBeenSet="1"/&gt;&lt;prefs&gt;&lt;pref name="fieldType" value="Field"/&gt;&lt;pref name="automaticJour</vt:lpwstr>
  </property>
</Properties>
</file>